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9" w:lineRule="exact"/>
        <w:rPr>
          <w:sz w:val="24"/>
          <w:szCs w:val="24"/>
          <w:color w:val="auto"/>
        </w:rPr>
      </w:pPr>
    </w:p>
    <w:p>
      <w:pPr>
        <w:jc w:val="center"/>
        <w:ind w:right="-45"/>
        <w:spacing w:after="0"/>
        <w:rPr>
          <w:sz w:val="20"/>
          <w:szCs w:val="20"/>
          <w:color w:val="auto"/>
        </w:rPr>
      </w:pPr>
      <w:r>
        <w:rPr>
          <w:rFonts w:ascii="Arial" w:cs="Arial" w:eastAsia="Arial" w:hAnsi="Arial"/>
          <w:sz w:val="28"/>
          <w:szCs w:val="28"/>
          <w:b w:val="1"/>
          <w:bCs w:val="1"/>
          <w:color w:val="auto"/>
        </w:rPr>
        <w:t>UNITED STATES</w:t>
      </w:r>
    </w:p>
    <w:p>
      <w:pPr>
        <w:spacing w:after="0" w:line="54" w:lineRule="exact"/>
        <w:rPr>
          <w:sz w:val="24"/>
          <w:szCs w:val="24"/>
          <w:color w:val="auto"/>
        </w:rPr>
      </w:pPr>
    </w:p>
    <w:p>
      <w:pPr>
        <w:jc w:val="center"/>
        <w:ind w:right="-45"/>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45"/>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45"/>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5"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36"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0" w:lineRule="exact"/>
        <w:rPr>
          <w:sz w:val="24"/>
          <w:szCs w:val="24"/>
          <w:color w:val="auto"/>
        </w:rPr>
      </w:pPr>
    </w:p>
    <w:p>
      <w:pPr>
        <w:jc w:val="center"/>
        <w:ind w:right="-45"/>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45"/>
        <w:spacing w:after="0"/>
        <w:rPr>
          <w:sz w:val="20"/>
          <w:szCs w:val="20"/>
          <w:color w:val="auto"/>
        </w:rPr>
      </w:pPr>
      <w:r>
        <w:rPr>
          <w:rFonts w:ascii="Arial" w:cs="Arial" w:eastAsia="Arial" w:hAnsi="Arial"/>
          <w:sz w:val="38"/>
          <w:szCs w:val="38"/>
          <w:b w:val="1"/>
          <w:bCs w:val="1"/>
          <w:color w:val="auto"/>
        </w:rPr>
        <w:t>ALLISON TRANSMISSION HOLDINGS, INC.</w:t>
      </w:r>
    </w:p>
    <w:p>
      <w:pPr>
        <w:spacing w:after="0" w:line="80" w:lineRule="exact"/>
        <w:rPr>
          <w:sz w:val="24"/>
          <w:szCs w:val="24"/>
          <w:color w:val="auto"/>
        </w:rPr>
      </w:pPr>
    </w:p>
    <w:p>
      <w:pPr>
        <w:jc w:val="center"/>
        <w:ind w:right="-45"/>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2840355</wp:posOffset>
            </wp:positionH>
            <wp:positionV relativeFrom="paragraph">
              <wp:posOffset>33020</wp:posOffset>
            </wp:positionV>
            <wp:extent cx="147637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6375" cy="432435"/>
                    </a:xfrm>
                    <a:prstGeom prst="rect">
                      <a:avLst/>
                    </a:prstGeom>
                    <a:noFill/>
                  </pic:spPr>
                </pic:pic>
              </a:graphicData>
            </a:graphic>
          </wp:anchor>
        </w:drawing>
      </w:r>
    </w:p>
    <w:p>
      <w:pPr>
        <w:sectPr>
          <w:pgSz w:w="11900" w:h="16838" w:orient="portrait"/>
          <w:cols w:equalWidth="0" w:num="1">
            <w:col w:w="11226"/>
          </w:cols>
          <w:pgMar w:left="314" w:top="23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4"/>
        <w:spacing w:after="0"/>
        <w:rPr>
          <w:sz w:val="20"/>
          <w:szCs w:val="20"/>
          <w:color w:val="auto"/>
        </w:rPr>
      </w:pPr>
      <w:r>
        <w:rPr>
          <w:rFonts w:ascii="Arial" w:cs="Arial" w:eastAsia="Arial" w:hAnsi="Arial"/>
          <w:sz w:val="16"/>
          <w:szCs w:val="16"/>
          <w:b w:val="1"/>
          <w:bCs w:val="1"/>
          <w:color w:val="auto"/>
        </w:rPr>
        <w:t>Delaware</w:t>
      </w:r>
    </w:p>
    <w:p>
      <w:pPr>
        <w:spacing w:after="0" w:line="76" w:lineRule="exact"/>
        <w:rPr>
          <w:sz w:val="24"/>
          <w:szCs w:val="24"/>
          <w:color w:val="auto"/>
        </w:rPr>
      </w:pPr>
    </w:p>
    <w:p>
      <w:pPr>
        <w:jc w:val="center"/>
        <w:ind w:right="1994"/>
        <w:spacing w:after="0"/>
        <w:rPr>
          <w:sz w:val="20"/>
          <w:szCs w:val="20"/>
          <w:color w:val="auto"/>
        </w:rPr>
      </w:pPr>
      <w:r>
        <w:rPr>
          <w:rFonts w:ascii="Arial" w:cs="Arial" w:eastAsia="Arial" w:hAnsi="Arial"/>
          <w:sz w:val="11"/>
          <w:szCs w:val="11"/>
          <w:color w:val="auto"/>
        </w:rPr>
        <w:t>(State or Other Jurisdiction of Incorporation or</w:t>
      </w:r>
    </w:p>
    <w:p>
      <w:pPr>
        <w:spacing w:after="0" w:line="38" w:lineRule="exact"/>
        <w:rPr>
          <w:sz w:val="24"/>
          <w:szCs w:val="24"/>
          <w:color w:val="auto"/>
        </w:rPr>
      </w:pPr>
    </w:p>
    <w:p>
      <w:pPr>
        <w:jc w:val="center"/>
        <w:ind w:right="1994"/>
        <w:spacing w:after="0"/>
        <w:rPr>
          <w:sz w:val="20"/>
          <w:szCs w:val="20"/>
          <w:color w:val="auto"/>
        </w:rPr>
      </w:pPr>
      <w:r>
        <w:rPr>
          <w:rFonts w:ascii="Arial" w:cs="Arial" w:eastAsia="Arial" w:hAnsi="Arial"/>
          <w:sz w:val="13"/>
          <w:szCs w:val="13"/>
          <w:color w:val="auto"/>
        </w:rPr>
        <w:t>Organization)</w:t>
      </w:r>
    </w:p>
    <w:p>
      <w:pPr>
        <w:spacing w:after="0" w:line="143" w:lineRule="exact"/>
        <w:rPr>
          <w:sz w:val="24"/>
          <w:szCs w:val="24"/>
          <w:color w:val="auto"/>
        </w:rPr>
      </w:pPr>
    </w:p>
    <w:p>
      <w:pPr>
        <w:ind w:left="2206"/>
        <w:spacing w:after="0"/>
        <w:rPr>
          <w:sz w:val="20"/>
          <w:szCs w:val="20"/>
          <w:color w:val="auto"/>
        </w:rPr>
      </w:pPr>
      <w:r>
        <w:rPr>
          <w:rFonts w:ascii="Arial" w:cs="Arial" w:eastAsia="Arial" w:hAnsi="Arial"/>
          <w:sz w:val="16"/>
          <w:szCs w:val="16"/>
          <w:b w:val="1"/>
          <w:bCs w:val="1"/>
          <w:color w:val="auto"/>
        </w:rPr>
        <w:t>One Allison Way</w:t>
      </w:r>
    </w:p>
    <w:p>
      <w:pPr>
        <w:spacing w:after="0" w:line="51" w:lineRule="exact"/>
        <w:rPr>
          <w:sz w:val="24"/>
          <w:szCs w:val="24"/>
          <w:color w:val="auto"/>
        </w:rPr>
      </w:pPr>
    </w:p>
    <w:p>
      <w:pPr>
        <w:ind w:left="2226"/>
        <w:spacing w:after="0"/>
        <w:rPr>
          <w:sz w:val="20"/>
          <w:szCs w:val="20"/>
          <w:color w:val="auto"/>
        </w:rPr>
      </w:pPr>
      <w:r>
        <w:rPr>
          <w:rFonts w:ascii="Arial" w:cs="Arial" w:eastAsia="Arial" w:hAnsi="Arial"/>
          <w:sz w:val="16"/>
          <w:szCs w:val="16"/>
          <w:b w:val="1"/>
          <w:bCs w:val="1"/>
          <w:color w:val="auto"/>
        </w:rPr>
        <w:t>Indianapolis, IN</w:t>
      </w:r>
    </w:p>
    <w:p>
      <w:pPr>
        <w:spacing w:after="0" w:line="76" w:lineRule="exact"/>
        <w:rPr>
          <w:sz w:val="24"/>
          <w:szCs w:val="24"/>
          <w:color w:val="auto"/>
        </w:rPr>
      </w:pPr>
    </w:p>
    <w:p>
      <w:pPr>
        <w:ind w:left="1726"/>
        <w:spacing w:after="0"/>
        <w:rPr>
          <w:sz w:val="20"/>
          <w:szCs w:val="20"/>
          <w:color w:val="auto"/>
        </w:rPr>
      </w:pPr>
      <w:r>
        <w:rPr>
          <w:rFonts w:ascii="Arial" w:cs="Arial" w:eastAsia="Arial" w:hAnsi="Arial"/>
          <w:sz w:val="13"/>
          <w:szCs w:val="13"/>
          <w:color w:val="auto"/>
        </w:rPr>
        <w:t>(Address of Principal Executive Offices)</w:t>
      </w:r>
    </w:p>
    <w:p>
      <w:pPr>
        <w:spacing w:after="0" w:line="49" w:lineRule="exact"/>
        <w:rPr>
          <w:sz w:val="24"/>
          <w:szCs w:val="24"/>
          <w:color w:val="auto"/>
        </w:rPr>
      </w:pPr>
    </w:p>
    <w:p>
      <w:pPr>
        <w:jc w:val="center"/>
        <w:ind w:left="3646"/>
        <w:spacing w:after="0"/>
        <w:rPr>
          <w:sz w:val="20"/>
          <w:szCs w:val="20"/>
          <w:color w:val="auto"/>
        </w:rPr>
      </w:pPr>
      <w:r>
        <w:rPr>
          <w:rFonts w:ascii="Arial" w:cs="Arial" w:eastAsia="Arial" w:hAnsi="Arial"/>
          <w:sz w:val="16"/>
          <w:szCs w:val="16"/>
          <w:b w:val="1"/>
          <w:bCs w:val="1"/>
          <w:color w:val="auto"/>
        </w:rPr>
        <w:t>(317) 242-5000</w:t>
      </w:r>
    </w:p>
    <w:p>
      <w:pPr>
        <w:spacing w:after="0" w:line="52" w:lineRule="exact"/>
        <w:rPr>
          <w:sz w:val="24"/>
          <w:szCs w:val="24"/>
          <w:color w:val="auto"/>
        </w:rPr>
      </w:pPr>
    </w:p>
    <w:p>
      <w:pPr>
        <w:jc w:val="center"/>
        <w:ind w:left="3646"/>
        <w:spacing w:after="0"/>
        <w:rPr>
          <w:sz w:val="20"/>
          <w:szCs w:val="20"/>
          <w:color w:val="auto"/>
        </w:rPr>
      </w:pPr>
      <w:r>
        <w:rPr>
          <w:rFonts w:ascii="Arial" w:cs="Arial" w:eastAsia="Arial" w:hAnsi="Arial"/>
          <w:sz w:val="13"/>
          <w:szCs w:val="13"/>
          <w:color w:val="auto"/>
        </w:rPr>
        <w:t>(Registrant’s Telephone Number, Including Area Code)</w:t>
      </w:r>
    </w:p>
    <w:p>
      <w:pPr>
        <w:spacing w:after="0" w:line="8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26-0414014</w:t>
      </w:r>
    </w:p>
    <w:p>
      <w:pPr>
        <w:spacing w:after="0" w:line="102" w:lineRule="exact"/>
        <w:rPr>
          <w:sz w:val="24"/>
          <w:szCs w:val="24"/>
          <w:color w:val="auto"/>
        </w:rPr>
      </w:pPr>
    </w:p>
    <w:p>
      <w:pPr>
        <w:jc w:val="center"/>
        <w:ind w:right="2160"/>
        <w:spacing w:after="0"/>
        <w:rPr>
          <w:sz w:val="20"/>
          <w:szCs w:val="20"/>
          <w:color w:val="auto"/>
        </w:rPr>
      </w:pPr>
      <w:r>
        <w:rPr>
          <w:rFonts w:ascii="Arial" w:cs="Arial" w:eastAsia="Arial" w:hAnsi="Arial"/>
          <w:sz w:val="13"/>
          <w:szCs w:val="13"/>
          <w:color w:val="auto"/>
        </w:rPr>
        <w:t>(I.R.S. Employer</w:t>
      </w:r>
    </w:p>
    <w:p>
      <w:pPr>
        <w:jc w:val="center"/>
        <w:ind w:right="2160"/>
        <w:spacing w:after="0"/>
        <w:rPr>
          <w:sz w:val="20"/>
          <w:szCs w:val="20"/>
          <w:color w:val="auto"/>
        </w:rPr>
      </w:pPr>
      <w:r>
        <w:rPr>
          <w:rFonts w:ascii="Arial" w:cs="Arial" w:eastAsia="Arial" w:hAnsi="Arial"/>
          <w:sz w:val="11"/>
          <w:szCs w:val="11"/>
          <w:color w:val="auto"/>
        </w:rPr>
        <w:t>Identification Number)</w:t>
      </w:r>
    </w:p>
    <w:p>
      <w:pPr>
        <w:spacing w:after="0" w:line="389"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46222</w:t>
      </w:r>
    </w:p>
    <w:p>
      <w:pPr>
        <w:spacing w:after="0" w:line="76" w:lineRule="exact"/>
        <w:rPr>
          <w:sz w:val="24"/>
          <w:szCs w:val="24"/>
          <w:color w:val="auto"/>
        </w:rPr>
      </w:pPr>
    </w:p>
    <w:p>
      <w:pPr>
        <w:ind w:left="300"/>
        <w:spacing w:after="0"/>
        <w:rPr>
          <w:sz w:val="20"/>
          <w:szCs w:val="20"/>
          <w:color w:val="auto"/>
        </w:rPr>
      </w:pPr>
      <w:r>
        <w:rPr>
          <w:rFonts w:ascii="Arial" w:cs="Arial" w:eastAsia="Arial" w:hAnsi="Arial"/>
          <w:sz w:val="13"/>
          <w:szCs w:val="13"/>
          <w:color w:val="auto"/>
        </w:rPr>
        <w:t>(Zip Code)</w:t>
      </w:r>
    </w:p>
    <w:p>
      <w:pPr>
        <w:spacing w:after="0" w:line="793" w:lineRule="exact"/>
        <w:rPr>
          <w:sz w:val="24"/>
          <w:szCs w:val="24"/>
          <w:color w:val="auto"/>
        </w:rPr>
      </w:pPr>
    </w:p>
    <w:p>
      <w:pPr>
        <w:sectPr>
          <w:pgSz w:w="11900" w:h="16838" w:orient="portrait"/>
          <w:cols w:equalWidth="0" w:num="2">
            <w:col w:w="7626" w:space="220"/>
            <w:col w:w="3380"/>
          </w:cols>
          <w:pgMar w:left="314" w:top="233" w:right="359" w:bottom="1440" w:gutter="0" w:footer="0" w:header="0"/>
          <w:type w:val="continuous"/>
        </w:sectPr>
      </w:pPr>
    </w:p>
    <w:tbl>
      <w:tblPr>
        <w:tblLayout w:type="fixed"/>
        <w:tblInd w:w="19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5"/>
              </w:rPr>
              <w:t>Name of Each Exchange</w:t>
            </w:r>
          </w:p>
        </w:tc>
      </w:tr>
      <w:tr>
        <w:trPr>
          <w:trHeight w:val="137"/>
        </w:trPr>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Title of Each Class</w:t>
            </w:r>
          </w:p>
        </w:tc>
        <w:tc>
          <w:tcPr>
            <w:tcW w:w="80" w:type="dxa"/>
            <w:vAlign w:val="bottom"/>
          </w:tcPr>
          <w:p>
            <w:pPr>
              <w:spacing w:after="0"/>
              <w:rPr>
                <w:sz w:val="11"/>
                <w:szCs w:val="11"/>
                <w:color w:val="auto"/>
              </w:rPr>
            </w:pPr>
          </w:p>
        </w:tc>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Trading Symbol(s)</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6"/>
              </w:rPr>
              <w:t>on which Registered</w:t>
            </w:r>
          </w:p>
        </w:tc>
      </w:tr>
      <w:tr>
        <w:trPr>
          <w:trHeight w:val="226"/>
        </w:trPr>
        <w:tc>
          <w:tcPr>
            <w:tcW w:w="2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6"/>
              </w:rPr>
              <w:t>New York Stock Exchange</w:t>
            </w:r>
          </w:p>
        </w:tc>
      </w:tr>
    </w:tbl>
    <w:p>
      <w:pPr>
        <w:spacing w:after="0" w:line="35" w:lineRule="exact"/>
        <w:rPr>
          <w:sz w:val="24"/>
          <w:szCs w:val="24"/>
          <w:color w:val="auto"/>
        </w:rPr>
      </w:pPr>
    </w:p>
    <w:p>
      <w:pPr>
        <w:ind w:left="6" w:right="280" w:firstLine="500"/>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6" w:right="340" w:firstLine="500"/>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260" w:firstLine="5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526"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8"/>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1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8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left="6" w:firstLine="50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06" w:right="160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15, 2021, there were 104,260,272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398780</wp:posOffset>
            </wp:positionV>
            <wp:extent cx="717550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6"/>
          </w:cols>
          <w:pgMar w:left="314" w:top="233" w:right="3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6"/>
                <w:szCs w:val="16"/>
                <w:b w:val="1"/>
                <w:bCs w:val="1"/>
                <w:color w:val="auto"/>
              </w:rPr>
              <w:t>INDEX</w:t>
            </w:r>
          </w:p>
        </w:tc>
      </w:tr>
      <w:tr>
        <w:trPr>
          <w:trHeight w:val="682"/>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Borders>
              <w:bottom w:val="single" w:sz="8" w:color="0000EE"/>
            </w:tcBorders>
            <w:gridSpan w:val="9"/>
          </w:tcPr>
          <w:p>
            <w:pPr>
              <w:jc w:val="center"/>
              <w:spacing w:after="0"/>
              <w:rPr>
                <w:rFonts w:ascii="Arial" w:cs="Arial" w:eastAsia="Arial" w:hAnsi="Arial"/>
                <w:sz w:val="16"/>
                <w:szCs w:val="16"/>
                <w:b w:val="1"/>
                <w:bCs w:val="1"/>
                <w:color w:val="0000EE"/>
                <w:w w:val="97"/>
              </w:rPr>
            </w:pPr>
            <w:hyperlink w:anchor="page3">
              <w:r>
                <w:rPr>
                  <w:rFonts w:ascii="Arial" w:cs="Arial" w:eastAsia="Arial" w:hAnsi="Arial"/>
                  <w:sz w:val="16"/>
                  <w:szCs w:val="16"/>
                  <w:b w:val="1"/>
                  <w:bCs w:val="1"/>
                  <w:color w:val="0000EE"/>
                  <w:w w:val="97"/>
                </w:rPr>
                <w:t>PART I. FINANCIAL INFORMATION</w:t>
              </w:r>
            </w:hyperlink>
          </w:p>
        </w:tc>
        <w:tc>
          <w:tcPr>
            <w:tcW w:w="200" w:type="dxa"/>
            <w:vAlign w:val="bottom"/>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616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6"/>
                <w:szCs w:val="16"/>
                <w:color w:val="0000EE"/>
                <w:w w:val="97"/>
              </w:rPr>
            </w:pPr>
            <w:hyperlink w:anchor="page3">
              <w:r>
                <w:rPr>
                  <w:rFonts w:ascii="Arial" w:cs="Arial" w:eastAsia="Arial" w:hAnsi="Arial"/>
                  <w:sz w:val="16"/>
                  <w:szCs w:val="16"/>
                  <w:color w:val="0000EE"/>
                  <w:w w:val="97"/>
                </w:rPr>
                <w:t>Condensed Consolidated Balance Sheets</w:t>
              </w:r>
            </w:hyperlink>
          </w:p>
        </w:tc>
        <w:tc>
          <w:tcPr>
            <w:tcW w:w="3260" w:type="dxa"/>
            <w:vAlign w:val="bottom"/>
            <w:gridSpan w:val="11"/>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w:t>
              </w:r>
            </w:hyperlink>
          </w:p>
        </w:tc>
      </w:tr>
      <w:tr>
        <w:trPr>
          <w:trHeight w:val="403"/>
        </w:trPr>
        <w:tc>
          <w:tcPr>
            <w:tcW w:w="920" w:type="dxa"/>
            <w:vAlign w:val="bottom"/>
          </w:tcPr>
          <w:p>
            <w:pPr>
              <w:spacing w:after="0"/>
              <w:rPr>
                <w:sz w:val="24"/>
                <w:szCs w:val="24"/>
                <w:color w:val="auto"/>
              </w:rPr>
            </w:pPr>
          </w:p>
        </w:tc>
        <w:tc>
          <w:tcPr>
            <w:tcW w:w="4460" w:type="dxa"/>
            <w:vAlign w:val="bottom"/>
            <w:tcBorders>
              <w:top w:val="single" w:sz="8" w:color="0000EE"/>
            </w:tcBorders>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1700" w:type="dxa"/>
            <w:vAlign w:val="bottom"/>
            <w:gridSpan w:val="3"/>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438"/>
        </w:trPr>
        <w:tc>
          <w:tcPr>
            <w:tcW w:w="92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Condensed Consolidated Statements of Stockholders’ Equity</w:t>
              </w:r>
            </w:hyperlink>
          </w:p>
        </w:tc>
        <w:tc>
          <w:tcPr>
            <w:tcW w:w="1920" w:type="dxa"/>
            <w:vAlign w:val="bottom"/>
            <w:gridSpan w:val="4"/>
          </w:tcPr>
          <w:p>
            <w:pPr>
              <w:spacing w:after="0"/>
              <w:rPr>
                <w:sz w:val="24"/>
                <w:szCs w:val="24"/>
                <w:color w:val="auto"/>
              </w:rPr>
            </w:pPr>
          </w:p>
        </w:tc>
      </w:tr>
      <w:tr>
        <w:trPr>
          <w:trHeight w:val="367"/>
        </w:trPr>
        <w:tc>
          <w:tcPr>
            <w:tcW w:w="92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Notes to Condensed Consolidated Financial Statements</w:t>
              </w:r>
            </w:hyperlink>
          </w:p>
        </w:tc>
        <w:tc>
          <w:tcPr>
            <w:tcW w:w="2260" w:type="dxa"/>
            <w:vAlign w:val="bottom"/>
            <w:gridSpan w:val="7"/>
          </w:tcPr>
          <w:p>
            <w:pPr>
              <w:spacing w:after="0"/>
              <w:rPr>
                <w:sz w:val="24"/>
                <w:szCs w:val="24"/>
                <w:color w:val="auto"/>
              </w:rPr>
            </w:pPr>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tcBorders>
              <w:bottom w:val="single" w:sz="8" w:color="0000EE"/>
            </w:tcBorders>
            <w:gridSpan w:val="18"/>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Management’s Discussion and Analysis of Financial Condition and Results of Operations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4100" w:type="dxa"/>
            <w:vAlign w:val="bottom"/>
            <w:tcBorders>
              <w:bottom w:val="single" w:sz="8" w:color="0000EE"/>
            </w:tcBorders>
            <w:gridSpan w:val="12"/>
          </w:tcPr>
          <w:p>
            <w:pPr>
              <w:spacing w:after="0"/>
              <w:rPr>
                <w:rFonts w:ascii="Arial" w:cs="Arial" w:eastAsia="Arial" w:hAnsi="Arial"/>
                <w:sz w:val="16"/>
                <w:szCs w:val="16"/>
                <w:color w:val="0000EE"/>
                <w:w w:val="97"/>
              </w:rPr>
            </w:pPr>
            <w:hyperlink w:anchor="page39">
              <w:r>
                <w:rPr>
                  <w:rFonts w:ascii="Arial" w:cs="Arial" w:eastAsia="Arial" w:hAnsi="Arial"/>
                  <w:sz w:val="16"/>
                  <w:szCs w:val="16"/>
                  <w:color w:val="0000EE"/>
                  <w:w w:val="97"/>
                </w:rPr>
                <w:t>Quantitative and Qualitative Disclosures About Market Risk</w:t>
              </w:r>
            </w:hyperlink>
          </w:p>
        </w:tc>
        <w:tc>
          <w:tcPr>
            <w:tcW w:w="2060" w:type="dxa"/>
            <w:vAlign w:val="bottom"/>
            <w:gridSpan w:val="6"/>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6160" w:type="dxa"/>
            <w:vAlign w:val="bottom"/>
            <w:gridSpan w:val="1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Controls and Procedures</w:t>
              </w:r>
            </w:hyperlink>
          </w:p>
        </w:tc>
      </w:tr>
      <w:tr>
        <w:trPr>
          <w:trHeight w:val="414"/>
        </w:trPr>
        <w:tc>
          <w:tcPr>
            <w:tcW w:w="9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9"/>
          </w:tcPr>
          <w:p>
            <w:pPr>
              <w:jc w:val="center"/>
              <w:ind w:right="340"/>
              <w:spacing w:after="0"/>
              <w:rPr>
                <w:rFonts w:ascii="Arial" w:cs="Arial" w:eastAsia="Arial" w:hAnsi="Arial"/>
                <w:sz w:val="16"/>
                <w:szCs w:val="16"/>
                <w:b w:val="1"/>
                <w:bCs w:val="1"/>
                <w:color w:val="0000EE"/>
                <w:w w:val="96"/>
              </w:rPr>
            </w:pPr>
            <w:hyperlink w:anchor="page41">
              <w:r>
                <w:rPr>
                  <w:rFonts w:ascii="Arial" w:cs="Arial" w:eastAsia="Arial" w:hAnsi="Arial"/>
                  <w:sz w:val="16"/>
                  <w:szCs w:val="16"/>
                  <w:b w:val="1"/>
                  <w:bCs w:val="1"/>
                  <w:color w:val="0000EE"/>
                  <w:w w:val="96"/>
                </w:rPr>
                <w:t>PART II. OTHER INFORMATION</w:t>
              </w:r>
            </w:hyperlink>
          </w:p>
        </w:tc>
      </w:tr>
      <w:tr>
        <w:trPr>
          <w:trHeight w:val="403"/>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Legal Proceedings</w:t>
              </w:r>
            </w:hyperlink>
          </w:p>
        </w:tc>
        <w:tc>
          <w:tcPr>
            <w:tcW w:w="2220" w:type="dxa"/>
            <w:vAlign w:val="bottom"/>
            <w:gridSpan w:val="5"/>
          </w:tcPr>
          <w:p>
            <w:pPr>
              <w:spacing w:after="0"/>
              <w:rPr>
                <w:sz w:val="24"/>
                <w:szCs w:val="24"/>
                <w:color w:val="auto"/>
              </w:rPr>
            </w:pPr>
          </w:p>
        </w:tc>
        <w:tc>
          <w:tcPr>
            <w:tcW w:w="2300" w:type="dxa"/>
            <w:vAlign w:val="bottom"/>
            <w:tcBorders>
              <w:top w:val="single" w:sz="8" w:color="0000EE"/>
            </w:tcBorders>
            <w:gridSpan w:val="7"/>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Risk Factors</w:t>
              </w:r>
            </w:hyperlink>
          </w:p>
        </w:tc>
        <w:tc>
          <w:tcPr>
            <w:tcW w:w="5280" w:type="dxa"/>
            <w:vAlign w:val="bottom"/>
            <w:gridSpan w:val="15"/>
          </w:tcPr>
          <w:p>
            <w:pPr>
              <w:spacing w:after="0"/>
              <w:rPr>
                <w:sz w:val="24"/>
                <w:szCs w:val="24"/>
                <w:color w:val="auto"/>
              </w:rPr>
            </w:pPr>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gridSpan w:val="1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Unregistered Sales of Equity Securities and Use of Proceeds</w:t>
              </w:r>
            </w:hyperlink>
          </w:p>
        </w:tc>
      </w:tr>
      <w:tr>
        <w:trPr>
          <w:trHeight w:val="367"/>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4220" w:type="dxa"/>
            <w:vAlign w:val="bottom"/>
            <w:tcBorders>
              <w:top w:val="single" w:sz="8" w:color="0000EE"/>
            </w:tcBorders>
            <w:gridSpan w:val="13"/>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Exhibits</w:t>
              </w:r>
            </w:hyperlink>
          </w:p>
        </w:tc>
        <w:tc>
          <w:tcPr>
            <w:tcW w:w="1940" w:type="dxa"/>
            <w:vAlign w:val="bottom"/>
            <w:gridSpan w:val="5"/>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20" w:type="dxa"/>
            <w:vAlign w:val="bottom"/>
            <w:gridSpan w:val="16"/>
          </w:tcPr>
          <w:p>
            <w:pPr>
              <w:spacing w:after="0" w:line="20" w:lineRule="exact"/>
              <w:rPr>
                <w:sz w:val="1"/>
                <w:szCs w:val="1"/>
                <w:color w:val="auto"/>
              </w:rPr>
            </w:pPr>
          </w:p>
        </w:tc>
      </w:tr>
      <w:tr>
        <w:trPr>
          <w:trHeight w:val="367"/>
        </w:trPr>
        <w:tc>
          <w:tcPr>
            <w:tcW w:w="92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Signatures</w:t>
              </w:r>
            </w:hyperlink>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-3810</wp:posOffset>
            </wp:positionV>
            <wp:extent cx="6038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76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7</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 – 7</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8 – 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 – 38</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ectPr>
          <w:pgSz w:w="11900" w:h="16838" w:orient="portrait"/>
          <w:cols w:equalWidth="0" w:num="2">
            <w:col w:w="9800" w:space="720"/>
            <w:col w:w="520"/>
          </w:cols>
          <w:pgMar w:left="320" w:top="14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437"/>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ASSETS</w:t>
            </w:r>
          </w:p>
        </w:tc>
        <w:tc>
          <w:tcPr>
            <w:tcW w:w="1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Assets</w:t>
            </w: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1220" w:type="dxa"/>
            <w:vAlign w:val="bottom"/>
            <w:shd w:val="clear" w:color="auto" w:fill="CFF0FC"/>
          </w:tcPr>
          <w:p>
            <w:pPr>
              <w:jc w:val="right"/>
              <w:ind w:right="1077"/>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261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Accounts receivable – net of allowances for doubtful accounts of $2 and $1, respectively</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257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Inventories</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217</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Other current assets</w:t>
            </w:r>
          </w:p>
        </w:tc>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75</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Current Assets</w:t>
            </w:r>
          </w:p>
        </w:tc>
        <w:tc>
          <w:tcPr>
            <w:tcW w:w="122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810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681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Intangible assets, net</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928</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963</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Goodwill</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2,064</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assets</w:t>
            </w:r>
          </w:p>
        </w:tc>
        <w:tc>
          <w:tcPr>
            <w:tcW w:w="1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54</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4"/>
        </w:trPr>
        <w:tc>
          <w:tcPr>
            <w:tcW w:w="77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color w:val="auto"/>
              </w:rPr>
              <w:t>TOTAL ASSETS</w:t>
            </w:r>
          </w:p>
        </w:tc>
        <w:tc>
          <w:tcPr>
            <w:tcW w:w="1220" w:type="dxa"/>
            <w:vAlign w:val="bottom"/>
            <w:tcBorders>
              <w:bottom w:val="single" w:sz="8" w:color="auto"/>
            </w:tcBorders>
          </w:tcPr>
          <w:p>
            <w:pPr>
              <w:jc w:val="right"/>
              <w:ind w:right="1077"/>
              <w:spacing w:after="0" w:line="144" w:lineRule="exact"/>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4,537</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128"/>
        </w:trPr>
        <w:tc>
          <w:tcPr>
            <w:tcW w:w="7700" w:type="dxa"/>
            <w:vAlign w:val="bottom"/>
            <w:shd w:val="clear" w:color="auto" w:fill="CFF0FC"/>
          </w:tcPr>
          <w:p>
            <w:pPr>
              <w:spacing w:after="0" w:line="128" w:lineRule="exact"/>
              <w:rPr>
                <w:sz w:val="20"/>
                <w:szCs w:val="20"/>
                <w:color w:val="auto"/>
              </w:rPr>
            </w:pPr>
            <w:r>
              <w:rPr>
                <w:rFonts w:ascii="Arial" w:cs="Arial" w:eastAsia="Arial" w:hAnsi="Arial"/>
                <w:sz w:val="13"/>
                <w:szCs w:val="13"/>
                <w:b w:val="1"/>
                <w:bCs w:val="1"/>
                <w:color w:val="auto"/>
              </w:rPr>
              <w:t>LIABILITIES</w:t>
            </w:r>
          </w:p>
        </w:tc>
        <w:tc>
          <w:tcPr>
            <w:tcW w:w="1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Current Liabilities</w:t>
            </w: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1220" w:type="dxa"/>
            <w:vAlign w:val="bottom"/>
            <w:shd w:val="clear" w:color="auto" w:fill="CFF0FC"/>
          </w:tcPr>
          <w:p>
            <w:pPr>
              <w:jc w:val="right"/>
              <w:ind w:right="1077"/>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172</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Product warranty liability</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35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Current portion of long-term debt</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6</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Deferred revenue</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37</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current liabilities</w:t>
            </w:r>
          </w:p>
        </w:tc>
        <w:tc>
          <w:tcPr>
            <w:tcW w:w="1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198</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1220" w:type="dxa"/>
            <w:vAlign w:val="bottom"/>
          </w:tcPr>
          <w:p>
            <w:pPr>
              <w:spacing w:after="0"/>
              <w:rPr>
                <w:sz w:val="12"/>
                <w:szCs w:val="12"/>
                <w:color w:val="auto"/>
              </w:rPr>
            </w:pPr>
          </w:p>
        </w:tc>
        <w:tc>
          <w:tcPr>
            <w:tcW w:w="48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448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Product warranty liability</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23</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revenue</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101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2,504</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2,507</w:t>
            </w: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506</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12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248</w:t>
            </w:r>
          </w:p>
        </w:tc>
        <w:tc>
          <w:tcPr>
            <w:tcW w:w="16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w:t>
            </w:r>
          </w:p>
        </w:tc>
        <w:tc>
          <w:tcPr>
            <w:tcW w:w="1220" w:type="dxa"/>
            <w:vAlign w:val="bottom"/>
          </w:tcPr>
          <w:p>
            <w:pPr>
              <w:spacing w:after="0"/>
              <w:rPr>
                <w:sz w:val="12"/>
                <w:szCs w:val="12"/>
                <w:color w:val="auto"/>
              </w:rPr>
            </w:pPr>
          </w:p>
        </w:tc>
        <w:tc>
          <w:tcPr>
            <w:tcW w:w="48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rPr>
              <w:t>3,830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57"/>
              <w:spacing w:after="0" w:line="144" w:lineRule="exact"/>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 (see NOTE P)</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 $0.01 par value, 1,880,000,000 shares authorized, 104,259,765 shares issued and outstanding and 112,033,477</w:t>
            </w:r>
          </w:p>
        </w:tc>
        <w:tc>
          <w:tcPr>
            <w:tcW w:w="1220" w:type="dxa"/>
            <w:vAlign w:val="bottom"/>
            <w:shd w:val="clear" w:color="auto" w:fill="CFF0FC"/>
          </w:tcPr>
          <w:p>
            <w:pPr>
              <w:spacing w:after="0"/>
              <w:rPr>
                <w:sz w:val="13"/>
                <w:szCs w:val="13"/>
                <w:color w:val="auto"/>
              </w:rPr>
            </w:pPr>
          </w:p>
        </w:tc>
        <w:tc>
          <w:tcPr>
            <w:tcW w:w="48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b w:val="1"/>
                <w:bCs w:val="1"/>
                <w:color w:val="auto"/>
              </w:rPr>
              <w:t>1</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700" w:type="dxa"/>
            <w:vAlign w:val="bottom"/>
            <w:shd w:val="clear" w:color="auto" w:fill="CFF0FC"/>
          </w:tcPr>
          <w:p>
            <w:pPr>
              <w:ind w:left="200"/>
              <w:spacing w:after="0" w:line="137" w:lineRule="exact"/>
              <w:rPr>
                <w:sz w:val="20"/>
                <w:szCs w:val="20"/>
                <w:color w:val="auto"/>
              </w:rPr>
            </w:pPr>
            <w:r>
              <w:rPr>
                <w:rFonts w:ascii="Arial" w:cs="Arial" w:eastAsia="Arial" w:hAnsi="Arial"/>
                <w:sz w:val="13"/>
                <w:szCs w:val="13"/>
                <w:color w:val="auto"/>
              </w:rPr>
              <w:t>shares issued and outstanding, respectively</w:t>
            </w:r>
          </w:p>
        </w:tc>
        <w:tc>
          <w:tcPr>
            <w:tcW w:w="122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80" w:type="dxa"/>
            <w:vAlign w:val="bottom"/>
            <w:shd w:val="clear" w:color="auto" w:fill="CFF0FC"/>
          </w:tcPr>
          <w:p>
            <w:pPr>
              <w:jc w:val="right"/>
              <w:ind w:right="57"/>
              <w:spacing w:after="0" w:line="137"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Non-voting common stock, $0.01 par value, 20,000,000 shares authorized, none issued and outstanding</w:t>
            </w:r>
          </w:p>
        </w:tc>
        <w:tc>
          <w:tcPr>
            <w:tcW w:w="12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Preferred stock, $0.01 par value, 100,000,000 shares authorized, none issued and outstanding</w:t>
            </w:r>
          </w:p>
        </w:tc>
        <w:tc>
          <w:tcPr>
            <w:tcW w:w="122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7700" w:type="dxa"/>
            <w:vAlign w:val="bottom"/>
          </w:tcPr>
          <w:p>
            <w:pPr>
              <w:ind w:left="200"/>
              <w:spacing w:after="0"/>
              <w:rPr>
                <w:sz w:val="20"/>
                <w:szCs w:val="20"/>
                <w:color w:val="auto"/>
              </w:rPr>
            </w:pPr>
            <w:r>
              <w:rPr>
                <w:rFonts w:ascii="Arial" w:cs="Arial" w:eastAsia="Arial" w:hAnsi="Arial"/>
                <w:sz w:val="13"/>
                <w:szCs w:val="13"/>
                <w:color w:val="auto"/>
              </w:rPr>
              <w:t>Paid in capital</w:t>
            </w:r>
          </w:p>
        </w:tc>
        <w:tc>
          <w:tcPr>
            <w:tcW w:w="122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b w:val="1"/>
                <w:bCs w:val="1"/>
                <w:color w:val="auto"/>
              </w:rPr>
              <w:t>1,829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57"/>
              <w:spacing w:after="0"/>
              <w:rPr>
                <w:sz w:val="20"/>
                <w:szCs w:val="20"/>
                <w:color w:val="auto"/>
              </w:rPr>
            </w:pPr>
            <w:r>
              <w:rPr>
                <w:rFonts w:ascii="Arial" w:cs="Arial" w:eastAsia="Arial" w:hAnsi="Arial"/>
                <w:sz w:val="13"/>
                <w:szCs w:val="13"/>
                <w:color w:val="auto"/>
              </w:rPr>
              <w:t>1,818</w:t>
            </w:r>
          </w:p>
        </w:tc>
        <w:tc>
          <w:tcPr>
            <w:tcW w:w="0" w:type="dxa"/>
            <w:vAlign w:val="bottom"/>
          </w:tcPr>
          <w:p>
            <w:pPr>
              <w:spacing w:after="0"/>
              <w:rPr>
                <w:sz w:val="1"/>
                <w:szCs w:val="1"/>
                <w:color w:val="auto"/>
              </w:rPr>
            </w:pPr>
          </w:p>
        </w:tc>
      </w:tr>
      <w:tr>
        <w:trPr>
          <w:trHeight w:val="153"/>
        </w:trPr>
        <w:tc>
          <w:tcPr>
            <w:tcW w:w="7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Accumulated deficit</w:t>
            </w:r>
          </w:p>
        </w:tc>
        <w:tc>
          <w:tcPr>
            <w:tcW w:w="12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7"/>
              </w:rPr>
              <w:t>(1,038)</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Accumulated other comprehensive loss, net of tax</w:t>
            </w:r>
          </w:p>
        </w:tc>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44"/>
        </w:trPr>
        <w:tc>
          <w:tcPr>
            <w:tcW w:w="7700" w:type="dxa"/>
            <w:vAlign w:val="bottom"/>
            <w:shd w:val="clear" w:color="auto" w:fill="CFF0FC"/>
          </w:tcPr>
          <w:p>
            <w:pPr>
              <w:spacing w:after="0" w:line="144" w:lineRule="exact"/>
              <w:rPr>
                <w:sz w:val="20"/>
                <w:szCs w:val="20"/>
                <w:color w:val="auto"/>
              </w:rPr>
            </w:pPr>
            <w:r>
              <w:rPr>
                <w:rFonts w:ascii="Arial" w:cs="Arial" w:eastAsia="Arial" w:hAnsi="Arial"/>
                <w:sz w:val="13"/>
                <w:szCs w:val="13"/>
                <w:color w:val="auto"/>
              </w:rPr>
              <w:t>TOTAL STOCKHOLDERS’ EQUITY</w:t>
            </w:r>
          </w:p>
        </w:tc>
        <w:tc>
          <w:tcPr>
            <w:tcW w:w="12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b w:val="1"/>
                <w:bCs w:val="1"/>
                <w:color w:val="auto"/>
              </w:rPr>
              <w:t>707</w:t>
            </w:r>
          </w:p>
        </w:tc>
        <w:tc>
          <w:tcPr>
            <w:tcW w:w="1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ind w:right="57"/>
              <w:spacing w:after="0" w:line="144" w:lineRule="exact"/>
              <w:rPr>
                <w:sz w:val="20"/>
                <w:szCs w:val="20"/>
                <w:color w:val="auto"/>
              </w:rPr>
            </w:pPr>
            <w:r>
              <w:rPr>
                <w:rFonts w:ascii="Arial" w:cs="Arial" w:eastAsia="Arial" w:hAnsi="Arial"/>
                <w:sz w:val="13"/>
                <w:szCs w:val="13"/>
                <w:color w:val="auto"/>
              </w:rPr>
              <w:t>756</w:t>
            </w:r>
          </w:p>
        </w:tc>
        <w:tc>
          <w:tcPr>
            <w:tcW w:w="0" w:type="dxa"/>
            <w:vAlign w:val="bottom"/>
          </w:tcPr>
          <w:p>
            <w:pPr>
              <w:spacing w:after="0"/>
              <w:rPr>
                <w:sz w:val="1"/>
                <w:szCs w:val="1"/>
                <w:color w:val="auto"/>
              </w:rPr>
            </w:pPr>
          </w:p>
        </w:tc>
      </w:tr>
      <w:tr>
        <w:trPr>
          <w:trHeight w:val="144"/>
        </w:trPr>
        <w:tc>
          <w:tcPr>
            <w:tcW w:w="7700" w:type="dxa"/>
            <w:vAlign w:val="bottom"/>
          </w:tcPr>
          <w:p>
            <w:pPr>
              <w:spacing w:after="0" w:line="144" w:lineRule="exact"/>
              <w:rPr>
                <w:sz w:val="20"/>
                <w:szCs w:val="20"/>
                <w:color w:val="auto"/>
              </w:rPr>
            </w:pPr>
            <w:r>
              <w:rPr>
                <w:rFonts w:ascii="Arial" w:cs="Arial" w:eastAsia="Arial" w:hAnsi="Arial"/>
                <w:sz w:val="13"/>
                <w:szCs w:val="13"/>
                <w:color w:val="auto"/>
              </w:rPr>
              <w:t>TOTAL LIABILITIES &amp; STOCKHOLDERS’ EQUITY</w:t>
            </w:r>
          </w:p>
        </w:tc>
        <w:tc>
          <w:tcPr>
            <w:tcW w:w="1220" w:type="dxa"/>
            <w:vAlign w:val="bottom"/>
            <w:tcBorders>
              <w:bottom w:val="single" w:sz="8" w:color="auto"/>
            </w:tcBorders>
          </w:tcPr>
          <w:p>
            <w:pPr>
              <w:jc w:val="right"/>
              <w:ind w:right="1077"/>
              <w:spacing w:after="0" w:line="144" w:lineRule="exact"/>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b w:val="1"/>
                <w:bCs w:val="1"/>
                <w:color w:val="auto"/>
              </w:rPr>
              <w:t>4,537</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77"/>
              <w:spacing w:after="0" w:line="144"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57"/>
              <w:spacing w:after="0" w:line="144" w:lineRule="exact"/>
              <w:rPr>
                <w:sz w:val="20"/>
                <w:szCs w:val="20"/>
                <w:color w:val="auto"/>
              </w:rPr>
            </w:pPr>
            <w:r>
              <w:rPr>
                <w:rFonts w:ascii="Arial" w:cs="Arial" w:eastAsia="Arial" w:hAnsi="Arial"/>
                <w:sz w:val="13"/>
                <w:szCs w:val="13"/>
                <w:color w:val="auto"/>
              </w:rPr>
              <w:t>4,477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567</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1,758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306</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918</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261</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840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73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rPr>
              <w:t>226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78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42</w:t>
            </w:r>
          </w:p>
        </w:tc>
        <w:tc>
          <w:tcPr>
            <w:tcW w:w="1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121</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68"/>
        </w:trPr>
        <w:tc>
          <w:tcPr>
            <w:tcW w:w="50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b w:val="1"/>
                <w:bCs w:val="1"/>
                <w:color w:val="auto"/>
              </w:rPr>
              <w:t>146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b w:val="1"/>
                <w:bCs w:val="1"/>
                <w:color w:val="auto"/>
              </w:rPr>
              <w:t>493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76"/>
        </w:trPr>
        <w:tc>
          <w:tcPr>
            <w:tcW w:w="50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(28)</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6</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8"/>
        </w:trPr>
        <w:tc>
          <w:tcPr>
            <w:tcW w:w="5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124</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418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76"/>
        </w:trPr>
        <w:tc>
          <w:tcPr>
            <w:tcW w:w="5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94</w:t>
            </w:r>
          </w:p>
        </w:tc>
        <w:tc>
          <w:tcPr>
            <w:tcW w:w="1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324</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Borders>
              <w:bottom w:val="single" w:sz="8" w:color="CFF0FC"/>
            </w:tcBorders>
            <w:vMerge w:val="continue"/>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0.89</w:t>
            </w:r>
          </w:p>
        </w:tc>
        <w:tc>
          <w:tcPr>
            <w:tcW w:w="140" w:type="dxa"/>
            <w:vAlign w:val="bottom"/>
            <w:tcBorders>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0.68</w:t>
            </w:r>
          </w:p>
        </w:tc>
        <w:tc>
          <w:tcPr>
            <w:tcW w:w="12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2.97</w:t>
            </w:r>
          </w:p>
        </w:tc>
        <w:tc>
          <w:tcPr>
            <w:tcW w:w="120" w:type="dxa"/>
            <w:vAlign w:val="bottom"/>
            <w:tcBorders>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51"/>
        </w:trPr>
        <w:tc>
          <w:tcPr>
            <w:tcW w:w="506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Diluted earnings per share attributable to common stockholders</w:t>
            </w:r>
          </w:p>
        </w:tc>
        <w:tc>
          <w:tcPr>
            <w:tcW w:w="78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0.89</w:t>
            </w:r>
          </w:p>
        </w:tc>
        <w:tc>
          <w:tcPr>
            <w:tcW w:w="1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0.68</w:t>
            </w: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FF0FC"/>
          </w:tcPr>
          <w:p>
            <w:pPr>
              <w:jc w:val="right"/>
              <w:ind w:right="51"/>
              <w:spacing w:after="0" w:line="151" w:lineRule="exact"/>
              <w:rPr>
                <w:sz w:val="20"/>
                <w:szCs w:val="20"/>
                <w:color w:val="auto"/>
              </w:rPr>
            </w:pPr>
            <w:r>
              <w:rPr>
                <w:rFonts w:ascii="Arial" w:cs="Arial" w:eastAsia="Arial" w:hAnsi="Arial"/>
                <w:sz w:val="14"/>
                <w:szCs w:val="14"/>
                <w:b w:val="1"/>
                <w:bCs w:val="1"/>
                <w:color w:val="auto"/>
              </w:rPr>
              <w:t>2.97</w:t>
            </w: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1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6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b w:val="1"/>
                <w:bCs w:val="1"/>
                <w:color w:val="auto"/>
              </w:rPr>
              <w:t>92</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80</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51"/>
              <w:spacing w:after="0" w:line="151" w:lineRule="exact"/>
              <w:rPr>
                <w:sz w:val="20"/>
                <w:szCs w:val="20"/>
                <w:color w:val="auto"/>
              </w:rPr>
            </w:pPr>
            <w:r>
              <w:rPr>
                <w:rFonts w:ascii="Arial" w:cs="Arial" w:eastAsia="Arial" w:hAnsi="Arial"/>
                <w:sz w:val="14"/>
                <w:szCs w:val="14"/>
                <w:b w:val="1"/>
                <w:bCs w:val="1"/>
                <w:color w:val="auto"/>
              </w:rPr>
              <w:t>328</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0"/>
              <w:spacing w:after="0" w:line="151"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r>
      <w:tr>
        <w:trPr>
          <w:trHeight w:val="144"/>
        </w:trPr>
        <w:tc>
          <w:tcPr>
            <w:tcW w:w="7740" w:type="dxa"/>
            <w:vAlign w:val="bottom"/>
          </w:tcPr>
          <w:p>
            <w:pPr>
              <w:spacing w:after="0"/>
              <w:rPr>
                <w:sz w:val="12"/>
                <w:szCs w:val="12"/>
                <w:color w:val="auto"/>
              </w:rPr>
            </w:pPr>
          </w:p>
        </w:tc>
        <w:tc>
          <w:tcPr>
            <w:tcW w:w="1080" w:type="dxa"/>
            <w:vAlign w:val="bottom"/>
          </w:tcPr>
          <w:p>
            <w:pPr>
              <w:jc w:val="right"/>
              <w:ind w:right="92"/>
              <w:spacing w:after="0" w:line="144" w:lineRule="exact"/>
              <w:rPr>
                <w:sz w:val="20"/>
                <w:szCs w:val="20"/>
                <w:color w:val="auto"/>
              </w:rPr>
            </w:pPr>
            <w:r>
              <w:rPr>
                <w:rFonts w:ascii="Arial" w:cs="Arial" w:eastAsia="Arial" w:hAnsi="Arial"/>
                <w:sz w:val="13"/>
                <w:szCs w:val="13"/>
                <w:b w:val="1"/>
                <w:bCs w:val="1"/>
                <w:color w:val="auto"/>
              </w:rPr>
              <w:t>2021</w:t>
            </w:r>
          </w:p>
        </w:tc>
        <w:tc>
          <w:tcPr>
            <w:tcW w:w="580" w:type="dxa"/>
            <w:vAlign w:val="bottom"/>
          </w:tcPr>
          <w:p>
            <w:pPr>
              <w:spacing w:after="0"/>
              <w:rPr>
                <w:sz w:val="12"/>
                <w:szCs w:val="12"/>
                <w:color w:val="auto"/>
              </w:rPr>
            </w:pPr>
          </w:p>
        </w:tc>
        <w:tc>
          <w:tcPr>
            <w:tcW w:w="1260" w:type="dxa"/>
            <w:vAlign w:val="bottom"/>
            <w:gridSpan w:val="2"/>
          </w:tcPr>
          <w:p>
            <w:pPr>
              <w:jc w:val="right"/>
              <w:ind w:right="180"/>
              <w:spacing w:after="0" w:line="144"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r>
      <w:tr>
        <w:trPr>
          <w:trHeight w:val="16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r>
      <w:tr>
        <w:trPr>
          <w:trHeight w:val="176"/>
        </w:trPr>
        <w:tc>
          <w:tcPr>
            <w:tcW w:w="7740" w:type="dxa"/>
            <w:vAlign w:val="bottom"/>
          </w:tcPr>
          <w:p>
            <w:pPr>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324</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239</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77</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71</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46</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40</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11</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Technology-related investments gain</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3</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3</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assets and liabilities: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8</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(38)</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22</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(30)</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assets and liabilities</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23</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(11)</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080" w:type="dxa"/>
            <w:vAlign w:val="bottom"/>
          </w:tcPr>
          <w:p>
            <w:pPr>
              <w:spacing w:after="0"/>
              <w:rPr>
                <w:sz w:val="14"/>
                <w:szCs w:val="14"/>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467</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402</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Additions of long-lived assets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(84)</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Loans to third parties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technology-related investments</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Business acquisitions</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4</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(80)</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(196)</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 payments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(62)</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(58)</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Payments on long-term debt</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acquisition-related contingent liability</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(3)</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0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w:t>
            </w:r>
          </w:p>
        </w:tc>
      </w:tr>
      <w:tr>
        <w:trPr>
          <w:trHeight w:val="176"/>
        </w:trPr>
        <w:tc>
          <w:tcPr>
            <w:tcW w:w="7740" w:type="dxa"/>
            <w:vAlign w:val="bottom"/>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08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800</w:t>
            </w:r>
          </w:p>
        </w:tc>
      </w:tr>
      <w:tr>
        <w:trPr>
          <w:trHeight w:val="176"/>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(800)</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cash used for financing activities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(263)</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changes on cash</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68"/>
        </w:trPr>
        <w:tc>
          <w:tcPr>
            <w:tcW w:w="7740" w:type="dxa"/>
            <w:vAlign w:val="bottom"/>
          </w:tcPr>
          <w:p>
            <w:pPr>
              <w:ind w:left="420"/>
              <w:spacing w:after="0"/>
              <w:rPr>
                <w:sz w:val="20"/>
                <w:szCs w:val="20"/>
                <w:color w:val="auto"/>
              </w:rPr>
            </w:pPr>
            <w:r>
              <w:rPr>
                <w:rFonts w:ascii="Arial" w:cs="Arial" w:eastAsia="Arial" w:hAnsi="Arial"/>
                <w:sz w:val="14"/>
                <w:szCs w:val="14"/>
                <w:color w:val="auto"/>
              </w:rPr>
              <w:t>Net (decrease) increase in cash and cash equivalents</w:t>
            </w:r>
          </w:p>
        </w:tc>
        <w:tc>
          <w:tcPr>
            <w:tcW w:w="1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59</w:t>
            </w:r>
          </w:p>
        </w:tc>
      </w:tr>
      <w:tr>
        <w:trPr>
          <w:trHeight w:val="176"/>
        </w:trPr>
        <w:tc>
          <w:tcPr>
            <w:tcW w:w="77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310</w:t>
            </w:r>
          </w:p>
        </w:tc>
        <w:tc>
          <w:tcPr>
            <w:tcW w:w="18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192</w:t>
            </w:r>
          </w:p>
        </w:tc>
      </w:tr>
      <w:tr>
        <w:trPr>
          <w:trHeight w:val="208"/>
        </w:trPr>
        <w:tc>
          <w:tcPr>
            <w:tcW w:w="77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261</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251</w:t>
            </w:r>
          </w:p>
        </w:tc>
      </w:tr>
      <w:tr>
        <w:trPr>
          <w:trHeight w:val="151"/>
        </w:trPr>
        <w:tc>
          <w:tcPr>
            <w:tcW w:w="774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4"/>
                <w:szCs w:val="14"/>
                <w:color w:val="auto"/>
              </w:rPr>
              <w:t>Supplemental disclosures:</w:t>
            </w:r>
          </w:p>
        </w:tc>
        <w:tc>
          <w:tcPr>
            <w:tcW w:w="10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r>
      <w:tr>
        <w:trPr>
          <w:trHeight w:val="176"/>
        </w:trPr>
        <w:tc>
          <w:tcPr>
            <w:tcW w:w="7740" w:type="dxa"/>
            <w:vAlign w:val="bottom"/>
          </w:tcPr>
          <w:p>
            <w:pPr>
              <w:ind w:left="420"/>
              <w:spacing w:after="0"/>
              <w:rPr>
                <w:sz w:val="20"/>
                <w:szCs w:val="20"/>
                <w:color w:val="auto"/>
              </w:rPr>
            </w:pPr>
            <w:r>
              <w:rPr>
                <w:rFonts w:ascii="Arial" w:cs="Arial" w:eastAsia="Arial" w:hAnsi="Arial"/>
                <w:sz w:val="14"/>
                <w:szCs w:val="14"/>
                <w:color w:val="auto"/>
              </w:rPr>
              <w:t>Interest paid</w:t>
            </w:r>
          </w:p>
        </w:tc>
        <w:tc>
          <w:tcPr>
            <w:tcW w:w="1080" w:type="dxa"/>
            <w:vAlign w:val="bottom"/>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50"/>
              <w:spacing w:after="0"/>
              <w:rPr>
                <w:sz w:val="20"/>
                <w:szCs w:val="20"/>
                <w:color w:val="auto"/>
              </w:rPr>
            </w:pPr>
            <w:r>
              <w:rPr>
                <w:rFonts w:ascii="Arial" w:cs="Arial" w:eastAsia="Arial" w:hAnsi="Arial"/>
                <w:sz w:val="14"/>
                <w:szCs w:val="14"/>
                <w:b w:val="1"/>
                <w:bCs w:val="1"/>
                <w:color w:val="auto"/>
              </w:rPr>
              <w:t>72</w:t>
            </w:r>
          </w:p>
        </w:tc>
        <w:tc>
          <w:tcPr>
            <w:tcW w:w="126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73</w:t>
            </w:r>
          </w:p>
        </w:tc>
      </w:tr>
      <w:tr>
        <w:trPr>
          <w:trHeight w:val="176"/>
        </w:trPr>
        <w:tc>
          <w:tcPr>
            <w:tcW w:w="77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Income taxes paid</w:t>
            </w:r>
          </w:p>
        </w:tc>
        <w:tc>
          <w:tcPr>
            <w:tcW w:w="1080" w:type="dxa"/>
            <w:vAlign w:val="bottom"/>
            <w:shd w:val="clear" w:color="auto" w:fill="CFF0FC"/>
          </w:tcPr>
          <w:p>
            <w:pPr>
              <w:jc w:val="right"/>
              <w:ind w:right="932"/>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48</w:t>
            </w:r>
          </w:p>
        </w:tc>
        <w:tc>
          <w:tcPr>
            <w:tcW w:w="1260" w:type="dxa"/>
            <w:vAlign w:val="bottom"/>
            <w:gridSpan w:val="2"/>
            <w:shd w:val="clear" w:color="auto" w:fill="CFF0FC"/>
          </w:tcPr>
          <w:p>
            <w:pPr>
              <w:jc w:val="right"/>
              <w:ind w:right="10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51"/>
              <w:spacing w:after="0"/>
              <w:rPr>
                <w:sz w:val="20"/>
                <w:szCs w:val="20"/>
                <w:color w:val="auto"/>
              </w:rPr>
            </w:pPr>
            <w:r>
              <w:rPr>
                <w:rFonts w:ascii="Arial" w:cs="Arial" w:eastAsia="Arial" w:hAnsi="Arial"/>
                <w:sz w:val="13"/>
                <w:szCs w:val="13"/>
                <w:b w:val="1"/>
                <w:bCs w:val="1"/>
                <w:color w:val="auto"/>
                <w:w w:val="95"/>
              </w:rPr>
              <w:t>Three months ended</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3"/>
        </w:trPr>
        <w:tc>
          <w:tcPr>
            <w:tcW w:w="3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4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4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2"/>
                <w:szCs w:val="12"/>
                <w:color w:val="auto"/>
              </w:rPr>
            </w:pPr>
          </w:p>
        </w:tc>
        <w:tc>
          <w:tcPr>
            <w:tcW w:w="118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Stockholders'</w:t>
            </w:r>
          </w:p>
        </w:tc>
      </w:tr>
      <w:tr>
        <w:trPr>
          <w:trHeight w:val="153"/>
        </w:trPr>
        <w:tc>
          <w:tcPr>
            <w:tcW w:w="31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3"/>
              </w:rPr>
              <w:t>net of tax</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695</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r>
      <w:tr>
        <w:trPr>
          <w:trHeight w:val="176"/>
        </w:trPr>
        <w:tc>
          <w:tcPr>
            <w:tcW w:w="31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77</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746</w:t>
            </w: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rPr>
              <w:t>Balance at June 30, 2021</w:t>
            </w:r>
          </w:p>
        </w:tc>
        <w:tc>
          <w:tcPr>
            <w:tcW w:w="1160" w:type="dxa"/>
            <w:vAlign w:val="bottom"/>
            <w:gridSpan w:val="2"/>
          </w:tcPr>
          <w:p>
            <w:pPr>
              <w:jc w:val="right"/>
              <w:ind w:right="535"/>
              <w:spacing w:after="0" w:line="151"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ind w:left="60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1,826</w:t>
            </w:r>
          </w:p>
        </w:tc>
        <w:tc>
          <w:tcPr>
            <w:tcW w:w="12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(1,012)</w:t>
            </w:r>
          </w:p>
        </w:tc>
        <w:tc>
          <w:tcPr>
            <w:tcW w:w="200" w:type="dxa"/>
            <w:vAlign w:val="bottom"/>
            <w:gridSpan w:val="2"/>
          </w:tcPr>
          <w:p>
            <w:pPr>
              <w:ind w:left="120"/>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1"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3"/>
                <w:szCs w:val="13"/>
                <w:color w:val="auto"/>
              </w:rPr>
            </w:pPr>
          </w:p>
        </w:tc>
        <w:tc>
          <w:tcPr>
            <w:tcW w:w="16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line="151" w:lineRule="exact"/>
              <w:rPr>
                <w:sz w:val="20"/>
                <w:szCs w:val="20"/>
                <w:color w:val="auto"/>
              </w:rPr>
            </w:pPr>
            <w:r>
              <w:rPr>
                <w:rFonts w:ascii="Arial" w:cs="Arial" w:eastAsia="Arial" w:hAnsi="Arial"/>
                <w:sz w:val="14"/>
                <w:szCs w:val="14"/>
                <w:color w:val="auto"/>
              </w:rPr>
              <w:t>732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(100)</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94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94</w:t>
            </w:r>
          </w:p>
        </w:tc>
      </w:tr>
      <w:tr>
        <w:trPr>
          <w:trHeight w:val="168"/>
        </w:trPr>
        <w:tc>
          <w:tcPr>
            <w:tcW w:w="3160" w:type="dxa"/>
            <w:vAlign w:val="bottom"/>
          </w:tcPr>
          <w:p>
            <w:pPr>
              <w:spacing w:after="0"/>
              <w:rPr>
                <w:sz w:val="20"/>
                <w:szCs w:val="20"/>
                <w:color w:val="auto"/>
              </w:rPr>
            </w:pPr>
            <w:r>
              <w:rPr>
                <w:rFonts w:ascii="Arial" w:cs="Arial" w:eastAsia="Arial" w:hAnsi="Arial"/>
                <w:sz w:val="14"/>
                <w:szCs w:val="14"/>
                <w:color w:val="auto"/>
              </w:rPr>
              <w:t>Balance at September 30, 2021</w:t>
            </w:r>
          </w:p>
        </w:tc>
        <w:tc>
          <w:tcPr>
            <w:tcW w:w="4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1,829</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707</w:t>
            </w: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Nine months ended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33"/>
        </w:trPr>
        <w:tc>
          <w:tcPr>
            <w:tcW w:w="3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Non-voting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12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1"/>
        </w:trPr>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4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2"/>
                <w:szCs w:val="12"/>
                <w:color w:val="auto"/>
              </w:rPr>
            </w:pPr>
          </w:p>
        </w:tc>
        <w:tc>
          <w:tcPr>
            <w:tcW w:w="84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2"/>
                <w:szCs w:val="12"/>
                <w:color w:val="auto"/>
              </w:rPr>
            </w:pPr>
          </w:p>
        </w:tc>
        <w:tc>
          <w:tcPr>
            <w:tcW w:w="120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98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Stockholders'</w:t>
            </w:r>
          </w:p>
        </w:tc>
      </w:tr>
      <w:tr>
        <w:trPr>
          <w:trHeight w:val="153"/>
        </w:trPr>
        <w:tc>
          <w:tcPr>
            <w:tcW w:w="31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6"/>
              </w:rPr>
              <w:t>net of tax</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Equity</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781</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11</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r>
      <w:tr>
        <w:trPr>
          <w:trHeight w:val="176"/>
        </w:trPr>
        <w:tc>
          <w:tcPr>
            <w:tcW w:w="316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85"/>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w:t>
            </w:r>
          </w:p>
        </w:tc>
      </w:tr>
      <w:tr>
        <w:trPr>
          <w:trHeight w:val="168"/>
        </w:trPr>
        <w:tc>
          <w:tcPr>
            <w:tcW w:w="316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2020</w:t>
            </w:r>
          </w:p>
        </w:tc>
        <w:tc>
          <w:tcPr>
            <w:tcW w:w="1160" w:type="dxa"/>
            <w:vAlign w:val="bottom"/>
            <w:gridSpan w:val="2"/>
            <w:shd w:val="clear" w:color="auto" w:fill="CFF0FC"/>
          </w:tcPr>
          <w:p>
            <w:pPr>
              <w:jc w:val="right"/>
              <w:ind w:right="53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(985)</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746</w:t>
            </w: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4"/>
                <w:szCs w:val="14"/>
                <w:color w:val="auto"/>
              </w:rPr>
              <w:t>Balance at December 31, 2020</w:t>
            </w:r>
          </w:p>
        </w:tc>
        <w:tc>
          <w:tcPr>
            <w:tcW w:w="1160" w:type="dxa"/>
            <w:vAlign w:val="bottom"/>
            <w:gridSpan w:val="2"/>
          </w:tcPr>
          <w:p>
            <w:pPr>
              <w:jc w:val="right"/>
              <w:ind w:right="535"/>
              <w:spacing w:after="0" w:line="151" w:lineRule="exact"/>
              <w:rPr>
                <w:sz w:val="20"/>
                <w:szCs w:val="20"/>
                <w:color w:val="auto"/>
              </w:rPr>
            </w:pPr>
            <w:r>
              <w:rPr>
                <w:rFonts w:ascii="Arial" w:cs="Arial" w:eastAsia="Arial" w:hAnsi="Arial"/>
                <w:sz w:val="14"/>
                <w:szCs w:val="14"/>
                <w:color w:val="auto"/>
              </w:rPr>
              <w:t>$</w:t>
            </w:r>
          </w:p>
        </w:tc>
        <w:tc>
          <w:tcPr>
            <w:tcW w:w="26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ind w:left="60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1,818</w:t>
            </w:r>
          </w:p>
        </w:tc>
        <w:tc>
          <w:tcPr>
            <w:tcW w:w="12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1" w:lineRule="exact"/>
              <w:rPr>
                <w:sz w:val="20"/>
                <w:szCs w:val="20"/>
                <w:color w:val="auto"/>
              </w:rPr>
            </w:pPr>
            <w:r>
              <w:rPr>
                <w:rFonts w:ascii="Arial" w:cs="Arial" w:eastAsia="Arial" w:hAnsi="Arial"/>
                <w:sz w:val="14"/>
                <w:szCs w:val="14"/>
                <w:color w:val="auto"/>
              </w:rPr>
              <w:t>(974)</w:t>
            </w:r>
          </w:p>
        </w:tc>
        <w:tc>
          <w:tcPr>
            <w:tcW w:w="200" w:type="dxa"/>
            <w:vAlign w:val="bottom"/>
            <w:gridSpan w:val="2"/>
          </w:tcPr>
          <w:p>
            <w:pPr>
              <w:ind w:left="120"/>
              <w:spacing w:after="0" w:line="151"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51" w:lineRule="exact"/>
              <w:rPr>
                <w:sz w:val="20"/>
                <w:szCs w:val="20"/>
                <w:color w:val="auto"/>
              </w:rPr>
            </w:pPr>
            <w:r>
              <w:rPr>
                <w:rFonts w:ascii="Arial" w:cs="Arial" w:eastAsia="Arial" w:hAnsi="Arial"/>
                <w:sz w:val="14"/>
                <w:szCs w:val="14"/>
                <w:color w:val="auto"/>
              </w:rPr>
              <w:t>(89)</w:t>
            </w:r>
          </w:p>
        </w:tc>
        <w:tc>
          <w:tcPr>
            <w:tcW w:w="120" w:type="dxa"/>
            <w:vAlign w:val="bottom"/>
          </w:tcPr>
          <w:p>
            <w:pPr>
              <w:spacing w:after="0"/>
              <w:rPr>
                <w:sz w:val="13"/>
                <w:szCs w:val="13"/>
                <w:color w:val="auto"/>
              </w:rPr>
            </w:pPr>
          </w:p>
        </w:tc>
        <w:tc>
          <w:tcPr>
            <w:tcW w:w="16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756</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11</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b w:val="1"/>
                <w:bCs w:val="1"/>
                <w:color w:val="auto"/>
              </w:rPr>
              <w:t>14</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(326)</w:t>
            </w:r>
          </w:p>
        </w:tc>
      </w:tr>
      <w:tr>
        <w:trPr>
          <w:trHeight w:val="176"/>
        </w:trPr>
        <w:tc>
          <w:tcPr>
            <w:tcW w:w="316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r>
        <w:trPr>
          <w:trHeight w:val="176"/>
        </w:trPr>
        <w:tc>
          <w:tcPr>
            <w:tcW w:w="3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w w:val="85"/>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324</w:t>
            </w:r>
          </w:p>
        </w:tc>
      </w:tr>
      <w:tr>
        <w:trPr>
          <w:trHeight w:val="168"/>
        </w:trPr>
        <w:tc>
          <w:tcPr>
            <w:tcW w:w="3160" w:type="dxa"/>
            <w:vAlign w:val="bottom"/>
          </w:tcPr>
          <w:p>
            <w:pPr>
              <w:spacing w:after="0"/>
              <w:rPr>
                <w:sz w:val="20"/>
                <w:szCs w:val="20"/>
                <w:color w:val="auto"/>
              </w:rPr>
            </w:pPr>
            <w:r>
              <w:rPr>
                <w:rFonts w:ascii="Arial" w:cs="Arial" w:eastAsia="Arial" w:hAnsi="Arial"/>
                <w:sz w:val="14"/>
                <w:szCs w:val="14"/>
                <w:color w:val="auto"/>
              </w:rPr>
              <w:t>Balance at September 30, 2021</w:t>
            </w:r>
          </w:p>
        </w:tc>
        <w:tc>
          <w:tcPr>
            <w:tcW w:w="4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1,829</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707</w:t>
            </w: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220" w:firstLine="528"/>
        <w:spacing w:after="0" w:line="252" w:lineRule="auto"/>
        <w:rPr>
          <w:sz w:val="20"/>
          <w:szCs w:val="20"/>
          <w:color w:val="auto"/>
        </w:rPr>
      </w:pPr>
      <w:r>
        <w:rPr>
          <w:rFonts w:ascii="Arial" w:cs="Arial" w:eastAsia="Arial" w:hAnsi="Arial"/>
          <w:sz w:val="15"/>
          <w:szCs w:val="15"/>
          <w:color w:val="auto"/>
        </w:rPr>
        <w:t>Allison Transmission Holdings, Inc. and its subsidiaries (“Allison” or the “Company”)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00" w:firstLine="528"/>
        <w:spacing w:after="0" w:line="234" w:lineRule="auto"/>
        <w:rPr>
          <w:sz w:val="20"/>
          <w:szCs w:val="20"/>
          <w:color w:val="auto"/>
        </w:rPr>
      </w:pPr>
      <w:r>
        <w:rPr>
          <w:rFonts w:ascii="Arial" w:cs="Arial" w:eastAsia="Arial" w:hAnsi="Arial"/>
          <w:sz w:val="16"/>
          <w:szCs w:val="16"/>
          <w:color w:val="auto"/>
        </w:rPr>
        <w:t>Although approximately 79% of revenues were generated in North America in 2020, the Company has a global presence by serving customers in Europe, Asia, South America and Africa. The Company serves customers through an independent network of approximately 1,400 independent distributor and dealer locations worldwide.</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third quarter of 2021, the COVID-19 pandemic continued to cause supply chain, labor and raw material constraints that created volatility in the Company’s business performance and impacted global markets and supply chains. As a result, the Company has experienced, and expects to continue to experience, raw material and component part price inflation, increased freight and logistics costs and increased overtime expense as a result of labor shortages. In addition, despite increased customer demand the Company’s net sales were negatively impacted as a result of its customers’ inability to secure components from the broader commercial vehicle supply base which resulted in reduced commercial vehicle build schedules.</w:t>
      </w:r>
    </w:p>
    <w:p>
      <w:pPr>
        <w:spacing w:after="0" w:line="84" w:lineRule="exact"/>
        <w:rPr>
          <w:sz w:val="20"/>
          <w:szCs w:val="20"/>
          <w:color w:val="auto"/>
        </w:rPr>
      </w:pPr>
    </w:p>
    <w:p>
      <w:pPr>
        <w:ind w:right="160" w:firstLine="528"/>
        <w:spacing w:after="0" w:line="233"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or mandate of vaccinations, travel bans and restrictions, quarantines, curfews, stay-at-home orders, social distancing guidelines and business shutdowns and closures. The Company is also continuing to take a variety of measures to promote the safety and security of its employees and to maintain operations with as minimal impact as possible to its stakeholders, and as a result, the Company has been able to continue its manufacturing operations and deliver its products to customers.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right="40" w:firstLine="528"/>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0" w:firstLine="522"/>
        <w:spacing w:after="0" w:line="249" w:lineRule="auto"/>
        <w:rPr>
          <w:sz w:val="20"/>
          <w:szCs w:val="20"/>
          <w:color w:val="auto"/>
        </w:rPr>
      </w:pPr>
      <w:r>
        <w:rPr>
          <w:rFonts w:ascii="Arial" w:cs="Arial" w:eastAsia="Arial" w:hAnsi="Arial"/>
          <w:sz w:val="15"/>
          <w:szCs w:val="15"/>
          <w:color w:val="auto"/>
        </w:rPr>
        <w:t>These condensed consolidated financial statements present the financial position, results of comprehensive income, cash flows and statements of stockholders’ equity of the Company. Certain immaterial reclassifications have been made in the condensed consolidated financial statements of prior periods to conform to the current period presentation. These reclassifications had no impact on previously reported net income, total stockholders’ equity or cash flows. The condensed consolidated financial statements should be read in conjunction with the audited consolidated financial statements included in the Company’s Form 10-K for the year ended December 31, 2020 as filed with the Securities and Exchange Commission on February 18, 2021. The interim period financial results for the three- and nine-month periods presented are not necessarily indicative of results to be expected for any other interim period or for the entire year.</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rate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Due to the continued uncertainty related to the ongoing COVID-19 pandemic, actual results could differ materially from the estimates and assumptions used in preparation of the financial statements including, but not limited to, future cash flows associated with goodwill, indefinite life intangibles, definite life intangibles, long-lived impairment tests, determination of discount rate and other assumptions for pension and other post-retirement benefit expense and income taxes. Changes in estimates are recorded in results of operations in the period that the events or circumstances giving rise to such changes occur.</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ind w:right="60" w:firstLine="528"/>
        <w:spacing w:after="0" w:line="249" w:lineRule="auto"/>
        <w:rPr>
          <w:sz w:val="20"/>
          <w:szCs w:val="20"/>
          <w:color w:val="auto"/>
        </w:rPr>
      </w:pPr>
      <w:r>
        <w:rPr>
          <w:rFonts w:ascii="Arial" w:cs="Arial" w:eastAsia="Arial" w:hAnsi="Arial"/>
          <w:sz w:val="15"/>
          <w:szCs w:val="15"/>
          <w:color w:val="auto"/>
        </w:rPr>
        <w:t>In March 2020, the Financial Accounting Standards Board (“FASB”) issued authoritative accounting guidance regarding highly effective cash flow hedges affected by reference rate reform, which guidance was subsequently amended. The guidance allows the Company to continue to classify its interest rate hedges as highly effective subsequent to reference rate reform under certain circumstances. The Company adopted this guidance effective January 1, 2021 and will apply the guidance prospectively on all applicable transactions through December 31, 2022. Management expects to be able to elect the optional expedient within this guidance upon the Company’s transition from the London Interbank Offered Rate (“LIBOR”) to an alternative reference rate. The election of the optional expedient is expected to allow for the continuation of the existing contract with no impact on the Company’s condensed consolidated financial statements.</w:t>
      </w:r>
    </w:p>
    <w:p>
      <w:pPr>
        <w:spacing w:after="0" w:line="12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Company adopted this guidance effective January 1, 2021. The adoption of this guidance did not have a material impact on the Company's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jc w:val="both"/>
        <w:ind w:right="240" w:firstLine="522"/>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 Company may also use volume-based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material adjustments based on variable consideration during each of the three and nine months ended September 30, 2021 and 2020.</w:t>
      </w:r>
    </w:p>
    <w:p>
      <w:pPr>
        <w:spacing w:after="0" w:line="85"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2021 and December 31, 2020. See Note J, “Deferred Revenue” for more information, including the amount of revenue earned during each of the three and nine months ended September 30, 2021 and 2020 that had been previously deferred. The Company had no material contract assets as of September 30, 2021 and December 31, 2020.</w:t>
      </w:r>
    </w:p>
    <w:p>
      <w:pPr>
        <w:spacing w:after="0" w:line="85" w:lineRule="exact"/>
        <w:rPr>
          <w:sz w:val="20"/>
          <w:szCs w:val="20"/>
          <w:color w:val="auto"/>
        </w:rPr>
      </w:pPr>
    </w:p>
    <w:p>
      <w:pPr>
        <w:ind w:right="200" w:firstLine="522"/>
        <w:spacing w:after="0" w:line="234" w:lineRule="auto"/>
        <w:rPr>
          <w:sz w:val="20"/>
          <w:szCs w:val="20"/>
          <w:color w:val="auto"/>
        </w:rPr>
      </w:pPr>
      <w:r>
        <w:rPr>
          <w:rFonts w:ascii="Arial" w:cs="Arial" w:eastAsia="Arial" w:hAnsi="Arial"/>
          <w:sz w:val="16"/>
          <w:szCs w:val="16"/>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40" w:type="dxa"/>
            <w:vAlign w:val="bottom"/>
            <w:tcBorders>
              <w:bottom w:val="single" w:sz="8" w:color="auto"/>
            </w:tcBorders>
            <w:gridSpan w:val="5"/>
          </w:tcPr>
          <w:p>
            <w:pPr>
              <w:jc w:val="right"/>
              <w:ind w:right="244"/>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4"/>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5"/>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4"/>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4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5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275</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281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896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5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132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93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275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88"/>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5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8"/>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52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126</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376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80"/>
        </w:trPr>
        <w:tc>
          <w:tcPr>
            <w:tcW w:w="43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5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567</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532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1,758</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20" w:type="dxa"/>
            <w:vAlign w:val="bottom"/>
            <w:vMerge w:val="restart"/>
          </w:tcPr>
          <w:p>
            <w:pPr>
              <w:jc w:val="right"/>
              <w:ind w:right="42"/>
              <w:spacing w:after="0"/>
              <w:rPr>
                <w:sz w:val="20"/>
                <w:szCs w:val="20"/>
                <w:color w:val="auto"/>
              </w:rPr>
            </w:pPr>
            <w:r>
              <w:rPr>
                <w:rFonts w:ascii="Arial" w:cs="Arial" w:eastAsia="Arial" w:hAnsi="Arial"/>
                <w:sz w:val="16"/>
                <w:szCs w:val="16"/>
                <w:color w:val="auto"/>
              </w:rPr>
              <w:t>10</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42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77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6"/>
              <w:spacing w:after="0"/>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1240" w:type="dxa"/>
            <w:vAlign w:val="bottom"/>
            <w:shd w:val="clear" w:color="auto" w:fill="CFF0FC"/>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105</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88</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66"/>
              <w:spacing w:after="0"/>
              <w:rPr>
                <w:sz w:val="20"/>
                <w:szCs w:val="20"/>
                <w:color w:val="auto"/>
              </w:rPr>
            </w:pPr>
            <w:r>
              <w:rPr>
                <w:rFonts w:ascii="Arial" w:cs="Arial" w:eastAsia="Arial" w:hAnsi="Arial"/>
                <w:sz w:val="16"/>
                <w:szCs w:val="16"/>
                <w:color w:val="auto"/>
              </w:rPr>
              <w:t>15</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44</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43</w:t>
            </w:r>
          </w:p>
        </w:tc>
      </w:tr>
      <w:tr>
        <w:trPr>
          <w:trHeight w:val="18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1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35</w:t>
            </w:r>
          </w:p>
        </w:tc>
      </w:tr>
      <w:tr>
        <w:trPr>
          <w:trHeight w:val="180"/>
        </w:trPr>
        <w:tc>
          <w:tcPr>
            <w:tcW w:w="77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1240" w:type="dxa"/>
            <w:vAlign w:val="bottom"/>
            <w:shd w:val="clear" w:color="auto" w:fill="CFF0FC"/>
          </w:tcPr>
          <w:p>
            <w:pPr>
              <w:jc w:val="right"/>
              <w:ind w:right="1070"/>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217</w:t>
            </w:r>
          </w:p>
        </w:tc>
        <w:tc>
          <w:tcPr>
            <w:tcW w:w="40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181</w:t>
            </w: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each of September 30, 2021 and December 31, 2020, the carrying value of the Company’s Goodwill was $2,064.</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5"/>
              </w:rPr>
              <w:t>September 30, 2021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5"/>
              </w:rPr>
              <w:t>December 31, 2020</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148"/>
              <w:spacing w:after="0" w:line="102" w:lineRule="exact"/>
              <w:rPr>
                <w:sz w:val="20"/>
                <w:szCs w:val="20"/>
                <w:color w:val="auto"/>
              </w:rPr>
            </w:pPr>
            <w:r>
              <w:rPr>
                <w:rFonts w:ascii="Arial" w:cs="Arial" w:eastAsia="Arial" w:hAnsi="Arial"/>
                <w:sz w:val="11"/>
                <w:szCs w:val="11"/>
                <w:b w:val="1"/>
                <w:bCs w:val="1"/>
                <w:color w:val="auto"/>
              </w:rPr>
              <w:t>Intangible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amortization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2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80"/>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In-process research and development</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25</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(740)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131</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478</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(477)</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w:t>
            </w:r>
          </w:p>
        </w:tc>
        <w:tc>
          <w:tcPr>
            <w:tcW w:w="6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15</w:t>
            </w:r>
          </w:p>
        </w:tc>
      </w:tr>
      <w:tr>
        <w:trPr>
          <w:trHeight w:val="180"/>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2,195</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(1,267)</w:t>
            </w: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928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2,195</w:t>
            </w:r>
          </w:p>
        </w:tc>
        <w:tc>
          <w:tcPr>
            <w:tcW w:w="26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(1,232)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963</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520" w:firstLine="522"/>
        <w:spacing w:after="0" w:line="237" w:lineRule="auto"/>
        <w:rPr>
          <w:sz w:val="20"/>
          <w:szCs w:val="20"/>
          <w:color w:val="auto"/>
        </w:rPr>
      </w:pPr>
      <w:r>
        <w:rPr>
          <w:rFonts w:ascii="Arial" w:cs="Arial" w:eastAsia="Arial" w:hAnsi="Arial"/>
          <w:sz w:val="16"/>
          <w:szCs w:val="16"/>
          <w:color w:val="auto"/>
        </w:rPr>
        <w:t>As of September 30, 2021 and December 31, 2020, the carrying value of the Company’s Goodwill and Intangible assets, net was $2,992 million and $3,027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2026</w:t>
            </w:r>
          </w:p>
        </w:tc>
      </w:tr>
      <w:tr>
        <w:trPr>
          <w:trHeight w:val="180"/>
        </w:trPr>
        <w:tc>
          <w:tcPr>
            <w:tcW w:w="5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8</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0"/>
              <w:spacing w:after="0" w:line="180" w:lineRule="exact"/>
              <w:rPr>
                <w:sz w:val="20"/>
                <w:szCs w:val="20"/>
                <w:color w:val="auto"/>
              </w:rPr>
            </w:pPr>
            <w:r>
              <w:rPr>
                <w:rFonts w:ascii="Arial" w:cs="Arial" w:eastAsia="Arial" w:hAnsi="Arial"/>
                <w:sz w:val="16"/>
                <w:szCs w:val="16"/>
                <w:color w:val="auto"/>
              </w:rPr>
              <w:t>4</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1</w:t>
            </w: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5" w:lineRule="exact"/>
        <w:rPr>
          <w:sz w:val="20"/>
          <w:szCs w:val="20"/>
          <w:color w:val="auto"/>
        </w:rPr>
      </w:pPr>
    </w:p>
    <w:p>
      <w:pPr>
        <w:ind w:right="420" w:firstLine="522"/>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60" w:firstLine="522"/>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4" w:lineRule="exact"/>
        <w:rPr>
          <w:sz w:val="20"/>
          <w:szCs w:val="20"/>
          <w:color w:val="auto"/>
        </w:rPr>
      </w:pPr>
    </w:p>
    <w:p>
      <w:pPr>
        <w:ind w:right="140" w:firstLine="522"/>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2021 and December 31, 2020, the Company did not have any Level 3 financial assets or liabilities.</w:t>
      </w:r>
    </w:p>
    <w:p>
      <w:pPr>
        <w:spacing w:after="0" w:line="84" w:lineRule="exact"/>
        <w:rPr>
          <w:sz w:val="20"/>
          <w:szCs w:val="20"/>
          <w:color w:val="auto"/>
        </w:rPr>
      </w:pPr>
    </w:p>
    <w:p>
      <w:pPr>
        <w:ind w:right="280" w:firstLine="522"/>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4" w:lineRule="exact"/>
        <w:rPr>
          <w:sz w:val="20"/>
          <w:szCs w:val="20"/>
          <w:color w:val="auto"/>
        </w:rPr>
      </w:pPr>
    </w:p>
    <w:p>
      <w:pPr>
        <w:ind w:firstLine="522"/>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4" w:lineRule="exact"/>
        <w:rPr>
          <w:sz w:val="20"/>
          <w:szCs w:val="20"/>
          <w:color w:val="auto"/>
        </w:rPr>
      </w:pPr>
    </w:p>
    <w:p>
      <w:pPr>
        <w:jc w:val="both"/>
        <w:ind w:firstLine="522"/>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LIBOR, which is observable at commonly quoted intervals. The fair values are included in other current and non-current assets and liabilities in the Condensed Consolidated Balance Sheets.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80" w:firstLine="522"/>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September 30, 2021 and December 31, 2020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3"/>
                <w:szCs w:val="13"/>
                <w:b w:val="1"/>
                <w:bCs w:val="1"/>
                <w:color w:val="auto"/>
                <w:w w:val="95"/>
              </w:rPr>
              <w:t>Fair Value Measurements Using</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gridSpan w:val="4"/>
          </w:tcPr>
          <w:p>
            <w:pPr>
              <w:jc w:val="center"/>
              <w:ind w:right="18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4"/>
          </w:tcPr>
          <w:p>
            <w:pPr>
              <w:jc w:val="center"/>
              <w:ind w:left="90"/>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4"/>
          </w:tcPr>
          <w:p>
            <w:pPr>
              <w:jc w:val="center"/>
              <w:ind w:right="16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4"/>
          </w:tcPr>
          <w:p>
            <w:pPr>
              <w:jc w:val="center"/>
              <w:ind w:left="90"/>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3"/>
                <w:szCs w:val="13"/>
                <w:b w:val="1"/>
                <w:bCs w:val="1"/>
                <w:color w:val="auto"/>
                <w:w w:val="96"/>
              </w:rPr>
              <w:t>Assets (Level 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left="90"/>
              <w:spacing w:after="0"/>
              <w:rPr>
                <w:sz w:val="20"/>
                <w:szCs w:val="20"/>
                <w:color w:val="auto"/>
              </w:rPr>
            </w:pPr>
            <w:r>
              <w:rPr>
                <w:rFonts w:ascii="Arial" w:cs="Arial" w:eastAsia="Arial" w:hAnsi="Arial"/>
                <w:sz w:val="13"/>
                <w:szCs w:val="13"/>
                <w:b w:val="1"/>
                <w:bCs w:val="1"/>
                <w:color w:val="auto"/>
                <w:w w:val="98"/>
              </w:rPr>
              <w:t>(Level 2)</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1"/>
                <w:szCs w:val="11"/>
                <w:color w:val="auto"/>
              </w:rPr>
            </w:pPr>
          </w:p>
        </w:tc>
        <w:tc>
          <w:tcPr>
            <w:tcW w:w="112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60"/>
              <w:spacing w:after="0" w:line="133" w:lineRule="exact"/>
              <w:rPr>
                <w:sz w:val="20"/>
                <w:szCs w:val="20"/>
                <w:color w:val="auto"/>
              </w:rPr>
            </w:pPr>
            <w:r>
              <w:rPr>
                <w:rFonts w:ascii="Arial" w:cs="Arial" w:eastAsia="Arial" w:hAnsi="Arial"/>
                <w:sz w:val="13"/>
                <w:szCs w:val="13"/>
                <w:b w:val="1"/>
                <w:bCs w:val="1"/>
                <w:color w:val="auto"/>
              </w:rPr>
              <w:t>September 30,</w:t>
            </w:r>
          </w:p>
        </w:tc>
        <w:tc>
          <w:tcPr>
            <w:tcW w:w="1260" w:type="dxa"/>
            <w:vAlign w:val="bottom"/>
            <w:gridSpan w:val="3"/>
          </w:tcPr>
          <w:p>
            <w:pPr>
              <w:jc w:val="center"/>
              <w:ind w:right="46"/>
              <w:spacing w:after="0" w:line="133"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1"/>
                <w:szCs w:val="11"/>
                <w:color w:val="auto"/>
              </w:rPr>
            </w:pPr>
          </w:p>
        </w:tc>
        <w:tc>
          <w:tcPr>
            <w:tcW w:w="1320" w:type="dxa"/>
            <w:vAlign w:val="bottom"/>
            <w:gridSpan w:val="3"/>
          </w:tcPr>
          <w:p>
            <w:pPr>
              <w:jc w:val="right"/>
              <w:ind w:right="217"/>
              <w:spacing w:after="0" w:line="133"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3"/>
                <w:szCs w:val="13"/>
                <w:b w:val="1"/>
                <w:bCs w:val="1"/>
                <w:color w:val="auto"/>
                <w:w w:val="89"/>
              </w:rPr>
              <w:t>2020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115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line="180"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115</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160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Rabbi trust assets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6"/>
                <w:szCs w:val="16"/>
                <w:color w:val="auto"/>
              </w:rPr>
            </w:pPr>
          </w:p>
        </w:tc>
        <w:tc>
          <w:tcPr>
            <w:tcW w:w="48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w:t>
            </w:r>
          </w:p>
        </w:tc>
        <w:tc>
          <w:tcPr>
            <w:tcW w:w="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115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37"/>
              <w:spacing w:after="0" w:line="180" w:lineRule="exact"/>
              <w:rPr>
                <w:sz w:val="20"/>
                <w:szCs w:val="20"/>
                <w:color w:val="auto"/>
              </w:rPr>
            </w:pPr>
            <w:r>
              <w:rPr>
                <w:rFonts w:ascii="Arial" w:cs="Arial" w:eastAsia="Arial" w:hAnsi="Arial"/>
                <w:sz w:val="16"/>
                <w:szCs w:val="16"/>
                <w:b w:val="1"/>
                <w:bCs w:val="1"/>
                <w:color w:val="auto"/>
              </w:rPr>
              <w:t>74</w:t>
            </w:r>
          </w:p>
        </w:tc>
        <w:tc>
          <w:tcPr>
            <w:tcW w:w="24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
              <w:spacing w:after="0" w:line="180" w:lineRule="exact"/>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60" w:type="dxa"/>
            <w:vAlign w:val="bottom"/>
            <w:gridSpan w:val="7"/>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tcPr>
          <w:p>
            <w:pPr>
              <w:jc w:val="right"/>
              <w:ind w:right="385"/>
              <w:spacing w:after="0"/>
              <w:rPr>
                <w:sz w:val="20"/>
                <w:szCs w:val="20"/>
                <w:color w:val="auto"/>
              </w:rPr>
            </w:pPr>
            <w:r>
              <w:rPr>
                <w:rFonts w:ascii="Arial" w:cs="Arial" w:eastAsia="Arial" w:hAnsi="Arial"/>
                <w:sz w:val="13"/>
                <w:szCs w:val="13"/>
                <w:b w:val="1"/>
                <w:bCs w:val="1"/>
                <w:color w:val="auto"/>
                <w:w w:val="96"/>
              </w:rPr>
              <w:t>September 30,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00" w:type="dxa"/>
            <w:vAlign w:val="bottom"/>
            <w:gridSpan w:val="5"/>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left="230"/>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633</w:t>
            </w:r>
          </w:p>
        </w:tc>
        <w:tc>
          <w:tcPr>
            <w:tcW w:w="48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400</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Arial" w:cs="Arial" w:eastAsia="Arial" w:hAnsi="Arial"/>
                <w:sz w:val="16"/>
                <w:szCs w:val="16"/>
                <w:color w:val="auto"/>
              </w:rPr>
              <w:t>Senior Notes, fixed 5.875%, due 2029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b w:val="1"/>
                <w:bCs w:val="1"/>
                <w:color w:val="auto"/>
              </w:rPr>
              <w:t>500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3.75%, due 2031</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1,000</w:t>
            </w:r>
          </w:p>
        </w:tc>
        <w:tc>
          <w:tcPr>
            <w:tcW w:w="18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2,533</w:t>
            </w:r>
          </w:p>
        </w:tc>
        <w:tc>
          <w:tcPr>
            <w:tcW w:w="480" w:type="dxa"/>
            <w:vAlign w:val="bottom"/>
            <w:gridSpan w:val="2"/>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45"/>
              <w:spacing w:after="0" w:line="180" w:lineRule="exact"/>
              <w:rPr>
                <w:sz w:val="20"/>
                <w:szCs w:val="20"/>
                <w:color w:val="auto"/>
              </w:rPr>
            </w:pPr>
            <w:r>
              <w:rPr>
                <w:rFonts w:ascii="Arial" w:cs="Arial" w:eastAsia="Arial" w:hAnsi="Arial"/>
                <w:sz w:val="16"/>
                <w:szCs w:val="16"/>
                <w:color w:val="auto"/>
              </w:rPr>
              <w:t>2,538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w w:val="99"/>
              </w:rPr>
              <w:t>Less: current maturities of long-term debt</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deferred financing costs, net</w:t>
            </w:r>
          </w:p>
        </w:tc>
        <w:tc>
          <w:tcPr>
            <w:tcW w:w="6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23</w:t>
            </w:r>
          </w:p>
        </w:tc>
        <w:tc>
          <w:tcPr>
            <w:tcW w:w="1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right="162"/>
              <w:spacing w:after="0" w:line="180" w:lineRule="exact"/>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2,504</w:t>
            </w:r>
          </w:p>
        </w:tc>
        <w:tc>
          <w:tcPr>
            <w:tcW w:w="480" w:type="dxa"/>
            <w:vAlign w:val="bottom"/>
            <w:gridSpan w:val="2"/>
            <w:shd w:val="clear" w:color="auto" w:fill="CFF0FC"/>
          </w:tcPr>
          <w:p>
            <w:pPr>
              <w:jc w:val="right"/>
              <w:ind w:right="157"/>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2,507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522"/>
        <w:spacing w:after="0" w:line="245" w:lineRule="auto"/>
        <w:rPr>
          <w:sz w:val="20"/>
          <w:szCs w:val="20"/>
          <w:color w:val="auto"/>
        </w:rPr>
      </w:pPr>
      <w:r>
        <w:rPr>
          <w:rFonts w:ascii="Arial" w:cs="Arial" w:eastAsia="Arial" w:hAnsi="Arial"/>
          <w:sz w:val="15"/>
          <w:szCs w:val="15"/>
          <w:color w:val="auto"/>
        </w:rPr>
        <w:t>As of September 30, 2021, the Company had $2,533 million of indebtedness associated with Allison Transmission, Inc.’s (“ATI”), the Company’s wholly-owned subsidiary, 4.75% Senior Notes due October 2027 (“4.75% Senior Notes”), ATI’s 5.875% Senior Notes due June 2029 (“5.875% Senior Notes”), ATI’s</w:t>
      </w:r>
    </w:p>
    <w:p>
      <w:pPr>
        <w:ind w:right="200"/>
        <w:spacing w:after="0" w:line="233" w:lineRule="auto"/>
        <w:rPr>
          <w:sz w:val="20"/>
          <w:szCs w:val="20"/>
          <w:color w:val="auto"/>
        </w:rPr>
      </w:pPr>
      <w:r>
        <w:rPr>
          <w:rFonts w:ascii="Arial" w:cs="Arial" w:eastAsia="Arial" w:hAnsi="Arial"/>
          <w:sz w:val="16"/>
          <w:szCs w:val="16"/>
          <w:color w:val="auto"/>
        </w:rPr>
        <w:t>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$ 633 million due March 2026 (“Term Loan”) and ATI’s revolving credit facility with commitments in the amount of $650 million due September 2025 (“Revolving Credit Facility” and, together with the Term Loan, the “Senior Secured Credit Facility”).</w:t>
      </w:r>
    </w:p>
    <w:p>
      <w:pPr>
        <w:spacing w:after="0" w:line="84" w:lineRule="exact"/>
        <w:rPr>
          <w:sz w:val="20"/>
          <w:szCs w:val="20"/>
          <w:color w:val="auto"/>
        </w:rPr>
      </w:pPr>
    </w:p>
    <w:p>
      <w:pPr>
        <w:jc w:val="both"/>
        <w:ind w:right="40" w:firstLine="522"/>
        <w:spacing w:after="0" w:line="234" w:lineRule="auto"/>
        <w:rPr>
          <w:sz w:val="20"/>
          <w:szCs w:val="20"/>
          <w:color w:val="auto"/>
        </w:rPr>
      </w:pPr>
      <w:r>
        <w:rPr>
          <w:rFonts w:ascii="Arial" w:cs="Arial" w:eastAsia="Arial" w:hAnsi="Arial"/>
          <w:sz w:val="16"/>
          <w:szCs w:val="16"/>
          <w:color w:val="auto"/>
        </w:rPr>
        <w:t>The fair value of the Company’s long-term debt obligations as of September 30, 2021 was $ 2,567 million. The fair value is based on quoted Level 2 market prices of the Company’s debt as of September 30, 2021.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04" w:lineRule="exact"/>
        <w:rPr>
          <w:sz w:val="20"/>
          <w:szCs w:val="20"/>
          <w:color w:val="auto"/>
        </w:rPr>
      </w:pPr>
    </w:p>
    <w:p>
      <w:pPr>
        <w:ind w:right="260" w:firstLine="522"/>
        <w:spacing w:after="0" w:line="266" w:lineRule="auto"/>
        <w:rPr>
          <w:sz w:val="20"/>
          <w:szCs w:val="20"/>
          <w:color w:val="auto"/>
        </w:rPr>
      </w:pPr>
      <w:r>
        <w:rPr>
          <w:rFonts w:ascii="Arial" w:cs="Arial" w:eastAsia="Arial" w:hAnsi="Arial"/>
          <w:sz w:val="15"/>
          <w:szCs w:val="15"/>
          <w:color w:val="auto"/>
        </w:rPr>
        <w:t>In November 2020, the Company and ATI entered into an amendment to the Credit Agreement to increase the commitments under the Revolving Credit Facility by $50 million to $650 million. The amendment also extended the Revolving Credit Facility termination date from September 2024 to September 2025.</w:t>
      </w:r>
    </w:p>
    <w:p>
      <w:pPr>
        <w:spacing w:after="0" w:line="64" w:lineRule="exact"/>
        <w:rPr>
          <w:sz w:val="20"/>
          <w:szCs w:val="20"/>
          <w:color w:val="auto"/>
        </w:rPr>
      </w:pPr>
    </w:p>
    <w:p>
      <w:pPr>
        <w:ind w:right="20" w:firstLine="522"/>
        <w:spacing w:after="0" w:line="234" w:lineRule="auto"/>
        <w:rPr>
          <w:sz w:val="20"/>
          <w:szCs w:val="20"/>
          <w:color w:val="auto"/>
        </w:rPr>
      </w:pPr>
      <w:r>
        <w:rPr>
          <w:rFonts w:ascii="Arial" w:cs="Arial" w:eastAsia="Arial" w:hAnsi="Arial"/>
          <w:sz w:val="16"/>
          <w:szCs w:val="16"/>
          <w:color w:val="auto"/>
        </w:rPr>
        <w:t>The borrowings under the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equity interest of foreign subsidiaries and other exceptions set forth in the Credit Agreement). Interest on the Term Loan, as of September 30, 2021,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September 30, 2021, the Company elected to pay the lowest all-in rate of LIBOR plus the applicable margin, or 1.83%,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2026 is $2 million. As of September 30, 2021, there had been no payments required for certain net cash proceeds of non-ordinary course asset sales and casualty and condemnation events. The remaining principal balance is due upon maturity.</w:t>
      </w:r>
    </w:p>
    <w:p>
      <w:pPr>
        <w:spacing w:after="0" w:line="84" w:lineRule="exact"/>
        <w:rPr>
          <w:sz w:val="20"/>
          <w:szCs w:val="20"/>
          <w:color w:val="auto"/>
        </w:rPr>
      </w:pPr>
    </w:p>
    <w:p>
      <w:pPr>
        <w:ind w:right="60" w:firstLine="522"/>
        <w:spacing w:after="0" w:line="247" w:lineRule="auto"/>
        <w:rPr>
          <w:sz w:val="20"/>
          <w:szCs w:val="20"/>
          <w:color w:val="auto"/>
        </w:rPr>
      </w:pPr>
      <w:r>
        <w:rPr>
          <w:rFonts w:ascii="Arial" w:cs="Arial" w:eastAsia="Arial" w:hAnsi="Arial"/>
          <w:sz w:val="15"/>
          <w:szCs w:val="15"/>
          <w:color w:val="auto"/>
        </w:rPr>
        <w:t>The Senior Secured Credit Facility also provides a Revolving Credit Facility, net of an allowance for up to $75 million in outstanding letters of credit commitments. As of September 30, 2021, the Company had $645 million available under the Revolving Credit Facility, net of $5 million in letters of credit. Borrowings under the Revolving Credit Facility bear interest at a variable base rate plus an applicable margin based on the Company’s first lien net leverage ratio. When the Company’s first lien net leverage ratio is above 4.00x, interest on the Revolving Credit Facility is (a) 0.75% over the Base Rate or (b) 1.75% over the LIBOR Rate; when the Company’s first lien net leverage ratio is equal to or less than 4.00x and above 3.50x, interest on the Revolving Credit Facility is (i) 0.50% over the Base Rate or (ii) 1.50% over the LIBOR Rate; and when the Company’s first lien net leverage ratio is equal to or below 3.50x, interest on the Revolving Credit Facility is (y) 0.25% over the Base Rate or (z) 1.25% over the LIBOR Rate. As of September 30, 2021, the applicable margin for the Revolving Credit Facility was 1.25%. In addition, there is an annual commitment fee, based on the Company’s first lien net leverage ratio, on the average unused revolving credit borrowings available under the Revolving Credit Facility. As of September 30, 2021, the commitment fee is 0.25%. Borrowings under the Revolving Credit Facility are payable at the option of the Company throughout the term of the Senior Secured Credit Facility with the balance due in September 2025.</w:t>
      </w:r>
    </w:p>
    <w:p>
      <w:pPr>
        <w:spacing w:after="0" w:line="80"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2021, the Company had no amounts outstanding under the Revolving Credit Facility; however, the Company would have been in compliance with the maximum first lien net leverage ratio, achieving a 0.46x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85" w:lineRule="exact"/>
        <w:rPr>
          <w:sz w:val="20"/>
          <w:szCs w:val="20"/>
          <w:color w:val="auto"/>
        </w:rPr>
      </w:pPr>
    </w:p>
    <w:p>
      <w:pPr>
        <w:ind w:right="100" w:firstLine="522"/>
        <w:spacing w:after="0" w:line="255" w:lineRule="auto"/>
        <w:rPr>
          <w:sz w:val="20"/>
          <w:szCs w:val="20"/>
          <w:color w:val="auto"/>
        </w:rPr>
      </w:pPr>
      <w:r>
        <w:rPr>
          <w:rFonts w:ascii="Arial" w:cs="Arial" w:eastAsia="Arial" w:hAnsi="Arial"/>
          <w:sz w:val="15"/>
          <w:szCs w:val="15"/>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2021, the Company was in compliance with all covenants under the Credit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2021, the Company was in compliance with all covenants under the indenture governing the 4.75%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2021, the Company was in compliance with all covenants under the indenture governing the 5.875%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3.75% Senior Notes</w:t>
      </w:r>
    </w:p>
    <w:p>
      <w:pPr>
        <w:spacing w:after="0" w:line="151" w:lineRule="exact"/>
        <w:rPr>
          <w:sz w:val="20"/>
          <w:szCs w:val="20"/>
          <w:color w:val="auto"/>
        </w:rPr>
      </w:pPr>
    </w:p>
    <w:p>
      <w:pPr>
        <w:ind w:right="60" w:firstLine="522"/>
        <w:spacing w:after="0" w:line="233" w:lineRule="auto"/>
        <w:rPr>
          <w:sz w:val="20"/>
          <w:szCs w:val="20"/>
          <w:color w:val="auto"/>
        </w:rPr>
      </w:pPr>
      <w:r>
        <w:rPr>
          <w:rFonts w:ascii="Arial" w:cs="Arial" w:eastAsia="Arial" w:hAnsi="Arial"/>
          <w:sz w:val="16"/>
          <w:szCs w:val="16"/>
          <w:color w:val="auto"/>
        </w:rPr>
        <w:t>In November 2020, ATI completed an offering of $1,000 million of the 3.75% Senior Notes. The 3.75% Senior Notes were offered in a private placement exempt from registration under the Securities Act of 1933, as amended. The net proceeds from the offering, together with cash on hand, were used to redeem all of ATI’s outstanding 5.0% Senior Notes due 2024 plus accrued and unpaid interest and related transaction expenses. As a result of the offering, the Company recorded $10 million as deferred financing fees in the Consolidated Balance Sheet as of December 31, 2020.</w:t>
      </w:r>
    </w:p>
    <w:p>
      <w:pPr>
        <w:spacing w:after="0" w:line="84" w:lineRule="exact"/>
        <w:rPr>
          <w:sz w:val="20"/>
          <w:szCs w:val="20"/>
          <w:color w:val="auto"/>
        </w:rPr>
      </w:pPr>
    </w:p>
    <w:p>
      <w:pPr>
        <w:ind w:firstLine="528"/>
        <w:spacing w:after="0" w:line="231" w:lineRule="auto"/>
        <w:rPr>
          <w:sz w:val="20"/>
          <w:szCs w:val="20"/>
          <w:color w:val="auto"/>
        </w:rPr>
      </w:pPr>
      <w:r>
        <w:rPr>
          <w:rFonts w:ascii="Arial" w:cs="Arial" w:eastAsia="Arial" w:hAnsi="Arial"/>
          <w:sz w:val="16"/>
          <w:szCs w:val="16"/>
          <w:color w:val="auto"/>
        </w:rPr>
        <w:t>The 3.75%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the 3.75% Senior Notes. The indenture governing the 3.75%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2021, the Company was in compliance with all covenants under the indenture governing the 3.75% Senior Notes.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80" w:firstLine="522"/>
        <w:spacing w:after="0" w:line="231" w:lineRule="auto"/>
        <w:rPr>
          <w:sz w:val="20"/>
          <w:szCs w:val="20"/>
          <w:color w:val="auto"/>
        </w:rPr>
      </w:pPr>
      <w:r>
        <w:rPr>
          <w:rFonts w:ascii="Arial" w:cs="Arial" w:eastAsia="Arial" w:hAnsi="Arial"/>
          <w:sz w:val="16"/>
          <w:szCs w:val="16"/>
          <w:color w:val="auto"/>
        </w:rPr>
        <w:t>The Company is subject to interest rate risk related to the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Accumulated other comprehensive loss, net of tax (“AOCL”) in the Condensed Consolidated Balance Sheets. Balances in AOCL are reclassified to earnings when transactions related to the underlying risk are settled. As of September 30, 2021,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$ 250 million and a weighted average LIBOR fixed rate of 2.82%. See NOTE F, “Fair Value of Financial Instruments” for information regarding the fair value of the Company’s interest rate swaps.</w:t>
      </w:r>
    </w:p>
    <w:p>
      <w:pPr>
        <w:spacing w:after="0" w:line="85" w:lineRule="exact"/>
        <w:rPr>
          <w:sz w:val="20"/>
          <w:szCs w:val="20"/>
          <w:color w:val="auto"/>
        </w:rPr>
      </w:pPr>
    </w:p>
    <w:p>
      <w:pPr>
        <w:ind w:right="160" w:firstLine="522"/>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Fair Value</w:t>
            </w:r>
          </w:p>
        </w:tc>
        <w:tc>
          <w:tcPr>
            <w:tcW w:w="1260" w:type="dxa"/>
            <w:vAlign w:val="bottom"/>
            <w:tcBorders>
              <w:bottom w:val="single" w:sz="8" w:color="auto"/>
            </w:tcBorders>
          </w:tcPr>
          <w:p>
            <w:pPr>
              <w:spacing w:after="0"/>
              <w:rPr>
                <w:sz w:val="13"/>
                <w:szCs w:val="13"/>
                <w:color w:val="auto"/>
              </w:rPr>
            </w:pPr>
          </w:p>
        </w:tc>
      </w:tr>
      <w:tr>
        <w:trPr>
          <w:trHeight w:val="133"/>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ind w:right="328"/>
              <w:spacing w:after="0" w:line="133" w:lineRule="exact"/>
              <w:rPr>
                <w:sz w:val="20"/>
                <w:szCs w:val="20"/>
                <w:color w:val="auto"/>
              </w:rPr>
            </w:pPr>
            <w:r>
              <w:rPr>
                <w:rFonts w:ascii="Arial" w:cs="Arial" w:eastAsia="Arial" w:hAnsi="Arial"/>
                <w:sz w:val="13"/>
                <w:szCs w:val="13"/>
                <w:b w:val="1"/>
                <w:bCs w:val="1"/>
                <w:color w:val="auto"/>
                <w:w w:val="99"/>
              </w:rPr>
              <w:t>December 31,</w:t>
            </w:r>
          </w:p>
        </w:tc>
      </w:tr>
      <w:tr>
        <w:trPr>
          <w:trHeight w:val="153"/>
        </w:trPr>
        <w:tc>
          <w:tcPr>
            <w:tcW w:w="4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60" w:type="dxa"/>
            <w:vAlign w:val="bottom"/>
          </w:tcPr>
          <w:p>
            <w:pPr>
              <w:ind w:left="760"/>
              <w:spacing w:after="0"/>
              <w:rPr>
                <w:sz w:val="20"/>
                <w:szCs w:val="20"/>
                <w:color w:val="auto"/>
              </w:rPr>
            </w:pPr>
            <w:r>
              <w:rPr>
                <w:rFonts w:ascii="Arial" w:cs="Arial" w:eastAsia="Arial" w:hAnsi="Arial"/>
                <w:sz w:val="13"/>
                <w:szCs w:val="13"/>
                <w:b w:val="1"/>
                <w:bCs w:val="1"/>
                <w:color w:val="auto"/>
              </w:rPr>
              <w:t>Balance Sheet Location</w:t>
            </w:r>
          </w:p>
        </w:tc>
        <w:tc>
          <w:tcPr>
            <w:tcW w:w="1300" w:type="dxa"/>
            <w:vAlign w:val="bottom"/>
            <w:gridSpan w:val="2"/>
          </w:tcPr>
          <w:p>
            <w:pPr>
              <w:jc w:val="right"/>
              <w:ind w:right="250"/>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88"/>
              <w:spacing w:after="0"/>
              <w:rPr>
                <w:sz w:val="20"/>
                <w:szCs w:val="20"/>
                <w:color w:val="auto"/>
              </w:rPr>
            </w:pPr>
            <w:r>
              <w:rPr>
                <w:rFonts w:ascii="Arial" w:cs="Arial" w:eastAsia="Arial" w:hAnsi="Arial"/>
                <w:sz w:val="13"/>
                <w:szCs w:val="13"/>
                <w:b w:val="1"/>
                <w:bCs w:val="1"/>
                <w:color w:val="auto"/>
              </w:rPr>
              <w:t>2020</w:t>
            </w:r>
          </w:p>
        </w:tc>
      </w:tr>
      <w:tr>
        <w:trPr>
          <w:trHeight w:val="180"/>
        </w:trPr>
        <w:tc>
          <w:tcPr>
            <w:tcW w:w="43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740" w:type="dxa"/>
            <w:vAlign w:val="bottom"/>
            <w:tcBorders>
              <w:top w:val="single" w:sz="8" w:color="CFF0FC"/>
            </w:tcBorders>
            <w:shd w:val="clear" w:color="auto" w:fill="CFF0FC"/>
          </w:tcPr>
          <w:p>
            <w:pPr>
              <w:spacing w:after="0"/>
              <w:rPr>
                <w:sz w:val="15"/>
                <w:szCs w:val="15"/>
                <w:color w:val="auto"/>
              </w:rPr>
            </w:pPr>
          </w:p>
        </w:tc>
        <w:tc>
          <w:tcPr>
            <w:tcW w:w="29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r>
      <w:tr>
        <w:trPr>
          <w:trHeight w:val="188"/>
        </w:trPr>
        <w:tc>
          <w:tcPr>
            <w:tcW w:w="4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3700" w:type="dxa"/>
            <w:vAlign w:val="bottom"/>
            <w:gridSpan w:val="2"/>
          </w:tcPr>
          <w:p>
            <w:pPr>
              <w:ind w:left="740"/>
              <w:spacing w:after="0"/>
              <w:rPr>
                <w:sz w:val="20"/>
                <w:szCs w:val="20"/>
                <w:color w:val="auto"/>
              </w:rPr>
            </w:pPr>
            <w:r>
              <w:rPr>
                <w:rFonts w:ascii="Arial" w:cs="Arial" w:eastAsia="Arial" w:hAnsi="Arial"/>
                <w:sz w:val="16"/>
                <w:szCs w:val="16"/>
                <w:color w:val="auto"/>
              </w:rPr>
              <w:t>Other current liabilities</w:t>
            </w:r>
          </w:p>
        </w:tc>
        <w:tc>
          <w:tcPr>
            <w:tcW w:w="1300" w:type="dxa"/>
            <w:vAlign w:val="bottom"/>
            <w:gridSpan w:val="2"/>
          </w:tcPr>
          <w:p>
            <w:pPr>
              <w:jc w:val="right"/>
              <w:ind w:right="99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ind w:left="40"/>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8"/>
              <w:spacing w:after="0"/>
              <w:rPr>
                <w:sz w:val="20"/>
                <w:szCs w:val="20"/>
                <w:color w:val="auto"/>
              </w:rPr>
            </w:pPr>
            <w:r>
              <w:rPr>
                <w:rFonts w:ascii="Arial" w:cs="Arial" w:eastAsia="Arial" w:hAnsi="Arial"/>
                <w:sz w:val="16"/>
                <w:szCs w:val="16"/>
                <w:color w:val="auto"/>
              </w:rPr>
              <w:t>14</w:t>
            </w:r>
          </w:p>
        </w:tc>
      </w:tr>
      <w:tr>
        <w:trPr>
          <w:trHeight w:val="188"/>
        </w:trPr>
        <w:tc>
          <w:tcPr>
            <w:tcW w:w="4320" w:type="dxa"/>
            <w:vAlign w:val="bottom"/>
            <w:shd w:val="clear" w:color="auto" w:fill="CFF0FC"/>
          </w:tcPr>
          <w:p>
            <w:pPr>
              <w:spacing w:after="0"/>
              <w:rPr>
                <w:sz w:val="16"/>
                <w:szCs w:val="16"/>
                <w:color w:val="auto"/>
              </w:rPr>
            </w:pPr>
          </w:p>
        </w:tc>
        <w:tc>
          <w:tcPr>
            <w:tcW w:w="370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Other non-current liabilities</w:t>
            </w:r>
          </w:p>
        </w:tc>
        <w:tc>
          <w:tcPr>
            <w:tcW w:w="140" w:type="dxa"/>
            <w:vAlign w:val="bottom"/>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b w:val="1"/>
                <w:bCs w:val="1"/>
                <w:color w:val="auto"/>
              </w:rPr>
              <w:t>28</w:t>
            </w:r>
          </w:p>
        </w:tc>
        <w:tc>
          <w:tcPr>
            <w:tcW w:w="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46</w:t>
            </w:r>
          </w:p>
        </w:tc>
      </w:tr>
      <w:tr>
        <w:trPr>
          <w:trHeight w:val="180"/>
        </w:trPr>
        <w:tc>
          <w:tcPr>
            <w:tcW w:w="43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ind w:right="990"/>
              <w:spacing w:after="0" w:line="180" w:lineRule="exact"/>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ind w:left="40"/>
              <w:spacing w:after="0" w:line="180" w:lineRule="exact"/>
              <w:rPr>
                <w:sz w:val="20"/>
                <w:szCs w:val="20"/>
                <w:color w:val="auto"/>
              </w:rPr>
            </w:pPr>
            <w:r>
              <w:rPr>
                <w:rFonts w:ascii="Arial" w:cs="Arial" w:eastAsia="Arial" w:hAnsi="Arial"/>
                <w:sz w:val="16"/>
                <w:szCs w:val="16"/>
                <w:b w:val="1"/>
                <w:bCs w:val="1"/>
                <w:color w:val="auto"/>
              </w:rPr>
              <w:t>41</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60</w:t>
            </w:r>
          </w:p>
        </w:tc>
      </w:tr>
      <w:tr>
        <w:trPr>
          <w:trHeight w:val="20"/>
        </w:trPr>
        <w:tc>
          <w:tcPr>
            <w:tcW w:w="4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firstLine="522"/>
        <w:spacing w:after="0" w:line="255" w:lineRule="auto"/>
        <w:rPr>
          <w:sz w:val="20"/>
          <w:szCs w:val="20"/>
          <w:color w:val="auto"/>
        </w:rPr>
      </w:pPr>
      <w:r>
        <w:rPr>
          <w:rFonts w:ascii="Arial" w:cs="Arial" w:eastAsia="Arial" w:hAnsi="Arial"/>
          <w:sz w:val="15"/>
          <w:szCs w:val="15"/>
          <w:color w:val="auto"/>
        </w:rPr>
        <w:t>The balance of derivative losses recorded in AOCL as of September 30, 2021 was $41 million. See NOTE O, “Accumulated Other Comprehensive Loss” for information regarding activity recorded as a component of AOCL during the three and nine months ended September 30, 2021 and 2020. As of September 30, 2021, the Company had $14 million of derivative losses recorded in AOCL expected to be reclassified to earnings within the next twelve months.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300"/>
          </w:cols>
          <w:pgMar w:left="320" w:top="140"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240" w:firstLine="522"/>
        <w:spacing w:after="0" w:line="237" w:lineRule="auto"/>
        <w:rPr>
          <w:sz w:val="20"/>
          <w:szCs w:val="20"/>
          <w:color w:val="auto"/>
        </w:rPr>
      </w:pPr>
      <w:r>
        <w:rPr>
          <w:rFonts w:ascii="Arial" w:cs="Arial" w:eastAsia="Arial" w:hAnsi="Arial"/>
          <w:sz w:val="16"/>
          <w:szCs w:val="16"/>
          <w:color w:val="auto"/>
        </w:rPr>
        <w:t>As of September 30, 2021, current and non-current product warranty liabilities were $35 million and $23 million, respectively. As of September 30, 2020, current and non-current product warranty liabilities were $34 million and $31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2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Nine Months Ended</w:t>
            </w:r>
          </w:p>
        </w:tc>
        <w:tc>
          <w:tcPr>
            <w:tcW w:w="460" w:type="dxa"/>
            <w:vAlign w:val="bottom"/>
          </w:tcPr>
          <w:p>
            <w:pPr>
              <w:spacing w:after="0"/>
              <w:rPr>
                <w:sz w:val="13"/>
                <w:szCs w:val="13"/>
                <w:color w:val="auto"/>
              </w:rPr>
            </w:pPr>
          </w:p>
        </w:tc>
      </w:tr>
      <w:tr>
        <w:trPr>
          <w:trHeight w:val="153"/>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Pr>
          <w:p>
            <w:pPr>
              <w:spacing w:after="0"/>
              <w:rPr>
                <w:sz w:val="13"/>
                <w:szCs w:val="13"/>
                <w:color w:val="auto"/>
              </w:rPr>
            </w:pPr>
          </w:p>
        </w:tc>
      </w:tr>
      <w:tr>
        <w:trPr>
          <w:trHeight w:val="153"/>
        </w:trPr>
        <w:tc>
          <w:tcPr>
            <w:tcW w:w="466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3"/>
                <w:szCs w:val="13"/>
                <w:color w:val="auto"/>
              </w:rPr>
            </w:pP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60</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66</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52</w:t>
            </w: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Payments</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(25)</w:t>
            </w: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12</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w:t>
            </w: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16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27</w:t>
            </w:r>
          </w:p>
        </w:tc>
      </w:tr>
      <w:tr>
        <w:trPr>
          <w:trHeight w:val="180"/>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58</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65</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10"/>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58</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65</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300" w:firstLine="522"/>
        <w:spacing w:after="0" w:line="237" w:lineRule="auto"/>
        <w:rPr>
          <w:sz w:val="20"/>
          <w:szCs w:val="20"/>
          <w:color w:val="auto"/>
        </w:rPr>
      </w:pPr>
      <w:r>
        <w:rPr>
          <w:rFonts w:ascii="Arial" w:cs="Arial" w:eastAsia="Arial" w:hAnsi="Arial"/>
          <w:sz w:val="16"/>
          <w:szCs w:val="16"/>
          <w:color w:val="auto"/>
        </w:rPr>
        <w:t>As of September 30, 2021, current and non-current deferred revenue was $37 million and $101 million, respectively. As of September 30, 2020, current and non-current deferred revenue was $33 million and $107 million, respectively.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25"/>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35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gridSpan w:val="3"/>
          </w:tcPr>
          <w:p>
            <w:pPr>
              <w:jc w:val="right"/>
              <w:ind w:right="411"/>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Pr>
          <w:p>
            <w:pPr>
              <w:spacing w:after="0"/>
              <w:rPr>
                <w:sz w:val="13"/>
                <w:szCs w:val="13"/>
                <w:color w:val="auto"/>
              </w:rPr>
            </w:pPr>
          </w:p>
        </w:tc>
      </w:tr>
      <w:tr>
        <w:trPr>
          <w:trHeight w:val="153"/>
        </w:trPr>
        <w:tc>
          <w:tcPr>
            <w:tcW w:w="3560" w:type="dxa"/>
            <w:vAlign w:val="bottom"/>
          </w:tcPr>
          <w:p>
            <w:pPr>
              <w:spacing w:after="0"/>
              <w:rPr>
                <w:sz w:val="13"/>
                <w:szCs w:val="13"/>
                <w:color w:val="auto"/>
              </w:rPr>
            </w:pPr>
          </w:p>
        </w:tc>
        <w:tc>
          <w:tcPr>
            <w:tcW w:w="3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485"/>
              <w:spacing w:after="0"/>
              <w:rPr>
                <w:sz w:val="20"/>
                <w:szCs w:val="20"/>
                <w:color w:val="auto"/>
              </w:rPr>
            </w:pPr>
            <w:r>
              <w:rPr>
                <w:rFonts w:ascii="Arial" w:cs="Arial" w:eastAsia="Arial" w:hAnsi="Arial"/>
                <w:sz w:val="13"/>
                <w:szCs w:val="13"/>
                <w:b w:val="1"/>
                <w:bCs w:val="1"/>
                <w:color w:val="auto"/>
              </w:rPr>
              <w:t>2020</w:t>
            </w:r>
          </w:p>
        </w:tc>
      </w:tr>
      <w:tr>
        <w:trPr>
          <w:trHeight w:val="180"/>
        </w:trPr>
        <w:tc>
          <w:tcPr>
            <w:tcW w:w="35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28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142</w:t>
            </w:r>
          </w:p>
        </w:tc>
        <w:tc>
          <w:tcPr>
            <w:tcW w:w="14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145</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143</w:t>
            </w:r>
          </w:p>
        </w:tc>
        <w:tc>
          <w:tcPr>
            <w:tcW w:w="12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139</w:t>
            </w:r>
          </w:p>
        </w:tc>
      </w:tr>
      <w:tr>
        <w:trPr>
          <w:trHeight w:val="188"/>
        </w:trPr>
        <w:tc>
          <w:tcPr>
            <w:tcW w:w="3560" w:type="dxa"/>
            <w:vAlign w:val="bottom"/>
          </w:tcPr>
          <w:p>
            <w:pPr>
              <w:spacing w:after="0"/>
              <w:rPr>
                <w:sz w:val="20"/>
                <w:szCs w:val="20"/>
                <w:color w:val="auto"/>
              </w:rPr>
            </w:pPr>
            <w:r>
              <w:rPr>
                <w:rFonts w:ascii="Arial" w:cs="Arial" w:eastAsia="Arial" w:hAnsi="Arial"/>
                <w:sz w:val="16"/>
                <w:szCs w:val="16"/>
                <w:color w:val="auto"/>
              </w:rPr>
              <w:t>Increases</w:t>
            </w:r>
          </w:p>
        </w:tc>
        <w:tc>
          <w:tcPr>
            <w:tcW w:w="2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ind w:right="45"/>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6"/>
                <w:szCs w:val="16"/>
                <w:color w:val="auto"/>
              </w:rPr>
              <w:t>29</w:t>
            </w:r>
          </w:p>
        </w:tc>
      </w:tr>
      <w:tr>
        <w:trPr>
          <w:trHeight w:val="18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2280" w:type="dxa"/>
            <w:vAlign w:val="bottom"/>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180"/>
        </w:trPr>
        <w:tc>
          <w:tcPr>
            <w:tcW w:w="356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2280" w:type="dxa"/>
            <w:vAlign w:val="bottom"/>
          </w:tcPr>
          <w:p>
            <w:pPr>
              <w:spacing w:after="0"/>
              <w:rPr>
                <w:sz w:val="15"/>
                <w:szCs w:val="15"/>
                <w:color w:val="auto"/>
              </w:rPr>
            </w:pPr>
          </w:p>
        </w:tc>
        <w:tc>
          <w:tcPr>
            <w:tcW w:w="760" w:type="dxa"/>
            <w:vAlign w:val="bottom"/>
            <w:tcBorders>
              <w:bottom w:val="single" w:sz="8" w:color="auto"/>
            </w:tcBorders>
          </w:tcPr>
          <w:p>
            <w:pPr>
              <w:jc w:val="right"/>
              <w:ind w:right="61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b w:val="1"/>
                <w:bCs w:val="1"/>
                <w:color w:val="auto"/>
              </w:rPr>
              <w:t>138</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631"/>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140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b w:val="1"/>
                <w:bCs w:val="1"/>
                <w:color w:val="auto"/>
              </w:rPr>
              <w:t>138</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140</w:t>
            </w:r>
          </w:p>
        </w:tc>
      </w:tr>
      <w:tr>
        <w:trPr>
          <w:trHeight w:val="20"/>
        </w:trPr>
        <w:tc>
          <w:tcPr>
            <w:tcW w:w="3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2021 was $29 million and $86 million, respectively.</w:t>
      </w:r>
    </w:p>
    <w:p>
      <w:pPr>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2020 was $28 million and $89 million,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106" w:lineRule="exact"/>
        <w:rPr>
          <w:sz w:val="20"/>
          <w:szCs w:val="20"/>
          <w:color w:val="auto"/>
        </w:rPr>
      </w:pPr>
    </w:p>
    <w:p>
      <w:pPr>
        <w:ind w:right="80" w:firstLine="522"/>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September 30, 2021,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4" w:lineRule="exact"/>
        <w:rPr>
          <w:sz w:val="20"/>
          <w:szCs w:val="20"/>
          <w:color w:val="auto"/>
        </w:rPr>
      </w:pPr>
    </w:p>
    <w:p>
      <w:pPr>
        <w:jc w:val="both"/>
        <w:ind w:right="60" w:firstLine="522"/>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September 30, 2021 and December 31, 2020 was 4.36% and 4.37%, respectively.</w:t>
      </w:r>
    </w:p>
    <w:p>
      <w:pPr>
        <w:spacing w:after="0" w:line="85" w:lineRule="exact"/>
        <w:rPr>
          <w:sz w:val="20"/>
          <w:szCs w:val="20"/>
          <w:color w:val="auto"/>
        </w:rPr>
      </w:pPr>
    </w:p>
    <w:p>
      <w:pPr>
        <w:jc w:val="both"/>
        <w:ind w:right="500" w:firstLine="522"/>
        <w:spacing w:after="0" w:line="234" w:lineRule="auto"/>
        <w:rPr>
          <w:sz w:val="20"/>
          <w:szCs w:val="20"/>
          <w:color w:val="auto"/>
        </w:rPr>
      </w:pPr>
      <w:r>
        <w:rPr>
          <w:rFonts w:ascii="Arial" w:cs="Arial" w:eastAsia="Arial" w:hAnsi="Arial"/>
          <w:sz w:val="16"/>
          <w:szCs w:val="16"/>
          <w:color w:val="auto"/>
        </w:rPr>
        <w:t>As of September 30, 2021, the Company recorded current and non-current operating lease liabilities of $4 million and $14 million, respectively. As of December 31, 2020, the Company recorded current and non-current operating lease liabilities of $4 million and $ 17 million, respectively. The following table reconciles future undiscounted cash flows for operating leases as of September 30, 2021 to total operating lease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545"/>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9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45"/>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2021</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5</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0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2024</w:t>
            </w:r>
          </w:p>
        </w:tc>
        <w:tc>
          <w:tcPr>
            <w:tcW w:w="30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0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8</w:t>
            </w:r>
          </w:p>
        </w:tc>
      </w:tr>
      <w:tr>
        <w:trPr>
          <w:trHeight w:val="180"/>
        </w:trPr>
        <w:tc>
          <w:tcPr>
            <w:tcW w:w="9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21</w:t>
            </w:r>
          </w:p>
        </w:tc>
      </w:tr>
      <w:tr>
        <w:trPr>
          <w:trHeight w:val="188"/>
        </w:trPr>
        <w:tc>
          <w:tcPr>
            <w:tcW w:w="92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0"/>
        </w:trPr>
        <w:tc>
          <w:tcPr>
            <w:tcW w:w="9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00" w:type="dxa"/>
            <w:vAlign w:val="bottom"/>
            <w:tcBorders>
              <w:bottom w:val="single" w:sz="8" w:color="auto"/>
            </w:tcBorders>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18</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right"/>
              <w:ind w:right="547"/>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9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47"/>
              <w:spacing w:after="0"/>
              <w:rPr>
                <w:sz w:val="20"/>
                <w:szCs w:val="20"/>
                <w:color w:val="auto"/>
              </w:rPr>
            </w:pPr>
            <w:r>
              <w:rPr>
                <w:rFonts w:ascii="Arial" w:cs="Arial" w:eastAsia="Arial" w:hAnsi="Arial"/>
                <w:sz w:val="13"/>
                <w:szCs w:val="13"/>
                <w:b w:val="1"/>
                <w:bCs w:val="1"/>
                <w:color w:val="auto"/>
              </w:rPr>
              <w:t>2021</w:t>
            </w:r>
          </w:p>
        </w:tc>
      </w:tr>
      <w:tr>
        <w:trPr>
          <w:trHeight w:val="180"/>
        </w:trPr>
        <w:tc>
          <w:tcPr>
            <w:tcW w:w="9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16</w:t>
            </w:r>
          </w:p>
        </w:tc>
      </w:tr>
      <w:tr>
        <w:trPr>
          <w:trHeight w:val="188"/>
        </w:trPr>
        <w:tc>
          <w:tcPr>
            <w:tcW w:w="9260" w:type="dxa"/>
            <w:vAlign w:val="bottom"/>
          </w:tcPr>
          <w:p>
            <w:pPr>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6"/>
                <w:szCs w:val="16"/>
                <w:color w:val="auto"/>
              </w:rPr>
            </w:pPr>
          </w:p>
        </w:tc>
        <w:tc>
          <w:tcPr>
            <w:tcW w:w="1700" w:type="dxa"/>
            <w:vAlign w:val="bottom"/>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8"/>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auto"/>
            </w:tcBorders>
            <w:shd w:val="clear" w:color="auto" w:fill="CFF0FC"/>
          </w:tcPr>
          <w:p>
            <w:pPr>
              <w:spacing w:after="0"/>
              <w:rPr>
                <w:sz w:val="16"/>
                <w:szCs w:val="16"/>
                <w:color w:val="auto"/>
              </w:rPr>
            </w:pPr>
          </w:p>
        </w:tc>
        <w:tc>
          <w:tcPr>
            <w:tcW w:w="17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r>
      <w:tr>
        <w:trPr>
          <w:trHeight w:val="180"/>
        </w:trPr>
        <w:tc>
          <w:tcPr>
            <w:tcW w:w="9260" w:type="dxa"/>
            <w:vAlign w:val="bottom"/>
          </w:tcPr>
          <w:p>
            <w:pPr>
              <w:spacing w:after="0" w:line="180" w:lineRule="exact"/>
              <w:rPr>
                <w:sz w:val="20"/>
                <w:szCs w:val="20"/>
                <w:color w:val="auto"/>
              </w:rPr>
            </w:pPr>
            <w:r>
              <w:rPr>
                <w:rFonts w:ascii="Arial" w:cs="Arial" w:eastAsia="Arial" w:hAnsi="Arial"/>
                <w:sz w:val="16"/>
                <w:szCs w:val="16"/>
                <w:color w:val="auto"/>
              </w:rPr>
              <w:t>Total ROU assets</w:t>
            </w:r>
          </w:p>
        </w:tc>
        <w:tc>
          <w:tcPr>
            <w:tcW w:w="30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18</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September 30, 2021 and September 30, 2020 was 7.2 years and 7.6 years,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40" w:firstLine="522"/>
        <w:spacing w:after="0" w:line="233" w:lineRule="auto"/>
        <w:rPr>
          <w:sz w:val="20"/>
          <w:szCs w:val="20"/>
          <w:color w:val="auto"/>
        </w:rPr>
      </w:pPr>
      <w:r>
        <w:rPr>
          <w:rFonts w:ascii="Arial" w:cs="Arial" w:eastAsia="Arial" w:hAnsi="Arial"/>
          <w:sz w:val="16"/>
          <w:szCs w:val="16"/>
          <w:color w:val="auto"/>
        </w:rPr>
        <w:t>Operating lease expense was $1 million in each of the three months ended September 30, 2021 and 2020 and $4 million in each of the nine months ended September 30, 2021 and 2020, and was recorded within Selling, general and administrative expense and Engineering - research and development on the Company's Condensed Consolidated Statements of Comprehensive Income. There was no material short-term operating lease expense for each of the three and nine months ended September 30, 2021 and 2020.</w:t>
      </w:r>
    </w:p>
    <w:p>
      <w:pPr>
        <w:spacing w:after="0" w:line="84" w:lineRule="exact"/>
        <w:rPr>
          <w:sz w:val="20"/>
          <w:szCs w:val="20"/>
          <w:color w:val="auto"/>
        </w:rPr>
      </w:pPr>
    </w:p>
    <w:p>
      <w:pPr>
        <w:ind w:right="180" w:firstLine="522"/>
        <w:spacing w:after="0" w:line="234"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September 30, 2021 and December 31, 2020. During the nine months ended September 30, 2021 and 2020, the Company recorded $1 million and $2 million, respectively, of new ROU assets obtained in exchange for lease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424"/>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4800" w:type="dxa"/>
            <w:vAlign w:val="bottom"/>
          </w:tcPr>
          <w:p>
            <w:pPr>
              <w:spacing w:after="0"/>
              <w:rPr>
                <w:sz w:val="13"/>
                <w:szCs w:val="13"/>
                <w:color w:val="auto"/>
              </w:rPr>
            </w:pPr>
          </w:p>
        </w:tc>
        <w:tc>
          <w:tcPr>
            <w:tcW w:w="4200" w:type="dxa"/>
            <w:vAlign w:val="bottom"/>
            <w:gridSpan w:val="2"/>
          </w:tcPr>
          <w:p>
            <w:pPr>
              <w:jc w:val="right"/>
              <w:ind w:right="271"/>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84"/>
              <w:spacing w:after="0"/>
              <w:rPr>
                <w:sz w:val="20"/>
                <w:szCs w:val="20"/>
                <w:color w:val="auto"/>
              </w:rPr>
            </w:pPr>
            <w:r>
              <w:rPr>
                <w:rFonts w:ascii="Arial" w:cs="Arial" w:eastAsia="Arial" w:hAnsi="Arial"/>
                <w:sz w:val="13"/>
                <w:szCs w:val="13"/>
                <w:b w:val="1"/>
                <w:bCs w:val="1"/>
                <w:color w:val="auto"/>
              </w:rPr>
              <w:t>2020</w:t>
            </w:r>
          </w:p>
        </w:tc>
      </w:tr>
      <w:tr>
        <w:trPr>
          <w:trHeight w:val="180"/>
        </w:trPr>
        <w:tc>
          <w:tcPr>
            <w:tcW w:w="48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2960" w:type="dxa"/>
            <w:vAlign w:val="bottom"/>
            <w:tcBorders>
              <w:top w:val="single" w:sz="8" w:color="CFF0FC"/>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ind w:right="109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76</w:t>
            </w:r>
          </w:p>
        </w:tc>
        <w:tc>
          <w:tcPr>
            <w:tcW w:w="16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47</w:t>
            </w:r>
          </w:p>
        </w:tc>
      </w:tr>
      <w:tr>
        <w:trPr>
          <w:trHeight w:val="188"/>
        </w:trPr>
        <w:tc>
          <w:tcPr>
            <w:tcW w:w="4800" w:type="dxa"/>
            <w:vAlign w:val="bottom"/>
          </w:tcPr>
          <w:p>
            <w:pPr>
              <w:spacing w:after="0"/>
              <w:rPr>
                <w:sz w:val="20"/>
                <w:szCs w:val="20"/>
                <w:color w:val="auto"/>
              </w:rPr>
            </w:pPr>
            <w:r>
              <w:rPr>
                <w:rFonts w:ascii="Arial" w:cs="Arial" w:eastAsia="Arial" w:hAnsi="Arial"/>
                <w:sz w:val="16"/>
                <w:szCs w:val="16"/>
                <w:color w:val="auto"/>
              </w:rPr>
              <w:t>Sales allowances</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6"/>
                <w:szCs w:val="16"/>
                <w:color w:val="auto"/>
              </w:rPr>
              <w:t>20</w:t>
            </w:r>
          </w:p>
        </w:tc>
      </w:tr>
      <w:tr>
        <w:trPr>
          <w:trHeight w:val="18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29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w:t>
            </w:r>
          </w:p>
        </w:tc>
      </w:tr>
      <w:tr>
        <w:trPr>
          <w:trHeight w:val="188"/>
        </w:trPr>
        <w:tc>
          <w:tcPr>
            <w:tcW w:w="480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6"/>
                <w:szCs w:val="16"/>
                <w:color w:val="auto"/>
              </w:rPr>
              <w:t>16</w:t>
            </w:r>
          </w:p>
        </w:tc>
      </w:tr>
      <w:tr>
        <w:trPr>
          <w:trHeight w:val="18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Taxes payable</w:t>
            </w:r>
          </w:p>
        </w:tc>
        <w:tc>
          <w:tcPr>
            <w:tcW w:w="29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r>
      <w:tr>
        <w:trPr>
          <w:trHeight w:val="188"/>
        </w:trPr>
        <w:tc>
          <w:tcPr>
            <w:tcW w:w="4800" w:type="dxa"/>
            <w:vAlign w:val="bottom"/>
          </w:tcPr>
          <w:p>
            <w:pPr>
              <w:spacing w:after="0"/>
              <w:rPr>
                <w:sz w:val="20"/>
                <w:szCs w:val="20"/>
                <w:color w:val="auto"/>
              </w:rPr>
            </w:pPr>
            <w:r>
              <w:rPr>
                <w:rFonts w:ascii="Arial" w:cs="Arial" w:eastAsia="Arial" w:hAnsi="Arial"/>
                <w:sz w:val="16"/>
                <w:szCs w:val="16"/>
                <w:color w:val="auto"/>
              </w:rPr>
              <w:t>Derivative liabilities</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6"/>
                <w:szCs w:val="16"/>
                <w:color w:val="auto"/>
              </w:rPr>
              <w:t>14</w:t>
            </w:r>
          </w:p>
        </w:tc>
      </w:tr>
      <w:tr>
        <w:trPr>
          <w:trHeight w:val="18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29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w:t>
            </w:r>
          </w:p>
        </w:tc>
      </w:tr>
      <w:tr>
        <w:trPr>
          <w:trHeight w:val="188"/>
        </w:trPr>
        <w:tc>
          <w:tcPr>
            <w:tcW w:w="4800" w:type="dxa"/>
            <w:vAlign w:val="bottom"/>
          </w:tcPr>
          <w:p>
            <w:pPr>
              <w:spacing w:after="0"/>
              <w:rPr>
                <w:sz w:val="20"/>
                <w:szCs w:val="20"/>
                <w:color w:val="auto"/>
              </w:rPr>
            </w:pPr>
            <w:r>
              <w:rPr>
                <w:rFonts w:ascii="Arial" w:cs="Arial" w:eastAsia="Arial" w:hAnsi="Arial"/>
                <w:sz w:val="16"/>
                <w:szCs w:val="16"/>
                <w:color w:val="auto"/>
              </w:rPr>
              <w:t>Non-trade payables</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44"/>
              <w:spacing w:after="0"/>
              <w:rPr>
                <w:sz w:val="20"/>
                <w:szCs w:val="20"/>
                <w:color w:val="auto"/>
              </w:rPr>
            </w:pPr>
            <w:r>
              <w:rPr>
                <w:rFonts w:ascii="Arial" w:cs="Arial" w:eastAsia="Arial" w:hAnsi="Arial"/>
                <w:sz w:val="16"/>
                <w:szCs w:val="16"/>
                <w:color w:val="auto"/>
              </w:rPr>
              <w:t>2</w:t>
            </w:r>
          </w:p>
        </w:tc>
      </w:tr>
      <w:tr>
        <w:trPr>
          <w:trHeight w:val="188"/>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2960" w:type="dxa"/>
            <w:vAlign w:val="bottom"/>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14</w:t>
            </w:r>
          </w:p>
        </w:tc>
      </w:tr>
      <w:tr>
        <w:trPr>
          <w:trHeight w:val="180"/>
        </w:trPr>
        <w:tc>
          <w:tcPr>
            <w:tcW w:w="480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2960" w:type="dxa"/>
            <w:vAlign w:val="bottom"/>
          </w:tcPr>
          <w:p>
            <w:pPr>
              <w:spacing w:after="0"/>
              <w:rPr>
                <w:sz w:val="15"/>
                <w:szCs w:val="15"/>
                <w:color w:val="auto"/>
              </w:rPr>
            </w:pPr>
          </w:p>
        </w:tc>
        <w:tc>
          <w:tcPr>
            <w:tcW w:w="1240" w:type="dxa"/>
            <w:vAlign w:val="bottom"/>
            <w:tcBorders>
              <w:bottom w:val="single" w:sz="8" w:color="auto"/>
            </w:tcBorders>
          </w:tcPr>
          <w:p>
            <w:pPr>
              <w:jc w:val="right"/>
              <w:ind w:right="109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198</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140</w:t>
            </w:r>
          </w:p>
        </w:tc>
      </w:tr>
      <w:tr>
        <w:trPr>
          <w:trHeight w:val="20"/>
        </w:trPr>
        <w:tc>
          <w:tcPr>
            <w:tcW w:w="4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M. EMPLOYEE BENEFIT PLANS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3"/>
                <w:szCs w:val="13"/>
                <w:b w:val="1"/>
                <w:bCs w:val="1"/>
                <w:color w:val="auto"/>
                <w:w w:val="96"/>
              </w:rPr>
              <w:t>Post-retirement Benefits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20" w:type="dxa"/>
            <w:vAlign w:val="bottom"/>
            <w:gridSpan w:val="4"/>
          </w:tcPr>
          <w:p>
            <w:pPr>
              <w:jc w:val="center"/>
              <w:ind w:left="234"/>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24"/>
              <w:spacing w:after="0" w:line="133" w:lineRule="exact"/>
              <w:rPr>
                <w:sz w:val="20"/>
                <w:szCs w:val="20"/>
                <w:color w:val="auto"/>
              </w:rPr>
            </w:pPr>
            <w:r>
              <w:rPr>
                <w:rFonts w:ascii="Arial" w:cs="Arial" w:eastAsia="Arial" w:hAnsi="Arial"/>
                <w:sz w:val="13"/>
                <w:szCs w:val="13"/>
                <w:b w:val="1"/>
                <w:bCs w:val="1"/>
                <w:color w:val="auto"/>
                <w:w w:val="96"/>
              </w:rPr>
              <w:t>For the Three Months</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2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w w:val="96"/>
              </w:rPr>
              <w:t>Ended 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center"/>
              <w:ind w:right="304"/>
              <w:spacing w:after="0"/>
              <w:rPr>
                <w:sz w:val="20"/>
                <w:szCs w:val="20"/>
                <w:color w:val="auto"/>
              </w:rPr>
            </w:pPr>
            <w:r>
              <w:rPr>
                <w:rFonts w:ascii="Arial" w:cs="Arial" w:eastAsia="Arial" w:hAnsi="Arial"/>
                <w:sz w:val="13"/>
                <w:szCs w:val="13"/>
                <w:b w:val="1"/>
                <w:bCs w:val="1"/>
                <w:color w:val="auto"/>
                <w:w w:val="95"/>
              </w:rPr>
              <w:t>Ended September 30,</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Service cost</w:t>
            </w:r>
          </w:p>
        </w:tc>
        <w:tc>
          <w:tcPr>
            <w:tcW w:w="270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Recognized actuarial loss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391"/>
              <w:spacing w:after="0"/>
              <w:rPr>
                <w:sz w:val="20"/>
                <w:szCs w:val="20"/>
                <w:color w:val="auto"/>
              </w:rPr>
            </w:pPr>
            <w:r>
              <w:rPr>
                <w:rFonts w:ascii="Arial" w:cs="Arial" w:eastAsia="Arial" w:hAnsi="Arial"/>
                <w:sz w:val="13"/>
                <w:szCs w:val="13"/>
                <w:b w:val="1"/>
                <w:bCs w:val="1"/>
                <w:color w:val="auto"/>
                <w:w w:val="94"/>
              </w:rPr>
              <w:t>Pension Plans</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center"/>
              <w:ind w:right="304"/>
              <w:spacing w:after="0"/>
              <w:rPr>
                <w:sz w:val="20"/>
                <w:szCs w:val="20"/>
                <w:color w:val="auto"/>
              </w:rPr>
            </w:pPr>
            <w:r>
              <w:rPr>
                <w:rFonts w:ascii="Arial" w:cs="Arial" w:eastAsia="Arial" w:hAnsi="Arial"/>
                <w:sz w:val="13"/>
                <w:szCs w:val="13"/>
                <w:b w:val="1"/>
                <w:bCs w:val="1"/>
                <w:color w:val="auto"/>
                <w:w w:val="96"/>
              </w:rPr>
              <w:t>Post-retirement Benefits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20" w:type="dxa"/>
            <w:vAlign w:val="bottom"/>
            <w:gridSpan w:val="4"/>
          </w:tcPr>
          <w:p>
            <w:pPr>
              <w:jc w:val="center"/>
              <w:ind w:left="234"/>
              <w:spacing w:after="0" w:line="133" w:lineRule="exact"/>
              <w:rPr>
                <w:sz w:val="20"/>
                <w:szCs w:val="20"/>
                <w:color w:val="auto"/>
              </w:rPr>
            </w:pPr>
            <w:r>
              <w:rPr>
                <w:rFonts w:ascii="Arial" w:cs="Arial" w:eastAsia="Arial" w:hAnsi="Arial"/>
                <w:sz w:val="13"/>
                <w:szCs w:val="13"/>
                <w:b w:val="1"/>
                <w:bCs w:val="1"/>
                <w:color w:val="auto"/>
                <w:w w:val="95"/>
              </w:rPr>
              <w:t>For the Nine Months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4"/>
          </w:tcPr>
          <w:p>
            <w:pPr>
              <w:jc w:val="center"/>
              <w:ind w:right="304"/>
              <w:spacing w:after="0" w:line="133" w:lineRule="exact"/>
              <w:rPr>
                <w:sz w:val="20"/>
                <w:szCs w:val="20"/>
                <w:color w:val="auto"/>
              </w:rPr>
            </w:pPr>
            <w:r>
              <w:rPr>
                <w:rFonts w:ascii="Arial" w:cs="Arial" w:eastAsia="Arial" w:hAnsi="Arial"/>
                <w:sz w:val="13"/>
                <w:szCs w:val="13"/>
                <w:b w:val="1"/>
                <w:bCs w:val="1"/>
                <w:color w:val="auto"/>
                <w:w w:val="97"/>
              </w:rPr>
              <w:t>For the Nine Months</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220" w:type="dxa"/>
            <w:vAlign w:val="bottom"/>
            <w:gridSpan w:val="4"/>
          </w:tcPr>
          <w:p>
            <w:pPr>
              <w:jc w:val="center"/>
              <w:ind w:left="234"/>
              <w:spacing w:after="0"/>
              <w:rPr>
                <w:sz w:val="20"/>
                <w:szCs w:val="20"/>
                <w:color w:val="auto"/>
              </w:rPr>
            </w:pPr>
            <w:r>
              <w:rPr>
                <w:rFonts w:ascii="Arial" w:cs="Arial" w:eastAsia="Arial" w:hAnsi="Arial"/>
                <w:sz w:val="13"/>
                <w:szCs w:val="13"/>
                <w:b w:val="1"/>
                <w:bCs w:val="1"/>
                <w:color w:val="auto"/>
                <w:w w:val="96"/>
              </w:rPr>
              <w:t>Ended 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center"/>
              <w:ind w:right="304"/>
              <w:spacing w:after="0"/>
              <w:rPr>
                <w:sz w:val="20"/>
                <w:szCs w:val="20"/>
                <w:color w:val="auto"/>
              </w:rPr>
            </w:pPr>
            <w:r>
              <w:rPr>
                <w:rFonts w:ascii="Arial" w:cs="Arial" w:eastAsia="Arial" w:hAnsi="Arial"/>
                <w:sz w:val="13"/>
                <w:szCs w:val="13"/>
                <w:b w:val="1"/>
                <w:bCs w:val="1"/>
                <w:color w:val="auto"/>
                <w:w w:val="95"/>
              </w:rPr>
              <w:t>Ended September 30,</w:t>
            </w:r>
          </w:p>
        </w:tc>
        <w:tc>
          <w:tcPr>
            <w:tcW w:w="0" w:type="dxa"/>
            <w:vAlign w:val="bottom"/>
          </w:tcPr>
          <w:p>
            <w:pPr>
              <w:spacing w:after="0"/>
              <w:rPr>
                <w:sz w:val="1"/>
                <w:szCs w:val="1"/>
                <w:color w:val="auto"/>
              </w:rPr>
            </w:pPr>
          </w:p>
        </w:tc>
      </w:tr>
      <w:tr>
        <w:trPr>
          <w:trHeight w:val="153"/>
        </w:trPr>
        <w:tc>
          <w:tcPr>
            <w:tcW w:w="3900" w:type="dxa"/>
            <w:vAlign w:val="bottom"/>
          </w:tcPr>
          <w:p>
            <w:pPr>
              <w:spacing w:after="0"/>
              <w:rPr>
                <w:sz w:val="13"/>
                <w:szCs w:val="13"/>
                <w:color w:val="auto"/>
              </w:rPr>
            </w:pPr>
          </w:p>
        </w:tc>
        <w:tc>
          <w:tcPr>
            <w:tcW w:w="2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Service cost</w:t>
            </w:r>
          </w:p>
        </w:tc>
        <w:tc>
          <w:tcPr>
            <w:tcW w:w="270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6"/>
                <w:szCs w:val="16"/>
                <w:color w:val="auto"/>
              </w:rPr>
            </w:pPr>
          </w:p>
        </w:tc>
        <w:tc>
          <w:tcPr>
            <w:tcW w:w="840" w:type="dxa"/>
            <w:vAlign w:val="bottom"/>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7</w:t>
            </w:r>
          </w:p>
        </w:tc>
        <w:tc>
          <w:tcPr>
            <w:tcW w:w="3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9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20"/>
                <w:szCs w:val="20"/>
                <w:color w:val="auto"/>
              </w:rPr>
            </w:pPr>
            <w:r>
              <w:rPr>
                <w:rFonts w:ascii="Arial" w:cs="Arial" w:eastAsia="Arial" w:hAnsi="Arial"/>
                <w:sz w:val="16"/>
                <w:szCs w:val="16"/>
                <w:color w:val="auto"/>
              </w:rPr>
              <w:t>Recognized actuarial loss</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90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94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Arial" w:cs="Arial" w:eastAsia="Arial" w:hAnsi="Arial"/>
                <w:sz w:val="16"/>
                <w:szCs w:val="16"/>
                <w:color w:val="auto"/>
              </w:rPr>
              <w:t>19</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9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ind w:right="800" w:firstLine="522"/>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ind w:right="180" w:firstLine="522"/>
        <w:spacing w:after="0" w:line="233" w:lineRule="auto"/>
        <w:rPr>
          <w:sz w:val="20"/>
          <w:szCs w:val="20"/>
          <w:color w:val="auto"/>
        </w:rPr>
      </w:pPr>
      <w:r>
        <w:rPr>
          <w:rFonts w:ascii="Arial" w:cs="Arial" w:eastAsia="Arial" w:hAnsi="Arial"/>
          <w:sz w:val="16"/>
          <w:szCs w:val="16"/>
          <w:color w:val="auto"/>
        </w:rPr>
        <w:t>For the three and nine months ended September 30, 2021, the Company recorded total income tax expense of $ 30 million and $94 million, respectively. The effective tax rate for the three and nine months ended September 30, 2021 was 24% and 22%, respectively. For the three and nine months ended September 30, 2020, the Company recorded total income tax expense of $21 million and $70 million, respectively. The effective tax rate for the three and nine months ended September 30, 2020 was 21% and 23%, respectively.</w:t>
      </w:r>
    </w:p>
    <w:p>
      <w:pPr>
        <w:spacing w:after="0" w:line="8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97"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September 30, 2021 and December 31, 2020.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6"/>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and OPEB</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8"/>
              </w:rPr>
              <w:t>liability</w:t>
            </w:r>
          </w:p>
        </w:tc>
        <w:tc>
          <w:tcPr>
            <w:tcW w:w="160" w:type="dxa"/>
            <w:vAlign w:val="bottom"/>
          </w:tcPr>
          <w:p>
            <w:pPr>
              <w:spacing w:after="0"/>
              <w:rPr>
                <w:sz w:val="12"/>
                <w:szCs w:val="12"/>
                <w:color w:val="auto"/>
              </w:rPr>
            </w:pPr>
          </w:p>
        </w:tc>
        <w:tc>
          <w:tcPr>
            <w:tcW w:w="1100" w:type="dxa"/>
            <w:vAlign w:val="bottom"/>
          </w:tcPr>
          <w:p>
            <w:pPr>
              <w:jc w:val="center"/>
              <w:ind w:right="205"/>
              <w:spacing w:after="0" w:line="141"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6"/>
              </w:rPr>
              <w:t>adjustments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June 30, 2020</w:t>
            </w:r>
          </w:p>
        </w:tc>
        <w:tc>
          <w:tcPr>
            <w:tcW w:w="9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(51)</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(85)</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income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1</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 benefit</w:t>
            </w:r>
          </w:p>
        </w:tc>
        <w:tc>
          <w:tcPr>
            <w:tcW w:w="7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3</w:t>
            </w:r>
          </w:p>
        </w:tc>
      </w:tr>
      <w:tr>
        <w:trPr>
          <w:trHeight w:val="22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September 30, 2020</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(82)</w:t>
            </w:r>
          </w:p>
        </w:tc>
      </w:tr>
      <w:tr>
        <w:trPr>
          <w:trHeight w:val="163"/>
        </w:trPr>
        <w:tc>
          <w:tcPr>
            <w:tcW w:w="50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June 30, 2021</w:t>
            </w:r>
          </w:p>
        </w:tc>
        <w:tc>
          <w:tcPr>
            <w:tcW w:w="90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7"/>
              <w:spacing w:after="0" w:line="16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(34)</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
              <w:spacing w:after="0" w:line="163" w:lineRule="exact"/>
              <w:rPr>
                <w:sz w:val="20"/>
                <w:szCs w:val="20"/>
                <w:color w:val="auto"/>
              </w:rPr>
            </w:pPr>
            <w:r>
              <w:rPr>
                <w:rFonts w:ascii="Arial" w:cs="Arial" w:eastAsia="Arial" w:hAnsi="Arial"/>
                <w:sz w:val="16"/>
                <w:szCs w:val="16"/>
                <w:color w:val="auto"/>
              </w:rPr>
              <w:t>(83)</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(3)</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16"/>
                <w:szCs w:val="16"/>
                <w:b w:val="1"/>
                <w:bCs w:val="1"/>
                <w:color w:val="auto"/>
              </w:rPr>
              <w:t>2</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(1)</w:t>
            </w:r>
          </w:p>
        </w:tc>
      </w:tr>
      <w:tr>
        <w:trPr>
          <w:trHeight w:val="180"/>
        </w:trPr>
        <w:tc>
          <w:tcPr>
            <w:tcW w:w="50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b w:val="1"/>
                <w:bCs w:val="1"/>
                <w:color w:val="auto"/>
              </w:rPr>
              <w:t>(2)</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AOCL as of September 30, 2021</w:t>
            </w:r>
          </w:p>
        </w:tc>
        <w:tc>
          <w:tcPr>
            <w:tcW w:w="7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b w:val="1"/>
                <w:bCs w:val="1"/>
                <w:color w:val="auto"/>
              </w:rPr>
              <w:t>(85)</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98"/>
        </w:trPr>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3"/>
                <w:szCs w:val="13"/>
                <w:b w:val="1"/>
                <w:bCs w:val="1"/>
                <w:color w:val="auto"/>
                <w:w w:val="96"/>
              </w:rPr>
              <w:t>Nine months ended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3"/>
        </w:trPr>
        <w:tc>
          <w:tcPr>
            <w:tcW w:w="5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and OPEB</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5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8"/>
              </w:rPr>
              <w:t>liability</w:t>
            </w:r>
          </w:p>
        </w:tc>
        <w:tc>
          <w:tcPr>
            <w:tcW w:w="160" w:type="dxa"/>
            <w:vAlign w:val="bottom"/>
          </w:tcPr>
          <w:p>
            <w:pPr>
              <w:spacing w:after="0"/>
              <w:rPr>
                <w:sz w:val="12"/>
                <w:szCs w:val="12"/>
                <w:color w:val="auto"/>
              </w:rPr>
            </w:pPr>
          </w:p>
        </w:tc>
        <w:tc>
          <w:tcPr>
            <w:tcW w:w="1100" w:type="dxa"/>
            <w:vAlign w:val="bottom"/>
          </w:tcPr>
          <w:p>
            <w:pPr>
              <w:jc w:val="center"/>
              <w:ind w:right="205"/>
              <w:spacing w:after="0" w:line="141"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0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6"/>
              </w:rPr>
              <w:t>adjustments</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w w:val="99"/>
              </w:rPr>
              <w:t>items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2019</w:t>
            </w:r>
          </w:p>
        </w:tc>
        <w:tc>
          <w:tcPr>
            <w:tcW w:w="90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(26)</w:t>
            </w:r>
          </w:p>
        </w:tc>
        <w:tc>
          <w:tcPr>
            <w:tcW w:w="3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(52)</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8"/>
        </w:trPr>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 benefit</w:t>
            </w:r>
          </w:p>
        </w:tc>
        <w:tc>
          <w:tcPr>
            <w:tcW w:w="7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w:t>
            </w:r>
          </w:p>
        </w:tc>
      </w:tr>
      <w:tr>
        <w:trPr>
          <w:trHeight w:val="180"/>
        </w:trPr>
        <w:tc>
          <w:tcPr>
            <w:tcW w:w="50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7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(30)</w:t>
            </w:r>
          </w:p>
        </w:tc>
      </w:tr>
      <w:tr>
        <w:trPr>
          <w:trHeight w:val="220"/>
        </w:trPr>
        <w:tc>
          <w:tcPr>
            <w:tcW w:w="508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AOCL as of September 30, 2020</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(82)</w:t>
            </w:r>
          </w:p>
        </w:tc>
      </w:tr>
      <w:tr>
        <w:trPr>
          <w:trHeight w:val="163"/>
        </w:trPr>
        <w:tc>
          <w:tcPr>
            <w:tcW w:w="508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December 31, 2020</w:t>
            </w:r>
          </w:p>
        </w:tc>
        <w:tc>
          <w:tcPr>
            <w:tcW w:w="90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7"/>
              <w:spacing w:after="0" w:line="163"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(46)</w:t>
            </w:r>
          </w:p>
        </w:tc>
        <w:tc>
          <w:tcPr>
            <w:tcW w:w="320" w:type="dxa"/>
            <w:vAlign w:val="bottom"/>
            <w:gridSpan w:val="2"/>
            <w:shd w:val="clear" w:color="auto" w:fill="CFF0FC"/>
          </w:tcPr>
          <w:p>
            <w:pPr>
              <w:jc w:val="right"/>
              <w:ind w:right="47"/>
              <w:spacing w:after="0" w:line="16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2"/>
              <w:spacing w:after="0" w:line="16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(89)</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3</w:t>
            </w:r>
          </w:p>
        </w:tc>
      </w:tr>
      <w:tr>
        <w:trPr>
          <w:trHeight w:val="188"/>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4</w:t>
            </w:r>
          </w:p>
        </w:tc>
      </w:tr>
      <w:tr>
        <w:trPr>
          <w:trHeight w:val="188"/>
        </w:trPr>
        <w:tc>
          <w:tcPr>
            <w:tcW w:w="5080" w:type="dxa"/>
            <w:vAlign w:val="bottom"/>
          </w:tcPr>
          <w:p>
            <w:pPr>
              <w:ind w:left="200"/>
              <w:spacing w:after="0"/>
              <w:rPr>
                <w:sz w:val="20"/>
                <w:szCs w:val="20"/>
                <w:color w:val="auto"/>
              </w:rPr>
            </w:pPr>
            <w:r>
              <w:rPr>
                <w:rFonts w:ascii="Arial" w:cs="Arial" w:eastAsia="Arial" w:hAnsi="Arial"/>
                <w:sz w:val="16"/>
                <w:szCs w:val="16"/>
                <w:color w:val="auto"/>
              </w:rPr>
              <w:t>Income tax benefit (expense)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6"/>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0"/>
        </w:trPr>
        <w:tc>
          <w:tcPr>
            <w:tcW w:w="50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4</w:t>
            </w:r>
          </w:p>
        </w:tc>
      </w:tr>
      <w:tr>
        <w:trPr>
          <w:trHeight w:val="180"/>
        </w:trPr>
        <w:tc>
          <w:tcPr>
            <w:tcW w:w="5080" w:type="dxa"/>
            <w:vAlign w:val="bottom"/>
          </w:tcPr>
          <w:p>
            <w:pPr>
              <w:spacing w:after="0" w:line="180" w:lineRule="exact"/>
              <w:rPr>
                <w:sz w:val="20"/>
                <w:szCs w:val="20"/>
                <w:color w:val="auto"/>
              </w:rPr>
            </w:pPr>
            <w:r>
              <w:rPr>
                <w:rFonts w:ascii="Arial" w:cs="Arial" w:eastAsia="Arial" w:hAnsi="Arial"/>
                <w:sz w:val="16"/>
                <w:szCs w:val="16"/>
                <w:color w:val="auto"/>
              </w:rPr>
              <w:t>AOCL as of September 30, 2021</w:t>
            </w:r>
          </w:p>
        </w:tc>
        <w:tc>
          <w:tcPr>
            <w:tcW w:w="7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(85)</w:t>
            </w:r>
          </w:p>
        </w:tc>
      </w:tr>
      <w:tr>
        <w:trPr>
          <w:trHeight w:val="20"/>
        </w:trPr>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3"/>
                <w:szCs w:val="13"/>
                <w:b w:val="1"/>
                <w:bCs w:val="1"/>
                <w:color w:val="auto"/>
              </w:rPr>
              <w:t>Amounts reclassified from AOCL</w:t>
            </w:r>
          </w:p>
        </w:tc>
        <w:tc>
          <w:tcPr>
            <w:tcW w:w="34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68"/>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2"/>
                <w:szCs w:val="12"/>
                <w:color w:val="auto"/>
              </w:rPr>
            </w:pPr>
          </w:p>
        </w:tc>
        <w:tc>
          <w:tcPr>
            <w:tcW w:w="3360" w:type="dxa"/>
            <w:vAlign w:val="bottom"/>
          </w:tcPr>
          <w:p>
            <w:pPr>
              <w:jc w:val="center"/>
              <w:ind w:left="68"/>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September 30, 2021</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September 30, 2020</w:t>
            </w: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68"/>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Interest rate swaps</w:t>
            </w:r>
          </w:p>
        </w:tc>
        <w:tc>
          <w:tcPr>
            <w:tcW w:w="1580" w:type="dxa"/>
            <w:vAlign w:val="bottom"/>
            <w:shd w:val="clear" w:color="auto" w:fill="CFF0FC"/>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Interest expense, net</w:t>
            </w:r>
          </w:p>
        </w:tc>
        <w:tc>
          <w:tcPr>
            <w:tcW w:w="0" w:type="dxa"/>
            <w:vAlign w:val="bottom"/>
          </w:tcPr>
          <w:p>
            <w:pPr>
              <w:spacing w:after="0"/>
              <w:rPr>
                <w:sz w:val="1"/>
                <w:szCs w:val="1"/>
                <w:color w:val="auto"/>
              </w:rPr>
            </w:pPr>
          </w:p>
        </w:tc>
      </w:tr>
      <w:tr>
        <w:trPr>
          <w:trHeight w:val="188"/>
        </w:trPr>
        <w:tc>
          <w:tcPr>
            <w:tcW w:w="38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158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360" w:type="dxa"/>
            <w:vAlign w:val="bottom"/>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8"/>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Recognized actuarial loss</w:t>
            </w:r>
          </w:p>
        </w:tc>
        <w:tc>
          <w:tcPr>
            <w:tcW w:w="1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80" w:type="dxa"/>
            <w:vAlign w:val="bottom"/>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80" w:type="dxa"/>
            <w:vAlign w:val="bottom"/>
          </w:tcPr>
          <w:p>
            <w:pPr>
              <w:spacing w:after="0"/>
              <w:rPr>
                <w:sz w:val="15"/>
                <w:szCs w:val="15"/>
                <w:color w:val="auto"/>
              </w:rPr>
            </w:pPr>
          </w:p>
        </w:tc>
        <w:tc>
          <w:tcPr>
            <w:tcW w:w="1580" w:type="dxa"/>
            <w:vAlign w:val="bottom"/>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3360" w:type="dxa"/>
            <w:vAlign w:val="bottom"/>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Arial" w:cs="Arial" w:eastAsia="Arial" w:hAnsi="Arial"/>
                <w:sz w:val="16"/>
                <w:szCs w:val="16"/>
                <w:color w:val="auto"/>
              </w:rPr>
              <w:t>Total reclassifications, net of tax</w:t>
            </w:r>
          </w:p>
        </w:tc>
        <w:tc>
          <w:tcPr>
            <w:tcW w:w="1580" w:type="dxa"/>
            <w:vAlign w:val="bottom"/>
            <w:tcBorders>
              <w:bottom w:val="single" w:sz="8" w:color="auto"/>
            </w:tcBorders>
          </w:tcPr>
          <w:p>
            <w:pPr>
              <w:jc w:val="right"/>
              <w:ind w:right="14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143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3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36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3"/>
                <w:szCs w:val="13"/>
                <w:b w:val="1"/>
                <w:bCs w:val="1"/>
                <w:color w:val="auto"/>
              </w:rPr>
              <w:t>Amounts reclassified from AOCL</w:t>
            </w:r>
          </w:p>
        </w:tc>
        <w:tc>
          <w:tcPr>
            <w:tcW w:w="360" w:type="dxa"/>
            <w:vAlign w:val="bottom"/>
            <w:tcBorders>
              <w:bottom w:val="single" w:sz="8" w:color="auto"/>
            </w:tcBorders>
          </w:tcPr>
          <w:p>
            <w:pPr>
              <w:spacing w:after="0"/>
              <w:rPr>
                <w:sz w:val="13"/>
                <w:szCs w:val="13"/>
                <w:color w:val="auto"/>
              </w:rPr>
            </w:pPr>
          </w:p>
        </w:tc>
        <w:tc>
          <w:tcPr>
            <w:tcW w:w="3360" w:type="dxa"/>
            <w:vAlign w:val="bottom"/>
            <w:vMerge w:val="restart"/>
          </w:tcPr>
          <w:p>
            <w:pPr>
              <w:jc w:val="center"/>
              <w:ind w:left="68"/>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880" w:type="dxa"/>
            <w:vAlign w:val="bottom"/>
          </w:tcPr>
          <w:p>
            <w:pPr>
              <w:spacing w:after="0"/>
              <w:rPr>
                <w:sz w:val="12"/>
                <w:szCs w:val="12"/>
                <w:color w:val="auto"/>
              </w:rPr>
            </w:pPr>
          </w:p>
        </w:tc>
        <w:tc>
          <w:tcPr>
            <w:tcW w:w="15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Nine months ended</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right"/>
              <w:ind w:right="11"/>
              <w:spacing w:after="0" w:line="141"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2"/>
                <w:szCs w:val="12"/>
                <w:color w:val="auto"/>
              </w:rPr>
            </w:pPr>
          </w:p>
        </w:tc>
        <w:tc>
          <w:tcPr>
            <w:tcW w:w="3360" w:type="dxa"/>
            <w:vAlign w:val="bottom"/>
          </w:tcPr>
          <w:p>
            <w:pPr>
              <w:jc w:val="center"/>
              <w:ind w:left="68"/>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September 30, 2021</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September 30, 2020</w:t>
            </w:r>
          </w:p>
        </w:tc>
        <w:tc>
          <w:tcPr>
            <w:tcW w:w="360" w:type="dxa"/>
            <w:vAlign w:val="bottom"/>
            <w:tcBorders>
              <w:bottom w:val="single" w:sz="8" w:color="auto"/>
            </w:tcBorders>
          </w:tcPr>
          <w:p>
            <w:pPr>
              <w:spacing w:after="0"/>
              <w:rPr>
                <w:sz w:val="13"/>
                <w:szCs w:val="13"/>
                <w:color w:val="auto"/>
              </w:rPr>
            </w:pPr>
          </w:p>
        </w:tc>
        <w:tc>
          <w:tcPr>
            <w:tcW w:w="3360" w:type="dxa"/>
            <w:vAlign w:val="bottom"/>
            <w:tcBorders>
              <w:bottom w:val="single" w:sz="8" w:color="CFF0FC"/>
            </w:tcBorders>
          </w:tcPr>
          <w:p>
            <w:pPr>
              <w:jc w:val="center"/>
              <w:ind w:left="68"/>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80"/>
        </w:trPr>
        <w:tc>
          <w:tcPr>
            <w:tcW w:w="38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Interest rate swaps</w:t>
            </w:r>
          </w:p>
        </w:tc>
        <w:tc>
          <w:tcPr>
            <w:tcW w:w="1540" w:type="dxa"/>
            <w:vAlign w:val="bottom"/>
            <w:shd w:val="clear" w:color="auto" w:fill="CFF0FC"/>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w:t>
            </w:r>
          </w:p>
        </w:tc>
        <w:tc>
          <w:tcPr>
            <w:tcW w:w="3360" w:type="dxa"/>
            <w:vAlign w:val="bottom"/>
            <w:shd w:val="clear" w:color="auto" w:fill="CFF0FC"/>
          </w:tcPr>
          <w:p>
            <w:pPr>
              <w:ind w:left="160"/>
              <w:spacing w:after="0" w:line="180" w:lineRule="exact"/>
              <w:rPr>
                <w:sz w:val="20"/>
                <w:szCs w:val="20"/>
                <w:color w:val="auto"/>
              </w:rPr>
            </w:pPr>
            <w:r>
              <w:rPr>
                <w:rFonts w:ascii="Arial" w:cs="Arial" w:eastAsia="Arial" w:hAnsi="Arial"/>
                <w:sz w:val="16"/>
                <w:szCs w:val="16"/>
                <w:color w:val="auto"/>
              </w:rPr>
              <w:t>Interest expense, net</w:t>
            </w:r>
          </w:p>
        </w:tc>
        <w:tc>
          <w:tcPr>
            <w:tcW w:w="0" w:type="dxa"/>
            <w:vAlign w:val="bottom"/>
          </w:tcPr>
          <w:p>
            <w:pPr>
              <w:spacing w:after="0"/>
              <w:rPr>
                <w:sz w:val="1"/>
                <w:szCs w:val="1"/>
                <w:color w:val="auto"/>
              </w:rPr>
            </w:pPr>
          </w:p>
        </w:tc>
      </w:tr>
      <w:tr>
        <w:trPr>
          <w:trHeight w:val="188"/>
        </w:trPr>
        <w:tc>
          <w:tcPr>
            <w:tcW w:w="38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1540" w:type="dxa"/>
            <w:vAlign w:val="bottom"/>
          </w:tcPr>
          <w:p>
            <w:pPr>
              <w:spacing w:after="0"/>
              <w:rPr>
                <w:sz w:val="16"/>
                <w:szCs w:val="16"/>
                <w:color w:val="auto"/>
              </w:rPr>
            </w:pPr>
          </w:p>
        </w:tc>
        <w:tc>
          <w:tcPr>
            <w:tcW w:w="380" w:type="dxa"/>
            <w:vAlign w:val="bottom"/>
          </w:tcPr>
          <w:p>
            <w:pPr>
              <w:jc w:val="right"/>
              <w:ind w:right="42"/>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3360" w:type="dxa"/>
            <w:vAlign w:val="bottom"/>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8"/>
        </w:trPr>
        <w:tc>
          <w:tcPr>
            <w:tcW w:w="3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Recognized actuarial loss</w:t>
            </w:r>
          </w:p>
        </w:tc>
        <w:tc>
          <w:tcPr>
            <w:tcW w:w="15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540" w:type="dxa"/>
            <w:vAlign w:val="bottom"/>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w:t>
            </w:r>
          </w:p>
        </w:tc>
        <w:tc>
          <w:tcPr>
            <w:tcW w:w="180" w:type="dxa"/>
            <w:vAlign w:val="bottom"/>
          </w:tcPr>
          <w:p>
            <w:pPr>
              <w:spacing w:after="0"/>
              <w:rPr>
                <w:sz w:val="15"/>
                <w:szCs w:val="15"/>
                <w:color w:val="auto"/>
              </w:rPr>
            </w:pPr>
          </w:p>
        </w:tc>
        <w:tc>
          <w:tcPr>
            <w:tcW w:w="1560" w:type="dxa"/>
            <w:vAlign w:val="bottom"/>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42"/>
              <w:spacing w:after="0" w:line="180" w:lineRule="exact"/>
              <w:rPr>
                <w:sz w:val="20"/>
                <w:szCs w:val="20"/>
                <w:color w:val="auto"/>
              </w:rPr>
            </w:pPr>
            <w:r>
              <w:rPr>
                <w:rFonts w:ascii="Arial" w:cs="Arial" w:eastAsia="Arial" w:hAnsi="Arial"/>
                <w:sz w:val="16"/>
                <w:szCs w:val="16"/>
                <w:color w:val="auto"/>
              </w:rPr>
              <w:t>4</w:t>
            </w:r>
          </w:p>
        </w:tc>
        <w:tc>
          <w:tcPr>
            <w:tcW w:w="3360" w:type="dxa"/>
            <w:vAlign w:val="bottom"/>
          </w:tcPr>
          <w:p>
            <w:pPr>
              <w:ind w:left="16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(expense)</w:t>
            </w:r>
          </w:p>
        </w:tc>
        <w:tc>
          <w:tcPr>
            <w:tcW w:w="154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80"/>
        </w:trPr>
        <w:tc>
          <w:tcPr>
            <w:tcW w:w="3880" w:type="dxa"/>
            <w:vAlign w:val="bottom"/>
          </w:tcPr>
          <w:p>
            <w:pPr>
              <w:spacing w:after="0" w:line="180" w:lineRule="exact"/>
              <w:rPr>
                <w:sz w:val="20"/>
                <w:szCs w:val="20"/>
                <w:color w:val="auto"/>
              </w:rPr>
            </w:pPr>
            <w:r>
              <w:rPr>
                <w:rFonts w:ascii="Arial" w:cs="Arial" w:eastAsia="Arial" w:hAnsi="Arial"/>
                <w:sz w:val="16"/>
                <w:szCs w:val="16"/>
                <w:color w:val="auto"/>
              </w:rPr>
              <w:t>Total reclassifications</w:t>
            </w:r>
          </w:p>
        </w:tc>
        <w:tc>
          <w:tcPr>
            <w:tcW w:w="1540" w:type="dxa"/>
            <w:vAlign w:val="bottom"/>
            <w:tcBorders>
              <w:bottom w:val="single" w:sz="8" w:color="auto"/>
            </w:tcBorders>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5"/>
                <w:szCs w:val="15"/>
                <w:color w:val="auto"/>
              </w:rPr>
            </w:pPr>
          </w:p>
        </w:tc>
        <w:tc>
          <w:tcPr>
            <w:tcW w:w="1560" w:type="dxa"/>
            <w:vAlign w:val="bottom"/>
            <w:tcBorders>
              <w:bottom w:val="single" w:sz="8" w:color="auto"/>
            </w:tcBorders>
          </w:tcPr>
          <w:p>
            <w:pPr>
              <w:jc w:val="right"/>
              <w:ind w:right="141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522"/>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(credit). See NOTE M, “Employee Benefit Plans” for additional details.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ind w:right="100" w:firstLine="522"/>
        <w:spacing w:after="0" w:line="234"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As of September 30, 2021, the Company had a liability recorded in the amount of $3 million.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120" w:firstLine="522"/>
        <w:spacing w:after="0" w:line="252" w:lineRule="auto"/>
        <w:rPr>
          <w:sz w:val="20"/>
          <w:szCs w:val="20"/>
          <w:color w:val="auto"/>
        </w:rPr>
      </w:pPr>
      <w:r>
        <w:rPr>
          <w:rFonts w:ascii="Arial" w:cs="Arial" w:eastAsia="Arial" w:hAnsi="Arial"/>
          <w:sz w:val="15"/>
          <w:szCs w:val="15"/>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40" w:firstLine="522"/>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each of the three and nine months ended September 30, 2021 and 2020, there were 1 million outstanding stock options excluded from the diluted EPS calculation because they were anti-dilutive.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gridSpan w:val="4"/>
          </w:tcPr>
          <w:p>
            <w:pPr>
              <w:jc w:val="right"/>
              <w:ind w:right="19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24"/>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gridSpan w:val="3"/>
          </w:tcPr>
          <w:p>
            <w:pPr>
              <w:jc w:val="right"/>
              <w:ind w:right="390"/>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00" w:type="dxa"/>
            <w:vAlign w:val="bottom"/>
          </w:tcPr>
          <w:p>
            <w:pPr>
              <w:spacing w:after="0"/>
              <w:rPr>
                <w:sz w:val="13"/>
                <w:szCs w:val="13"/>
                <w:color w:val="auto"/>
              </w:rPr>
            </w:pPr>
          </w:p>
        </w:tc>
      </w:tr>
      <w:tr>
        <w:trPr>
          <w:trHeight w:val="153"/>
        </w:trPr>
        <w:tc>
          <w:tcPr>
            <w:tcW w:w="522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484"/>
              <w:spacing w:after="0"/>
              <w:rPr>
                <w:sz w:val="20"/>
                <w:szCs w:val="20"/>
                <w:color w:val="auto"/>
              </w:rPr>
            </w:pPr>
            <w:r>
              <w:rPr>
                <w:rFonts w:ascii="Arial" w:cs="Arial" w:eastAsia="Arial" w:hAnsi="Arial"/>
                <w:sz w:val="13"/>
                <w:szCs w:val="13"/>
                <w:b w:val="1"/>
                <w:bCs w:val="1"/>
                <w:color w:val="auto"/>
              </w:rPr>
              <w:t>2020</w:t>
            </w:r>
          </w:p>
        </w:tc>
      </w:tr>
      <w:tr>
        <w:trPr>
          <w:trHeight w:val="180"/>
        </w:trPr>
        <w:tc>
          <w:tcPr>
            <w:tcW w:w="522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62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77</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324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02"/>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239</w:t>
            </w:r>
          </w:p>
        </w:tc>
      </w:tr>
      <w:tr>
        <w:trPr>
          <w:trHeight w:val="20"/>
        </w:trPr>
        <w:tc>
          <w:tcPr>
            <w:tcW w:w="5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522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106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7"/>
              <w:spacing w:after="0" w:line="163" w:lineRule="exact"/>
              <w:rPr>
                <w:sz w:val="20"/>
                <w:szCs w:val="20"/>
                <w:color w:val="auto"/>
              </w:rPr>
            </w:pPr>
            <w:r>
              <w:rPr>
                <w:rFonts w:ascii="Arial" w:cs="Arial" w:eastAsia="Arial" w:hAnsi="Arial"/>
                <w:sz w:val="16"/>
                <w:szCs w:val="16"/>
                <w:b w:val="1"/>
                <w:bCs w:val="1"/>
                <w:color w:val="auto"/>
              </w:rPr>
              <w:t>109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44"/>
              <w:spacing w:after="0" w:line="163" w:lineRule="exact"/>
              <w:rPr>
                <w:sz w:val="20"/>
                <w:szCs w:val="20"/>
                <w:color w:val="auto"/>
              </w:rPr>
            </w:pPr>
            <w:r>
              <w:rPr>
                <w:rFonts w:ascii="Arial" w:cs="Arial" w:eastAsia="Arial" w:hAnsi="Arial"/>
                <w:sz w:val="16"/>
                <w:szCs w:val="16"/>
                <w:color w:val="auto"/>
              </w:rPr>
              <w:t>114</w:t>
            </w:r>
          </w:p>
        </w:tc>
      </w:tr>
      <w:tr>
        <w:trPr>
          <w:trHeight w:val="188"/>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220"/>
        </w:trPr>
        <w:tc>
          <w:tcPr>
            <w:tcW w:w="522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6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106</w:t>
            </w:r>
          </w:p>
        </w:tc>
        <w:tc>
          <w:tcPr>
            <w:tcW w:w="1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114</w:t>
            </w: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109</w:t>
            </w: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114</w:t>
            </w:r>
          </w:p>
        </w:tc>
      </w:tr>
      <w:tr>
        <w:trPr>
          <w:trHeight w:val="163"/>
        </w:trPr>
        <w:tc>
          <w:tcPr>
            <w:tcW w:w="5220" w:type="dxa"/>
            <w:vAlign w:val="bottom"/>
            <w:tcBorders>
              <w:bottom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6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0.89</w:t>
            </w: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0.68</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7"/>
              <w:spacing w:after="0" w:line="163" w:lineRule="exact"/>
              <w:rPr>
                <w:sz w:val="20"/>
                <w:szCs w:val="20"/>
                <w:color w:val="auto"/>
              </w:rPr>
            </w:pPr>
            <w:r>
              <w:rPr>
                <w:rFonts w:ascii="Arial" w:cs="Arial" w:eastAsia="Arial" w:hAnsi="Arial"/>
                <w:sz w:val="16"/>
                <w:szCs w:val="16"/>
                <w:b w:val="1"/>
                <w:bCs w:val="1"/>
                <w:color w:val="auto"/>
              </w:rPr>
              <w:t>2.97</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ind w:right="202"/>
              <w:spacing w:after="0" w:line="16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2.10</w:t>
            </w:r>
          </w:p>
        </w:tc>
      </w:tr>
      <w:tr>
        <w:trPr>
          <w:trHeight w:val="20"/>
        </w:trPr>
        <w:tc>
          <w:tcPr>
            <w:tcW w:w="5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3"/>
        </w:trPr>
        <w:tc>
          <w:tcPr>
            <w:tcW w:w="522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6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0"/>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b w:val="1"/>
                <w:bCs w:val="1"/>
                <w:color w:val="auto"/>
              </w:rPr>
              <w:t>0.89</w:t>
            </w:r>
          </w:p>
        </w:tc>
        <w:tc>
          <w:tcPr>
            <w:tcW w:w="1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0"/>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42"/>
              <w:spacing w:after="0" w:line="163" w:lineRule="exact"/>
              <w:rPr>
                <w:sz w:val="20"/>
                <w:szCs w:val="20"/>
                <w:color w:val="auto"/>
              </w:rPr>
            </w:pPr>
            <w:r>
              <w:rPr>
                <w:rFonts w:ascii="Arial" w:cs="Arial" w:eastAsia="Arial" w:hAnsi="Arial"/>
                <w:sz w:val="16"/>
                <w:szCs w:val="16"/>
                <w:color w:val="auto"/>
              </w:rPr>
              <w:t>0.68</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ind w:right="47"/>
              <w:spacing w:after="0" w:line="163" w:lineRule="exact"/>
              <w:rPr>
                <w:sz w:val="20"/>
                <w:szCs w:val="20"/>
                <w:color w:val="auto"/>
              </w:rPr>
            </w:pPr>
            <w:r>
              <w:rPr>
                <w:rFonts w:ascii="Arial" w:cs="Arial" w:eastAsia="Arial" w:hAnsi="Arial"/>
                <w:sz w:val="16"/>
                <w:szCs w:val="16"/>
                <w:b w:val="1"/>
                <w:bCs w:val="1"/>
                <w:color w:val="auto"/>
              </w:rPr>
              <w:t>2.97</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2"/>
              <w:spacing w:after="0" w:line="16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4"/>
              <w:spacing w:after="0" w:line="163" w:lineRule="exact"/>
              <w:rPr>
                <w:sz w:val="20"/>
                <w:szCs w:val="20"/>
                <w:color w:val="auto"/>
              </w:rPr>
            </w:pPr>
            <w:r>
              <w:rPr>
                <w:rFonts w:ascii="Arial" w:cs="Arial" w:eastAsia="Arial" w:hAnsi="Arial"/>
                <w:sz w:val="16"/>
                <w:szCs w:val="16"/>
                <w:color w:val="auto"/>
              </w:rPr>
              <w:t>2.10</w:t>
            </w:r>
          </w:p>
        </w:tc>
      </w:tr>
      <w:tr>
        <w:trPr>
          <w:trHeight w:val="20"/>
        </w:trPr>
        <w:tc>
          <w:tcPr>
            <w:tcW w:w="5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During the three and nine months ended September 30, 2021, the Company repurchased $100 million and $326 million, respectively, of its common stock under the current stock repurchase program authorized by the Board of Directors (“Repurchase Program”), leaving $501 million of authorized repurchases remaining under the Repurchase Program as of September 30, 2021.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S. SUBSEQUENT EVENT</w:t>
      </w:r>
    </w:p>
    <w:p>
      <w:pPr>
        <w:spacing w:after="0" w:line="106"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During the third quarter, the Company entered into a strategic collaboration framework agreement (“Agreement”) for the development of electrified powertrain solutions for global commercial vehicles with Jing-Jin Electric Technologies Co. Ltd. (“JJE”), a Chinese electrified propulsion company in components, assemblies and systems for global automotive and commercial vehicle customers. Pursuant to the Agreement, the Company and JJE are working to define the product portfolio scope, manufacturing locations and supporting resources to be provided by each party. In addition, the Company provided a loan in the amount of $11 million to JJE’s United States-based subsidiary to support JJE North America’s commercial vehicle electric drive product development, testing and manufacturing acceleration efforts.</w:t>
      </w:r>
    </w:p>
    <w:p>
      <w:pPr>
        <w:spacing w:after="0" w:line="84" w:lineRule="exact"/>
        <w:rPr>
          <w:sz w:val="20"/>
          <w:szCs w:val="20"/>
          <w:color w:val="auto"/>
        </w:rPr>
      </w:pPr>
    </w:p>
    <w:p>
      <w:pPr>
        <w:ind w:right="660" w:firstLine="522"/>
        <w:spacing w:after="0" w:line="237" w:lineRule="auto"/>
        <w:rPr>
          <w:sz w:val="20"/>
          <w:szCs w:val="20"/>
          <w:color w:val="auto"/>
        </w:rPr>
      </w:pPr>
      <w:r>
        <w:rPr>
          <w:rFonts w:ascii="Arial" w:cs="Arial" w:eastAsia="Arial" w:hAnsi="Arial"/>
          <w:sz w:val="16"/>
          <w:szCs w:val="16"/>
          <w:color w:val="auto"/>
        </w:rPr>
        <w:t>On October 20, 2021, the Company announced that it would invest approximately $42 million in JJE’s initial public offering at the The Science and Technology Innovation Board on the Shanghai Stock Exchange, representing 3.25% of JJE’s outstanding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23" w:lineRule="exact"/>
        <w:rPr>
          <w:sz w:val="20"/>
          <w:szCs w:val="20"/>
          <w:color w:val="auto"/>
        </w:rPr>
      </w:pPr>
    </w:p>
    <w:p>
      <w:pPr>
        <w:jc w:val="both"/>
        <w:ind w:firstLine="522"/>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6" w:lineRule="exact"/>
        <w:rPr>
          <w:sz w:val="20"/>
          <w:szCs w:val="20"/>
          <w:color w:val="auto"/>
        </w:rPr>
      </w:pPr>
    </w:p>
    <w:p>
      <w:pPr>
        <w:ind w:right="20" w:firstLine="522"/>
        <w:spacing w:after="0" w:line="236"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2020 as filed with the Securities and Exchange Commission ("SEC") on February 18, 2021. Our actual results may differ materially from those contained in or implied by any forward-looking statements.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third quarter, we entered into a strategic collaboration framework agreement (“Agreement”) for the development of electrified powertrain</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solutions for global commercial vehicles with Jing-Jin Electric Technologies Co. Ltd. (“JJE”), a Chinese electrified propulsion company in components, assemblies and systems for global automotive and commercial vehicle customers. Pursuant to the Agreement, Allison and JJE are working to define the product portfolio scope, manufacturing locations and supporting resources to be provided by each party. In addition, we provided a loan in the amount of $11 million to JJE’s United States-based subsidiary to support JJE North America’s commercial vehicle electric drive product development, testing and manufacturing acceleration efforts.</w:t>
      </w:r>
    </w:p>
    <w:p>
      <w:pPr>
        <w:spacing w:after="0" w:line="74" w:lineRule="exact"/>
        <w:rPr>
          <w:sz w:val="20"/>
          <w:szCs w:val="20"/>
          <w:color w:val="auto"/>
        </w:rPr>
      </w:pPr>
    </w:p>
    <w:p>
      <w:pPr>
        <w:ind w:right="400" w:firstLine="522"/>
        <w:spacing w:after="0" w:line="237" w:lineRule="auto"/>
        <w:rPr>
          <w:sz w:val="20"/>
          <w:szCs w:val="20"/>
          <w:color w:val="auto"/>
        </w:rPr>
      </w:pPr>
      <w:r>
        <w:rPr>
          <w:rFonts w:ascii="Arial" w:cs="Arial" w:eastAsia="Arial" w:hAnsi="Arial"/>
          <w:sz w:val="16"/>
          <w:szCs w:val="16"/>
          <w:color w:val="auto"/>
        </w:rPr>
        <w:t>On October 20, 2021, we announced that we would invest approximately $42 million in JJE’s initial public offering at the The Science and Technology Innovation Board on the Shanghai Stock Exchange, representing 3.25% of JJE’s outstanding common stock.</w:t>
      </w:r>
    </w:p>
    <w:p>
      <w:pPr>
        <w:spacing w:after="0" w:line="83"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On September 16, 2021, we entered into an asset purchase agreement (“Purchase Agreement”) with AVTEC Ltd. (“AVTEC”), an Indian manufacturer of powertrain and precision-engineered products for the automotive, off-highway, defense, agriculture and railway industries in areas of both proprietary products and contract manufacturing. Pursuant to the Purchase Agreement, we will acquire the transmission portfolio of AVTEC’s off-highway business and Madras Export Processing Zone off-highway component machining business for approximately $27 million subject to completion of certain conditions precedent.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firstLine="522"/>
        <w:spacing w:after="0" w:line="252"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commercial-duty on-highway, off-highway and defense fully automatic transmissions and electric hybrid and fully 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74" w:lineRule="exact"/>
        <w:rPr>
          <w:sz w:val="20"/>
          <w:szCs w:val="20"/>
          <w:color w:val="auto"/>
        </w:rPr>
      </w:pPr>
    </w:p>
    <w:p>
      <w:pPr>
        <w:ind w:right="160" w:firstLine="528"/>
        <w:spacing w:after="0" w:line="266" w:lineRule="auto"/>
        <w:rPr>
          <w:sz w:val="20"/>
          <w:szCs w:val="20"/>
          <w:color w:val="auto"/>
        </w:rPr>
      </w:pPr>
      <w:r>
        <w:rPr>
          <w:rFonts w:ascii="Arial" w:cs="Arial" w:eastAsia="Arial" w:hAnsi="Arial"/>
          <w:sz w:val="15"/>
          <w:szCs w:val="15"/>
          <w:color w:val="auto"/>
        </w:rPr>
        <w:t>Although approximately 79% of revenues were generated in North America in 2020, we have a global presence by serving customers in Europe, Asia, South America and Africa. We serve customers through an independent network of approximately 1,400 independent distributor and dealer locations worldwide.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right="20" w:firstLine="522"/>
        <w:spacing w:after="0" w:line="231" w:lineRule="auto"/>
        <w:rPr>
          <w:sz w:val="20"/>
          <w:szCs w:val="20"/>
          <w:color w:val="auto"/>
        </w:rPr>
      </w:pPr>
      <w:r>
        <w:rPr>
          <w:rFonts w:ascii="Arial" w:cs="Arial" w:eastAsia="Arial" w:hAnsi="Arial"/>
          <w:sz w:val="16"/>
          <w:szCs w:val="16"/>
          <w:color w:val="auto"/>
        </w:rPr>
        <w:t>In March 2020, the World Health Organization categorized the novel coronavirus ("COVID-19") as a pandemic. In the third quarter of 2021, the COVID-19 pandemic continued to cause supply chain, labor and raw material constraints that created volatility in our business performance and impacted global markets and supply chains. As a result, we have experienced, and expect to continue to experience, raw material and component price inflation, increased freight and logistics costs and increased overtime expense as a result of labor shortages. However, during the third quarter of 2021 despite increased customer demand our net sales were negatively impacted as a result of our customers’ inability to secure components from the broader commercial vehicle supply base which resulted in reduced commercial vehicle build schedules. We continue to monitor and proactively mitigate risks in our supply chain, including the global shortage of semiconductors and its impact on the availability of our transmission control modules. We, our suppliers and our customers are all taking actions to reduce the impact of the semiconductor shortage and other supply chain, transport and raw material constraints; however, if these constraints and inflationary costs persist, the impact on our business could be material.</w:t>
      </w:r>
    </w:p>
    <w:p>
      <w:pPr>
        <w:spacing w:after="0" w:line="85"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To limit the spread of COVID-19, governments continue to take various actions including the administration or mandate of vaccinations, travel bans and restrictions, quarantines, curfews, stay-at-home orders, social distancing guidelines and business shutdowns and closures. We are continuing to take a variety of measures to promote the safety and security of our employees and to maintain operations with as minimal impact as possible to our stakeholders, and as a result, we have been able to continue our manufacturing operations and deliver our products to customers. The United States government has indicated it will require that certain suppliers to the United States Department of Defense mandate employees be vaccinated against COVID-19 and employers employing over 100 employees either mandate employees be vaccinated against or submit to weekly testing for COVID-19. These or similar vaccine and testing mandates by other governments may result in additional labor shortages and/or increased labor or other expenses for us and our customers and suppliers.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Third Quarter Net Sales by End Market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980" w:type="dxa"/>
            <w:vAlign w:val="bottom"/>
          </w:tcPr>
          <w:p>
            <w:pPr>
              <w:jc w:val="right"/>
              <w:ind w:right="12"/>
              <w:spacing w:after="0"/>
              <w:rPr>
                <w:sz w:val="20"/>
                <w:szCs w:val="20"/>
                <w:color w:val="auto"/>
              </w:rPr>
            </w:pPr>
            <w:r>
              <w:rPr>
                <w:rFonts w:ascii="Arial" w:cs="Arial" w:eastAsia="Arial" w:hAnsi="Arial"/>
                <w:sz w:val="13"/>
                <w:szCs w:val="13"/>
                <w:b w:val="1"/>
                <w:bCs w:val="1"/>
                <w:color w:val="auto"/>
              </w:rPr>
              <w:t>Q3 2021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65"/>
              <w:spacing w:after="0"/>
              <w:rPr>
                <w:sz w:val="20"/>
                <w:szCs w:val="20"/>
                <w:color w:val="auto"/>
              </w:rPr>
            </w:pPr>
            <w:r>
              <w:rPr>
                <w:rFonts w:ascii="Arial" w:cs="Arial" w:eastAsia="Arial" w:hAnsi="Arial"/>
                <w:sz w:val="13"/>
                <w:szCs w:val="13"/>
                <w:b w:val="1"/>
                <w:bCs w:val="1"/>
                <w:color w:val="auto"/>
              </w:rPr>
              <w:t>Q3 2020</w:t>
            </w: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r>
      <w:tr>
        <w:trPr>
          <w:trHeight w:val="180"/>
        </w:trPr>
        <w:tc>
          <w:tcPr>
            <w:tcW w:w="6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980" w:type="dxa"/>
            <w:vAlign w:val="bottom"/>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275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281</w:t>
            </w:r>
          </w:p>
        </w:tc>
        <w:tc>
          <w:tcPr>
            <w:tcW w:w="16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1680" w:type="dxa"/>
            <w:vAlign w:val="bottom"/>
            <w:gridSpan w:val="2"/>
          </w:tcPr>
          <w:p>
            <w:pPr>
              <w:jc w:val="right"/>
              <w:ind w:right="17"/>
              <w:spacing w:after="0"/>
              <w:rPr>
                <w:sz w:val="20"/>
                <w:szCs w:val="20"/>
                <w:color w:val="auto"/>
              </w:rPr>
            </w:pPr>
            <w:r>
              <w:rPr>
                <w:rFonts w:ascii="Arial" w:cs="Arial" w:eastAsia="Arial" w:hAnsi="Arial"/>
                <w:sz w:val="16"/>
                <w:szCs w:val="16"/>
                <w:color w:val="auto"/>
              </w:rPr>
              <w:t>1,900%</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56</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188"/>
        </w:trPr>
        <w:tc>
          <w:tcPr>
            <w:tcW w:w="65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98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71</w:t>
            </w:r>
          </w:p>
        </w:tc>
        <w:tc>
          <w:tcPr>
            <w:tcW w:w="1680" w:type="dxa"/>
            <w:vAlign w:val="bottom"/>
            <w:gridSpan w:val="2"/>
          </w:tcPr>
          <w:p>
            <w:pPr>
              <w:jc w:val="right"/>
              <w:ind w:right="17"/>
              <w:spacing w:after="0"/>
              <w:rPr>
                <w:sz w:val="20"/>
                <w:szCs w:val="20"/>
                <w:color w:val="auto"/>
              </w:rPr>
            </w:pPr>
            <w:r>
              <w:rPr>
                <w:rFonts w:ascii="Arial" w:cs="Arial" w:eastAsia="Arial" w:hAnsi="Arial"/>
                <w:sz w:val="16"/>
                <w:szCs w:val="16"/>
                <w:color w:val="auto"/>
              </w:rPr>
              <w:t>31%</w:t>
            </w:r>
          </w:p>
        </w:tc>
      </w:tr>
      <w:tr>
        <w:trPr>
          <w:trHeight w:val="188"/>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9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w:t>
            </w:r>
          </w:p>
        </w:tc>
        <w:tc>
          <w:tcPr>
            <w:tcW w:w="1680" w:type="dxa"/>
            <w:vAlign w:val="bottom"/>
            <w:gridSpan w:val="2"/>
            <w:shd w:val="clear" w:color="auto" w:fill="CFF0FC"/>
          </w:tcPr>
          <w:p>
            <w:pPr>
              <w:jc w:val="right"/>
              <w:ind w:right="17"/>
              <w:spacing w:after="0"/>
              <w:rPr>
                <w:sz w:val="20"/>
                <w:szCs w:val="20"/>
                <w:color w:val="auto"/>
              </w:rPr>
            </w:pPr>
            <w:r>
              <w:rPr>
                <w:rFonts w:ascii="Arial" w:cs="Arial" w:eastAsia="Arial" w:hAnsi="Arial"/>
                <w:sz w:val="16"/>
                <w:szCs w:val="16"/>
                <w:color w:val="auto"/>
              </w:rPr>
              <w:t>250%</w:t>
            </w:r>
          </w:p>
        </w:tc>
      </w:tr>
      <w:tr>
        <w:trPr>
          <w:trHeight w:val="188"/>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126</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119</w:t>
            </w:r>
          </w:p>
        </w:tc>
        <w:tc>
          <w:tcPr>
            <w:tcW w:w="1680" w:type="dxa"/>
            <w:vAlign w:val="bottom"/>
            <w:tcBorders>
              <w:bottom w:val="single" w:sz="8" w:color="CFF0FC"/>
            </w:tcBorders>
            <w:gridSpan w:val="2"/>
          </w:tcPr>
          <w:p>
            <w:pPr>
              <w:jc w:val="right"/>
              <w:ind w:right="17"/>
              <w:spacing w:after="0"/>
              <w:rPr>
                <w:sz w:val="20"/>
                <w:szCs w:val="20"/>
                <w:color w:val="auto"/>
              </w:rPr>
            </w:pPr>
            <w:r>
              <w:rPr>
                <w:rFonts w:ascii="Arial" w:cs="Arial" w:eastAsia="Arial" w:hAnsi="Arial"/>
                <w:sz w:val="16"/>
                <w:szCs w:val="16"/>
                <w:color w:val="auto"/>
              </w:rPr>
              <w:t>6%</w:t>
            </w:r>
          </w:p>
        </w:tc>
      </w:tr>
      <w:tr>
        <w:trPr>
          <w:trHeight w:val="180"/>
        </w:trPr>
        <w:tc>
          <w:tcPr>
            <w:tcW w:w="65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98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567</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532</w:t>
            </w:r>
          </w:p>
        </w:tc>
        <w:tc>
          <w:tcPr>
            <w:tcW w:w="1680" w:type="dxa"/>
            <w:vAlign w:val="bottom"/>
            <w:tcBorders>
              <w:bottom w:val="single" w:sz="8" w:color="CFF0FC"/>
            </w:tcBorders>
            <w:gridSpan w:val="2"/>
            <w:shd w:val="clear" w:color="auto" w:fill="CFF0FC"/>
          </w:tcPr>
          <w:p>
            <w:pPr>
              <w:jc w:val="right"/>
              <w:ind w:right="17"/>
              <w:spacing w:after="0" w:line="180" w:lineRule="exact"/>
              <w:rPr>
                <w:sz w:val="20"/>
                <w:szCs w:val="20"/>
                <w:color w:val="auto"/>
              </w:rPr>
            </w:pPr>
            <w:r>
              <w:rPr>
                <w:rFonts w:ascii="Arial" w:cs="Arial" w:eastAsia="Arial" w:hAnsi="Arial"/>
                <w:sz w:val="16"/>
                <w:szCs w:val="16"/>
                <w:color w:val="auto"/>
              </w:rPr>
              <w:t>7%</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522"/>
        <w:spacing w:after="0" w:line="249" w:lineRule="auto"/>
        <w:rPr>
          <w:sz w:val="20"/>
          <w:szCs w:val="20"/>
          <w:color w:val="auto"/>
        </w:rPr>
      </w:pPr>
      <w:r>
        <w:rPr>
          <w:rFonts w:ascii="Arial" w:cs="Arial" w:eastAsia="Arial" w:hAnsi="Arial"/>
          <w:sz w:val="16"/>
          <w:szCs w:val="16"/>
          <w:color w:val="auto"/>
        </w:rPr>
        <w:t>North America On-Highway end market net sales were down 2% for the third quarter 2021 compared to the third quarter 2020, principally driven by lower demand due to supply chain, labor and raw material constraints impacting the broader commercial vehicle supply base.</w:t>
      </w:r>
    </w:p>
    <w:p>
      <w:pPr>
        <w:spacing w:after="0" w:line="76" w:lineRule="exact"/>
        <w:rPr>
          <w:sz w:val="20"/>
          <w:szCs w:val="20"/>
          <w:color w:val="auto"/>
        </w:rPr>
      </w:pPr>
    </w:p>
    <w:p>
      <w:pPr>
        <w:ind w:right="280" w:firstLine="522"/>
        <w:spacing w:after="0" w:line="237" w:lineRule="auto"/>
        <w:rPr>
          <w:sz w:val="20"/>
          <w:szCs w:val="20"/>
          <w:color w:val="auto"/>
        </w:rPr>
      </w:pPr>
      <w:r>
        <w:rPr>
          <w:rFonts w:ascii="Arial" w:cs="Arial" w:eastAsia="Arial" w:hAnsi="Arial"/>
          <w:sz w:val="16"/>
          <w:szCs w:val="16"/>
          <w:color w:val="auto"/>
        </w:rPr>
        <w:t>North America Off-Highway end market net sales were up $19 million for the third quarter 2021 compared to the third quarter 2020, principally driven by higher demand for hydraulic fracturing applications.</w:t>
      </w:r>
    </w:p>
    <w:p>
      <w:pPr>
        <w:spacing w:after="0" w:line="83" w:lineRule="exact"/>
        <w:rPr>
          <w:sz w:val="20"/>
          <w:szCs w:val="20"/>
          <w:color w:val="auto"/>
        </w:rPr>
      </w:pPr>
    </w:p>
    <w:p>
      <w:pPr>
        <w:ind w:right="580" w:firstLine="522"/>
        <w:spacing w:after="0" w:line="237" w:lineRule="auto"/>
        <w:rPr>
          <w:sz w:val="20"/>
          <w:szCs w:val="20"/>
          <w:color w:val="auto"/>
        </w:rPr>
      </w:pPr>
      <w:r>
        <w:rPr>
          <w:rFonts w:ascii="Arial" w:cs="Arial" w:eastAsia="Arial" w:hAnsi="Arial"/>
          <w:sz w:val="16"/>
          <w:szCs w:val="16"/>
          <w:color w:val="auto"/>
        </w:rPr>
        <w:t>Defense end market net sales were down 30% for the third quarter 2021 compared to the third quarter 2020, principally driven by lower demand for Tracked vehicle applications.</w:t>
      </w:r>
    </w:p>
    <w:p>
      <w:pPr>
        <w:spacing w:after="0" w:line="83" w:lineRule="exact"/>
        <w:rPr>
          <w:sz w:val="20"/>
          <w:szCs w:val="20"/>
          <w:color w:val="auto"/>
        </w:rPr>
      </w:pPr>
    </w:p>
    <w:p>
      <w:pPr>
        <w:ind w:right="120" w:firstLine="522"/>
        <w:spacing w:after="0" w:line="237" w:lineRule="auto"/>
        <w:rPr>
          <w:sz w:val="20"/>
          <w:szCs w:val="20"/>
          <w:color w:val="auto"/>
        </w:rPr>
      </w:pPr>
      <w:r>
        <w:rPr>
          <w:rFonts w:ascii="Arial" w:cs="Arial" w:eastAsia="Arial" w:hAnsi="Arial"/>
          <w:sz w:val="16"/>
          <w:szCs w:val="16"/>
          <w:color w:val="auto"/>
        </w:rPr>
        <w:t>Outside North America On-Highway end market net sales were up 31% for the third quarter 2021 compared to the third quarter 2020, principally driven by the recovery in customer demand following the pandemic-related disruptions experienced in 2020 and the execution of growth initiatives.</w:t>
      </w:r>
    </w:p>
    <w:p>
      <w:pPr>
        <w:spacing w:after="0" w:line="83" w:lineRule="exact"/>
        <w:rPr>
          <w:sz w:val="20"/>
          <w:szCs w:val="20"/>
          <w:color w:val="auto"/>
        </w:rPr>
      </w:pPr>
    </w:p>
    <w:p>
      <w:pPr>
        <w:ind w:right="360" w:firstLine="522"/>
        <w:spacing w:after="0" w:line="237" w:lineRule="auto"/>
        <w:rPr>
          <w:sz w:val="20"/>
          <w:szCs w:val="20"/>
          <w:color w:val="auto"/>
        </w:rPr>
      </w:pPr>
      <w:r>
        <w:rPr>
          <w:rFonts w:ascii="Arial" w:cs="Arial" w:eastAsia="Arial" w:hAnsi="Arial"/>
          <w:sz w:val="16"/>
          <w:szCs w:val="16"/>
          <w:color w:val="auto"/>
        </w:rPr>
        <w:t>Outside North America Off-Highway end market net sales were up $10 million for the third quarter 2021 compared to the third quarter 2020, principally driven by higher demand in the energy, mining and construction sectors.</w:t>
      </w:r>
    </w:p>
    <w:p>
      <w:pPr>
        <w:spacing w:after="0" w:line="83" w:lineRule="exact"/>
        <w:rPr>
          <w:sz w:val="20"/>
          <w:szCs w:val="20"/>
          <w:color w:val="auto"/>
        </w:rPr>
      </w:pPr>
    </w:p>
    <w:p>
      <w:pPr>
        <w:ind w:right="280" w:firstLine="522"/>
        <w:spacing w:after="0" w:line="237" w:lineRule="auto"/>
        <w:rPr>
          <w:sz w:val="20"/>
          <w:szCs w:val="20"/>
          <w:color w:val="auto"/>
        </w:rPr>
      </w:pPr>
      <w:r>
        <w:rPr>
          <w:rFonts w:ascii="Arial" w:cs="Arial" w:eastAsia="Arial" w:hAnsi="Arial"/>
          <w:sz w:val="16"/>
          <w:szCs w:val="16"/>
          <w:color w:val="auto"/>
        </w:rPr>
        <w:t>Service Parts, Support Equipment and Other end market net sales were up 6% for the third quarter 2021 compared to the third quarter 2020, principally driven by higher demand for global service parts, partially offset by decreased sales of aluminum die cast components.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120" w:firstLine="522"/>
        <w:spacing w:after="0" w:line="232" w:lineRule="auto"/>
        <w:rPr>
          <w:sz w:val="20"/>
          <w:szCs w:val="20"/>
          <w:color w:val="auto"/>
        </w:rPr>
      </w:pPr>
      <w:r>
        <w:rPr>
          <w:rFonts w:ascii="Arial" w:cs="Arial" w:eastAsia="Arial" w:hAnsi="Arial"/>
          <w:sz w:val="16"/>
          <w:szCs w:val="16"/>
          <w:color w:val="auto"/>
        </w:rPr>
        <w:t>Our primary components of cost of sales are purchased parts, overhead expense related to our manufacturing operations and direct labor associated with the manufacture and assembly of transmissions and parts. For the nine months ended September 30, 2021, direct material costs were approximately 67%, overhead costs were approximately 24%, and direct labor costs were approximately 9% of total cost of sales. We are subject to changes in our cost of sales caused by movements in underlying commodity prices. We seek to hedge against this risk by using long-term agreements, as appropriate. See Part I, Item 3, “Quantitative and Qualitative Disclosures about Market Risk —Commodity Price Risk” included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480" w:firstLine="522"/>
        <w:spacing w:after="0" w:line="266" w:lineRule="auto"/>
        <w:rPr>
          <w:sz w:val="20"/>
          <w:szCs w:val="20"/>
          <w:color w:val="auto"/>
        </w:rPr>
      </w:pPr>
      <w:r>
        <w:rPr>
          <w:rFonts w:ascii="Arial" w:cs="Arial" w:eastAsia="Arial" w:hAnsi="Arial"/>
          <w:sz w:val="15"/>
          <w:szCs w:val="15"/>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firstLine="522"/>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$633 million due March 2026 (“Term Loan”). Adjusted EBITDA as a percent of net sales is calculated as Adjusted EBITDA divided by net sales.</w:t>
      </w:r>
    </w:p>
    <w:p>
      <w:pPr>
        <w:spacing w:after="0" w:line="128"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excluding non-recurring restructuring charges, after additions of long-lived assets.</w:t>
      </w:r>
    </w:p>
    <w:p>
      <w:pPr>
        <w:spacing w:after="0" w:line="84" w:lineRule="exact"/>
        <w:rPr>
          <w:sz w:val="20"/>
          <w:szCs w:val="20"/>
          <w:color w:val="auto"/>
        </w:rPr>
      </w:pPr>
    </w:p>
    <w:p>
      <w:pPr>
        <w:ind w:right="340" w:firstLine="522"/>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30"/>
        </w:trPr>
        <w:tc>
          <w:tcPr>
            <w:tcW w:w="4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gridSpan w:val="5"/>
          </w:tcPr>
          <w:p>
            <w:pPr>
              <w:ind w:left="400"/>
              <w:spacing w:after="0" w:line="131" w:lineRule="exact"/>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1"/>
                <w:szCs w:val="11"/>
                <w:color w:val="auto"/>
              </w:rPr>
            </w:pPr>
          </w:p>
        </w:tc>
        <w:tc>
          <w:tcPr>
            <w:tcW w:w="2460" w:type="dxa"/>
            <w:vAlign w:val="bottom"/>
            <w:gridSpan w:val="4"/>
          </w:tcPr>
          <w:p>
            <w:pPr>
              <w:jc w:val="right"/>
              <w:ind w:right="783"/>
              <w:spacing w:after="0" w:line="131"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482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20" w:type="dxa"/>
            <w:vAlign w:val="bottom"/>
            <w:tcBorders>
              <w:bottom w:val="single" w:sz="8" w:color="CFF0FC"/>
            </w:tcBorders>
            <w:vMerge w:val="continue"/>
          </w:tcPr>
          <w:p>
            <w:pPr>
              <w:spacing w:after="0"/>
              <w:rPr>
                <w:sz w:val="12"/>
                <w:szCs w:val="12"/>
                <w:color w:val="auto"/>
              </w:rPr>
            </w:pPr>
          </w:p>
        </w:tc>
        <w:tc>
          <w:tcPr>
            <w:tcW w:w="8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94</w:t>
            </w:r>
          </w:p>
        </w:tc>
        <w:tc>
          <w:tcPr>
            <w:tcW w:w="480" w:type="dxa"/>
            <w:vAlign w:val="bottom"/>
            <w:gridSpan w:val="2"/>
            <w:shd w:val="clear" w:color="auto" w:fill="CFF0FC"/>
          </w:tcPr>
          <w:p>
            <w:pPr>
              <w:jc w:val="right"/>
              <w:ind w:right="207"/>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324</w:t>
            </w:r>
          </w:p>
        </w:tc>
        <w:tc>
          <w:tcPr>
            <w:tcW w:w="480" w:type="dxa"/>
            <w:vAlign w:val="bottom"/>
            <w:gridSpan w:val="2"/>
            <w:shd w:val="clear" w:color="auto" w:fill="CFF0FC"/>
          </w:tcPr>
          <w:p>
            <w:pPr>
              <w:jc w:val="right"/>
              <w:ind w:right="207"/>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6"/>
                <w:szCs w:val="16"/>
                <w:color w:val="auto"/>
              </w:rPr>
              <w:t>plus: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94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8"/>
        </w:trPr>
        <w:tc>
          <w:tcPr>
            <w:tcW w:w="482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87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77</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8"/>
        </w:trPr>
        <w:tc>
          <w:tcPr>
            <w:tcW w:w="482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04"/>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4820" w:type="dxa"/>
            <w:vAlign w:val="bottom"/>
          </w:tcPr>
          <w:p>
            <w:pPr>
              <w:ind w:left="200"/>
              <w:spacing w:after="0"/>
              <w:rPr>
                <w:sz w:val="20"/>
                <w:szCs w:val="20"/>
                <w:color w:val="auto"/>
              </w:rPr>
            </w:pPr>
            <w:r>
              <w:rPr>
                <w:rFonts w:ascii="Arial" w:cs="Arial" w:eastAsia="Arial" w:hAnsi="Arial"/>
                <w:sz w:val="16"/>
                <w:szCs w:val="16"/>
                <w:color w:val="auto"/>
              </w:rPr>
              <w:t>Technology-related investments gain (b)</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Acquisition-related earnouts (c)</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820" w:type="dxa"/>
            <w:vAlign w:val="bottom"/>
          </w:tcPr>
          <w:p>
            <w:pPr>
              <w:ind w:left="200"/>
              <w:spacing w:after="0"/>
              <w:rPr>
                <w:sz w:val="20"/>
                <w:szCs w:val="20"/>
                <w:color w:val="auto"/>
              </w:rPr>
            </w:pPr>
            <w:r>
              <w:rPr>
                <w:rFonts w:ascii="Arial" w:cs="Arial" w:eastAsia="Arial" w:hAnsi="Arial"/>
                <w:sz w:val="16"/>
                <w:szCs w:val="16"/>
                <w:color w:val="auto"/>
              </w:rPr>
              <w:t>UAW Local 933 retirement incentive (d)</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(gain) loss on foreign exchange (e)</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Restructuring charges (f)</w:t>
            </w:r>
          </w:p>
        </w:tc>
        <w:tc>
          <w:tcPr>
            <w:tcW w:w="8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8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189</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174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624</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line="163" w:lineRule="exact"/>
              <w:rPr>
                <w:sz w:val="20"/>
                <w:szCs w:val="20"/>
                <w:color w:val="auto"/>
              </w:rPr>
            </w:pPr>
            <w:r>
              <w:rPr>
                <w:rFonts w:ascii="Arial" w:cs="Arial" w:eastAsia="Arial" w:hAnsi="Arial"/>
                <w:sz w:val="16"/>
                <w:szCs w:val="16"/>
                <w:b w:val="1"/>
                <w:bCs w:val="1"/>
                <w:color w:val="auto"/>
              </w:rPr>
              <w:t>567</w:t>
            </w:r>
          </w:p>
        </w:tc>
        <w:tc>
          <w:tcPr>
            <w:tcW w:w="480" w:type="dxa"/>
            <w:vAlign w:val="bottom"/>
            <w:gridSpan w:val="2"/>
          </w:tcPr>
          <w:p>
            <w:pPr>
              <w:jc w:val="right"/>
              <w:ind w:right="207"/>
              <w:spacing w:after="0" w:line="16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3"/>
              <w:spacing w:after="0" w:line="163" w:lineRule="exact"/>
              <w:rPr>
                <w:sz w:val="20"/>
                <w:szCs w:val="20"/>
                <w:color w:val="auto"/>
              </w:rPr>
            </w:pPr>
            <w:r>
              <w:rPr>
                <w:rFonts w:ascii="Arial" w:cs="Arial" w:eastAsia="Arial" w:hAnsi="Arial"/>
                <w:sz w:val="16"/>
                <w:szCs w:val="16"/>
                <w:color w:val="auto"/>
              </w:rPr>
              <w:t>532</w:t>
            </w:r>
          </w:p>
        </w:tc>
        <w:tc>
          <w:tcPr>
            <w:tcW w:w="120" w:type="dxa"/>
            <w:vAlign w:val="bottom"/>
          </w:tcPr>
          <w:p>
            <w:pPr>
              <w:spacing w:after="0"/>
              <w:rPr>
                <w:sz w:val="14"/>
                <w:szCs w:val="14"/>
                <w:color w:val="auto"/>
              </w:rPr>
            </w:pPr>
          </w:p>
        </w:tc>
        <w:tc>
          <w:tcPr>
            <w:tcW w:w="260" w:type="dxa"/>
            <w:vAlign w:val="bottom"/>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104"/>
              <w:spacing w:after="0" w:line="163" w:lineRule="exact"/>
              <w:rPr>
                <w:sz w:val="20"/>
                <w:szCs w:val="20"/>
                <w:color w:val="auto"/>
              </w:rPr>
            </w:pPr>
            <w:r>
              <w:rPr>
                <w:rFonts w:ascii="Arial" w:cs="Arial" w:eastAsia="Arial" w:hAnsi="Arial"/>
                <w:sz w:val="16"/>
                <w:szCs w:val="16"/>
                <w:b w:val="1"/>
                <w:bCs w:val="1"/>
                <w:color w:val="auto"/>
              </w:rPr>
              <w:t>1,758</w:t>
            </w:r>
          </w:p>
        </w:tc>
        <w:tc>
          <w:tcPr>
            <w:tcW w:w="480" w:type="dxa"/>
            <w:vAlign w:val="bottom"/>
            <w:gridSpan w:val="2"/>
          </w:tcPr>
          <w:p>
            <w:pPr>
              <w:jc w:val="right"/>
              <w:ind w:right="207"/>
              <w:spacing w:after="0" w:line="163"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03"/>
              <w:spacing w:after="0" w:line="163" w:lineRule="exact"/>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16.6%</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18.4%</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1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196</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rPr>
                <w:sz w:val="20"/>
                <w:szCs w:val="20"/>
                <w:color w:val="auto"/>
              </w:rPr>
            </w:pPr>
            <w:r>
              <w:rPr>
                <w:rFonts w:ascii="Arial" w:cs="Arial" w:eastAsia="Arial" w:hAnsi="Arial"/>
                <w:sz w:val="16"/>
                <w:szCs w:val="16"/>
                <w:b w:val="1"/>
                <w:bCs w:val="1"/>
                <w:color w:val="auto"/>
              </w:rPr>
              <w:t>467</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20"/>
                <w:szCs w:val="20"/>
                <w:color w:val="auto"/>
              </w:rPr>
            </w:pPr>
            <w:r>
              <w:rPr>
                <w:rFonts w:ascii="Arial" w:cs="Arial" w:eastAsia="Arial" w:hAnsi="Arial"/>
                <w:sz w:val="16"/>
                <w:szCs w:val="16"/>
                <w:color w:val="auto"/>
              </w:rPr>
              <w:t>Deductions to reconcile to Adjusted free cash flow:</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(112)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Restructuring charges (f)</w:t>
            </w:r>
          </w:p>
        </w:tc>
        <w:tc>
          <w:tcPr>
            <w:tcW w:w="8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482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153</w:t>
            </w:r>
          </w:p>
        </w:tc>
        <w:tc>
          <w:tcPr>
            <w:tcW w:w="480" w:type="dxa"/>
            <w:vAlign w:val="bottom"/>
            <w:gridSpan w:val="2"/>
            <w:shd w:val="clear" w:color="auto" w:fill="CFF0FC"/>
          </w:tcPr>
          <w:p>
            <w:pPr>
              <w:jc w:val="right"/>
              <w:ind w:right="207"/>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b w:val="1"/>
                <w:bCs w:val="1"/>
                <w:color w:val="auto"/>
              </w:rPr>
              <w:t>355</w:t>
            </w:r>
          </w:p>
        </w:tc>
        <w:tc>
          <w:tcPr>
            <w:tcW w:w="480" w:type="dxa"/>
            <w:vAlign w:val="bottom"/>
            <w:gridSpan w:val="2"/>
            <w:shd w:val="clear" w:color="auto" w:fill="CFF0FC"/>
          </w:tcPr>
          <w:p>
            <w:pPr>
              <w:jc w:val="right"/>
              <w:ind w:right="207"/>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20" w:type="dxa"/>
            <w:vAlign w:val="bottom"/>
          </w:tcPr>
          <w:p>
            <w:pPr>
              <w:spacing w:after="0"/>
              <w:rPr>
                <w:sz w:val="24"/>
                <w:szCs w:val="24"/>
                <w:color w:val="auto"/>
              </w:rPr>
            </w:pPr>
          </w:p>
        </w:tc>
        <w:tc>
          <w:tcPr>
            <w:tcW w:w="1140" w:type="dxa"/>
            <w:vAlign w:val="bottom"/>
            <w:gridSpan w:val="2"/>
          </w:tcPr>
          <w:p>
            <w:pPr>
              <w:jc w:val="right"/>
              <w:ind w:right="167"/>
              <w:spacing w:after="0"/>
              <w:rPr>
                <w:sz w:val="20"/>
                <w:szCs w:val="20"/>
                <w:color w:val="auto"/>
              </w:rPr>
            </w:pPr>
            <w:r>
              <w:rPr>
                <w:rFonts w:ascii="Arial" w:cs="Arial" w:eastAsia="Arial" w:hAnsi="Arial"/>
                <w:sz w:val="16"/>
                <w:szCs w:val="16"/>
                <w:color w:val="auto"/>
              </w:rPr>
              <w:t>28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-26670</wp:posOffset>
            </wp:positionV>
            <wp:extent cx="3302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ind w:left="640" w:right="66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6"/>
          <w:szCs w:val="16"/>
          <w:color w:val="auto"/>
        </w:rPr>
      </w:pPr>
    </w:p>
    <w:p>
      <w:pPr>
        <w:ind w:left="640" w:right="62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gains (recorded in Other expense, net) related to investments in co-development agreements to expand our position in transmission technologies.</w:t>
      </w:r>
    </w:p>
    <w:p>
      <w:pPr>
        <w:spacing w:after="0" w:line="1" w:lineRule="exact"/>
        <w:rPr>
          <w:rFonts w:ascii="Arial" w:cs="Arial" w:eastAsia="Arial" w:hAnsi="Arial"/>
          <w:sz w:val="16"/>
          <w:szCs w:val="16"/>
          <w:color w:val="auto"/>
        </w:rPr>
      </w:pPr>
    </w:p>
    <w:p>
      <w:pPr>
        <w:ind w:left="640" w:right="64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spacing w:after="0" w:line="1" w:lineRule="exact"/>
        <w:rPr>
          <w:rFonts w:ascii="Arial" w:cs="Arial" w:eastAsia="Arial" w:hAnsi="Arial"/>
          <w:sz w:val="16"/>
          <w:szCs w:val="16"/>
          <w:color w:val="auto"/>
        </w:rPr>
      </w:pPr>
    </w:p>
    <w:p>
      <w:pPr>
        <w:jc w:val="both"/>
        <w:ind w:left="640" w:right="36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adjustments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1" w:lineRule="exact"/>
        <w:rPr>
          <w:rFonts w:ascii="Arial" w:cs="Arial" w:eastAsia="Arial" w:hAnsi="Arial"/>
          <w:sz w:val="16"/>
          <w:szCs w:val="16"/>
          <w:color w:val="auto"/>
        </w:rPr>
      </w:pPr>
    </w:p>
    <w:p>
      <w:pPr>
        <w:ind w:left="640" w:right="300" w:hanging="388"/>
        <w:spacing w:after="0" w:line="22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(gains) losses (recorded in Other income, net) on intercompany financing transactions related to investments in plant assets for our India facility.</w:t>
      </w:r>
    </w:p>
    <w:p>
      <w:pPr>
        <w:spacing w:after="0" w:line="1" w:lineRule="exact"/>
        <w:rPr>
          <w:rFonts w:ascii="Arial" w:cs="Arial" w:eastAsia="Arial" w:hAnsi="Arial"/>
          <w:sz w:val="16"/>
          <w:szCs w:val="16"/>
          <w:color w:val="auto"/>
        </w:rPr>
      </w:pPr>
    </w:p>
    <w:p>
      <w:pPr>
        <w:ind w:left="640" w:hanging="388"/>
        <w:spacing w:after="0" w:line="23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restructuring charges (recorded in Cost of sales, Selling, general and administrative, and Engineering - research and development) related to voluntary and involuntary separation programs for both hourly and salaried employees in 2020.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September 30, 2021 and 2020</w:t>
      </w:r>
    </w:p>
    <w:p>
      <w:pPr>
        <w:spacing w:after="0" w:line="10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September 30, 2021 and 2020.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567</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532</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306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54</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52</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261</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254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48</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18</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6</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115</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126</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24</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128</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24</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(6)</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124</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18</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94</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77</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14%</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20" w:firstLine="522"/>
        <w:spacing w:after="0" w:line="247" w:lineRule="auto"/>
        <w:rPr>
          <w:sz w:val="20"/>
          <w:szCs w:val="20"/>
          <w:color w:val="auto"/>
        </w:rPr>
      </w:pPr>
      <w:r>
        <w:rPr>
          <w:rFonts w:ascii="Arial" w:cs="Arial" w:eastAsia="Arial" w:hAnsi="Arial"/>
          <w:sz w:val="15"/>
          <w:szCs w:val="15"/>
          <w:color w:val="auto"/>
        </w:rPr>
        <w:t>Net sales for the quarter ended September 30, 2021 were $567 million compared to $532 million for the quarter ended September 30, 2020, an increase of 7%. The increase was principally driven by a $22 million, or 31%, increase in net sales in the Outside North America On-Highway end market principally driven by the recovery in customer demand following the pandemic-related disruptions experienced in 2020 and the execution of our growth initiatives, a $19 million, or 1,900%, increase in net sales in the North America Off-Highway end market principally driven by higher demand for hydraulic fracturing applications, a $10 million, or 250%, increase in net sales in the Outside North America Off-Highway end market principally driven by higher demand in the energy, mining and construction sectors and a $7 million, or 6%, increase in net sales in the Service Parts, Support Equipment and Other end market principally driven by higher demand for global service parts, partially offset by decreased sales of aluminum die cast components, partially offset by a $17 million, or 30%, decrease in net sales in the Defense end market principally driven by lower demand for Tracked vehicle applications and a $6 million, or 2%, decrease in net sales in the North America On-Highway end market principally driven by lower demand due to supply chain, labor and raw material constraints impacting the broader commercial vehicle supply base.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jc w:val="both"/>
        <w:ind w:right="20" w:firstLine="522"/>
        <w:spacing w:after="0" w:line="234" w:lineRule="auto"/>
        <w:rPr>
          <w:sz w:val="20"/>
          <w:szCs w:val="20"/>
          <w:color w:val="auto"/>
        </w:rPr>
      </w:pPr>
      <w:r>
        <w:rPr>
          <w:rFonts w:ascii="Arial" w:cs="Arial" w:eastAsia="Arial" w:hAnsi="Arial"/>
          <w:sz w:val="16"/>
          <w:szCs w:val="16"/>
          <w:color w:val="auto"/>
        </w:rPr>
        <w:t>Cost of sales for the quarter ended September 30, 2021 was $306 million compared to $278 million for the quarter ended September 30, 2020, an increase of 10%. The increase was principally driven by unfavorable material costs, increased direct material and manufacturing expense commensurate with increased net sales and higher incentive compensation expense.</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Gross profit for the quarter ended September 30, 2021 was $261 million compared to $ 254 million for the quarter ended September 30, 2020, an increase of 3%. The increase was principally driven by $29 million related to increased net sales and $8 million of price increases on certain products, partially offset by $16 million of unfavorable material costs, $11 million of higher manufacturing expense commensurate with increased net sales and higher incentive compensation expense. Gross profit as a percent of net sales for the three months ended September 30, 2021 decreased 170 basis points compared to the same period in 2020 principally driven 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unfavorable material costs and higher incentive compensation expense, partially offset by increased net sales and price increases on certain products.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firstLine="522"/>
        <w:spacing w:after="0" w:line="255" w:lineRule="auto"/>
        <w:rPr>
          <w:sz w:val="20"/>
          <w:szCs w:val="20"/>
          <w:color w:val="auto"/>
        </w:rPr>
      </w:pPr>
      <w:r>
        <w:rPr>
          <w:rFonts w:ascii="Arial" w:cs="Arial" w:eastAsia="Arial" w:hAnsi="Arial"/>
          <w:sz w:val="15"/>
          <w:szCs w:val="15"/>
          <w:color w:val="auto"/>
        </w:rPr>
        <w:t>Selling, general and administrative expenses for the quarter ended September 30, 2021 were $73 million compared to $93 million for the quarter ended September 30, 2020, a decrease of 22%. The decrease was principally driven by unfavorable product warranty adjustments in the third quarter of 2020 that did not recur in 2021 and lower stock compensation expense, partially offset by higher commercial activities spending and higher incentive compensation expense.</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100" w:firstLine="522"/>
        <w:spacing w:after="0" w:line="237" w:lineRule="auto"/>
        <w:rPr>
          <w:sz w:val="20"/>
          <w:szCs w:val="20"/>
          <w:color w:val="auto"/>
        </w:rPr>
      </w:pPr>
      <w:r>
        <w:rPr>
          <w:rFonts w:ascii="Arial" w:cs="Arial" w:eastAsia="Arial" w:hAnsi="Arial"/>
          <w:sz w:val="16"/>
          <w:szCs w:val="16"/>
          <w:color w:val="auto"/>
        </w:rPr>
        <w:t>Engineering expenses for the quarter ended September 30, 2021 were $42 million compared to $33 million for the quarter ended September 30, 2020, an increase of 27%. The increase was principally driven by increased product initiatives spending.</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jc w:val="both"/>
        <w:ind w:right="300" w:firstLine="522"/>
        <w:spacing w:after="0" w:line="252" w:lineRule="auto"/>
        <w:rPr>
          <w:sz w:val="20"/>
          <w:szCs w:val="20"/>
          <w:color w:val="auto"/>
        </w:rPr>
      </w:pPr>
      <w:r>
        <w:rPr>
          <w:rFonts w:ascii="Arial" w:cs="Arial" w:eastAsia="Arial" w:hAnsi="Arial"/>
          <w:sz w:val="15"/>
          <w:szCs w:val="15"/>
          <w:color w:val="auto"/>
        </w:rPr>
        <w:t>Interest expense, net for the quarter ended September 30, 2021 was $28 million compared to $ 34 million for the quarter ended September 30, 2020, a decrease of 18%. The decrease was principally driven by $3 million of decreased interest expense due to lower interest rates as a result of our long-term debt refinancing in the fourth quarter of 2020 that extended maturities at lower fixed interest rates, $1 million of decreased interest expense on ATI’s revolving credit facility with commitments in the amount of $650 due September 2025 (“Revolving Credit Facility”) and $1 million of increased interest income.</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jc w:val="both"/>
        <w:ind w:firstLine="522"/>
        <w:spacing w:after="0" w:line="234" w:lineRule="auto"/>
        <w:rPr>
          <w:sz w:val="20"/>
          <w:szCs w:val="20"/>
          <w:color w:val="auto"/>
        </w:rPr>
      </w:pPr>
      <w:r>
        <w:rPr>
          <w:rFonts w:ascii="Arial" w:cs="Arial" w:eastAsia="Arial" w:hAnsi="Arial"/>
          <w:sz w:val="16"/>
          <w:szCs w:val="16"/>
          <w:color w:val="auto"/>
        </w:rPr>
        <w:t>Other income, net for the quarter ended September 30, 2021 was $6 million compared to $4 million for the quarter ended September 30, 2020, an increase of 50%. The increase was principally driven by a $4 million gain related to technology-related investments, partially offset by a $1 million gain in the third quarter of 2020 associated with assets held in a rabbi trust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jc w:val="both"/>
        <w:ind w:right="100" w:firstLine="522"/>
        <w:spacing w:after="0" w:line="255" w:lineRule="auto"/>
        <w:rPr>
          <w:sz w:val="20"/>
          <w:szCs w:val="20"/>
          <w:color w:val="auto"/>
        </w:rPr>
      </w:pPr>
      <w:r>
        <w:rPr>
          <w:rFonts w:ascii="Arial" w:cs="Arial" w:eastAsia="Arial" w:hAnsi="Arial"/>
          <w:sz w:val="15"/>
          <w:szCs w:val="15"/>
          <w:color w:val="auto"/>
        </w:rPr>
        <w:t>Income tax expense for the three months ended September 30, 2021 was $30 million, resulting in an effective tax rate of 24%, compared to $21 million of income tax expense and an effective tax rate of 21% for the three months ended September 30, 2020. The increase in income tax expense was principally driven by increased taxable income. The increase in the effective tax rate was principally driven by decreased estimated U.S. federal income tax deductions.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nine months ended September 30, 2021 and 2020</w:t>
      </w:r>
    </w:p>
    <w:p>
      <w:pPr>
        <w:spacing w:after="0" w:line="10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The following table sets forth certain financial information for the nine months ended September 30, 2021 and 2020.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Nine Months Ended September 30,</w:t>
            </w:r>
          </w:p>
        </w:tc>
        <w:tc>
          <w:tcPr>
            <w:tcW w:w="1300" w:type="dxa"/>
            <w:vAlign w:val="bottom"/>
            <w:tcBorders>
              <w:bottom w:val="single" w:sz="8" w:color="auto"/>
            </w:tcBorders>
          </w:tcPr>
          <w:p>
            <w:pPr>
              <w:spacing w:after="0"/>
              <w:rPr>
                <w:sz w:val="13"/>
                <w:szCs w:val="13"/>
                <w:color w:val="auto"/>
              </w:rPr>
            </w:pPr>
          </w:p>
        </w:tc>
      </w:tr>
      <w:tr>
        <w:trPr>
          <w:trHeight w:val="133"/>
        </w:trPr>
        <w:tc>
          <w:tcPr>
            <w:tcW w:w="4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460" w:type="dxa"/>
            <w:vAlign w:val="bottom"/>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of net sales</w:t>
            </w:r>
          </w:p>
        </w:tc>
        <w:tc>
          <w:tcPr>
            <w:tcW w:w="260" w:type="dxa"/>
            <w:vAlign w:val="bottom"/>
          </w:tcPr>
          <w:p>
            <w:pPr>
              <w:spacing w:after="0"/>
              <w:rPr>
                <w:sz w:val="13"/>
                <w:szCs w:val="13"/>
                <w:color w:val="auto"/>
              </w:rPr>
            </w:pPr>
          </w:p>
        </w:tc>
        <w:tc>
          <w:tcPr>
            <w:tcW w:w="1000" w:type="dxa"/>
            <w:vAlign w:val="bottom"/>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300" w:type="dxa"/>
            <w:vAlign w:val="bottom"/>
          </w:tcPr>
          <w:p>
            <w:pPr>
              <w:jc w:val="right"/>
              <w:ind w:right="304"/>
              <w:spacing w:after="0"/>
              <w:rPr>
                <w:sz w:val="20"/>
                <w:szCs w:val="20"/>
                <w:color w:val="auto"/>
              </w:rPr>
            </w:pPr>
            <w:r>
              <w:rPr>
                <w:rFonts w:ascii="Arial" w:cs="Arial" w:eastAsia="Arial" w:hAnsi="Arial"/>
                <w:sz w:val="13"/>
                <w:szCs w:val="13"/>
                <w:b w:val="1"/>
                <w:bCs w:val="1"/>
                <w:color w:val="auto"/>
              </w:rPr>
              <w:t>of net sales</w:t>
            </w:r>
          </w:p>
        </w:tc>
      </w:tr>
      <w:tr>
        <w:trPr>
          <w:trHeight w:val="180"/>
        </w:trPr>
        <w:tc>
          <w:tcPr>
            <w:tcW w:w="44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4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1,758</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1,546</w:t>
            </w:r>
          </w:p>
        </w:tc>
        <w:tc>
          <w:tcPr>
            <w:tcW w:w="12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918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52</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52</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840</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745</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48</w:t>
            </w: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Operating expenses:</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8"/>
        </w:trPr>
        <w:tc>
          <w:tcPr>
            <w:tcW w:w="4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226</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15</w:t>
            </w:r>
          </w:p>
        </w:tc>
      </w:tr>
      <w:tr>
        <w:trPr>
          <w:trHeight w:val="188"/>
        </w:trPr>
        <w:tc>
          <w:tcPr>
            <w:tcW w:w="44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7</w:t>
            </w:r>
          </w:p>
        </w:tc>
      </w:tr>
      <w:tr>
        <w:trPr>
          <w:trHeight w:val="180"/>
        </w:trPr>
        <w:tc>
          <w:tcPr>
            <w:tcW w:w="446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347</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21</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344</w:t>
            </w:r>
          </w:p>
        </w:tc>
        <w:tc>
          <w:tcPr>
            <w:tcW w:w="12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22</w:t>
            </w:r>
          </w:p>
        </w:tc>
      </w:tr>
      <w:tr>
        <w:trPr>
          <w:trHeight w:val="180"/>
        </w:trPr>
        <w:tc>
          <w:tcPr>
            <w:tcW w:w="446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493</w:t>
            </w:r>
          </w:p>
        </w:tc>
        <w:tc>
          <w:tcPr>
            <w:tcW w:w="12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401</w:t>
            </w:r>
          </w:p>
        </w:tc>
        <w:tc>
          <w:tcPr>
            <w:tcW w:w="120" w:type="dxa"/>
            <w:vAlign w:val="bottom"/>
          </w:tcPr>
          <w:p>
            <w:pPr>
              <w:spacing w:after="0"/>
              <w:rPr>
                <w:sz w:val="15"/>
                <w:szCs w:val="15"/>
                <w:color w:val="auto"/>
              </w:rPr>
            </w:pPr>
          </w:p>
        </w:tc>
        <w:tc>
          <w:tcPr>
            <w:tcW w:w="130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26</w:t>
            </w: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(6)</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80"/>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418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309</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20</w:t>
            </w: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w:t>
            </w:r>
          </w:p>
        </w:tc>
      </w:tr>
      <w:tr>
        <w:trPr>
          <w:trHeight w:val="180"/>
        </w:trPr>
        <w:tc>
          <w:tcPr>
            <w:tcW w:w="44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324</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239</w:t>
            </w:r>
          </w:p>
        </w:tc>
        <w:tc>
          <w:tcPr>
            <w:tcW w:w="12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15%</w:t>
            </w:r>
          </w:p>
        </w:tc>
      </w:tr>
      <w:tr>
        <w:trPr>
          <w:trHeight w:val="20"/>
        </w:trPr>
        <w:tc>
          <w:tcPr>
            <w:tcW w:w="4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60" w:firstLine="522"/>
        <w:spacing w:after="0" w:line="231" w:lineRule="auto"/>
        <w:rPr>
          <w:sz w:val="20"/>
          <w:szCs w:val="20"/>
          <w:color w:val="auto"/>
        </w:rPr>
      </w:pPr>
      <w:r>
        <w:rPr>
          <w:rFonts w:ascii="Arial" w:cs="Arial" w:eastAsia="Arial" w:hAnsi="Arial"/>
          <w:sz w:val="16"/>
          <w:szCs w:val="16"/>
          <w:color w:val="auto"/>
        </w:rPr>
        <w:t>Net sales for the nine months ended September 30, 2021 were $1,758 million compared to $1,546 million for the nine months ended September 30, 2020, an increase of 14%. The increase was principally driven by a $99 million, or 12%, increase in net sales in the North America On-Highway end market and a $72 million, or 35%, increase in net sales in the Outside North America On-Highway end market both of which were principally driven by the recovery in customer demand following the pandemic-related disruptions experienced in 2020, a $30 million, or 9%, increase in net sales in the Service Parts, Support Equipment and Other end market principally driven by higher demand for service parts, support equipment and aluminum die cast components and a $19 million, or 158%, increase in net sales in the North America Off-Highway end market principally driven by higher demand for hydraulic fracturing applications, partially offset by a $6 million, or 4%, decrease in net sales in the Defense end market principally driven by lower Wheeled vehicle demand partially offset by higher demand for Tracked vehicle applications and a $2 million, or 4%, decrease in net sales in the Outside North America Off-Highway end market principally driven by lower demand in the energy sector partially offset by higher demand in the mining and construction sectors.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100" w:firstLine="522"/>
        <w:spacing w:after="0" w:line="233" w:lineRule="auto"/>
        <w:rPr>
          <w:sz w:val="20"/>
          <w:szCs w:val="20"/>
          <w:color w:val="auto"/>
        </w:rPr>
      </w:pPr>
      <w:r>
        <w:rPr>
          <w:rFonts w:ascii="Arial" w:cs="Arial" w:eastAsia="Arial" w:hAnsi="Arial"/>
          <w:sz w:val="16"/>
          <w:szCs w:val="16"/>
          <w:color w:val="auto"/>
        </w:rPr>
        <w:t>Cost of sales for the nine months ended September 30, 2021 was $918 million compared to $801 million for the nine months ended September 30, 2020, an increase of 15%. The increase was principally driven by increased direct material and manufacturing expense commensurate with increased net sales, unfavorable material costs and higher incentive compensation expense, partially offset by restructuring charges in the second quarter of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40" w:firstLine="522"/>
        <w:spacing w:after="0" w:line="232" w:lineRule="auto"/>
        <w:rPr>
          <w:sz w:val="20"/>
          <w:szCs w:val="20"/>
          <w:color w:val="auto"/>
        </w:rPr>
      </w:pPr>
      <w:r>
        <w:rPr>
          <w:rFonts w:ascii="Arial" w:cs="Arial" w:eastAsia="Arial" w:hAnsi="Arial"/>
          <w:sz w:val="16"/>
          <w:szCs w:val="16"/>
          <w:color w:val="auto"/>
        </w:rPr>
        <w:t>Gross profit for the nine months ended September 30, 2021 was $840 million compared to $ 745 million for the nine months ended September 30, 2020, an increase of 13%. The increase was principally driven by $151 million related to increased net sales, $21 million of price increases on certain products and $5 million of restructuring charges in the second quarter of 2020 that did not recur 2021, partially offset by $34 million of higher manufacturing expense commensurate with increased net sales, $34 million of unfavorable material costs and $14 million of higher incentive compensation expense. Gross profit as a percent of net sales for the nine months ended September 30,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2021 decreased 40 basis points compared to the same period in 2020 principally driven by unfavorable material costs and higher incentive compensation expense, partially offset by increased net sales, price increases on certain products and restructuring charges in the second quarter of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140" w:firstLine="522"/>
        <w:spacing w:after="0" w:line="233" w:lineRule="auto"/>
        <w:rPr>
          <w:sz w:val="20"/>
          <w:szCs w:val="20"/>
          <w:color w:val="auto"/>
        </w:rPr>
      </w:pPr>
      <w:r>
        <w:rPr>
          <w:rFonts w:ascii="Arial" w:cs="Arial" w:eastAsia="Arial" w:hAnsi="Arial"/>
          <w:sz w:val="16"/>
          <w:szCs w:val="16"/>
          <w:color w:val="auto"/>
        </w:rPr>
        <w:t>Selling, general and administrative expenses for the nine months ended September 30, 2021 were $226 million compared to $237 million for nine months ended September 30, 2020, a decrease of 5%. The decrease was principally driven by unfavorable product warranty adjustments in 2020 that did not recur in 2021, $5 million of lower intangible amortization expense and $3 million of restructuring charges in the second quarter of 2020 that did not recur in 2021, partially offset by higher incentive compensation expense and higher commercial activities spending.</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580" w:firstLine="522"/>
        <w:spacing w:after="0" w:line="234" w:lineRule="auto"/>
        <w:rPr>
          <w:sz w:val="20"/>
          <w:szCs w:val="20"/>
          <w:color w:val="auto"/>
        </w:rPr>
      </w:pPr>
      <w:r>
        <w:rPr>
          <w:rFonts w:ascii="Arial" w:cs="Arial" w:eastAsia="Arial" w:hAnsi="Arial"/>
          <w:sz w:val="16"/>
          <w:szCs w:val="16"/>
          <w:color w:val="auto"/>
        </w:rPr>
        <w:t>Engineering expenses for the nine months ended September 30, 2021 were $121 million compared to $107 million for the nine months ended September 30, 2020, an increase of 13%. The increase was principally driven by increased product initiatives spending and higher incentive compensation expense, partially offset by $4 million of restructuring charges in the second quarter of 2020 that did not recur in 2021.</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firstLine="522"/>
        <w:spacing w:after="0" w:line="232" w:lineRule="auto"/>
        <w:rPr>
          <w:sz w:val="20"/>
          <w:szCs w:val="20"/>
          <w:color w:val="auto"/>
        </w:rPr>
      </w:pPr>
      <w:r>
        <w:rPr>
          <w:rFonts w:ascii="Arial" w:cs="Arial" w:eastAsia="Arial" w:hAnsi="Arial"/>
          <w:sz w:val="16"/>
          <w:szCs w:val="16"/>
          <w:color w:val="auto"/>
        </w:rPr>
        <w:t>Interest expense, net for the nine months ended September 30, 2021 was $87 million compared to $100 million for the nine months ended September 30, 2020, a decrease of 13%. The decrease was principally driven by $9 million of decreased interest expense due to lower interest rates as a result of our long-term debt refinancing in the fourth quarter of 2020 that extended maturities at lower fixed interest rates, approximately $3 million of lower interest expense on ATI’s Term Loan due to lower variable interest rates, $2 million of decreased interest expense on ATI’s Revolving Credit Facility and $1 million of increased interest income, partially offset by $3 million of increased interest expense on interest rate hedges.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right="80" w:firstLine="522"/>
        <w:spacing w:after="0" w:line="234" w:lineRule="auto"/>
        <w:rPr>
          <w:sz w:val="20"/>
          <w:szCs w:val="20"/>
          <w:color w:val="auto"/>
        </w:rPr>
      </w:pPr>
      <w:r>
        <w:rPr>
          <w:rFonts w:ascii="Arial" w:cs="Arial" w:eastAsia="Arial" w:hAnsi="Arial"/>
          <w:sz w:val="16"/>
          <w:szCs w:val="16"/>
          <w:color w:val="auto"/>
        </w:rPr>
        <w:t>Other income, net for the nine months ended September 30, 2021 was $12 million compared to $8 million for the nine months ended September 30, 2020. The change was principally driven by a $4 million gain related to technology-related investments and $2 million of favorable foreign exchange on intercompany financing, partially offset by $2 million of reduced post-retirement benefit plan credits.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jc w:val="both"/>
        <w:ind w:right="180" w:firstLine="522"/>
        <w:spacing w:after="0" w:line="255" w:lineRule="auto"/>
        <w:rPr>
          <w:sz w:val="20"/>
          <w:szCs w:val="20"/>
          <w:color w:val="auto"/>
        </w:rPr>
      </w:pPr>
      <w:r>
        <w:rPr>
          <w:rFonts w:ascii="Arial" w:cs="Arial" w:eastAsia="Arial" w:hAnsi="Arial"/>
          <w:sz w:val="15"/>
          <w:szCs w:val="15"/>
          <w:color w:val="auto"/>
        </w:rPr>
        <w:t>Income tax expense for the nine months ended September 30, 2021 was $94 million, resulting in an effective tax rate of 22%, compared to $70 million of income tax expense and an effective tax rate of 23% for the nine months ended September 30, 2020. The increase in income tax expense was principally driven by increased taxable income. The decrease in the effective tax rate was principally driven by increased estimated U.S. federal income tax deductions.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$261 million and $310 million as of September 30, 2021 and December 31, 2020, respectively. Of the available cash and cash equivalents, $146 million and $150 million were deposited in operating accounts as of September 30, 2021 and December 31, 2020, respectively, while $115 million and $160 million were invested in U.S. government backed securities as of September 30, 2021 and December 31, 2020, respectively.</w:t>
      </w:r>
    </w:p>
    <w:p>
      <w:pPr>
        <w:spacing w:after="0" w:line="87" w:lineRule="exact"/>
        <w:rPr>
          <w:sz w:val="20"/>
          <w:szCs w:val="20"/>
          <w:color w:val="auto"/>
        </w:rPr>
      </w:pPr>
    </w:p>
    <w:p>
      <w:pPr>
        <w:ind w:right="220" w:firstLine="522"/>
        <w:spacing w:after="0" w:line="233" w:lineRule="auto"/>
        <w:rPr>
          <w:sz w:val="20"/>
          <w:szCs w:val="20"/>
          <w:color w:val="auto"/>
        </w:rPr>
      </w:pPr>
      <w:r>
        <w:rPr>
          <w:rFonts w:ascii="Arial" w:cs="Arial" w:eastAsia="Arial" w:hAnsi="Arial"/>
          <w:sz w:val="16"/>
          <w:szCs w:val="16"/>
          <w:color w:val="auto"/>
        </w:rPr>
        <w:t>As of September 30, 2021, the total of cash and cash equivalents held by foreign subsidiaries was $116 million, the majority of which was at our subsidiaries located in China and the Netherlands.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initiatives or operating needs with local resources.</w:t>
      </w:r>
    </w:p>
    <w:p>
      <w:pPr>
        <w:spacing w:after="0" w:line="131" w:lineRule="exact"/>
        <w:rPr>
          <w:sz w:val="20"/>
          <w:szCs w:val="20"/>
          <w:color w:val="auto"/>
        </w:rPr>
      </w:pPr>
    </w:p>
    <w:p>
      <w:pPr>
        <w:jc w:val="both"/>
        <w:ind w:right="20" w:firstLine="522"/>
        <w:spacing w:after="0" w:line="233"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31" w:lineRule="exact"/>
        <w:rPr>
          <w:sz w:val="20"/>
          <w:szCs w:val="20"/>
          <w:color w:val="auto"/>
        </w:rPr>
      </w:pPr>
    </w:p>
    <w:p>
      <w:pPr>
        <w:jc w:val="both"/>
        <w:ind w:right="140" w:firstLine="522"/>
        <w:spacing w:after="0" w:line="245" w:lineRule="auto"/>
        <w:rPr>
          <w:sz w:val="20"/>
          <w:szCs w:val="20"/>
          <w:color w:val="auto"/>
        </w:rPr>
      </w:pPr>
      <w:r>
        <w:rPr>
          <w:rFonts w:ascii="Arial" w:cs="Arial" w:eastAsia="Arial" w:hAnsi="Arial"/>
          <w:sz w:val="15"/>
          <w:szCs w:val="15"/>
          <w:color w:val="auto"/>
        </w:rPr>
        <w:t>Our liquidity requirements are significant, primarily due to our debt service requirements. As of September 30, 2021, we had $633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w:t>
      </w:r>
    </w:p>
    <w:p>
      <w:pPr>
        <w:ind w:right="20"/>
        <w:spacing w:after="0" w:line="232" w:lineRule="auto"/>
        <w:rPr>
          <w:sz w:val="20"/>
          <w:szCs w:val="20"/>
          <w:color w:val="auto"/>
        </w:rPr>
      </w:pPr>
      <w:r>
        <w:rPr>
          <w:rFonts w:ascii="Arial" w:cs="Arial" w:eastAsia="Arial" w:hAnsi="Arial"/>
          <w:sz w:val="16"/>
          <w:szCs w:val="16"/>
          <w:color w:val="auto"/>
        </w:rPr>
        <w:t>3.75% Senior Notes due January 2031 (“3.75% Senior Notes” and, together with the 4.75% Senior Notes and 5.875% Senior Notes, the “Senior Notes”). Short-term and long-term debt service liquidity requirements consist of $2 million of minimum required quarterly principal payments on ATI’s Term Loan through its maturity date of March 2026 and periodic interest payments on ATI’s Term Loan and the Senior Notes. There are no required quarterly principal payments on ATI’s Senior Notes. Long-term debt service liquidity requirements also consist of the payment in full of any remaining principal balance of ATI’s Term Loan and the Senior Notes upon their respective maturity dates.</w:t>
      </w:r>
    </w:p>
    <w:p>
      <w:pPr>
        <w:spacing w:after="0" w:line="132" w:lineRule="exact"/>
        <w:rPr>
          <w:sz w:val="20"/>
          <w:szCs w:val="20"/>
          <w:color w:val="auto"/>
        </w:rPr>
      </w:pPr>
    </w:p>
    <w:p>
      <w:pPr>
        <w:jc w:val="both"/>
        <w:ind w:right="340" w:firstLine="522"/>
        <w:spacing w:after="0" w:line="234" w:lineRule="auto"/>
        <w:rPr>
          <w:sz w:val="20"/>
          <w:szCs w:val="20"/>
          <w:color w:val="auto"/>
        </w:rPr>
      </w:pPr>
      <w:r>
        <w:rPr>
          <w:rFonts w:ascii="Arial" w:cs="Arial" w:eastAsia="Arial" w:hAnsi="Arial"/>
          <w:sz w:val="16"/>
          <w:szCs w:val="16"/>
          <w:color w:val="auto"/>
        </w:rPr>
        <w:t>We made $5 million of principal payments on the Term Loan during each of the nine months ended September 30, 2021 and 2020. Our ability to make payments on and refinance our indebtedness and to fund planned capital expenditures and growth initiatives will depend on our ability to generate cash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4" w:lineRule="exact"/>
        <w:rPr>
          <w:sz w:val="20"/>
          <w:szCs w:val="20"/>
          <w:color w:val="auto"/>
        </w:rPr>
      </w:pPr>
    </w:p>
    <w:p>
      <w:pPr>
        <w:ind w:right="40" w:firstLine="522"/>
        <w:spacing w:after="0" w:line="231" w:lineRule="auto"/>
        <w:rPr>
          <w:sz w:val="20"/>
          <w:szCs w:val="20"/>
          <w:color w:val="auto"/>
        </w:rPr>
      </w:pPr>
      <w:r>
        <w:rPr>
          <w:rFonts w:ascii="Arial" w:cs="Arial" w:eastAsia="Arial" w:hAnsi="Arial"/>
          <w:sz w:val="16"/>
          <w:szCs w:val="16"/>
          <w:color w:val="auto"/>
        </w:rPr>
        <w:t>The Senior Secured Credit Facility provides for a $650 million Revolving Credit Facility, net of an allowance for up to $75 million in outstanding letter of credit commitments. As of September 30, 2021, we had $645 million available under the Revolving Credit Facility, net of $ 5 million in letters of credit.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2021, our first lien net leverage ratio was 0.46x.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2021, we are in compliance with all covenants under the Senior Secured Credit Facility and indentures governing the Senior Notes.</w:t>
      </w:r>
    </w:p>
    <w:p>
      <w:pPr>
        <w:spacing w:after="0" w:line="134" w:lineRule="exact"/>
        <w:rPr>
          <w:sz w:val="20"/>
          <w:szCs w:val="20"/>
          <w:color w:val="auto"/>
        </w:rPr>
      </w:pPr>
    </w:p>
    <w:p>
      <w:pPr>
        <w:ind w:right="20" w:firstLine="522"/>
        <w:spacing w:after="0" w:line="233" w:lineRule="auto"/>
        <w:rPr>
          <w:sz w:val="20"/>
          <w:szCs w:val="20"/>
          <w:color w:val="auto"/>
        </w:rPr>
      </w:pPr>
      <w:r>
        <w:rPr>
          <w:rFonts w:ascii="Arial" w:cs="Arial" w:eastAsia="Arial" w:hAnsi="Arial"/>
          <w:sz w:val="16"/>
          <w:szCs w:val="16"/>
          <w:color w:val="auto"/>
        </w:rPr>
        <w:t>Our credit ratings are reviewed by Moody’s Investors Service (“Moody’s”) and Fitch Ratings (“Fitch”) and in the third quarter, we received credit ratings upgrades from Moody’s and Fitch. Moody’s rates our corporate credit at ‘Ba1’, the Term Loan at ‘Baa2’, the 4.75% Senior Notes at ‘Ba2’, the 5.875% Senior Notes at 'Ba2' and the 3.75% Senior Notes at ‘Ba2’. Fitch rates our corporate credit at ‘BB’, the Term Loan at ‘BBB-’, the 4.75% Senior Notes at ‘BB’, the 5.875% Senior Notes at 'BB' and the 3.75% Senior Notes at ‘BB’.</w:t>
      </w:r>
    </w:p>
    <w:p>
      <w:pPr>
        <w:spacing w:after="0" w:line="84" w:lineRule="exact"/>
        <w:rPr>
          <w:sz w:val="20"/>
          <w:szCs w:val="20"/>
          <w:color w:val="auto"/>
        </w:rPr>
      </w:pPr>
    </w:p>
    <w:p>
      <w:pPr>
        <w:ind w:right="60" w:firstLine="522"/>
        <w:spacing w:after="0" w:line="233" w:lineRule="auto"/>
        <w:rPr>
          <w:sz w:val="20"/>
          <w:szCs w:val="20"/>
          <w:color w:val="auto"/>
        </w:rPr>
      </w:pPr>
      <w:r>
        <w:rPr>
          <w:rFonts w:ascii="Arial" w:cs="Arial" w:eastAsia="Arial" w:hAnsi="Arial"/>
          <w:sz w:val="16"/>
          <w:szCs w:val="16"/>
          <w:color w:val="auto"/>
        </w:rPr>
        <w:t>Our Board of Directors has authorized us to repurchase up to a certain amount of our common stock pursuant to a stock repurchase program (the "Repurchase Program"). During the nine months ended September 30, 2021, we repurchased $326 million of our common stock under the Repurchase Program. All of the repurchase transactions during the nine months ended September 30, 2021 were settled in cash during the same period. As of September 30, 2021, we had $501 million available under the Repurchase Program.</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nine months ended September 30, 2021 and 2020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1140" w:type="dxa"/>
            <w:vAlign w:val="bottom"/>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tcBorders>
              <w:bottom w:val="single" w:sz="8" w:color="auto"/>
            </w:tcBorders>
          </w:tcPr>
          <w:p>
            <w:pPr>
              <w:spacing w:after="0"/>
              <w:rPr>
                <w:sz w:val="13"/>
                <w:szCs w:val="13"/>
                <w:color w:val="auto"/>
              </w:rPr>
            </w:pPr>
          </w:p>
        </w:tc>
      </w:tr>
      <w:tr>
        <w:trPr>
          <w:trHeight w:val="144"/>
        </w:trPr>
        <w:tc>
          <w:tcPr>
            <w:tcW w:w="774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1020" w:type="dxa"/>
            <w:vAlign w:val="bottom"/>
            <w:tcBorders>
              <w:bottom w:val="single" w:sz="8" w:color="auto"/>
            </w:tcBorders>
          </w:tcPr>
          <w:p>
            <w:pPr>
              <w:jc w:val="right"/>
              <w:ind w:right="26"/>
              <w:spacing w:after="0" w:line="144" w:lineRule="exact"/>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2020</w:t>
            </w:r>
          </w:p>
        </w:tc>
      </w:tr>
      <w:tr>
        <w:trPr>
          <w:trHeight w:val="180"/>
        </w:trPr>
        <w:tc>
          <w:tcPr>
            <w:tcW w:w="77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020" w:type="dxa"/>
            <w:vAlign w:val="bottom"/>
            <w:shd w:val="clear" w:color="auto" w:fill="CFF0FC"/>
          </w:tcPr>
          <w:p>
            <w:pPr>
              <w:jc w:val="right"/>
              <w:ind w:right="846"/>
              <w:spacing w:after="0" w:line="180" w:lineRule="exact"/>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467</w:t>
            </w:r>
          </w:p>
        </w:tc>
        <w:tc>
          <w:tcPr>
            <w:tcW w:w="720" w:type="dxa"/>
            <w:vAlign w:val="bottom"/>
            <w:gridSpan w:val="2"/>
            <w:shd w:val="clear" w:color="auto" w:fill="CFF0FC"/>
          </w:tcPr>
          <w:p>
            <w:pPr>
              <w:jc w:val="right"/>
              <w:ind w:right="46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402</w:t>
            </w:r>
          </w:p>
        </w:tc>
      </w:tr>
      <w:tr>
        <w:trPr>
          <w:trHeight w:val="188"/>
        </w:trPr>
        <w:tc>
          <w:tcPr>
            <w:tcW w:w="774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020" w:type="dxa"/>
            <w:vAlign w:val="bottom"/>
          </w:tcPr>
          <w:p>
            <w:pPr>
              <w:jc w:val="right"/>
              <w:ind w:right="846"/>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(119)</w:t>
            </w:r>
          </w:p>
        </w:tc>
        <w:tc>
          <w:tcPr>
            <w:tcW w:w="7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
              <w:spacing w:after="0"/>
              <w:rPr>
                <w:sz w:val="20"/>
                <w:szCs w:val="20"/>
                <w:color w:val="auto"/>
              </w:rPr>
            </w:pPr>
            <w:r>
              <w:rPr>
                <w:rFonts w:ascii="Arial" w:cs="Arial" w:eastAsia="Arial" w:hAnsi="Arial"/>
                <w:sz w:val="16"/>
                <w:szCs w:val="16"/>
                <w:color w:val="auto"/>
              </w:rPr>
              <w:t>(80)</w:t>
            </w:r>
          </w:p>
        </w:tc>
      </w:tr>
      <w:tr>
        <w:trPr>
          <w:trHeight w:val="188"/>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1020" w:type="dxa"/>
            <w:vAlign w:val="bottom"/>
            <w:shd w:val="clear" w:color="auto" w:fill="CFF0FC"/>
          </w:tcPr>
          <w:p>
            <w:pPr>
              <w:jc w:val="right"/>
              <w:ind w:right="846"/>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(396)</w:t>
            </w:r>
          </w:p>
        </w:tc>
        <w:tc>
          <w:tcPr>
            <w:tcW w:w="7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(263)</w:t>
            </w:r>
          </w:p>
        </w:tc>
      </w:tr>
    </w:tbl>
    <w:p>
      <w:pPr>
        <w:spacing w:after="0" w:line="211" w:lineRule="exact"/>
        <w:rPr>
          <w:sz w:val="20"/>
          <w:szCs w:val="20"/>
          <w:color w:val="auto"/>
        </w:rPr>
      </w:pPr>
    </w:p>
    <w:p>
      <w:pPr>
        <w:ind w:right="100" w:firstLine="522"/>
        <w:spacing w:after="0" w:line="233" w:lineRule="auto"/>
        <w:rPr>
          <w:sz w:val="20"/>
          <w:szCs w:val="20"/>
          <w:color w:val="auto"/>
        </w:rPr>
      </w:pPr>
      <w:r>
        <w:rPr>
          <w:rFonts w:ascii="Arial" w:cs="Arial" w:eastAsia="Arial" w:hAnsi="Arial"/>
          <w:sz w:val="16"/>
          <w:szCs w:val="16"/>
          <w:color w:val="auto"/>
        </w:rPr>
        <w:t>Generally, cash provided by operating activities has been adequate to fund our operations. We have significant liquidity, including $261 million of cash and cash equivalents and $645 million available under the Revolving Credit Facility, net of $ 5 million of letters of credit, as of September 30, 2021. At this time, we believe cash provided by operating activities, cash and cash equivalents and borrowing capacity under the Senior Secured Credit Facility will be sufficient to meet our cash requirements for the next twelve months.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ind w:right="260" w:firstLine="522"/>
        <w:spacing w:after="0" w:line="234" w:lineRule="auto"/>
        <w:rPr>
          <w:sz w:val="20"/>
          <w:szCs w:val="20"/>
          <w:color w:val="auto"/>
        </w:rPr>
      </w:pPr>
      <w:r>
        <w:rPr>
          <w:rFonts w:ascii="Arial" w:cs="Arial" w:eastAsia="Arial" w:hAnsi="Arial"/>
          <w:sz w:val="16"/>
          <w:szCs w:val="16"/>
          <w:color w:val="auto"/>
        </w:rPr>
        <w:t>Operating activities for the nine months ended September 30, 2021 generated $467 million of cash compared to $402 million for the nine months ended September 30, 2020. The increase was principally driven by higher gross profit and lower cash incentive compensation payments, partially offset by higher operating working capital requirements and higher cash income taxes.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right="40" w:firstLine="528"/>
        <w:spacing w:after="0" w:line="233" w:lineRule="auto"/>
        <w:rPr>
          <w:sz w:val="20"/>
          <w:szCs w:val="20"/>
          <w:color w:val="auto"/>
        </w:rPr>
      </w:pPr>
      <w:r>
        <w:rPr>
          <w:rFonts w:ascii="Arial" w:cs="Arial" w:eastAsia="Arial" w:hAnsi="Arial"/>
          <w:sz w:val="16"/>
          <w:szCs w:val="16"/>
          <w:color w:val="auto"/>
        </w:rPr>
        <w:t>Investing activities for the nine months ended September 30, 2021 used $119 million of cash compared to $80 million for the nine months ended September 30, 2020. The increase was principally driven by a $28 million increase in capital expenditures, an $11 million loan to JJE to accelerate development of electrified powertrain solutions for global commercial vehicles and a $4 million net working capital settlement related to the acquisition of Walker Die Casting in 2020 that did not recur in 2021, partially offset by $4 million of proceeds from technology-related investments.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04" w:lineRule="exact"/>
        <w:rPr>
          <w:sz w:val="20"/>
          <w:szCs w:val="20"/>
          <w:color w:val="auto"/>
        </w:rPr>
      </w:pPr>
    </w:p>
    <w:p>
      <w:pPr>
        <w:jc w:val="both"/>
        <w:ind w:right="640" w:firstLine="522"/>
        <w:spacing w:after="0" w:line="234" w:lineRule="auto"/>
        <w:rPr>
          <w:sz w:val="20"/>
          <w:szCs w:val="20"/>
          <w:color w:val="auto"/>
        </w:rPr>
      </w:pPr>
      <w:r>
        <w:rPr>
          <w:rFonts w:ascii="Arial" w:cs="Arial" w:eastAsia="Arial" w:hAnsi="Arial"/>
          <w:sz w:val="16"/>
          <w:szCs w:val="16"/>
          <w:color w:val="auto"/>
        </w:rPr>
        <w:t>Financing activities for the nine months ended September 30, 2021 used $396 million of cash compared to $263 million for the nine months ended September 30, 2020. The change was principally driven by $130 million of increased stock repurchases under the Repurchase Program and $4 million of increased dividend payments.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ind w:right="120" w:firstLine="522"/>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firstLine="522"/>
        <w:spacing w:after="0" w:line="248" w:lineRule="auto"/>
        <w:rPr>
          <w:sz w:val="20"/>
          <w:szCs w:val="20"/>
          <w:color w:val="auto"/>
        </w:rPr>
      </w:pPr>
      <w:r>
        <w:rPr>
          <w:rFonts w:ascii="Arial" w:cs="Arial" w:eastAsia="Arial" w:hAnsi="Arial"/>
          <w:sz w:val="15"/>
          <w:szCs w:val="15"/>
          <w:color w:val="auto"/>
        </w:rPr>
        <w:t>A discussion of our critical accounting policies and significant accounting estimates is included in Part II, Item 7, “Management’s Discussion and Analysis of Financial Condition and Results of Operations” in our Annual Report on Form 10-K for the year ended December 31, 2020 as filed with the SEC on February 18, 2021.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firstLine="522"/>
        <w:spacing w:after="0" w:line="231"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duration and spread of the COVID-19 pandemic, including new variants of the virus and the pace and availability of vaccines, mitigating efforts deployed by government agencies and the public at large, and the overall impact from such outbreak on economic conditions, financial market volatility and our business, including but not limited to the operations of our manufacturing and other facilities, our supply chain, our distribution processes and demand for our products and the corresponding impacts to our net sales and cash flow; increases in cost, disruption of supply or shortage of labor, freight, raw materials or components used to manufacture or transport our products or those of our customers or suppliers, including as a result of the COVID-19 pandemic;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 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labor stoppages, labor strikes, work stoppages or similar labor disputes, which could significantly disrupt our operations or those of our principal customers or suppliers; and our intention to pay dividends and repurchase shares of our common stock.</w:t>
      </w:r>
    </w:p>
    <w:p>
      <w:pPr>
        <w:spacing w:after="0" w:line="84" w:lineRule="exact"/>
        <w:rPr>
          <w:sz w:val="20"/>
          <w:szCs w:val="20"/>
          <w:color w:val="auto"/>
        </w:rPr>
      </w:pPr>
    </w:p>
    <w:p>
      <w:pPr>
        <w:ind w:right="20" w:firstLine="522"/>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2020 as filed with the SEC on February 18, 2021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 time to time in our other SEC filings or public communications. You should evaluate all forward-looking statements made in this Quarterly Report on Form 10-Q in the context of these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01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39" w:lineRule="exact"/>
        <w:rPr>
          <w:sz w:val="20"/>
          <w:szCs w:val="20"/>
          <w:color w:val="auto"/>
        </w:rPr>
      </w:pPr>
    </w:p>
    <w:p>
      <w:pPr>
        <w:ind w:left="260" w:right="1280" w:firstLine="259"/>
        <w:spacing w:after="0" w:line="35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ind w:left="520"/>
        <w:spacing w:after="0" w:line="230"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w:t>
      </w:r>
    </w:p>
    <w:p>
      <w:pPr>
        <w:spacing w:after="0" w:line="230" w:lineRule="auto"/>
        <w:rPr>
          <w:sz w:val="20"/>
          <w:szCs w:val="20"/>
          <w:color w:val="auto"/>
        </w:rPr>
      </w:pPr>
      <w:r>
        <w:rPr>
          <w:rFonts w:ascii="Arial" w:cs="Arial" w:eastAsia="Arial" w:hAnsi="Arial"/>
          <w:sz w:val="16"/>
          <w:szCs w:val="16"/>
          <w:color w:val="auto"/>
        </w:rPr>
        <w:t>amounts under our Senior Secured Credit Facility. Our Senior Secured Credit Facility provides for variable rate borrowings of up to $1,278 million, including</w:t>
      </w:r>
    </w:p>
    <w:p>
      <w:pPr>
        <w:spacing w:after="0"/>
        <w:rPr>
          <w:sz w:val="20"/>
          <w:szCs w:val="20"/>
          <w:color w:val="auto"/>
        </w:rPr>
      </w:pPr>
      <w:r>
        <w:rPr>
          <w:rFonts w:ascii="Arial" w:cs="Arial" w:eastAsia="Arial" w:hAnsi="Arial"/>
          <w:sz w:val="15"/>
          <w:szCs w:val="15"/>
          <w:color w:val="auto"/>
        </w:rPr>
        <w:t>$645 million under our Revolving Credit Facility, net of $5 million of letters of credit. A one-eighth percent increase or decrease in assumed interest rates for the</w:t>
      </w:r>
    </w:p>
    <w:p>
      <w:pPr>
        <w:spacing w:after="0" w:line="234" w:lineRule="auto"/>
        <w:rPr>
          <w:sz w:val="20"/>
          <w:szCs w:val="20"/>
          <w:color w:val="auto"/>
        </w:rPr>
      </w:pPr>
      <w:r>
        <w:rPr>
          <w:rFonts w:ascii="Arial" w:cs="Arial" w:eastAsia="Arial" w:hAnsi="Arial"/>
          <w:sz w:val="16"/>
          <w:szCs w:val="16"/>
          <w:color w:val="auto"/>
        </w:rPr>
        <w:t>Senior Secured Credit Facility, if fully drawn as of September 30, 2021, would have an impact of approximately $1 million on interest expense per year. As of</w:t>
      </w:r>
    </w:p>
    <w:p>
      <w:pPr>
        <w:spacing w:after="0"/>
        <w:rPr>
          <w:sz w:val="20"/>
          <w:szCs w:val="20"/>
          <w:color w:val="auto"/>
        </w:rPr>
      </w:pPr>
      <w:r>
        <w:rPr>
          <w:rFonts w:ascii="Arial" w:cs="Arial" w:eastAsia="Arial" w:hAnsi="Arial"/>
          <w:sz w:val="16"/>
          <w:szCs w:val="16"/>
          <w:color w:val="auto"/>
        </w:rPr>
        <w:t>September 30, 2021, we had no outstanding borrowings against the Revolving Credit Facility.</w:t>
      </w:r>
    </w:p>
    <w:p>
      <w:pPr>
        <w:spacing w:after="0" w:line="86" w:lineRule="exact"/>
        <w:rPr>
          <w:sz w:val="20"/>
          <w:szCs w:val="20"/>
          <w:color w:val="auto"/>
        </w:rPr>
      </w:pPr>
    </w:p>
    <w:p>
      <w:pPr>
        <w:ind w:right="20" w:firstLine="528"/>
        <w:spacing w:after="0" w:line="232" w:lineRule="auto"/>
        <w:rPr>
          <w:sz w:val="20"/>
          <w:szCs w:val="20"/>
          <w:color w:val="auto"/>
        </w:rPr>
      </w:pPr>
      <w:r>
        <w:rPr>
          <w:rFonts w:ascii="Arial" w:cs="Arial" w:eastAsia="Arial" w:hAnsi="Arial"/>
          <w:sz w:val="16"/>
          <w:szCs w:val="16"/>
          <w:color w:val="auto"/>
        </w:rPr>
        <w:t>From time to time, we enter into interest rate swap agreements to hedge the risk associated with our variable interest rate debt. As of September 30, 2021, we held interest rate swaps effective from (i) September 2019 to September 2022 with notional values totaling $250 million and a weighted average London Interbank Offered Rate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84" w:lineRule="exact"/>
        <w:rPr>
          <w:sz w:val="20"/>
          <w:szCs w:val="20"/>
          <w:color w:val="auto"/>
        </w:rPr>
      </w:pPr>
    </w:p>
    <w:p>
      <w:pPr>
        <w:ind w:right="40" w:firstLine="528"/>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$5 million per year. We believe our other exposure to foreign currencies is immaterial.</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As of September 30, 2021, approximately 67%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long-term agreements (“LTAs”). We historically have not entered into long-term purchase contracts related to the purchase of aluminum and steel.</w:t>
      </w:r>
    </w:p>
    <w:p>
      <w:pPr>
        <w:spacing w:after="0" w:line="84" w:lineRule="exact"/>
        <w:rPr>
          <w:sz w:val="20"/>
          <w:szCs w:val="20"/>
          <w:color w:val="auto"/>
        </w:rPr>
      </w:pPr>
    </w:p>
    <w:p>
      <w:pPr>
        <w:ind w:right="480" w:firstLine="528"/>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$5 million and $9 million per year, respectively.</w:t>
      </w:r>
    </w:p>
    <w:p>
      <w:pPr>
        <w:spacing w:after="0" w:line="83" w:lineRule="exact"/>
        <w:rPr>
          <w:sz w:val="20"/>
          <w:szCs w:val="20"/>
          <w:color w:val="auto"/>
        </w:rPr>
      </w:pPr>
    </w:p>
    <w:p>
      <w:pPr>
        <w:ind w:right="300" w:firstLine="528"/>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50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100" w:firstLine="528"/>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4" w:lineRule="exact"/>
        <w:rPr>
          <w:sz w:val="20"/>
          <w:szCs w:val="20"/>
          <w:color w:val="auto"/>
        </w:rPr>
      </w:pPr>
    </w:p>
    <w:p>
      <w:pPr>
        <w:ind w:firstLine="528"/>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120" w:firstLine="528"/>
        <w:spacing w:after="0" w:line="23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01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ind w:right="60" w:firstLine="528"/>
        <w:spacing w:after="0" w:line="233"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ind w:right="380" w:firstLine="528"/>
        <w:spacing w:after="0" w:line="237" w:lineRule="auto"/>
        <w:rPr>
          <w:sz w:val="20"/>
          <w:szCs w:val="20"/>
          <w:color w:val="auto"/>
        </w:rPr>
      </w:pPr>
      <w:r>
        <w:rPr>
          <w:rFonts w:ascii="Arial" w:cs="Arial" w:eastAsia="Arial" w:hAnsi="Arial"/>
          <w:sz w:val="16"/>
          <w:szCs w:val="16"/>
          <w:color w:val="auto"/>
        </w:rPr>
        <w:t>Except as set forth below, there have been no material changes from our risk factors as previously reported in Part I, Item 1A of our Annual Report on Form 10-K for the year ended December 31, 2020 as filed with the SEC on February 18, 2021.</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risk factors included in our Annual Report on Form 10-K for the year ended December 31, 2020 have been updated:</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Our financial condition and results of operations have been and may continue to be materially adversely affected by the coronavirus pandemic.</w:t>
      </w:r>
    </w:p>
    <w:p>
      <w:pPr>
        <w:spacing w:after="0" w:line="116" w:lineRule="exact"/>
        <w:rPr>
          <w:sz w:val="20"/>
          <w:szCs w:val="20"/>
          <w:color w:val="auto"/>
        </w:rPr>
      </w:pPr>
    </w:p>
    <w:p>
      <w:pPr>
        <w:ind w:firstLine="522"/>
        <w:spacing w:after="0" w:line="247" w:lineRule="auto"/>
        <w:rPr>
          <w:sz w:val="20"/>
          <w:szCs w:val="20"/>
          <w:color w:val="auto"/>
        </w:rPr>
      </w:pPr>
      <w:r>
        <w:rPr>
          <w:rFonts w:ascii="Arial" w:cs="Arial" w:eastAsia="Arial" w:hAnsi="Arial"/>
          <w:sz w:val="15"/>
          <w:szCs w:val="15"/>
          <w:color w:val="auto"/>
        </w:rPr>
        <w:t>The global spread of the novel strain of coronavirus (COVID-19) that has been declared a pandemic by the World Health Organization and the preventative measures taken to contain or mitigate the outbreak have caused, and are continuing to cause, significant volatility and uncertainty and economic disruptions. Governments around the world continue to implement measures to contain or mitigate the spread of the virus, including vaccine and testing mandates, quarantines, “shelter in place” and “stay at home” orders, travel restrictions, business curtailments and other measures, due to the ongoing pandemic. While we continue to operate our plants consistent with applicable government guidelines, during 2020 our global manufacturing facilities periodically cut back on operating levels and shifts and we experienced, and may experience again, production shutdowns at our manufacturing facilities in Hungary, India, and Tennessee during the second quarter of 2020 as a result of government orders, our inability to obtain component parts from suppliers and decreased customer demand. In addition, many of our suppliers and customers have experienced, and may continue to experience, production slowdowns and/or shutdowns, as a result of supply chain, raw material, labor and logistics constraints, which have impacted, and may continue to impact, our business, sales and results of operation.</w:t>
      </w:r>
    </w:p>
    <w:p>
      <w:pPr>
        <w:spacing w:after="0" w:line="81" w:lineRule="exact"/>
        <w:rPr>
          <w:sz w:val="20"/>
          <w:szCs w:val="20"/>
          <w:color w:val="auto"/>
        </w:rPr>
      </w:pPr>
    </w:p>
    <w:p>
      <w:pPr>
        <w:ind w:firstLine="522"/>
        <w:spacing w:after="0" w:line="246" w:lineRule="auto"/>
        <w:rPr>
          <w:sz w:val="20"/>
          <w:szCs w:val="20"/>
          <w:color w:val="auto"/>
        </w:rPr>
      </w:pPr>
      <w:r>
        <w:rPr>
          <w:rFonts w:ascii="Arial" w:cs="Arial" w:eastAsia="Arial" w:hAnsi="Arial"/>
          <w:sz w:val="15"/>
          <w:szCs w:val="15"/>
          <w:color w:val="auto"/>
        </w:rPr>
        <w:t>The effects of the COVID-19 pandemic on the global economy had a material impact on demand for our products and our results of operations during 2020 and continue to impact our results of operations during 2021. While we continue to experience a recovery in demand for our products that began in the third quarter of 2020, ongoing supply chain, labor, raw material, freight and logistics constraints have negatively impacted, and may continue to negatively impact, the sales of our products, expenses and our results of operations. In addition, future pandemic-related impacts on the global economy, including inflation, may continue to adversely impact our results of operations. The extent to which the COVID-19 pandemic may continue to adversely impact our business depends on future developments, which are highly uncertain and unpredictable, including the severity and duration of the outbreak, emerging variants of the virus that may be more contagious than current variants and the effectiveness of actions taken globally to contain or mitigate its effects, including the availability and pace of distribution of vaccines. In addition, vaccine or testing mandates adopted by the U.S. or other governments in order to combat the pandemic may result in additional labor shortages and/or increased costs for us or our customers and suppliers that may have a material impact on our business. Any future financial impact cannot be estimated reasonably at this time, but may materially adversely affect our business, supply chain, sales, results of operations, financial condition and cash flows. Even after the COVID-19 pandemic has subsided, we may experience materially adverse impacts to our business due to any resulting economic recession or depression that may continue to impact customer demand and the financial instability or operating viability of our suppliers and customers.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Additionally, concerns over the economic impact of COVID-19 have caused extreme volatility in financial and other capital markets which may adversely impact our ability to access capital markets.</w:t>
      </w:r>
    </w:p>
    <w:p>
      <w:pPr>
        <w:spacing w:after="0" w:line="65"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Increases in cost, disruption of supply or shortage of raw materials or components used in our products could harm our business and profitability.</w:t>
      </w:r>
    </w:p>
    <w:p>
      <w:pPr>
        <w:spacing w:after="0" w:line="70" w:lineRule="exact"/>
        <w:rPr>
          <w:sz w:val="20"/>
          <w:szCs w:val="20"/>
          <w:color w:val="auto"/>
        </w:rPr>
      </w:pPr>
    </w:p>
    <w:p>
      <w:pPr>
        <w:ind w:right="20" w:firstLine="522"/>
        <w:spacing w:after="0" w:line="231" w:lineRule="auto"/>
        <w:rPr>
          <w:sz w:val="20"/>
          <w:szCs w:val="20"/>
          <w:color w:val="auto"/>
        </w:rPr>
      </w:pPr>
      <w:r>
        <w:rPr>
          <w:rFonts w:ascii="Arial" w:cs="Arial" w:eastAsia="Arial" w:hAnsi="Arial"/>
          <w:sz w:val="16"/>
          <w:szCs w:val="16"/>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and availability of these raw materials fluctuate depending on market conditions and we have experienced an increase in costs related to raw materials during 2021.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86" w:lineRule="exact"/>
        <w:rPr>
          <w:sz w:val="20"/>
          <w:szCs w:val="20"/>
          <w:color w:val="auto"/>
        </w:rPr>
      </w:pPr>
    </w:p>
    <w:p>
      <w:pPr>
        <w:ind w:firstLine="522"/>
        <w:spacing w:after="0" w:line="230" w:lineRule="auto"/>
        <w:rPr>
          <w:sz w:val="20"/>
          <w:szCs w:val="20"/>
          <w:color w:val="auto"/>
        </w:rPr>
      </w:pPr>
      <w:r>
        <w:rPr>
          <w:rFonts w:ascii="Arial" w:cs="Arial" w:eastAsia="Arial" w:hAnsi="Arial"/>
          <w:sz w:val="16"/>
          <w:szCs w:val="16"/>
          <w:color w:val="auto"/>
        </w:rPr>
        <w:t>In 2020, approximately 75% of our total spending on components was sourced from approximately 40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have experienced, and expect to continue to experience, delays in the availability and receipt of component parts as a result of the COVID-19 pandemic, some of which may materially impact our ability to meet customer demand. In addition, our customers have experienced, and may continue to experience, delays in the availability and receipt of component parts from their supply base which has resulted, and may continue to result, in lower sales of our products.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or component parts from suppliers is delayed or non-conforming, our operations could be disrupted, we may not be able to meet customer demand, or our profitability or our financial results may be materially impacted.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September 30,</w:t>
      </w:r>
    </w:p>
    <w:p>
      <w:pPr>
        <w:spacing w:after="0"/>
        <w:rPr>
          <w:sz w:val="20"/>
          <w:szCs w:val="20"/>
          <w:color w:val="auto"/>
        </w:rPr>
      </w:pPr>
      <w:r>
        <w:rPr>
          <w:rFonts w:ascii="Arial" w:cs="Arial" w:eastAsia="Arial" w:hAnsi="Arial"/>
          <w:sz w:val="16"/>
          <w:szCs w:val="16"/>
          <w:color w:val="auto"/>
        </w:rPr>
        <w:t>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52"/>
              <w:spacing w:after="0"/>
              <w:rPr>
                <w:sz w:val="20"/>
                <w:szCs w:val="20"/>
                <w:color w:val="auto"/>
              </w:rPr>
            </w:pPr>
            <w:r>
              <w:rPr>
                <w:rFonts w:ascii="Arial" w:cs="Arial" w:eastAsia="Arial" w:hAnsi="Arial"/>
                <w:sz w:val="13"/>
                <w:szCs w:val="13"/>
                <w:b w:val="1"/>
                <w:bCs w:val="1"/>
                <w:color w:val="auto"/>
                <w:w w:val="93"/>
              </w:rPr>
              <w:t>Total Number</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of Shares</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3"/>
              </w:rPr>
              <w:t>Purchased</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as Part of</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2"/>
              </w:rPr>
              <w:t>Publicly</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48"/>
              <w:spacing w:after="0" w:line="141" w:lineRule="exact"/>
              <w:rPr>
                <w:sz w:val="20"/>
                <w:szCs w:val="20"/>
                <w:color w:val="auto"/>
              </w:rPr>
            </w:pPr>
            <w:r>
              <w:rPr>
                <w:rFonts w:ascii="Arial" w:cs="Arial" w:eastAsia="Arial" w:hAnsi="Arial"/>
                <w:sz w:val="13"/>
                <w:szCs w:val="13"/>
                <w:b w:val="1"/>
                <w:bCs w:val="1"/>
                <w:color w:val="auto"/>
                <w:w w:val="95"/>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Average</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Announced</w:t>
            </w:r>
          </w:p>
        </w:tc>
        <w:tc>
          <w:tcPr>
            <w:tcW w:w="220" w:type="dxa"/>
            <w:vAlign w:val="bottom"/>
          </w:tcPr>
          <w:p>
            <w:pPr>
              <w:spacing w:after="0"/>
              <w:rPr>
                <w:sz w:val="12"/>
                <w:szCs w:val="12"/>
                <w:color w:val="auto"/>
              </w:rPr>
            </w:pPr>
          </w:p>
        </w:tc>
        <w:tc>
          <w:tcPr>
            <w:tcW w:w="1180" w:type="dxa"/>
            <w:vAlign w:val="bottom"/>
          </w:tcPr>
          <w:p>
            <w:pPr>
              <w:jc w:val="center"/>
              <w:ind w:right="151"/>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840" w:type="dxa"/>
            <w:vAlign w:val="bottom"/>
          </w:tcPr>
          <w:p>
            <w:pPr>
              <w:spacing w:after="0"/>
              <w:rPr>
                <w:sz w:val="12"/>
                <w:szCs w:val="12"/>
                <w:color w:val="auto"/>
              </w:rPr>
            </w:pPr>
          </w:p>
        </w:tc>
        <w:tc>
          <w:tcPr>
            <w:tcW w:w="1240" w:type="dxa"/>
            <w:vAlign w:val="bottom"/>
          </w:tcPr>
          <w:p>
            <w:pPr>
              <w:jc w:val="center"/>
              <w:ind w:right="28"/>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6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7"/>
              </w:rPr>
              <w:t>Plans or</w:t>
            </w:r>
          </w:p>
        </w:tc>
        <w:tc>
          <w:tcPr>
            <w:tcW w:w="140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Yet Be Purchased</w:t>
            </w:r>
          </w:p>
        </w:tc>
      </w:tr>
      <w:tr>
        <w:trPr>
          <w:trHeight w:val="153"/>
        </w:trPr>
        <w:tc>
          <w:tcPr>
            <w:tcW w:w="58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6"/>
              </w:rPr>
              <w:t>Programs(1)</w:t>
            </w:r>
          </w:p>
        </w:tc>
        <w:tc>
          <w:tcPr>
            <w:tcW w:w="22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jc w:val="center"/>
              <w:ind w:right="151"/>
              <w:spacing w:after="0"/>
              <w:rPr>
                <w:sz w:val="20"/>
                <w:szCs w:val="20"/>
                <w:color w:val="auto"/>
              </w:rPr>
            </w:pPr>
            <w:r>
              <w:rPr>
                <w:rFonts w:ascii="Arial" w:cs="Arial" w:eastAsia="Arial" w:hAnsi="Arial"/>
                <w:sz w:val="13"/>
                <w:szCs w:val="13"/>
                <w:b w:val="1"/>
                <w:bCs w:val="1"/>
                <w:color w:val="auto"/>
                <w:w w:val="95"/>
              </w:rPr>
              <w:t>Under Plans(1)</w:t>
            </w:r>
          </w:p>
        </w:tc>
      </w:tr>
      <w:tr>
        <w:trPr>
          <w:trHeight w:val="180"/>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July 1 – July 31, 2021</w:t>
            </w:r>
          </w:p>
        </w:tc>
        <w:tc>
          <w:tcPr>
            <w:tcW w:w="124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2,104,538</w:t>
            </w:r>
          </w:p>
        </w:tc>
        <w:tc>
          <w:tcPr>
            <w:tcW w:w="32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39.91</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2,104,538</w:t>
            </w: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line="180" w:lineRule="exact"/>
              <w:rPr>
                <w:sz w:val="20"/>
                <w:szCs w:val="20"/>
                <w:color w:val="auto"/>
              </w:rPr>
            </w:pPr>
            <w:r>
              <w:rPr>
                <w:rFonts w:ascii="Arial" w:cs="Arial" w:eastAsia="Arial" w:hAnsi="Arial"/>
                <w:sz w:val="16"/>
                <w:szCs w:val="16"/>
                <w:color w:val="auto"/>
              </w:rPr>
              <w:t>516,626,747</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August 1 – August 31, 2021</w:t>
            </w: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401,313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16"/>
                <w:szCs w:val="16"/>
                <w:color w:val="auto"/>
              </w:rPr>
            </w:pPr>
          </w:p>
        </w:tc>
        <w:tc>
          <w:tcPr>
            <w:tcW w:w="1260" w:type="dxa"/>
            <w:vAlign w:val="bottom"/>
          </w:tcPr>
          <w:p>
            <w:pPr>
              <w:jc w:val="right"/>
              <w:ind w:right="52"/>
              <w:spacing w:after="0"/>
              <w:rPr>
                <w:sz w:val="20"/>
                <w:szCs w:val="20"/>
                <w:color w:val="auto"/>
              </w:rPr>
            </w:pPr>
            <w:r>
              <w:rPr>
                <w:rFonts w:ascii="Arial" w:cs="Arial" w:eastAsia="Arial" w:hAnsi="Arial"/>
                <w:sz w:val="16"/>
                <w:szCs w:val="16"/>
                <w:color w:val="auto"/>
              </w:rPr>
              <w:t>401,313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
              <w:spacing w:after="0"/>
              <w:rPr>
                <w:sz w:val="20"/>
                <w:szCs w:val="20"/>
                <w:color w:val="auto"/>
              </w:rPr>
            </w:pPr>
            <w:r>
              <w:rPr>
                <w:rFonts w:ascii="Arial" w:cs="Arial" w:eastAsia="Arial" w:hAnsi="Arial"/>
                <w:sz w:val="16"/>
                <w:szCs w:val="16"/>
                <w:color w:val="auto"/>
              </w:rPr>
              <w:t>500,626,530</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September 1 – September 30, 2021</w:t>
            </w:r>
          </w:p>
        </w:tc>
        <w:tc>
          <w:tcPr>
            <w:tcW w:w="12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6"/>
                <w:szCs w:val="16"/>
                <w:color w:val="auto"/>
              </w:rPr>
              <w:t>500,626,530</w:t>
            </w:r>
          </w:p>
        </w:tc>
      </w:tr>
      <w:tr>
        <w:trPr>
          <w:trHeight w:val="180"/>
        </w:trPr>
        <w:tc>
          <w:tcPr>
            <w:tcW w:w="58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2,505,851</w:t>
            </w:r>
          </w:p>
        </w:tc>
        <w:tc>
          <w:tcPr>
            <w:tcW w:w="3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8"/>
              <w:spacing w:after="0" w:line="180" w:lineRule="exact"/>
              <w:rPr>
                <w:sz w:val="20"/>
                <w:szCs w:val="20"/>
                <w:color w:val="auto"/>
              </w:rPr>
            </w:pPr>
            <w:r>
              <w:rPr>
                <w:rFonts w:ascii="Arial" w:cs="Arial" w:eastAsia="Arial" w:hAnsi="Arial"/>
                <w:sz w:val="16"/>
                <w:szCs w:val="16"/>
                <w:color w:val="auto"/>
              </w:rPr>
              <w:t>39.91</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2,505,851</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180" w:hanging="396"/>
        <w:spacing w:after="0" w:line="23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values reflect the amounts that may be repurchased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01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7500" w:type="dxa"/>
            <w:vAlign w:val="bottom"/>
            <w:gridSpan w:val="5"/>
          </w:tcPr>
          <w:p>
            <w:pPr>
              <w:ind w:left="20"/>
              <w:spacing w:after="0"/>
              <w:rPr>
                <w:sz w:val="20"/>
                <w:szCs w:val="20"/>
                <w:color w:val="auto"/>
              </w:rPr>
            </w:pPr>
            <w:r>
              <w:rPr>
                <w:rFonts w:ascii="Arial" w:cs="Arial" w:eastAsia="Arial" w:hAnsi="Arial"/>
                <w:sz w:val="16"/>
                <w:szCs w:val="16"/>
                <w:b w:val="1"/>
                <w:bCs w:val="1"/>
                <w:color w:val="auto"/>
              </w:rPr>
              <w:t>Exhibits</w:t>
            </w: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1400" w:type="dxa"/>
            <w:vAlign w:val="bottom"/>
            <w:gridSpan w:val="3"/>
          </w:tcPr>
          <w:p>
            <w:pPr>
              <w:spacing w:after="0"/>
              <w:rPr>
                <w:sz w:val="20"/>
                <w:szCs w:val="20"/>
                <w:color w:val="auto"/>
              </w:rPr>
            </w:pPr>
            <w:r>
              <w:rPr>
                <w:rFonts w:ascii="Arial" w:cs="Arial" w:eastAsia="Arial" w:hAnsi="Arial"/>
                <w:sz w:val="16"/>
                <w:szCs w:val="16"/>
                <w:color w:val="auto"/>
              </w:rPr>
              <w:t>(a) Exhibits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vMerge w:val="restart"/>
          </w:tcPr>
          <w:p>
            <w:pPr>
              <w:spacing w:after="0"/>
              <w:rPr>
                <w:sz w:val="24"/>
                <w:szCs w:val="24"/>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5"/>
              </w:rPr>
              <w:t>Number</w:t>
            </w: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00" w:type="dxa"/>
            <w:vAlign w:val="bottom"/>
            <w:tcBorders>
              <w:left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31.1</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00" w:type="dxa"/>
            <w:vAlign w:val="bottom"/>
            <w:gridSpan w:val="5"/>
          </w:tcPr>
          <w:p>
            <w:pPr>
              <w:spacing w:after="0"/>
              <w:rPr>
                <w:rFonts w:ascii="Arial" w:cs="Arial" w:eastAsia="Arial" w:hAnsi="Arial"/>
                <w:sz w:val="16"/>
                <w:szCs w:val="16"/>
                <w:color w:val="0000EE"/>
                <w:w w:val="97"/>
              </w:rPr>
            </w:pPr>
            <w:hyperlink w:anchor="page46">
              <w:r>
                <w:rPr>
                  <w:rFonts w:ascii="Arial" w:cs="Arial" w:eastAsia="Arial" w:hAnsi="Arial"/>
                  <w:sz w:val="16"/>
                  <w:szCs w:val="16"/>
                  <w:color w:val="0000EE"/>
                  <w:w w:val="97"/>
                </w:rPr>
                <w:t>Certification of Chief Executive Officer pursuant to Rule 13a-14(a)/15d-14(a) as adopted pursuant to Section</w:t>
              </w:r>
            </w:hyperlink>
          </w:p>
        </w:tc>
        <w:tc>
          <w:tcPr>
            <w:tcW w:w="2360" w:type="dxa"/>
            <w:vAlign w:val="bottom"/>
            <w:gridSpan w:val="4"/>
          </w:tcPr>
          <w:p>
            <w:pPr>
              <w:ind w:left="60"/>
              <w:spacing w:after="0"/>
              <w:rPr>
                <w:rFonts w:ascii="Arial" w:cs="Arial" w:eastAsia="Arial" w:hAnsi="Arial"/>
                <w:sz w:val="16"/>
                <w:szCs w:val="16"/>
                <w:color w:val="0000EE"/>
              </w:rPr>
            </w:pPr>
            <w:hyperlink w:anchor="page46">
              <w:r>
                <w:rPr>
                  <w:rFonts w:ascii="Arial" w:cs="Arial" w:eastAsia="Arial" w:hAnsi="Arial"/>
                  <w:sz w:val="16"/>
                  <w:szCs w:val="16"/>
                  <w:color w:val="0000EE"/>
                </w:rPr>
                <w:t>302 of the Sarbanes-Oxley Act</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7"/>
              </w:rPr>
            </w:pPr>
            <w:hyperlink w:anchor="page46">
              <w:r>
                <w:rPr>
                  <w:rFonts w:ascii="Arial" w:cs="Arial" w:eastAsia="Arial" w:hAnsi="Arial"/>
                  <w:sz w:val="16"/>
                  <w:szCs w:val="16"/>
                  <w:color w:val="0000EE"/>
                  <w:w w:val="97"/>
                </w:rPr>
                <w:t>of 2002 (filed herewith)</w:t>
              </w:r>
            </w:hyperlink>
          </w:p>
        </w:tc>
        <w:tc>
          <w:tcPr>
            <w:tcW w:w="5900" w:type="dxa"/>
            <w:vAlign w:val="bottom"/>
            <w:tcBorders>
              <w:top w:val="single" w:sz="8" w:color="0000EE"/>
            </w:tcBorders>
            <w:gridSpan w:val="3"/>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00" w:type="dxa"/>
            <w:vAlign w:val="bottom"/>
            <w:gridSpan w:val="5"/>
          </w:tcPr>
          <w:p>
            <w:pPr>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Certification of Chief Financial Officer pursuant to Rule 13a-14(a)/15d-14(a) as adopted pursuant to Section</w:t>
              </w:r>
            </w:hyperlink>
          </w:p>
        </w:tc>
        <w:tc>
          <w:tcPr>
            <w:tcW w:w="2360" w:type="dxa"/>
            <w:vAlign w:val="bottom"/>
            <w:gridSpan w:val="4"/>
          </w:tcPr>
          <w:p>
            <w:pPr>
              <w:ind w:left="20"/>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302 of the Sarbanes-Oxley Act of</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8">
              <w:r>
                <w:rPr>
                  <w:rFonts w:ascii="Arial" w:cs="Arial" w:eastAsia="Arial" w:hAnsi="Arial"/>
                  <w:sz w:val="16"/>
                  <w:szCs w:val="16"/>
                  <w:color w:val="0000EE"/>
                </w:rPr>
                <w:t>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60" w:type="dxa"/>
            <w:vAlign w:val="bottom"/>
            <w:gridSpan w:val="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Certification of Periodic Report by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00" w:type="dxa"/>
            <w:vAlign w:val="bottom"/>
            <w:tcBorders>
              <w:top w:val="single" w:sz="8" w:color="0000EE"/>
            </w:tcBorders>
            <w:gridSpan w:val="5"/>
          </w:tcPr>
          <w:p>
            <w:pPr>
              <w:spacing w:after="0" w:line="156" w:lineRule="exact"/>
              <w:rPr>
                <w:rFonts w:ascii="Arial" w:cs="Arial" w:eastAsia="Arial" w:hAnsi="Arial"/>
                <w:sz w:val="16"/>
                <w:szCs w:val="16"/>
                <w:color w:val="0000EE"/>
              </w:rPr>
            </w:pPr>
            <w:hyperlink w:anchor="page49">
              <w:r>
                <w:rPr>
                  <w:rFonts w:ascii="Arial" w:cs="Arial" w:eastAsia="Arial" w:hAnsi="Arial"/>
                  <w:sz w:val="16"/>
                  <w:szCs w:val="16"/>
                  <w:color w:val="0000EE"/>
                </w:rPr>
                <w:t>pursuant to Section 906 of the Sarbanes-Oxley Act of 2002 (filed herewith)</w:t>
              </w:r>
            </w:hyperlink>
          </w:p>
        </w:tc>
        <w:tc>
          <w:tcPr>
            <w:tcW w:w="17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00" w:right="80" w:hanging="1359"/>
        <w:spacing w:after="0" w:line="233" w:lineRule="auto"/>
        <w:tabs>
          <w:tab w:leader="none" w:pos="1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September 30, 2021, formatted in Inline XBRL (eXtensible Business Reporting Language): (i) the Condensed Consolidated Balance Sheets; (ii) the Condensed Consolidated Statements of Comprehensive Income; (iii) the Condensed Consolidated Statements of Cash Flows; (iv) the Condensed Consolidated Statements of Stockholders’ Equity; and (v) the Notes to Condensed Consolidated Financial Statements</w:t>
      </w:r>
    </w:p>
    <w:p>
      <w:pPr>
        <w:spacing w:after="0" w:line="96" w:lineRule="exact"/>
        <w:rPr>
          <w:sz w:val="20"/>
          <w:szCs w:val="20"/>
          <w:color w:val="auto"/>
        </w:rPr>
      </w:pPr>
    </w:p>
    <w:p>
      <w:pPr>
        <w:ind w:left="1400" w:right="60" w:hanging="1359"/>
        <w:spacing w:after="0" w:line="237" w:lineRule="auto"/>
        <w:tabs>
          <w:tab w:leader="none" w:pos="1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September 30, 2021,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17550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400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28"/>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b w:val="1"/>
                <w:bCs w:val="1"/>
                <w:color w:val="auto"/>
              </w:rPr>
              <w:t>ALLISON TRANSMISSION HOLDINGS, INC.</w:t>
            </w:r>
          </w:p>
        </w:tc>
      </w:tr>
      <w:tr>
        <w:trPr>
          <w:trHeight w:val="447"/>
        </w:trPr>
        <w:tc>
          <w:tcPr>
            <w:tcW w:w="2100" w:type="dxa"/>
            <w:vAlign w:val="bottom"/>
          </w:tcPr>
          <w:p>
            <w:pPr>
              <w:spacing w:after="0"/>
              <w:rPr>
                <w:sz w:val="20"/>
                <w:szCs w:val="20"/>
                <w:color w:val="auto"/>
              </w:rPr>
            </w:pPr>
            <w:r>
              <w:rPr>
                <w:rFonts w:ascii="Arial" w:cs="Arial" w:eastAsia="Arial" w:hAnsi="Arial"/>
                <w:sz w:val="16"/>
                <w:szCs w:val="16"/>
                <w:color w:val="auto"/>
              </w:rPr>
              <w:t>Date: October 28, 2021</w:t>
            </w:r>
          </w:p>
        </w:tc>
        <w:tc>
          <w:tcPr>
            <w:tcW w:w="940" w:type="dxa"/>
            <w:vAlign w:val="bottom"/>
          </w:tcPr>
          <w:p>
            <w:pPr>
              <w:ind w:left="4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David S. Graziosi</w:t>
            </w:r>
          </w:p>
        </w:tc>
      </w:tr>
      <w:tr>
        <w:trPr>
          <w:trHeight w:val="367"/>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David S. Graziosi</w:t>
            </w:r>
          </w:p>
        </w:tc>
      </w:tr>
      <w:tr>
        <w:trPr>
          <w:trHeight w:val="259"/>
        </w:trPr>
        <w:tc>
          <w:tcPr>
            <w:tcW w:w="2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rPr>
              <w:t>Chairman, President and Chief Executive Officer</w:t>
            </w:r>
          </w:p>
        </w:tc>
      </w:tr>
      <w:tr>
        <w:trPr>
          <w:trHeight w:val="188"/>
        </w:trPr>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(Principal Executive Officer)</w:t>
            </w:r>
          </w:p>
        </w:tc>
      </w:tr>
      <w:tr>
        <w:trPr>
          <w:trHeight w:val="564"/>
        </w:trPr>
        <w:tc>
          <w:tcPr>
            <w:tcW w:w="2100" w:type="dxa"/>
            <w:vAlign w:val="bottom"/>
          </w:tcPr>
          <w:p>
            <w:pPr>
              <w:spacing w:after="0"/>
              <w:rPr>
                <w:sz w:val="20"/>
                <w:szCs w:val="20"/>
                <w:color w:val="auto"/>
              </w:rPr>
            </w:pPr>
            <w:r>
              <w:rPr>
                <w:rFonts w:ascii="Arial" w:cs="Arial" w:eastAsia="Arial" w:hAnsi="Arial"/>
                <w:sz w:val="16"/>
                <w:szCs w:val="16"/>
                <w:color w:val="auto"/>
              </w:rPr>
              <w:t>Date: October 28, 2021</w:t>
            </w:r>
          </w:p>
        </w:tc>
        <w:tc>
          <w:tcPr>
            <w:tcW w:w="940" w:type="dxa"/>
            <w:vAlign w:val="bottom"/>
          </w:tcPr>
          <w:p>
            <w:pPr>
              <w:ind w:left="460"/>
              <w:spacing w:after="0"/>
              <w:rPr>
                <w:sz w:val="20"/>
                <w:szCs w:val="20"/>
                <w:color w:val="auto"/>
              </w:rPr>
            </w:pPr>
            <w:r>
              <w:rPr>
                <w:rFonts w:ascii="Arial" w:cs="Arial" w:eastAsia="Arial" w:hAnsi="Arial"/>
                <w:sz w:val="16"/>
                <w:szCs w:val="16"/>
                <w:color w:val="auto"/>
              </w:rPr>
              <w:t>By:</w:t>
            </w:r>
          </w:p>
        </w:tc>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G. Frederick Bohley</w:t>
            </w:r>
          </w:p>
        </w:tc>
      </w:tr>
      <w:tr>
        <w:trPr>
          <w:trHeight w:val="367"/>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Name:</w:t>
            </w:r>
          </w:p>
        </w:tc>
        <w:tc>
          <w:tcPr>
            <w:tcW w:w="5060" w:type="dxa"/>
            <w:vAlign w:val="bottom"/>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060" w:type="dxa"/>
            <w:vAlign w:val="bottom"/>
          </w:tcPr>
          <w:p>
            <w:pPr>
              <w:ind w:left="220"/>
              <w:spacing w:after="0"/>
              <w:rPr>
                <w:sz w:val="20"/>
                <w:szCs w:val="20"/>
                <w:color w:val="auto"/>
              </w:rPr>
            </w:pPr>
            <w:r>
              <w:rPr>
                <w:rFonts w:ascii="Arial" w:cs="Arial" w:eastAsia="Arial" w:hAnsi="Arial"/>
                <w:sz w:val="16"/>
                <w:szCs w:val="16"/>
                <w:color w:val="auto"/>
                <w:w w:val="97"/>
              </w:rPr>
              <w:t>Senior Vice President, Chief Financial Officer and Treasurer (Principal</w:t>
            </w:r>
          </w:p>
        </w:tc>
      </w:tr>
      <w:tr>
        <w:trPr>
          <w:trHeight w:val="188"/>
        </w:trPr>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60" w:type="dxa"/>
            <w:vAlign w:val="bottom"/>
          </w:tcPr>
          <w:p>
            <w:pPr>
              <w:ind w:left="220"/>
              <w:spacing w:after="0"/>
              <w:rPr>
                <w:sz w:val="20"/>
                <w:szCs w:val="20"/>
                <w:color w:val="auto"/>
              </w:rPr>
            </w:pPr>
            <w:r>
              <w:rPr>
                <w:rFonts w:ascii="Arial" w:cs="Arial" w:eastAsia="Arial" w:hAnsi="Arial"/>
                <w:sz w:val="16"/>
                <w:szCs w:val="16"/>
                <w:color w:val="auto"/>
              </w:rPr>
              <w:t>Financial Officer and Principal Accounting Officer)</w:t>
            </w:r>
          </w:p>
        </w:tc>
      </w:tr>
      <w:tr>
        <w:trPr>
          <w:trHeight w:val="775"/>
        </w:trPr>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60" w:type="dxa"/>
            <w:vAlign w:val="bottom"/>
          </w:tcPr>
          <w:p>
            <w:pPr>
              <w:ind w:left="1380"/>
              <w:spacing w:after="0"/>
              <w:rPr>
                <w:sz w:val="20"/>
                <w:szCs w:val="20"/>
                <w:color w:val="auto"/>
              </w:rPr>
            </w:pPr>
            <w:r>
              <w:rPr>
                <w:rFonts w:ascii="Arial" w:cs="Arial" w:eastAsia="Arial" w:hAnsi="Arial"/>
                <w:sz w:val="16"/>
                <w:szCs w:val="16"/>
                <w:color w:val="auto"/>
              </w:rPr>
              <w:t>45</w:t>
            </w:r>
          </w:p>
        </w:tc>
      </w:tr>
    </w:tbl>
    <w:p>
      <w:pPr>
        <w:sectPr>
          <w:pgSz w:w="11900" w:h="16838" w:orient="portrait"/>
          <w:cols w:equalWidth="0" w:num="1">
            <w:col w:w="10440"/>
          </w:cols>
          <w:pgMar w:left="320" w:top="140" w:right="11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31.1</w:t>
      </w:r>
    </w:p>
    <w:p>
      <w:pPr>
        <w:spacing w:after="0" w:line="145"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2" w:lineRule="exact"/>
        <w:rPr>
          <w:sz w:val="20"/>
          <w:szCs w:val="20"/>
          <w:color w:val="auto"/>
        </w:rPr>
      </w:pPr>
    </w:p>
    <w:p>
      <w:pPr>
        <w:ind w:left="746" w:hanging="746"/>
        <w:spacing w:after="0"/>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28,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8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886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Chairman, 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758190</wp:posOffset>
            </wp:positionV>
            <wp:extent cx="719074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46" w:name="page47"/>
    <w:bookmarkEnd w:id="46"/>
    <w:p>
      <w:pPr>
        <w:ind w:left="9320"/>
        <w:spacing w:after="0"/>
        <w:rPr>
          <w:sz w:val="20"/>
          <w:szCs w:val="20"/>
          <w:color w:val="auto"/>
        </w:rPr>
      </w:pPr>
      <w:r>
        <w:rPr>
          <w:rFonts w:ascii="Arial" w:cs="Arial" w:eastAsia="Arial" w:hAnsi="Arial"/>
          <w:sz w:val="13"/>
          <w:szCs w:val="13"/>
          <w:b w:val="1"/>
          <w:bCs w:val="1"/>
          <w:color w:val="auto"/>
        </w:rPr>
        <w:t>Exhibit 31.1</w:t>
      </w:r>
    </w:p>
    <w:p>
      <w:pPr>
        <w:sectPr>
          <w:pgSz w:w="11900" w:h="16838" w:orient="portrait"/>
          <w:cols w:equalWidth="0" w:num="1">
            <w:col w:w="10140"/>
          </w:cols>
          <w:pgMar w:left="1440" w:top="123"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145" w:lineRule="exact"/>
        <w:rPr>
          <w:sz w:val="20"/>
          <w:szCs w:val="20"/>
          <w:color w:val="auto"/>
        </w:rPr>
      </w:pPr>
    </w:p>
    <w:p>
      <w:pPr>
        <w:jc w:val="center"/>
        <w:ind w:right="14"/>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2" w:lineRule="exact"/>
        <w:rPr>
          <w:sz w:val="20"/>
          <w:szCs w:val="20"/>
          <w:color w:val="auto"/>
        </w:rPr>
      </w:pPr>
    </w:p>
    <w:p>
      <w:pPr>
        <w:ind w:left="746" w:hanging="746"/>
        <w:spacing w:after="0"/>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46" w:right="140" w:hanging="746"/>
        <w:spacing w:after="0" w:line="298" w:lineRule="auto"/>
        <w:tabs>
          <w:tab w:leader="none" w:pos="74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5"/>
          <w:szCs w:val="15"/>
          <w:color w:val="auto"/>
        </w:rPr>
      </w:pPr>
    </w:p>
    <w:p>
      <w:pPr>
        <w:ind w:left="746" w:right="1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746" w:right="240" w:hanging="746"/>
        <w:spacing w:after="0" w:line="381" w:lineRule="auto"/>
        <w:tabs>
          <w:tab w:leader="none" w:pos="74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486" w:right="22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6"/>
          <w:szCs w:val="16"/>
          <w:color w:val="auto"/>
        </w:rPr>
      </w:pPr>
    </w:p>
    <w:p>
      <w:pPr>
        <w:ind w:left="1486" w:right="10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6"/>
          <w:szCs w:val="16"/>
          <w:color w:val="auto"/>
        </w:rPr>
      </w:pPr>
    </w:p>
    <w:p>
      <w:pPr>
        <w:ind w:left="1486" w:right="1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86" w:right="80" w:hanging="746"/>
        <w:spacing w:after="0" w:line="25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746" w:right="40" w:hanging="746"/>
        <w:spacing w:after="0" w:line="265" w:lineRule="auto"/>
        <w:tabs>
          <w:tab w:leader="none" w:pos="74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486" w:right="30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6"/>
          <w:szCs w:val="16"/>
          <w:color w:val="auto"/>
        </w:rPr>
      </w:pPr>
    </w:p>
    <w:p>
      <w:pPr>
        <w:ind w:left="1486" w:right="520" w:hanging="746"/>
        <w:spacing w:after="0" w:line="265" w:lineRule="auto"/>
        <w:tabs>
          <w:tab w:leader="none" w:pos="1486"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28, 2021</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1751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75125"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6"/>
          </w:cols>
          <w:pgMar w:left="314" w:top="123"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left="6" w:right="20" w:firstLine="751"/>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September 30, 2021 as filed with the Securities and Exchange Commission on the date hereof (the “Report”), we, David S. Graziosi, Chairman,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70" w:lineRule="exact"/>
        <w:rPr>
          <w:sz w:val="20"/>
          <w:szCs w:val="20"/>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46" w:hanging="746"/>
        <w:spacing w:after="0"/>
        <w:tabs>
          <w:tab w:leader="none" w:pos="7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28, 2021</w:t>
      </w:r>
    </w:p>
    <w:p>
      <w:pPr>
        <w:spacing w:after="0" w:line="380"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Chairman, 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28, 2021</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5712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7124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66"/>
      </w:cols>
      <w:pgMar w:left="314"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04"/>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2021-10-28T08:08:10Z</dcterms:created>
  <dcterms:modified xsi:type="dcterms:W3CDTF">2021-10-28T08:08:10Z</dcterms:modified>
</cp:coreProperties>
</file>