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4915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15535"/>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60" w:type="dxa"/>
            <w:vAlign w:val="bottom"/>
            <w:gridSpan w:val="3"/>
            <w:vMerge w:val="restart"/>
          </w:tcPr>
          <w:p>
            <w:pPr>
              <w:spacing w:after="0"/>
              <w:rPr>
                <w:rFonts w:ascii="Times New Roman" w:cs="Times New Roman" w:eastAsia="Times New Roman" w:hAnsi="Times New Roman"/>
                <w:sz w:val="21"/>
                <w:szCs w:val="21"/>
                <w:color w:val="0000EE"/>
                <w:w w:val="98"/>
              </w:rPr>
            </w:pPr>
            <w:hyperlink r:id="rId13">
              <w:r>
                <w:rPr>
                  <w:rFonts w:ascii="Times New Roman" w:cs="Times New Roman" w:eastAsia="Times New Roman" w:hAnsi="Times New Roman"/>
                  <w:sz w:val="21"/>
                  <w:szCs w:val="21"/>
                  <w:color w:val="0000EE"/>
                  <w:w w:val="98"/>
                </w:rPr>
                <w:t>Bohley G Frederick</w:t>
              </w:r>
            </w:hyperlink>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380" w:type="dxa"/>
            <w:vAlign w:val="bottom"/>
            <w:gridSpan w:val="15"/>
          </w:tcPr>
          <w:p>
            <w:pPr>
              <w:spacing w:after="0" w:line="17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Allison Transmission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ALSN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Arial" w:cs="Arial" w:eastAsia="Arial" w:hAnsi="Arial"/>
                <w:sz w:val="19"/>
                <w:szCs w:val="19"/>
                <w:color w:val="000000"/>
                <w:vertAlign w:val="superscript"/>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tcBorders>
              <w:bottom w:val="single" w:sz="8" w:color="0000EE"/>
            </w:tcBorders>
            <w:gridSpan w:val="3"/>
            <w:vMerge w:val="continue"/>
          </w:tcPr>
          <w:p>
            <w:pPr>
              <w:spacing w:after="0"/>
              <w:rPr>
                <w:sz w:val="5"/>
                <w:szCs w:val="5"/>
                <w:color w:val="auto"/>
              </w:rPr>
            </w:pPr>
          </w:p>
        </w:tc>
        <w:tc>
          <w:tcPr>
            <w:tcW w:w="760" w:type="dxa"/>
            <w:vAlign w:val="bottom"/>
            <w:vMerge w:val="restart"/>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2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restart"/>
          </w:tcPr>
          <w:p>
            <w:pPr>
              <w:ind w:left="160"/>
              <w:spacing w:after="0" w:line="146" w:lineRule="exact"/>
              <w:rPr>
                <w:sz w:val="20"/>
                <w:szCs w:val="20"/>
                <w:color w:val="auto"/>
              </w:rPr>
            </w:pPr>
            <w:r>
              <w:rPr>
                <w:rFonts w:ascii="Arial" w:cs="Arial" w:eastAsia="Arial" w:hAnsi="Arial"/>
                <w:sz w:val="13"/>
                <w:szCs w:val="13"/>
                <w:color w:val="auto"/>
              </w:rPr>
              <w:t>Director</w:t>
            </w:r>
          </w:p>
        </w:tc>
        <w:tc>
          <w:tcPr>
            <w:tcW w:w="280" w:type="dxa"/>
            <w:vAlign w:val="bottom"/>
          </w:tcPr>
          <w:p>
            <w:pPr>
              <w:spacing w:after="0"/>
              <w:rPr>
                <w:sz w:val="5"/>
                <w:szCs w:val="5"/>
                <w:color w:val="auto"/>
              </w:rPr>
            </w:pPr>
          </w:p>
        </w:tc>
        <w:tc>
          <w:tcPr>
            <w:tcW w:w="1500" w:type="dxa"/>
            <w:vAlign w:val="bottom"/>
            <w:gridSpan w:val="4"/>
            <w:vMerge w:val="restart"/>
          </w:tcPr>
          <w:p>
            <w:pPr>
              <w:ind w:left="2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660" w:type="dxa"/>
            <w:vAlign w:val="bottom"/>
            <w:gridSpan w:val="3"/>
          </w:tcPr>
          <w:p>
            <w:pPr>
              <w:spacing w:after="0"/>
              <w:rPr>
                <w:sz w:val="5"/>
                <w:szCs w:val="5"/>
                <w:color w:val="auto"/>
              </w:rPr>
            </w:pPr>
          </w:p>
        </w:tc>
        <w:tc>
          <w:tcPr>
            <w:tcW w:w="76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160"/>
              <w:spacing w:after="0" w:line="122" w:lineRule="exact"/>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10"/>
                <w:szCs w:val="10"/>
                <w:color w:val="auto"/>
              </w:rPr>
            </w:pPr>
          </w:p>
        </w:tc>
        <w:tc>
          <w:tcPr>
            <w:tcW w:w="1500" w:type="dxa"/>
            <w:vAlign w:val="bottom"/>
            <w:gridSpan w:val="4"/>
          </w:tcPr>
          <w:p>
            <w:pPr>
              <w:ind w:left="240"/>
              <w:spacing w:after="0" w:line="122"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top w:val="single" w:sz="8" w:color="EEEEEE"/>
            </w:tcBorders>
          </w:tcPr>
          <w:p>
            <w:pPr>
              <w:spacing w:after="0"/>
              <w:rPr>
                <w:sz w:val="8"/>
                <w:szCs w:val="8"/>
                <w:color w:val="auto"/>
              </w:rPr>
            </w:pPr>
          </w:p>
        </w:tc>
        <w:tc>
          <w:tcPr>
            <w:tcW w:w="60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820" w:type="dxa"/>
            <w:vAlign w:val="bottom"/>
            <w:tcBorders>
              <w:top w:val="single" w:sz="8" w:color="EEEEEE"/>
              <w:bottom w:val="single" w:sz="8" w:color="EEEEEE"/>
            </w:tcBorders>
            <w:gridSpan w:val="3"/>
            <w:vMerge w:val="restart"/>
          </w:tcPr>
          <w:p>
            <w:pPr>
              <w:ind w:left="620"/>
              <w:spacing w:after="0"/>
              <w:rPr>
                <w:sz w:val="20"/>
                <w:szCs w:val="20"/>
                <w:color w:val="auto"/>
              </w:rPr>
            </w:pPr>
            <w:r>
              <w:rPr>
                <w:rFonts w:ascii="Arial" w:cs="Arial" w:eastAsia="Arial" w:hAnsi="Arial"/>
                <w:sz w:val="13"/>
                <w:szCs w:val="13"/>
                <w:color w:val="auto"/>
              </w:rPr>
              <w:t>(First)</w:t>
            </w:r>
          </w:p>
        </w:tc>
        <w:tc>
          <w:tcPr>
            <w:tcW w:w="1220" w:type="dxa"/>
            <w:vAlign w:val="bottom"/>
            <w:tcBorders>
              <w:top w:val="single" w:sz="8" w:color="EEEEEE"/>
              <w:bottom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vMerge w:val="restart"/>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820" w:type="dxa"/>
            <w:vAlign w:val="bottom"/>
            <w:gridSpan w:val="3"/>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4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182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40" w:type="dxa"/>
            <w:vAlign w:val="bottom"/>
            <w:gridSpan w:val="7"/>
            <w:vMerge w:val="continue"/>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560" w:type="dxa"/>
            <w:vAlign w:val="bottom"/>
            <w:gridSpan w:val="3"/>
            <w:vMerge w:val="restart"/>
          </w:tcPr>
          <w:p>
            <w:pPr>
              <w:ind w:left="180"/>
              <w:spacing w:after="0"/>
              <w:rPr>
                <w:sz w:val="20"/>
                <w:szCs w:val="20"/>
                <w:color w:val="auto"/>
              </w:rPr>
            </w:pPr>
            <w:r>
              <w:rPr>
                <w:rFonts w:ascii="Times New Roman" w:cs="Times New Roman" w:eastAsia="Times New Roman" w:hAnsi="Times New Roman"/>
                <w:sz w:val="17"/>
                <w:szCs w:val="17"/>
                <w:color w:val="0000FF"/>
              </w:rPr>
              <w:t>See Remarks</w:t>
            </w: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4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ALLISON TRANSMISSION HOLDINGS,</w:t>
            </w:r>
          </w:p>
        </w:tc>
        <w:tc>
          <w:tcPr>
            <w:tcW w:w="1520" w:type="dxa"/>
            <w:vAlign w:val="bottom"/>
            <w:gridSpan w:val="5"/>
            <w:vMerge w:val="restart"/>
          </w:tcPr>
          <w:p>
            <w:pPr>
              <w:ind w:left="160"/>
              <w:spacing w:after="0"/>
              <w:rPr>
                <w:sz w:val="20"/>
                <w:szCs w:val="20"/>
                <w:color w:val="auto"/>
              </w:rPr>
            </w:pPr>
            <w:r>
              <w:rPr>
                <w:rFonts w:ascii="Times New Roman" w:cs="Times New Roman" w:eastAsia="Times New Roman" w:hAnsi="Times New Roman"/>
                <w:sz w:val="17"/>
                <w:szCs w:val="17"/>
                <w:color w:val="0000FF"/>
              </w:rPr>
              <w:t>05/29/2026</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56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40" w:type="dxa"/>
            <w:vAlign w:val="bottom"/>
            <w:gridSpan w:val="6"/>
            <w:vMerge w:val="continue"/>
          </w:tcPr>
          <w:p>
            <w:pPr>
              <w:spacing w:after="0"/>
              <w:rPr>
                <w:sz w:val="10"/>
                <w:szCs w:val="10"/>
                <w:color w:val="auto"/>
              </w:rPr>
            </w:pPr>
          </w:p>
        </w:tc>
        <w:tc>
          <w:tcPr>
            <w:tcW w:w="1520" w:type="dxa"/>
            <w:vAlign w:val="bottom"/>
            <w:gridSpan w:val="5"/>
            <w:vMerge w:val="continue"/>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7"/>
                <w:szCs w:val="17"/>
                <w:color w:val="0000FF"/>
              </w:rPr>
              <w:t>INC.</w:t>
            </w:r>
          </w:p>
        </w:tc>
        <w:tc>
          <w:tcPr>
            <w:tcW w:w="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24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ONE ALLISON WAY</w:t>
            </w: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2420" w:type="dxa"/>
            <w:vAlign w:val="bottom"/>
            <w:gridSpan w:val="4"/>
            <w:vMerge w:val="continue"/>
          </w:tcPr>
          <w:p>
            <w:pPr>
              <w:spacing w:after="0"/>
              <w:rPr>
                <w:sz w:val="10"/>
                <w:szCs w:val="10"/>
                <w:color w:val="auto"/>
              </w:rPr>
            </w:pPr>
          </w:p>
        </w:tc>
        <w:tc>
          <w:tcPr>
            <w:tcW w:w="1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50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0"/>
                <w:szCs w:val="10"/>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9"/>
            <w:vMerge w:val="continue"/>
          </w:tcPr>
          <w:p>
            <w:pPr>
              <w:spacing w:after="0"/>
              <w:rPr>
                <w:sz w:val="5"/>
                <w:szCs w:val="5"/>
                <w:color w:val="auto"/>
              </w:rPr>
            </w:pPr>
          </w:p>
        </w:tc>
        <w:tc>
          <w:tcPr>
            <w:tcW w:w="260" w:type="dxa"/>
            <w:vAlign w:val="bottom"/>
          </w:tcPr>
          <w:p>
            <w:pPr>
              <w:spacing w:after="0"/>
              <w:rPr>
                <w:sz w:val="5"/>
                <w:szCs w:val="5"/>
                <w:color w:val="auto"/>
              </w:rPr>
            </w:pPr>
          </w:p>
        </w:tc>
        <w:tc>
          <w:tcPr>
            <w:tcW w:w="340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vMerge w:val="restart"/>
          </w:tcPr>
          <w:p>
            <w:pPr>
              <w:spacing w:after="0"/>
              <w:rPr>
                <w:sz w:val="7"/>
                <w:szCs w:val="7"/>
                <w:color w:val="auto"/>
              </w:rPr>
            </w:pPr>
          </w:p>
        </w:tc>
        <w:tc>
          <w:tcPr>
            <w:tcW w:w="1020" w:type="dxa"/>
            <w:vAlign w:val="bottom"/>
            <w:gridSpan w:val="4"/>
            <w:vMerge w:val="restart"/>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00" w:type="dxa"/>
            <w:vAlign w:val="bottom"/>
            <w:gridSpan w:val="3"/>
            <w:vMerge w:val="continue"/>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w w:val="99"/>
              </w:rPr>
              <w:t>INDIANAPOLIS IN</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46222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80" w:type="dxa"/>
            <w:vAlign w:val="bottom"/>
            <w:gridSpan w:val="7"/>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ind w:left="180"/>
              <w:spacing w:after="0"/>
              <w:rPr>
                <w:sz w:val="20"/>
                <w:szCs w:val="20"/>
                <w:color w:val="auto"/>
              </w:rPr>
            </w:pPr>
            <w:r>
              <w:rPr>
                <w:rFonts w:ascii="Arial" w:cs="Arial" w:eastAsia="Arial" w:hAnsi="Arial"/>
                <w:sz w:val="13"/>
                <w:szCs w:val="13"/>
                <w:color w:val="auto"/>
                <w:w w:val="97"/>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1820" w:type="dxa"/>
            <w:vAlign w:val="bottom"/>
            <w:gridSpan w:val="3"/>
          </w:tcPr>
          <w:p>
            <w:pPr>
              <w:ind w:left="620"/>
              <w:spacing w:after="0"/>
              <w:rPr>
                <w:sz w:val="20"/>
                <w:szCs w:val="20"/>
                <w:color w:val="auto"/>
              </w:rPr>
            </w:pPr>
            <w:r>
              <w:rPr>
                <w:rFonts w:ascii="Arial" w:cs="Arial" w:eastAsia="Arial" w:hAnsi="Arial"/>
                <w:sz w:val="13"/>
                <w:szCs w:val="13"/>
                <w:color w:val="auto"/>
              </w:rPr>
              <w:t>(State)</w:t>
            </w:r>
          </w:p>
        </w:tc>
        <w:tc>
          <w:tcPr>
            <w:tcW w:w="122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1420" w:type="dxa"/>
            <w:vAlign w:val="bottom"/>
            <w:tcBorders>
              <w:bottom w:val="single" w:sz="8" w:color="2C2C2C"/>
            </w:tcBorders>
            <w:gridSpan w:val="4"/>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6920" w:type="dxa"/>
            <w:vAlign w:val="bottom"/>
            <w:tcBorders>
              <w:top w:val="single" w:sz="8" w:color="2C2C2C"/>
            </w:tcBorders>
            <w:gridSpan w:val="19"/>
          </w:tcPr>
          <w:p>
            <w:pPr>
              <w:ind w:left="50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gridSpan w:val="3"/>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4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6"/>
          </w:tcPr>
          <w:p>
            <w:pPr>
              <w:ind w:left="20"/>
              <w:spacing w:after="0" w:line="130"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80" w:type="dxa"/>
            <w:vAlign w:val="bottom"/>
            <w:gridSpan w:val="5"/>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220" w:type="dxa"/>
            <w:vAlign w:val="bottom"/>
            <w:tcBorders>
              <w:bottom w:val="single" w:sz="8" w:color="2C2C2C"/>
            </w:tcBorders>
            <w:gridSpan w:val="3"/>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1420" w:type="dxa"/>
            <w:vAlign w:val="bottom"/>
            <w:tcBorders>
              <w:bottom w:val="single" w:sz="8" w:color="2C2C2C"/>
            </w:tcBorders>
            <w:gridSpan w:val="4"/>
          </w:tcPr>
          <w:p>
            <w:pPr>
              <w:spacing w:after="0"/>
              <w:rPr>
                <w:sz w:val="7"/>
                <w:szCs w:val="7"/>
                <w:color w:val="auto"/>
              </w:rPr>
            </w:pPr>
          </w:p>
        </w:tc>
        <w:tc>
          <w:tcPr>
            <w:tcW w:w="1100" w:type="dxa"/>
            <w:vAlign w:val="bottom"/>
            <w:tcBorders>
              <w:bottom w:val="single" w:sz="8" w:color="2C2C2C"/>
            </w:tcBorders>
            <w:gridSpan w:val="3"/>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9"/>
          </w:tcPr>
          <w:p>
            <w:pPr>
              <w:ind w:left="7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44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5"/>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84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rPr>
              <w:t>39</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840" w:type="dxa"/>
            <w:vAlign w:val="bottom"/>
            <w:vMerge w:val="continue"/>
          </w:tcPr>
          <w:p>
            <w:pPr>
              <w:spacing w:after="0"/>
              <w:rPr>
                <w:sz w:val="5"/>
                <w:szCs w:val="5"/>
                <w:color w:val="auto"/>
              </w:rPr>
            </w:pPr>
          </w:p>
        </w:tc>
        <w:tc>
          <w:tcPr>
            <w:tcW w:w="980" w:type="dxa"/>
            <w:vAlign w:val="bottom"/>
            <w:gridSpan w:val="2"/>
            <w:vMerge w:val="restart"/>
          </w:tcPr>
          <w:p>
            <w:pPr>
              <w:jc w:val="right"/>
              <w:ind w:right="115"/>
              <w:spacing w:after="0" w:line="144" w:lineRule="exact"/>
              <w:rPr>
                <w:sz w:val="20"/>
                <w:szCs w:val="20"/>
                <w:color w:val="auto"/>
              </w:rPr>
            </w:pPr>
            <w:r>
              <w:rPr>
                <w:rFonts w:ascii="Times New Roman" w:cs="Times New Roman" w:eastAsia="Times New Roman" w:hAnsi="Times New Roman"/>
                <w:sz w:val="13"/>
                <w:szCs w:val="13"/>
                <w:color w:val="0000FF"/>
              </w:rPr>
              <w:t>05/29/2026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gridSpan w:val="2"/>
            <w:vMerge w:val="restart"/>
          </w:tcPr>
          <w:p>
            <w:pPr>
              <w:ind w:left="2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780" w:type="dxa"/>
            <w:vAlign w:val="bottom"/>
            <w:vMerge w:val="restart"/>
          </w:tcPr>
          <w:p>
            <w:pPr>
              <w:ind w:left="120"/>
              <w:spacing w:after="0" w:line="144" w:lineRule="exact"/>
              <w:rPr>
                <w:sz w:val="20"/>
                <w:szCs w:val="20"/>
                <w:color w:val="auto"/>
              </w:rPr>
            </w:pPr>
            <w:r>
              <w:rPr>
                <w:rFonts w:ascii="Times New Roman" w:cs="Times New Roman" w:eastAsia="Times New Roman" w:hAnsi="Times New Roman"/>
                <w:sz w:val="13"/>
                <w:szCs w:val="13"/>
                <w:color w:val="0000FF"/>
              </w:rPr>
              <w:t>39</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180</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980" w:type="dxa"/>
            <w:vAlign w:val="bottom"/>
            <w:gridSpan w:val="2"/>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previously awarded restricted stock units ("RSUs") and vest proportionately with the RSUs to which they relate. Each dividend equivalent right is the economic equivalent of one share of Allison Transmission Holdings, Inc. common stock.</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President and Business Unit Leader Allison Transmission and Allison Chief Operating Officer</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Preston B. Ray, attorney-in- </w:t>
      </w:r>
      <w:r>
        <w:rPr>
          <w:rFonts w:ascii="Times New Roman" w:cs="Times New Roman" w:eastAsia="Times New Roman" w:hAnsi="Times New Roman"/>
          <w:sz w:val="33"/>
          <w:szCs w:val="33"/>
          <w:color w:val="0000FF"/>
          <w:vertAlign w:val="subscript"/>
        </w:rPr>
        <w:t>06/02/2026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-26670</wp:posOffset>
            </wp:positionV>
            <wp:extent cx="1331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-19685</wp:posOffset>
            </wp:positionV>
            <wp:extent cx="1612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1290" cy="8255"/>
                    </a:xfrm>
                    <a:prstGeom prst="rect">
                      <a:avLst/>
                    </a:prstGeom>
                    <a:noFill/>
                  </pic:spPr>
                </pic:pic>
              </a:graphicData>
            </a:graphic>
          </wp:anchor>
        </w:drawing>
        <w:drawing>
          <wp:anchor simplePos="0" relativeHeight="251657728" behindDoc="1" locked="0" layoutInCell="0" allowOverlap="1">
            <wp:simplePos x="0" y="0"/>
            <wp:positionH relativeFrom="column">
              <wp:posOffset>5588000</wp:posOffset>
            </wp:positionH>
            <wp:positionV relativeFrom="paragraph">
              <wp:posOffset>-85725</wp:posOffset>
            </wp:positionV>
            <wp:extent cx="490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0220" cy="8255"/>
                    </a:xfrm>
                    <a:prstGeom prst="rect">
                      <a:avLst/>
                    </a:prstGeom>
                    <a:noFill/>
                  </pic:spPr>
                </pic:pic>
              </a:graphicData>
            </a:graphic>
          </wp:anchor>
        </w:drawing>
      </w:r>
    </w:p>
    <w:p>
      <w:pPr>
        <w:spacing w:after="0" w:line="2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1824" TargetMode="External"/><Relationship Id="rId14" Type="http://schemas.openxmlformats.org/officeDocument/2006/relationships/hyperlink" Target="http://www.sec.gov/cgi-bin/browse-edgar?action=getcompany&amp;CIK=000141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2026-06-02T15:13:39Z</dcterms:created>
  <dcterms:modified xsi:type="dcterms:W3CDTF">2026-06-02T15:13:39Z</dcterms:modified>
</cp:coreProperties>
</file>