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71" w:lineRule="exact"/>
        <w:rPr>
          <w:sz w:val="24"/>
          <w:szCs w:val="24"/>
          <w:color w:val="auto"/>
        </w:rPr>
      </w:pPr>
    </w:p>
    <w:p>
      <w:pPr>
        <w:jc w:val="center"/>
        <w:ind w:right="14"/>
        <w:spacing w:after="0"/>
        <w:rPr>
          <w:sz w:val="20"/>
          <w:szCs w:val="20"/>
          <w:color w:val="auto"/>
        </w:rPr>
      </w:pPr>
      <w:r>
        <w:rPr>
          <w:rFonts w:ascii="Arial" w:cs="Arial" w:eastAsia="Arial" w:hAnsi="Arial"/>
          <w:sz w:val="28"/>
          <w:szCs w:val="28"/>
          <w:b w:val="1"/>
          <w:bCs w:val="1"/>
          <w:color w:val="auto"/>
        </w:rPr>
        <w:t>UNITED STATES</w:t>
      </w:r>
    </w:p>
    <w:p>
      <w:pPr>
        <w:spacing w:after="0" w:line="53" w:lineRule="exact"/>
        <w:rPr>
          <w:sz w:val="24"/>
          <w:szCs w:val="24"/>
          <w:color w:val="auto"/>
        </w:rPr>
      </w:pPr>
    </w:p>
    <w:p>
      <w:pPr>
        <w:jc w:val="center"/>
        <w:ind w:right="14"/>
        <w:spacing w:after="0"/>
        <w:rPr>
          <w:sz w:val="20"/>
          <w:szCs w:val="20"/>
          <w:color w:val="auto"/>
        </w:rPr>
      </w:pPr>
      <w:r>
        <w:rPr>
          <w:rFonts w:ascii="Arial" w:cs="Arial" w:eastAsia="Arial" w:hAnsi="Arial"/>
          <w:sz w:val="28"/>
          <w:szCs w:val="28"/>
          <w:b w:val="1"/>
          <w:bCs w:val="1"/>
          <w:color w:val="auto"/>
        </w:rPr>
        <w:t>SECURITIES AND EXCHANGE COMMISSION</w:t>
      </w:r>
    </w:p>
    <w:p>
      <w:pPr>
        <w:spacing w:after="0" w:line="57" w:lineRule="exact"/>
        <w:rPr>
          <w:sz w:val="24"/>
          <w:szCs w:val="24"/>
          <w:color w:val="auto"/>
        </w:rPr>
      </w:pPr>
    </w:p>
    <w:p>
      <w:pPr>
        <w:jc w:val="center"/>
        <w:ind w:right="14"/>
        <w:spacing w:after="0"/>
        <w:rPr>
          <w:sz w:val="20"/>
          <w:szCs w:val="20"/>
          <w:color w:val="auto"/>
        </w:rPr>
      </w:pPr>
      <w:r>
        <w:rPr>
          <w:rFonts w:ascii="Arial" w:cs="Arial" w:eastAsia="Arial" w:hAnsi="Arial"/>
          <w:sz w:val="19"/>
          <w:szCs w:val="19"/>
          <w:b w:val="1"/>
          <w:bCs w:val="1"/>
          <w:color w:val="auto"/>
        </w:rPr>
        <w:t>WASHINGTON, D.C. 20549</w:t>
      </w:r>
    </w:p>
    <w:p>
      <w:pPr>
        <w:spacing w:after="0" w:line="37" w:lineRule="exact"/>
        <w:rPr>
          <w:sz w:val="24"/>
          <w:szCs w:val="24"/>
          <w:color w:val="auto"/>
        </w:rPr>
      </w:pPr>
    </w:p>
    <w:p>
      <w:pPr>
        <w:jc w:val="center"/>
        <w:ind w:right="14"/>
        <w:spacing w:after="0"/>
        <w:rPr>
          <w:sz w:val="20"/>
          <w:szCs w:val="20"/>
          <w:color w:val="auto"/>
        </w:rPr>
      </w:pPr>
      <w:r>
        <w:rPr>
          <w:rFonts w:ascii="Arial" w:cs="Arial" w:eastAsia="Arial" w:hAnsi="Arial"/>
          <w:sz w:val="28"/>
          <w:szCs w:val="28"/>
          <w:b w:val="1"/>
          <w:bCs w:val="1"/>
          <w:color w:val="auto"/>
        </w:rPr>
        <w:t>FORM 10-Q</w:t>
      </w:r>
    </w:p>
    <w:p>
      <w:pPr>
        <w:spacing w:after="0" w:line="57" w:lineRule="exact"/>
        <w:rPr>
          <w:sz w:val="24"/>
          <w:szCs w:val="24"/>
          <w:color w:val="auto"/>
        </w:rPr>
      </w:pPr>
    </w:p>
    <w:p>
      <w:pPr>
        <w:ind w:left="566" w:hanging="566"/>
        <w:spacing w:after="0"/>
        <w:tabs>
          <w:tab w:leader="none" w:pos="566"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63"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For the quarterly period ended September 30, 2019</w:t>
      </w:r>
    </w:p>
    <w:p>
      <w:pPr>
        <w:spacing w:after="0" w:line="36"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OR</w:t>
      </w:r>
    </w:p>
    <w:p>
      <w:pPr>
        <w:spacing w:after="0" w:line="30" w:lineRule="exact"/>
        <w:rPr>
          <w:sz w:val="24"/>
          <w:szCs w:val="24"/>
          <w:color w:val="auto"/>
        </w:rPr>
      </w:pPr>
    </w:p>
    <w:p>
      <w:pPr>
        <w:ind w:left="566" w:hanging="566"/>
        <w:spacing w:after="0"/>
        <w:tabs>
          <w:tab w:leader="none" w:pos="566"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18"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Commission File No. 001-35456</w:t>
      </w:r>
    </w:p>
    <w:p>
      <w:pPr>
        <w:spacing w:after="0" w:line="24" w:lineRule="exact"/>
        <w:rPr>
          <w:sz w:val="24"/>
          <w:szCs w:val="24"/>
          <w:color w:val="auto"/>
        </w:rPr>
      </w:pPr>
    </w:p>
    <w:p>
      <w:pPr>
        <w:jc w:val="center"/>
        <w:ind w:right="14"/>
        <w:spacing w:after="0"/>
        <w:rPr>
          <w:sz w:val="20"/>
          <w:szCs w:val="20"/>
          <w:color w:val="auto"/>
        </w:rPr>
      </w:pPr>
      <w:r>
        <w:rPr>
          <w:rFonts w:ascii="Arial" w:cs="Arial" w:eastAsia="Arial" w:hAnsi="Arial"/>
          <w:sz w:val="38"/>
          <w:szCs w:val="38"/>
          <w:b w:val="1"/>
          <w:bCs w:val="1"/>
          <w:color w:val="auto"/>
        </w:rPr>
        <w:t>ALLISON TRANSMISSION HOLDINGS, INC.</w:t>
      </w:r>
    </w:p>
    <w:p>
      <w:pPr>
        <w:spacing w:after="0" w:line="60" w:lineRule="exact"/>
        <w:rPr>
          <w:sz w:val="24"/>
          <w:szCs w:val="24"/>
          <w:color w:val="auto"/>
        </w:rPr>
      </w:pPr>
    </w:p>
    <w:p>
      <w:pPr>
        <w:jc w:val="center"/>
        <w:ind w:right="14"/>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2898140</wp:posOffset>
            </wp:positionH>
            <wp:positionV relativeFrom="paragraph">
              <wp:posOffset>45085</wp:posOffset>
            </wp:positionV>
            <wp:extent cx="1475105" cy="4324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5105" cy="432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tbl>
      <w:tblPr>
        <w:tblLayout w:type="fixed"/>
        <w:tblInd w:w="1486" w:type="dxa"/>
        <w:tblCellMar>
          <w:top w:w="0" w:type="dxa"/>
          <w:left w:w="0" w:type="dxa"/>
          <w:bottom w:w="0" w:type="dxa"/>
          <w:right w:w="0" w:type="dxa"/>
        </w:tblCellMar>
      </w:tblPr>
      <w:tr>
        <w:trPr>
          <w:trHeight w:val="208"/>
        </w:trPr>
        <w:tc>
          <w:tcPr>
            <w:tcW w:w="6140" w:type="dxa"/>
            <w:vAlign w:val="bottom"/>
          </w:tcPr>
          <w:p>
            <w:pPr>
              <w:jc w:val="center"/>
              <w:ind w:right="3310"/>
              <w:spacing w:after="0"/>
              <w:rPr>
                <w:sz w:val="20"/>
                <w:szCs w:val="20"/>
                <w:color w:val="auto"/>
              </w:rPr>
            </w:pPr>
            <w:r>
              <w:rPr>
                <w:rFonts w:ascii="Arial" w:cs="Arial" w:eastAsia="Arial" w:hAnsi="Arial"/>
                <w:sz w:val="16"/>
                <w:szCs w:val="16"/>
                <w:b w:val="1"/>
                <w:bCs w:val="1"/>
                <w:color w:val="auto"/>
                <w:w w:val="96"/>
              </w:rPr>
              <w:t>Delaware</w:t>
            </w:r>
          </w:p>
        </w:tc>
        <w:tc>
          <w:tcPr>
            <w:tcW w:w="1620" w:type="dxa"/>
            <w:vAlign w:val="bottom"/>
          </w:tcPr>
          <w:p>
            <w:pPr>
              <w:jc w:val="right"/>
              <w:ind w:right="171"/>
              <w:spacing w:after="0"/>
              <w:rPr>
                <w:sz w:val="20"/>
                <w:szCs w:val="20"/>
                <w:color w:val="auto"/>
              </w:rPr>
            </w:pPr>
            <w:r>
              <w:rPr>
                <w:rFonts w:ascii="Arial" w:cs="Arial" w:eastAsia="Arial" w:hAnsi="Arial"/>
                <w:sz w:val="16"/>
                <w:szCs w:val="16"/>
                <w:b w:val="1"/>
                <w:bCs w:val="1"/>
                <w:color w:val="auto"/>
              </w:rPr>
              <w:t>26-0414014</w:t>
            </w:r>
          </w:p>
        </w:tc>
      </w:tr>
      <w:tr>
        <w:trPr>
          <w:trHeight w:val="200"/>
        </w:trPr>
        <w:tc>
          <w:tcPr>
            <w:tcW w:w="6140" w:type="dxa"/>
            <w:vAlign w:val="bottom"/>
          </w:tcPr>
          <w:p>
            <w:pPr>
              <w:jc w:val="center"/>
              <w:ind w:right="3310"/>
              <w:spacing w:after="0"/>
              <w:rPr>
                <w:sz w:val="20"/>
                <w:szCs w:val="20"/>
                <w:color w:val="auto"/>
              </w:rPr>
            </w:pPr>
            <w:r>
              <w:rPr>
                <w:rFonts w:ascii="Arial" w:cs="Arial" w:eastAsia="Arial" w:hAnsi="Arial"/>
                <w:sz w:val="13"/>
                <w:szCs w:val="13"/>
                <w:b w:val="1"/>
                <w:bCs w:val="1"/>
                <w:color w:val="auto"/>
                <w:w w:val="95"/>
              </w:rPr>
              <w:t>(State or Other Jurisdiction of Incorporation or</w:t>
            </w:r>
          </w:p>
        </w:tc>
        <w:tc>
          <w:tcPr>
            <w:tcW w:w="1620" w:type="dxa"/>
            <w:vAlign w:val="bottom"/>
          </w:tcPr>
          <w:p>
            <w:pPr>
              <w:jc w:val="center"/>
              <w:ind w:left="231"/>
              <w:spacing w:after="0"/>
              <w:rPr>
                <w:sz w:val="20"/>
                <w:szCs w:val="20"/>
                <w:color w:val="auto"/>
              </w:rPr>
            </w:pPr>
            <w:r>
              <w:rPr>
                <w:rFonts w:ascii="Arial" w:cs="Arial" w:eastAsia="Arial" w:hAnsi="Arial"/>
                <w:sz w:val="13"/>
                <w:szCs w:val="13"/>
                <w:b w:val="1"/>
                <w:bCs w:val="1"/>
                <w:color w:val="auto"/>
                <w:w w:val="96"/>
              </w:rPr>
              <w:t>(I.R.S. Employer</w:t>
            </w:r>
          </w:p>
        </w:tc>
      </w:tr>
      <w:tr>
        <w:trPr>
          <w:trHeight w:val="177"/>
        </w:trPr>
        <w:tc>
          <w:tcPr>
            <w:tcW w:w="6140" w:type="dxa"/>
            <w:vAlign w:val="bottom"/>
          </w:tcPr>
          <w:p>
            <w:pPr>
              <w:jc w:val="center"/>
              <w:ind w:right="3310"/>
              <w:spacing w:after="0"/>
              <w:rPr>
                <w:sz w:val="20"/>
                <w:szCs w:val="20"/>
                <w:color w:val="auto"/>
              </w:rPr>
            </w:pPr>
            <w:r>
              <w:rPr>
                <w:rFonts w:ascii="Arial" w:cs="Arial" w:eastAsia="Arial" w:hAnsi="Arial"/>
                <w:sz w:val="13"/>
                <w:szCs w:val="13"/>
                <w:b w:val="1"/>
                <w:bCs w:val="1"/>
                <w:color w:val="auto"/>
                <w:w w:val="95"/>
              </w:rPr>
              <w:t>Organization)</w:t>
            </w:r>
          </w:p>
        </w:tc>
        <w:tc>
          <w:tcPr>
            <w:tcW w:w="1620" w:type="dxa"/>
            <w:vAlign w:val="bottom"/>
          </w:tcPr>
          <w:p>
            <w:pPr>
              <w:jc w:val="center"/>
              <w:ind w:left="231"/>
              <w:spacing w:after="0"/>
              <w:rPr>
                <w:sz w:val="20"/>
                <w:szCs w:val="20"/>
                <w:color w:val="auto"/>
              </w:rPr>
            </w:pPr>
            <w:r>
              <w:rPr>
                <w:rFonts w:ascii="Arial" w:cs="Arial" w:eastAsia="Arial" w:hAnsi="Arial"/>
                <w:sz w:val="13"/>
                <w:szCs w:val="13"/>
                <w:b w:val="1"/>
                <w:bCs w:val="1"/>
                <w:color w:val="auto"/>
                <w:w w:val="95"/>
              </w:rPr>
              <w:t>Identification Number)</w:t>
            </w:r>
          </w:p>
        </w:tc>
      </w:tr>
      <w:tr>
        <w:trPr>
          <w:trHeight w:val="245"/>
        </w:trPr>
        <w:tc>
          <w:tcPr>
            <w:tcW w:w="6140" w:type="dxa"/>
            <w:vAlign w:val="bottom"/>
          </w:tcPr>
          <w:p>
            <w:pPr>
              <w:jc w:val="center"/>
              <w:ind w:right="3310"/>
              <w:spacing w:after="0"/>
              <w:rPr>
                <w:sz w:val="20"/>
                <w:szCs w:val="20"/>
                <w:color w:val="auto"/>
              </w:rPr>
            </w:pPr>
            <w:r>
              <w:rPr>
                <w:rFonts w:ascii="Arial" w:cs="Arial" w:eastAsia="Arial" w:hAnsi="Arial"/>
                <w:sz w:val="16"/>
                <w:szCs w:val="16"/>
                <w:b w:val="1"/>
                <w:bCs w:val="1"/>
                <w:color w:val="auto"/>
                <w:w w:val="98"/>
              </w:rPr>
              <w:t>One Allison Way</w:t>
            </w:r>
          </w:p>
        </w:tc>
        <w:tc>
          <w:tcPr>
            <w:tcW w:w="1620" w:type="dxa"/>
            <w:vAlign w:val="bottom"/>
          </w:tcPr>
          <w:p>
            <w:pPr>
              <w:spacing w:after="0"/>
              <w:rPr>
                <w:sz w:val="21"/>
                <w:szCs w:val="21"/>
                <w:color w:val="auto"/>
              </w:rPr>
            </w:pPr>
          </w:p>
        </w:tc>
      </w:tr>
      <w:tr>
        <w:trPr>
          <w:trHeight w:val="375"/>
        </w:trPr>
        <w:tc>
          <w:tcPr>
            <w:tcW w:w="6140" w:type="dxa"/>
            <w:vAlign w:val="bottom"/>
          </w:tcPr>
          <w:p>
            <w:pPr>
              <w:ind w:left="380"/>
              <w:spacing w:after="0"/>
              <w:rPr>
                <w:sz w:val="20"/>
                <w:szCs w:val="20"/>
                <w:color w:val="auto"/>
              </w:rPr>
            </w:pPr>
            <w:r>
              <w:rPr>
                <w:rFonts w:ascii="Arial" w:cs="Arial" w:eastAsia="Arial" w:hAnsi="Arial"/>
                <w:sz w:val="16"/>
                <w:szCs w:val="16"/>
                <w:b w:val="1"/>
                <w:bCs w:val="1"/>
                <w:color w:val="auto"/>
              </w:rPr>
              <w:t>Indianapolis, IN</w:t>
            </w:r>
          </w:p>
        </w:tc>
        <w:tc>
          <w:tcPr>
            <w:tcW w:w="1620" w:type="dxa"/>
            <w:vAlign w:val="bottom"/>
          </w:tcPr>
          <w:p>
            <w:pPr>
              <w:jc w:val="right"/>
              <w:ind w:right="371"/>
              <w:spacing w:after="0"/>
              <w:rPr>
                <w:sz w:val="20"/>
                <w:szCs w:val="20"/>
                <w:color w:val="auto"/>
              </w:rPr>
            </w:pPr>
            <w:r>
              <w:rPr>
                <w:rFonts w:ascii="Arial" w:cs="Arial" w:eastAsia="Arial" w:hAnsi="Arial"/>
                <w:sz w:val="16"/>
                <w:szCs w:val="16"/>
                <w:b w:val="1"/>
                <w:bCs w:val="1"/>
                <w:color w:val="auto"/>
              </w:rPr>
              <w:t>46222</w:t>
            </w:r>
          </w:p>
        </w:tc>
      </w:tr>
      <w:tr>
        <w:trPr>
          <w:trHeight w:val="201"/>
        </w:trPr>
        <w:tc>
          <w:tcPr>
            <w:tcW w:w="6140" w:type="dxa"/>
            <w:vAlign w:val="bottom"/>
          </w:tcPr>
          <w:p>
            <w:pPr>
              <w:jc w:val="center"/>
              <w:ind w:right="3330"/>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1620" w:type="dxa"/>
            <w:vAlign w:val="bottom"/>
          </w:tcPr>
          <w:p>
            <w:pPr>
              <w:jc w:val="center"/>
              <w:ind w:left="211"/>
              <w:spacing w:after="0"/>
              <w:rPr>
                <w:sz w:val="20"/>
                <w:szCs w:val="20"/>
                <w:color w:val="auto"/>
              </w:rPr>
            </w:pPr>
            <w:r>
              <w:rPr>
                <w:rFonts w:ascii="Arial" w:cs="Arial" w:eastAsia="Arial" w:hAnsi="Arial"/>
                <w:sz w:val="13"/>
                <w:szCs w:val="13"/>
                <w:b w:val="1"/>
                <w:bCs w:val="1"/>
                <w:color w:val="auto"/>
                <w:w w:val="96"/>
              </w:rPr>
              <w:t>(Zip Code)</w:t>
            </w:r>
          </w:p>
        </w:tc>
      </w:tr>
      <w:tr>
        <w:trPr>
          <w:trHeight w:val="256"/>
        </w:trPr>
        <w:tc>
          <w:tcPr>
            <w:tcW w:w="6140" w:type="dxa"/>
            <w:vAlign w:val="bottom"/>
          </w:tcPr>
          <w:p>
            <w:pPr>
              <w:jc w:val="right"/>
              <w:ind w:right="1310"/>
              <w:spacing w:after="0"/>
              <w:rPr>
                <w:sz w:val="20"/>
                <w:szCs w:val="20"/>
                <w:color w:val="auto"/>
              </w:rPr>
            </w:pPr>
            <w:r>
              <w:rPr>
                <w:rFonts w:ascii="Arial" w:cs="Arial" w:eastAsia="Arial" w:hAnsi="Arial"/>
                <w:sz w:val="16"/>
                <w:szCs w:val="16"/>
                <w:b w:val="1"/>
                <w:bCs w:val="1"/>
                <w:color w:val="auto"/>
              </w:rPr>
              <w:t>(317) 242-5000</w:t>
            </w:r>
          </w:p>
        </w:tc>
        <w:tc>
          <w:tcPr>
            <w:tcW w:w="1620" w:type="dxa"/>
            <w:vAlign w:val="bottom"/>
          </w:tcPr>
          <w:p>
            <w:pPr>
              <w:spacing w:after="0"/>
              <w:rPr>
                <w:sz w:val="22"/>
                <w:szCs w:val="22"/>
                <w:color w:val="auto"/>
              </w:rPr>
            </w:pPr>
          </w:p>
        </w:tc>
      </w:tr>
      <w:tr>
        <w:trPr>
          <w:trHeight w:val="178"/>
        </w:trPr>
        <w:tc>
          <w:tcPr>
            <w:tcW w:w="6140" w:type="dxa"/>
            <w:vAlign w:val="bottom"/>
          </w:tcPr>
          <w:p>
            <w:pPr>
              <w:jc w:val="center"/>
              <w:ind w:left="2270"/>
              <w:spacing w:after="0"/>
              <w:rPr>
                <w:sz w:val="20"/>
                <w:szCs w:val="20"/>
                <w:color w:val="auto"/>
              </w:rPr>
            </w:pPr>
            <w:r>
              <w:rPr>
                <w:rFonts w:ascii="Arial" w:cs="Arial" w:eastAsia="Arial" w:hAnsi="Arial"/>
                <w:sz w:val="13"/>
                <w:szCs w:val="13"/>
                <w:b w:val="1"/>
                <w:bCs w:val="1"/>
                <w:color w:val="auto"/>
                <w:w w:val="95"/>
              </w:rPr>
              <w:t>(Registrant’s Telephone Number, Including Area Code)</w:t>
            </w:r>
          </w:p>
        </w:tc>
        <w:tc>
          <w:tcPr>
            <w:tcW w:w="1620" w:type="dxa"/>
            <w:vAlign w:val="bottom"/>
          </w:tcPr>
          <w:p>
            <w:pPr>
              <w:spacing w:after="0"/>
              <w:rPr>
                <w:sz w:val="15"/>
                <w:szCs w:val="15"/>
                <w:color w:val="auto"/>
              </w:rPr>
            </w:pPr>
          </w:p>
        </w:tc>
      </w:tr>
    </w:tbl>
    <w:p>
      <w:pPr>
        <w:spacing w:after="0" w:line="10" w:lineRule="exact"/>
        <w:rPr>
          <w:sz w:val="24"/>
          <w:szCs w:val="24"/>
          <w:color w:val="auto"/>
        </w:rPr>
      </w:pPr>
    </w:p>
    <w:p>
      <w:pPr>
        <w:jc w:val="center"/>
        <w:ind w:right="14"/>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4" w:lineRule="exact"/>
        <w:rPr>
          <w:sz w:val="24"/>
          <w:szCs w:val="24"/>
          <w:color w:val="auto"/>
        </w:rPr>
      </w:pPr>
    </w:p>
    <w:tbl>
      <w:tblPr>
        <w:tblLayout w:type="fixed"/>
        <w:tblInd w:w="2046"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60" w:type="dxa"/>
            <w:vAlign w:val="bottom"/>
          </w:tcPr>
          <w:p>
            <w:pPr>
              <w:jc w:val="center"/>
              <w:spacing w:after="0"/>
              <w:rPr>
                <w:sz w:val="20"/>
                <w:szCs w:val="20"/>
                <w:color w:val="auto"/>
              </w:rPr>
            </w:pPr>
            <w:r>
              <w:rPr>
                <w:rFonts w:ascii="Arial" w:cs="Arial" w:eastAsia="Arial" w:hAnsi="Arial"/>
                <w:sz w:val="13"/>
                <w:szCs w:val="13"/>
                <w:color w:val="auto"/>
                <w:w w:val="97"/>
              </w:rPr>
              <w:t>Name of Each Exchange</w:t>
            </w:r>
          </w:p>
        </w:tc>
      </w:tr>
      <w:tr>
        <w:trPr>
          <w:trHeight w:val="137"/>
        </w:trPr>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4"/>
              </w:rPr>
              <w:t>Title of Each Class</w:t>
            </w:r>
          </w:p>
        </w:tc>
        <w:tc>
          <w:tcPr>
            <w:tcW w:w="60" w:type="dxa"/>
            <w:vAlign w:val="bottom"/>
          </w:tcPr>
          <w:p>
            <w:pPr>
              <w:spacing w:after="0"/>
              <w:rPr>
                <w:sz w:val="11"/>
                <w:szCs w:val="11"/>
                <w:color w:val="auto"/>
              </w:rPr>
            </w:pPr>
          </w:p>
        </w:tc>
        <w:tc>
          <w:tcPr>
            <w:tcW w:w="244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4"/>
              </w:rPr>
              <w:t>Trading Symbol(s)</w:t>
            </w:r>
          </w:p>
        </w:tc>
        <w:tc>
          <w:tcPr>
            <w:tcW w:w="60" w:type="dxa"/>
            <w:vAlign w:val="bottom"/>
          </w:tcPr>
          <w:p>
            <w:pPr>
              <w:spacing w:after="0"/>
              <w:rPr>
                <w:sz w:val="11"/>
                <w:szCs w:val="11"/>
                <w:color w:val="auto"/>
              </w:rPr>
            </w:pPr>
          </w:p>
        </w:tc>
        <w:tc>
          <w:tcPr>
            <w:tcW w:w="2360" w:type="dxa"/>
            <w:vAlign w:val="bottom"/>
            <w:tcBorders>
              <w:bottom w:val="single" w:sz="8" w:color="auto"/>
            </w:tcBorders>
          </w:tcPr>
          <w:p>
            <w:pPr>
              <w:jc w:val="center"/>
              <w:spacing w:after="0" w:line="137" w:lineRule="exact"/>
              <w:rPr>
                <w:sz w:val="20"/>
                <w:szCs w:val="20"/>
                <w:color w:val="auto"/>
              </w:rPr>
            </w:pPr>
            <w:r>
              <w:rPr>
                <w:rFonts w:ascii="Arial" w:cs="Arial" w:eastAsia="Arial" w:hAnsi="Arial"/>
                <w:sz w:val="13"/>
                <w:szCs w:val="13"/>
                <w:color w:val="auto"/>
                <w:w w:val="95"/>
              </w:rPr>
              <w:t>on which Registered</w:t>
            </w:r>
          </w:p>
        </w:tc>
      </w:tr>
      <w:tr>
        <w:trPr>
          <w:trHeight w:val="225"/>
        </w:trPr>
        <w:tc>
          <w:tcPr>
            <w:tcW w:w="2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Common stock, $0.01 par value</w:t>
            </w:r>
          </w:p>
        </w:tc>
        <w:tc>
          <w:tcPr>
            <w:tcW w:w="25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ALSN</w:t>
            </w:r>
          </w:p>
        </w:tc>
        <w:tc>
          <w:tcPr>
            <w:tcW w:w="2360" w:type="dxa"/>
            <w:vAlign w:val="bottom"/>
          </w:tcPr>
          <w:p>
            <w:pPr>
              <w:jc w:val="center"/>
              <w:spacing w:after="0"/>
              <w:rPr>
                <w:sz w:val="20"/>
                <w:szCs w:val="20"/>
                <w:color w:val="auto"/>
              </w:rPr>
            </w:pPr>
            <w:r>
              <w:rPr>
                <w:rFonts w:ascii="Arial" w:cs="Arial" w:eastAsia="Arial" w:hAnsi="Arial"/>
                <w:sz w:val="16"/>
                <w:szCs w:val="16"/>
                <w:b w:val="1"/>
                <w:bCs w:val="1"/>
                <w:color w:val="auto"/>
                <w:w w:val="97"/>
              </w:rPr>
              <w:t>New York Stock Exchange</w:t>
            </w:r>
          </w:p>
        </w:tc>
      </w:tr>
    </w:tbl>
    <w:p>
      <w:pPr>
        <w:spacing w:after="0" w:line="35" w:lineRule="exact"/>
        <w:rPr>
          <w:sz w:val="24"/>
          <w:szCs w:val="24"/>
          <w:color w:val="auto"/>
        </w:rPr>
      </w:pPr>
    </w:p>
    <w:p>
      <w:pPr>
        <w:ind w:left="6" w:right="20" w:firstLine="508"/>
        <w:spacing w:after="0" w:line="186"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446"/>
          </w:cols>
          <w:pgMar w:left="234" w:top="233" w:right="219" w:bottom="1440" w:gutter="0" w:footer="0" w:header="0"/>
        </w:sectPr>
      </w:pPr>
    </w:p>
    <w:p>
      <w:pPr>
        <w:spacing w:after="0" w:line="30" w:lineRule="exact"/>
        <w:rPr>
          <w:sz w:val="24"/>
          <w:szCs w:val="24"/>
          <w:color w:val="auto"/>
        </w:rPr>
      </w:pPr>
    </w:p>
    <w:p>
      <w:pPr>
        <w:ind w:left="6" w:right="340" w:firstLine="508"/>
        <w:spacing w:after="0" w:line="242"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6"/>
        <w:spacing w:after="0" w:line="184" w:lineRule="exact"/>
        <w:tabs>
          <w:tab w:leader="none" w:pos="566" w:val="left"/>
          <w:tab w:leader="none" w:pos="1206"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4" w:lineRule="exact"/>
        <w:rPr>
          <w:sz w:val="24"/>
          <w:szCs w:val="24"/>
          <w:color w:val="auto"/>
        </w:rPr>
      </w:pPr>
    </w:p>
    <w:p>
      <w:pPr>
        <w:ind w:left="6" w:right="260" w:firstLine="508"/>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6"/>
        <w:spacing w:after="0" w:line="182" w:lineRule="exact"/>
        <w:tabs>
          <w:tab w:leader="none" w:pos="3426" w:val="left"/>
          <w:tab w:leader="none" w:pos="7926"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Accelerated filer</w:t>
      </w:r>
    </w:p>
    <w:p>
      <w:pPr>
        <w:spacing w:after="0" w:line="51" w:lineRule="exact"/>
        <w:rPr>
          <w:sz w:val="24"/>
          <w:szCs w:val="24"/>
          <w:color w:val="auto"/>
        </w:rPr>
      </w:pPr>
    </w:p>
    <w:p>
      <w:pPr>
        <w:ind w:left="6"/>
        <w:spacing w:after="0" w:line="184" w:lineRule="exact"/>
        <w:tabs>
          <w:tab w:leader="none" w:pos="3426" w:val="left"/>
          <w:tab w:leader="none" w:pos="7926"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Smaller reporting company</w:t>
      </w:r>
    </w:p>
    <w:p>
      <w:pPr>
        <w:spacing w:after="0" w:line="19" w:lineRule="exact"/>
        <w:rPr>
          <w:sz w:val="24"/>
          <w:szCs w:val="24"/>
          <w:color w:val="auto"/>
        </w:rPr>
      </w:pPr>
    </w:p>
    <w:p>
      <w:pPr>
        <w:ind w:left="7946"/>
        <w:spacing w:after="0"/>
        <w:rPr>
          <w:sz w:val="20"/>
          <w:szCs w:val="20"/>
          <w:color w:val="auto"/>
        </w:rPr>
      </w:pPr>
      <w:r>
        <w:rPr>
          <w:rFonts w:ascii="Arial" w:cs="Arial" w:eastAsia="Arial" w:hAnsi="Arial"/>
          <w:sz w:val="16"/>
          <w:szCs w:val="16"/>
          <w:color w:val="auto"/>
        </w:rPr>
        <w:t>Emerging growth company</w:t>
      </w:r>
    </w:p>
    <w:p>
      <w:pPr>
        <w:spacing w:after="0" w:line="39" w:lineRule="exact"/>
        <w:rPr>
          <w:sz w:val="24"/>
          <w:szCs w:val="24"/>
          <w:color w:val="auto"/>
        </w:rPr>
      </w:pPr>
    </w:p>
    <w:p>
      <w:pPr>
        <w:ind w:left="6" w:firstLine="508"/>
        <w:spacing w:after="0" w:line="19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06" w:right="1600"/>
        <w:spacing w:after="0" w:line="22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15, 2019, there were 119,231,473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159385</wp:posOffset>
            </wp:positionV>
            <wp:extent cx="728980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94"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pacing w:after="0" w:line="58" w:lineRule="exact"/>
        <w:rPr>
          <w:sz w:val="24"/>
          <w:szCs w:val="24"/>
          <w:color w:val="auto"/>
        </w:rPr>
      </w:pPr>
    </w:p>
    <w:p>
      <w:pPr>
        <w:spacing w:after="0" w:line="131" w:lineRule="exact"/>
        <w:rPr>
          <w:sz w:val="20"/>
          <w:szCs w:val="20"/>
          <w:color w:val="auto"/>
        </w:rPr>
      </w:pPr>
      <w:r>
        <w:rPr>
          <w:rFonts w:ascii="MS PGothic" w:cs="MS PGothic" w:eastAsia="MS PGothic" w:hAnsi="MS PGothic"/>
          <w:sz w:val="13"/>
          <w:szCs w:val="13"/>
          <w:color w:val="auto"/>
        </w:rPr>
        <w:t>☐</w:t>
      </w:r>
    </w:p>
    <w:p>
      <w:pPr>
        <w:sectPr>
          <w:pgSz w:w="11900" w:h="16838" w:orient="portrait"/>
          <w:cols w:equalWidth="0" w:num="2">
            <w:col w:w="11226" w:space="80"/>
            <w:col w:w="140"/>
          </w:cols>
          <w:pgMar w:left="234" w:top="233" w:right="2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7" w:lineRule="exact"/>
        <w:rPr>
          <w:sz w:val="20"/>
          <w:szCs w:val="20"/>
          <w:color w:val="auto"/>
        </w:rPr>
      </w:pPr>
    </w:p>
    <w:p>
      <w:pPr>
        <w:ind w:left="5460"/>
        <w:spacing w:after="0"/>
        <w:rPr>
          <w:sz w:val="20"/>
          <w:szCs w:val="20"/>
          <w:color w:val="auto"/>
        </w:rPr>
      </w:pPr>
      <w:r>
        <w:rPr>
          <w:rFonts w:ascii="Arial" w:cs="Arial" w:eastAsia="Arial" w:hAnsi="Arial"/>
          <w:sz w:val="16"/>
          <w:szCs w:val="16"/>
          <w:b w:val="1"/>
          <w:bCs w:val="1"/>
          <w:color w:val="auto"/>
        </w:rPr>
        <w:t>INDEX</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80" w:type="dxa"/>
            <w:vAlign w:val="bottom"/>
            <w:tcBorders>
              <w:bottom w:val="single" w:sz="8" w:color="0000EE"/>
            </w:tcBorders>
            <w:gridSpan w:val="9"/>
          </w:tcPr>
          <w:p>
            <w:pPr>
              <w:jc w:val="center"/>
              <w:spacing w:after="0"/>
              <w:rPr>
                <w:rFonts w:ascii="Arial" w:cs="Arial" w:eastAsia="Arial" w:hAnsi="Arial"/>
                <w:sz w:val="16"/>
                <w:szCs w:val="16"/>
                <w:b w:val="1"/>
                <w:bCs w:val="1"/>
                <w:color w:val="0000EE"/>
                <w:w w:val="97"/>
              </w:rPr>
            </w:pPr>
            <w:hyperlink w:anchor="page3">
              <w:r>
                <w:rPr>
                  <w:rFonts w:ascii="Arial" w:cs="Arial" w:eastAsia="Arial" w:hAnsi="Arial"/>
                  <w:sz w:val="16"/>
                  <w:szCs w:val="16"/>
                  <w:b w:val="1"/>
                  <w:bCs w:val="1"/>
                  <w:color w:val="0000EE"/>
                  <w:w w:val="97"/>
                </w:rPr>
                <w:t>PART I. FINANCIAL INFORMATION</w:t>
              </w:r>
            </w:hyperlink>
          </w:p>
        </w:tc>
        <w:tc>
          <w:tcPr>
            <w:tcW w:w="100" w:type="dxa"/>
            <w:vAlign w:val="bottom"/>
          </w:tcPr>
          <w:p>
            <w:pPr>
              <w:spacing w:after="0"/>
              <w:rPr>
                <w:sz w:val="16"/>
                <w:szCs w:val="16"/>
                <w:color w:val="auto"/>
              </w:rPr>
            </w:pPr>
          </w:p>
        </w:tc>
      </w:tr>
      <w:tr>
        <w:trPr>
          <w:trHeight w:val="402"/>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6160" w:type="dxa"/>
            <w:vAlign w:val="bottom"/>
            <w:gridSpan w:val="1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r>
      <w:tr>
        <w:trPr>
          <w:trHeight w:val="20"/>
        </w:trPr>
        <w:tc>
          <w:tcPr>
            <w:tcW w:w="9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367"/>
        </w:trPr>
        <w:tc>
          <w:tcPr>
            <w:tcW w:w="940" w:type="dxa"/>
            <w:vAlign w:val="bottom"/>
          </w:tcPr>
          <w:p>
            <w:pPr>
              <w:spacing w:after="0"/>
              <w:rPr>
                <w:sz w:val="24"/>
                <w:szCs w:val="24"/>
                <w:color w:val="auto"/>
              </w:rPr>
            </w:pPr>
          </w:p>
        </w:tc>
        <w:tc>
          <w:tcPr>
            <w:tcW w:w="2900" w:type="dxa"/>
            <w:vAlign w:val="bottom"/>
            <w:tcBorders>
              <w:bottom w:val="single" w:sz="8" w:color="0000EE"/>
            </w:tcBorders>
            <w:gridSpan w:val="7"/>
          </w:tcPr>
          <w:p>
            <w:pPr>
              <w:spacing w:after="0"/>
              <w:rPr>
                <w:rFonts w:ascii="Arial" w:cs="Arial" w:eastAsia="Arial" w:hAnsi="Arial"/>
                <w:sz w:val="16"/>
                <w:szCs w:val="16"/>
                <w:color w:val="0000EE"/>
                <w:w w:val="97"/>
              </w:rPr>
            </w:pPr>
            <w:hyperlink w:anchor="page3">
              <w:r>
                <w:rPr>
                  <w:rFonts w:ascii="Arial" w:cs="Arial" w:eastAsia="Arial" w:hAnsi="Arial"/>
                  <w:sz w:val="16"/>
                  <w:szCs w:val="16"/>
                  <w:color w:val="0000EE"/>
                  <w:w w:val="97"/>
                </w:rPr>
                <w:t>Condensed Consolidated Balance Sheets</w:t>
              </w:r>
            </w:hyperlink>
          </w:p>
        </w:tc>
        <w:tc>
          <w:tcPr>
            <w:tcW w:w="3260" w:type="dxa"/>
            <w:vAlign w:val="bottom"/>
            <w:gridSpan w:val="11"/>
          </w:tcPr>
          <w:p>
            <w:pPr>
              <w:spacing w:after="0"/>
              <w:rPr>
                <w:sz w:val="24"/>
                <w:szCs w:val="24"/>
                <w:color w:val="auto"/>
              </w:rPr>
            </w:pPr>
          </w:p>
        </w:tc>
      </w:tr>
      <w:tr>
        <w:trPr>
          <w:trHeight w:val="402"/>
        </w:trPr>
        <w:tc>
          <w:tcPr>
            <w:tcW w:w="940" w:type="dxa"/>
            <w:vAlign w:val="bottom"/>
          </w:tcPr>
          <w:p>
            <w:pPr>
              <w:spacing w:after="0"/>
              <w:rPr>
                <w:sz w:val="24"/>
                <w:szCs w:val="24"/>
                <w:color w:val="auto"/>
              </w:rPr>
            </w:pPr>
          </w:p>
        </w:tc>
        <w:tc>
          <w:tcPr>
            <w:tcW w:w="616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Comprehensive Income</w:t>
              </w:r>
            </w:hyperlink>
          </w:p>
        </w:tc>
      </w:tr>
      <w:tr>
        <w:trPr>
          <w:trHeight w:val="402"/>
        </w:trPr>
        <w:tc>
          <w:tcPr>
            <w:tcW w:w="940" w:type="dxa"/>
            <w:vAlign w:val="bottom"/>
          </w:tcPr>
          <w:p>
            <w:pPr>
              <w:spacing w:after="0"/>
              <w:rPr>
                <w:sz w:val="24"/>
                <w:szCs w:val="24"/>
                <w:color w:val="auto"/>
              </w:rPr>
            </w:pPr>
          </w:p>
        </w:tc>
        <w:tc>
          <w:tcPr>
            <w:tcW w:w="364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7"/>
              </w:rPr>
            </w:pPr>
            <w:hyperlink w:anchor="page5">
              <w:r>
                <w:rPr>
                  <w:rFonts w:ascii="Arial" w:cs="Arial" w:eastAsia="Arial" w:hAnsi="Arial"/>
                  <w:sz w:val="16"/>
                  <w:szCs w:val="16"/>
                  <w:color w:val="0000EE"/>
                  <w:w w:val="97"/>
                </w:rPr>
                <w:t>Condensed Consolidated Statements of Cash Flows</w:t>
              </w:r>
            </w:hyperlink>
          </w:p>
        </w:tc>
        <w:tc>
          <w:tcPr>
            <w:tcW w:w="820" w:type="dxa"/>
            <w:vAlign w:val="bottom"/>
            <w:tcBorders>
              <w:top w:val="single" w:sz="8" w:color="0000EE"/>
            </w:tcBorders>
            <w:gridSpan w:val="5"/>
          </w:tcPr>
          <w:p>
            <w:pPr>
              <w:spacing w:after="0"/>
              <w:rPr>
                <w:sz w:val="24"/>
                <w:szCs w:val="24"/>
                <w:color w:val="auto"/>
              </w:rPr>
            </w:pPr>
          </w:p>
        </w:tc>
        <w:tc>
          <w:tcPr>
            <w:tcW w:w="1700" w:type="dxa"/>
            <w:vAlign w:val="bottom"/>
            <w:gridSpan w:val="3"/>
          </w:tcPr>
          <w:p>
            <w:pPr>
              <w:spacing w:after="0"/>
              <w:rPr>
                <w:sz w:val="24"/>
                <w:szCs w:val="24"/>
                <w:color w:val="auto"/>
              </w:rPr>
            </w:pPr>
          </w:p>
        </w:tc>
      </w:tr>
      <w:tr>
        <w:trPr>
          <w:trHeight w:val="438"/>
        </w:trPr>
        <w:tc>
          <w:tcPr>
            <w:tcW w:w="940" w:type="dxa"/>
            <w:vAlign w:val="bottom"/>
          </w:tcPr>
          <w:p>
            <w:pPr>
              <w:spacing w:after="0"/>
              <w:rPr>
                <w:sz w:val="24"/>
                <w:szCs w:val="24"/>
                <w:color w:val="auto"/>
              </w:rPr>
            </w:pPr>
          </w:p>
        </w:tc>
        <w:tc>
          <w:tcPr>
            <w:tcW w:w="4240" w:type="dxa"/>
            <w:vAlign w:val="bottom"/>
            <w:tcBorders>
              <w:bottom w:val="single" w:sz="8" w:color="0000EE"/>
            </w:tcBorders>
            <w:gridSpan w:val="14"/>
          </w:tcPr>
          <w:p>
            <w:pPr>
              <w:spacing w:after="0"/>
              <w:rPr>
                <w:rFonts w:ascii="Arial" w:cs="Arial" w:eastAsia="Arial" w:hAnsi="Arial"/>
                <w:sz w:val="16"/>
                <w:szCs w:val="16"/>
                <w:color w:val="0000EE"/>
                <w:w w:val="97"/>
              </w:rPr>
            </w:pPr>
            <w:hyperlink w:anchor="page6">
              <w:r>
                <w:rPr>
                  <w:rFonts w:ascii="Arial" w:cs="Arial" w:eastAsia="Arial" w:hAnsi="Arial"/>
                  <w:sz w:val="16"/>
                  <w:szCs w:val="16"/>
                  <w:color w:val="0000EE"/>
                  <w:w w:val="97"/>
                </w:rPr>
                <w:t>Condensed Consolidated Statements of Stockholders’ Equity</w:t>
              </w:r>
            </w:hyperlink>
          </w:p>
        </w:tc>
        <w:tc>
          <w:tcPr>
            <w:tcW w:w="1920" w:type="dxa"/>
            <w:vAlign w:val="bottom"/>
            <w:gridSpan w:val="4"/>
          </w:tcPr>
          <w:p>
            <w:pPr>
              <w:spacing w:after="0"/>
              <w:rPr>
                <w:sz w:val="24"/>
                <w:szCs w:val="24"/>
                <w:color w:val="auto"/>
              </w:rPr>
            </w:pPr>
          </w:p>
        </w:tc>
      </w:tr>
      <w:tr>
        <w:trPr>
          <w:trHeight w:val="367"/>
        </w:trPr>
        <w:tc>
          <w:tcPr>
            <w:tcW w:w="940" w:type="dxa"/>
            <w:vAlign w:val="bottom"/>
          </w:tcPr>
          <w:p>
            <w:pPr>
              <w:spacing w:after="0"/>
              <w:rPr>
                <w:sz w:val="24"/>
                <w:szCs w:val="24"/>
                <w:color w:val="auto"/>
              </w:rPr>
            </w:pPr>
          </w:p>
        </w:tc>
        <w:tc>
          <w:tcPr>
            <w:tcW w:w="3900" w:type="dxa"/>
            <w:vAlign w:val="bottom"/>
            <w:tcBorders>
              <w:bottom w:val="single" w:sz="8" w:color="0000EE"/>
            </w:tcBorders>
            <w:gridSpan w:val="11"/>
          </w:tcPr>
          <w:p>
            <w:pPr>
              <w:spacing w:after="0"/>
              <w:rPr>
                <w:rFonts w:ascii="Arial" w:cs="Arial" w:eastAsia="Arial" w:hAnsi="Arial"/>
                <w:sz w:val="16"/>
                <w:szCs w:val="16"/>
                <w:color w:val="0000EE"/>
                <w:w w:val="97"/>
              </w:rPr>
            </w:pPr>
            <w:hyperlink w:anchor="page8">
              <w:r>
                <w:rPr>
                  <w:rFonts w:ascii="Arial" w:cs="Arial" w:eastAsia="Arial" w:hAnsi="Arial"/>
                  <w:sz w:val="16"/>
                  <w:szCs w:val="16"/>
                  <w:color w:val="0000EE"/>
                  <w:w w:val="97"/>
                </w:rPr>
                <w:t>Notes to Condensed Consolidated Financial Statements</w:t>
              </w:r>
            </w:hyperlink>
          </w:p>
        </w:tc>
        <w:tc>
          <w:tcPr>
            <w:tcW w:w="2260" w:type="dxa"/>
            <w:vAlign w:val="bottom"/>
            <w:gridSpan w:val="7"/>
          </w:tcPr>
          <w:p>
            <w:pPr>
              <w:spacing w:after="0"/>
              <w:rPr>
                <w:sz w:val="24"/>
                <w:szCs w:val="24"/>
                <w:color w:val="auto"/>
              </w:rPr>
            </w:pPr>
          </w:p>
        </w:tc>
      </w:tr>
      <w:tr>
        <w:trPr>
          <w:trHeight w:val="402"/>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160" w:type="dxa"/>
            <w:vAlign w:val="bottom"/>
            <w:tcBorders>
              <w:bottom w:val="single" w:sz="8" w:color="0000EE"/>
            </w:tcBorders>
            <w:gridSpan w:val="18"/>
          </w:tcPr>
          <w:p>
            <w:pPr>
              <w:spacing w:after="0"/>
              <w:rPr>
                <w:rFonts w:ascii="Arial" w:cs="Arial" w:eastAsia="Arial" w:hAnsi="Arial"/>
                <w:sz w:val="16"/>
                <w:szCs w:val="16"/>
                <w:color w:val="0000EE"/>
                <w:w w:val="97"/>
              </w:rPr>
            </w:pPr>
            <w:hyperlink w:anchor="page26">
              <w:r>
                <w:rPr>
                  <w:rFonts w:ascii="Arial" w:cs="Arial" w:eastAsia="Arial" w:hAnsi="Arial"/>
                  <w:sz w:val="16"/>
                  <w:szCs w:val="16"/>
                  <w:color w:val="0000EE"/>
                  <w:w w:val="97"/>
                </w:rPr>
                <w:t>Management’s Discussion and Analysis of Financial Condition and Results of Operations</w:t>
              </w:r>
            </w:hyperlink>
          </w:p>
        </w:tc>
      </w:tr>
      <w:tr>
        <w:trPr>
          <w:trHeight w:val="367"/>
        </w:trPr>
        <w:tc>
          <w:tcPr>
            <w:tcW w:w="940" w:type="dxa"/>
            <w:vAlign w:val="bottom"/>
          </w:tcPr>
          <w:p>
            <w:pPr>
              <w:spacing w:after="0"/>
              <w:rPr>
                <w:sz w:val="20"/>
                <w:szCs w:val="20"/>
                <w:color w:val="auto"/>
              </w:rPr>
            </w:pPr>
            <w:r>
              <w:rPr>
                <w:rFonts w:ascii="Arial" w:cs="Arial" w:eastAsia="Arial" w:hAnsi="Arial"/>
                <w:sz w:val="16"/>
                <w:szCs w:val="16"/>
                <w:color w:val="auto"/>
              </w:rPr>
              <w:t>Item 3.</w:t>
            </w:r>
          </w:p>
        </w:tc>
        <w:tc>
          <w:tcPr>
            <w:tcW w:w="4100" w:type="dxa"/>
            <w:vAlign w:val="bottom"/>
            <w:tcBorders>
              <w:bottom w:val="single" w:sz="8" w:color="0000EE"/>
            </w:tcBorders>
            <w:gridSpan w:val="12"/>
          </w:tcPr>
          <w:p>
            <w:pPr>
              <w:spacing w:after="0"/>
              <w:rPr>
                <w:rFonts w:ascii="Arial" w:cs="Arial" w:eastAsia="Arial" w:hAnsi="Arial"/>
                <w:sz w:val="16"/>
                <w:szCs w:val="16"/>
                <w:color w:val="0000EE"/>
                <w:w w:val="97"/>
              </w:rPr>
            </w:pPr>
            <w:hyperlink w:anchor="page39">
              <w:r>
                <w:rPr>
                  <w:rFonts w:ascii="Arial" w:cs="Arial" w:eastAsia="Arial" w:hAnsi="Arial"/>
                  <w:sz w:val="16"/>
                  <w:szCs w:val="16"/>
                  <w:color w:val="0000EE"/>
                  <w:w w:val="97"/>
                </w:rPr>
                <w:t>Quantitative and Qualitative Disclosures About Market Risk</w:t>
              </w:r>
            </w:hyperlink>
          </w:p>
        </w:tc>
        <w:tc>
          <w:tcPr>
            <w:tcW w:w="2060" w:type="dxa"/>
            <w:vAlign w:val="bottom"/>
            <w:gridSpan w:val="6"/>
          </w:tcPr>
          <w:p>
            <w:pPr>
              <w:spacing w:after="0"/>
              <w:rPr>
                <w:sz w:val="24"/>
                <w:szCs w:val="24"/>
                <w:color w:val="auto"/>
              </w:rPr>
            </w:pPr>
          </w:p>
        </w:tc>
      </w:tr>
      <w:tr>
        <w:trPr>
          <w:trHeight w:val="367"/>
        </w:trPr>
        <w:tc>
          <w:tcPr>
            <w:tcW w:w="940" w:type="dxa"/>
            <w:vAlign w:val="bottom"/>
          </w:tcPr>
          <w:p>
            <w:pPr>
              <w:spacing w:after="0"/>
              <w:rPr>
                <w:sz w:val="20"/>
                <w:szCs w:val="20"/>
                <w:color w:val="auto"/>
              </w:rPr>
            </w:pPr>
            <w:r>
              <w:rPr>
                <w:rFonts w:ascii="Arial" w:cs="Arial" w:eastAsia="Arial" w:hAnsi="Arial"/>
                <w:sz w:val="16"/>
                <w:szCs w:val="16"/>
                <w:color w:val="auto"/>
              </w:rPr>
              <w:t>Item 4.</w:t>
            </w:r>
          </w:p>
        </w:tc>
        <w:tc>
          <w:tcPr>
            <w:tcW w:w="6160" w:type="dxa"/>
            <w:vAlign w:val="bottom"/>
            <w:gridSpan w:val="18"/>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Controls and Procedures</w:t>
              </w:r>
            </w:hyperlink>
          </w:p>
        </w:tc>
      </w:tr>
      <w:tr>
        <w:trPr>
          <w:trHeight w:val="367"/>
        </w:trPr>
        <w:tc>
          <w:tcPr>
            <w:tcW w:w="940" w:type="dxa"/>
            <w:vAlign w:val="bottom"/>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80" w:type="dxa"/>
            <w:vAlign w:val="bottom"/>
            <w:gridSpan w:val="10"/>
          </w:tcPr>
          <w:p>
            <w:pPr>
              <w:jc w:val="center"/>
              <w:ind w:right="100"/>
              <w:spacing w:after="0"/>
              <w:rPr>
                <w:rFonts w:ascii="Arial" w:cs="Arial" w:eastAsia="Arial" w:hAnsi="Arial"/>
                <w:sz w:val="16"/>
                <w:szCs w:val="16"/>
                <w:b w:val="1"/>
                <w:bCs w:val="1"/>
                <w:color w:val="0000EE"/>
                <w:w w:val="96"/>
              </w:rPr>
            </w:pPr>
            <w:hyperlink w:anchor="page41">
              <w:r>
                <w:rPr>
                  <w:rFonts w:ascii="Arial" w:cs="Arial" w:eastAsia="Arial" w:hAnsi="Arial"/>
                  <w:sz w:val="16"/>
                  <w:szCs w:val="16"/>
                  <w:b w:val="1"/>
                  <w:bCs w:val="1"/>
                  <w:color w:val="0000EE"/>
                  <w:w w:val="96"/>
                </w:rPr>
                <w:t>PART II. OTHER INFORMATION</w:t>
              </w:r>
            </w:hyperlink>
          </w:p>
        </w:tc>
      </w:tr>
      <w:tr>
        <w:trPr>
          <w:trHeight w:val="402"/>
        </w:trPr>
        <w:tc>
          <w:tcPr>
            <w:tcW w:w="940" w:type="dxa"/>
            <w:vAlign w:val="bottom"/>
          </w:tcPr>
          <w:p>
            <w:pPr>
              <w:spacing w:after="0"/>
              <w:rPr>
                <w:sz w:val="20"/>
                <w:szCs w:val="20"/>
                <w:color w:val="auto"/>
              </w:rPr>
            </w:pPr>
            <w:r>
              <w:rPr>
                <w:rFonts w:ascii="Arial" w:cs="Arial" w:eastAsia="Arial" w:hAnsi="Arial"/>
                <w:sz w:val="16"/>
                <w:szCs w:val="16"/>
                <w:color w:val="auto"/>
              </w:rPr>
              <w:t>Item 1.</w:t>
            </w:r>
          </w:p>
        </w:tc>
        <w:tc>
          <w:tcPr>
            <w:tcW w:w="1300" w:type="dxa"/>
            <w:vAlign w:val="bottom"/>
            <w:tcBorders>
              <w:bottom w:val="single" w:sz="8" w:color="0000EE"/>
            </w:tcBorders>
            <w:gridSpan w:val="4"/>
          </w:tcPr>
          <w:p>
            <w:pPr>
              <w:spacing w:after="0"/>
              <w:rPr>
                <w:rFonts w:ascii="Arial" w:cs="Arial" w:eastAsia="Arial" w:hAnsi="Arial"/>
                <w:sz w:val="16"/>
                <w:szCs w:val="16"/>
                <w:color w:val="0000EE"/>
                <w:w w:val="96"/>
              </w:rPr>
            </w:pPr>
            <w:hyperlink w:anchor="page41">
              <w:r>
                <w:rPr>
                  <w:rFonts w:ascii="Arial" w:cs="Arial" w:eastAsia="Arial" w:hAnsi="Arial"/>
                  <w:sz w:val="16"/>
                  <w:szCs w:val="16"/>
                  <w:color w:val="0000EE"/>
                  <w:w w:val="96"/>
                </w:rPr>
                <w:t>Legal Proceedings</w:t>
              </w:r>
            </w:hyperlink>
          </w:p>
        </w:tc>
        <w:tc>
          <w:tcPr>
            <w:tcW w:w="2320" w:type="dxa"/>
            <w:vAlign w:val="bottom"/>
            <w:gridSpan w:val="5"/>
          </w:tcPr>
          <w:p>
            <w:pPr>
              <w:spacing w:after="0"/>
              <w:rPr>
                <w:sz w:val="24"/>
                <w:szCs w:val="24"/>
                <w:color w:val="auto"/>
              </w:rPr>
            </w:pPr>
          </w:p>
        </w:tc>
        <w:tc>
          <w:tcPr>
            <w:tcW w:w="2300" w:type="dxa"/>
            <w:vAlign w:val="bottom"/>
            <w:tcBorders>
              <w:top w:val="single" w:sz="8" w:color="0000EE"/>
            </w:tcBorders>
            <w:gridSpan w:val="7"/>
          </w:tcPr>
          <w:p>
            <w:pPr>
              <w:spacing w:after="0"/>
              <w:rPr>
                <w:sz w:val="24"/>
                <w:szCs w:val="24"/>
                <w:color w:val="auto"/>
              </w:rPr>
            </w:pPr>
          </w:p>
        </w:tc>
        <w:tc>
          <w:tcPr>
            <w:tcW w:w="240" w:type="dxa"/>
            <w:vAlign w:val="bottom"/>
            <w:gridSpan w:val="2"/>
          </w:tcPr>
          <w:p>
            <w:pPr>
              <w:spacing w:after="0"/>
              <w:rPr>
                <w:sz w:val="24"/>
                <w:szCs w:val="24"/>
                <w:color w:val="auto"/>
              </w:rPr>
            </w:pPr>
          </w:p>
        </w:tc>
      </w:tr>
      <w:tr>
        <w:trPr>
          <w:trHeight w:val="367"/>
        </w:trPr>
        <w:tc>
          <w:tcPr>
            <w:tcW w:w="940" w:type="dxa"/>
            <w:vAlign w:val="bottom"/>
          </w:tcPr>
          <w:p>
            <w:pPr>
              <w:spacing w:after="0"/>
              <w:rPr>
                <w:sz w:val="20"/>
                <w:szCs w:val="20"/>
                <w:color w:val="auto"/>
              </w:rPr>
            </w:pPr>
            <w:r>
              <w:rPr>
                <w:rFonts w:ascii="Arial" w:cs="Arial" w:eastAsia="Arial" w:hAnsi="Arial"/>
                <w:sz w:val="16"/>
                <w:szCs w:val="16"/>
                <w:color w:val="auto"/>
              </w:rPr>
              <w:t>Item 1A.</w:t>
            </w:r>
          </w:p>
        </w:tc>
        <w:tc>
          <w:tcPr>
            <w:tcW w:w="880" w:type="dxa"/>
            <w:vAlign w:val="bottom"/>
            <w:tcBorders>
              <w:bottom w:val="single" w:sz="8" w:color="0000EE"/>
            </w:tcBorders>
            <w:gridSpan w:val="3"/>
          </w:tcPr>
          <w:p>
            <w:pPr>
              <w:spacing w:after="0"/>
              <w:rPr>
                <w:rFonts w:ascii="Arial" w:cs="Arial" w:eastAsia="Arial" w:hAnsi="Arial"/>
                <w:sz w:val="16"/>
                <w:szCs w:val="16"/>
                <w:color w:val="0000EE"/>
                <w:w w:val="96"/>
              </w:rPr>
            </w:pPr>
            <w:hyperlink w:anchor="page41">
              <w:r>
                <w:rPr>
                  <w:rFonts w:ascii="Arial" w:cs="Arial" w:eastAsia="Arial" w:hAnsi="Arial"/>
                  <w:sz w:val="16"/>
                  <w:szCs w:val="16"/>
                  <w:color w:val="0000EE"/>
                  <w:w w:val="96"/>
                </w:rPr>
                <w:t>Risk Factors</w:t>
              </w:r>
            </w:hyperlink>
          </w:p>
        </w:tc>
        <w:tc>
          <w:tcPr>
            <w:tcW w:w="5280" w:type="dxa"/>
            <w:vAlign w:val="bottom"/>
            <w:gridSpan w:val="15"/>
          </w:tcPr>
          <w:p>
            <w:pPr>
              <w:spacing w:after="0"/>
              <w:rPr>
                <w:sz w:val="24"/>
                <w:szCs w:val="24"/>
                <w:color w:val="auto"/>
              </w:rPr>
            </w:pPr>
          </w:p>
        </w:tc>
      </w:tr>
      <w:tr>
        <w:trPr>
          <w:trHeight w:val="367"/>
        </w:trPr>
        <w:tc>
          <w:tcPr>
            <w:tcW w:w="940" w:type="dxa"/>
            <w:vAlign w:val="bottom"/>
          </w:tcPr>
          <w:p>
            <w:pPr>
              <w:spacing w:after="0"/>
              <w:rPr>
                <w:sz w:val="20"/>
                <w:szCs w:val="20"/>
                <w:color w:val="auto"/>
              </w:rPr>
            </w:pPr>
            <w:r>
              <w:rPr>
                <w:rFonts w:ascii="Arial" w:cs="Arial" w:eastAsia="Arial" w:hAnsi="Arial"/>
                <w:sz w:val="16"/>
                <w:szCs w:val="16"/>
                <w:color w:val="auto"/>
              </w:rPr>
              <w:t>Item 2.</w:t>
            </w:r>
          </w:p>
        </w:tc>
        <w:tc>
          <w:tcPr>
            <w:tcW w:w="6160" w:type="dxa"/>
            <w:vAlign w:val="bottom"/>
            <w:gridSpan w:val="18"/>
          </w:tcPr>
          <w:p>
            <w:pPr>
              <w:spacing w:after="0"/>
              <w:rPr>
                <w:rFonts w:ascii="Arial" w:cs="Arial" w:eastAsia="Arial" w:hAnsi="Arial"/>
                <w:sz w:val="16"/>
                <w:szCs w:val="16"/>
                <w:color w:val="0000EE"/>
              </w:rPr>
            </w:pPr>
            <w:hyperlink w:anchor="page41">
              <w:r>
                <w:rPr>
                  <w:rFonts w:ascii="Arial" w:cs="Arial" w:eastAsia="Arial" w:hAnsi="Arial"/>
                  <w:sz w:val="16"/>
                  <w:szCs w:val="16"/>
                  <w:color w:val="0000EE"/>
                </w:rPr>
                <w:t>Unregistered Sales of Equity Securities and Use of Proceeds</w:t>
              </w:r>
            </w:hyperlink>
          </w:p>
        </w:tc>
      </w:tr>
      <w:tr>
        <w:trPr>
          <w:trHeight w:val="367"/>
        </w:trPr>
        <w:tc>
          <w:tcPr>
            <w:tcW w:w="940" w:type="dxa"/>
            <w:vAlign w:val="bottom"/>
          </w:tcPr>
          <w:p>
            <w:pPr>
              <w:spacing w:after="0"/>
              <w:rPr>
                <w:sz w:val="20"/>
                <w:szCs w:val="20"/>
                <w:color w:val="auto"/>
              </w:rPr>
            </w:pPr>
            <w:r>
              <w:rPr>
                <w:rFonts w:ascii="Arial" w:cs="Arial" w:eastAsia="Arial" w:hAnsi="Arial"/>
                <w:sz w:val="16"/>
                <w:szCs w:val="16"/>
                <w:color w:val="auto"/>
              </w:rPr>
              <w:t>Item 6.</w:t>
            </w:r>
          </w:p>
        </w:tc>
        <w:tc>
          <w:tcPr>
            <w:tcW w:w="560" w:type="dxa"/>
            <w:vAlign w:val="bottom"/>
            <w:tcBorders>
              <w:top w:val="single" w:sz="8" w:color="0000EE"/>
              <w:bottom w:val="single" w:sz="8" w:color="0000EE"/>
            </w:tcBorders>
          </w:tcPr>
          <w:p>
            <w:pPr>
              <w:spacing w:after="0"/>
              <w:rPr>
                <w:rFonts w:ascii="Arial" w:cs="Arial" w:eastAsia="Arial" w:hAnsi="Arial"/>
                <w:sz w:val="16"/>
                <w:szCs w:val="16"/>
                <w:color w:val="0000EE"/>
                <w:w w:val="96"/>
              </w:rPr>
            </w:pPr>
            <w:hyperlink w:anchor="page42">
              <w:r>
                <w:rPr>
                  <w:rFonts w:ascii="Arial" w:cs="Arial" w:eastAsia="Arial" w:hAnsi="Arial"/>
                  <w:sz w:val="16"/>
                  <w:szCs w:val="16"/>
                  <w:color w:val="0000EE"/>
                  <w:w w:val="96"/>
                </w:rPr>
                <w:t>Exhibits</w:t>
              </w:r>
            </w:hyperlink>
          </w:p>
        </w:tc>
        <w:tc>
          <w:tcPr>
            <w:tcW w:w="3660" w:type="dxa"/>
            <w:vAlign w:val="bottom"/>
            <w:tcBorders>
              <w:top w:val="single" w:sz="8" w:color="0000EE"/>
            </w:tcBorders>
            <w:gridSpan w:val="12"/>
          </w:tcPr>
          <w:p>
            <w:pPr>
              <w:spacing w:after="0"/>
              <w:rPr>
                <w:sz w:val="24"/>
                <w:szCs w:val="24"/>
                <w:color w:val="auto"/>
              </w:rPr>
            </w:pPr>
          </w:p>
        </w:tc>
        <w:tc>
          <w:tcPr>
            <w:tcW w:w="1940" w:type="dxa"/>
            <w:vAlign w:val="bottom"/>
            <w:gridSpan w:val="5"/>
          </w:tcPr>
          <w:p>
            <w:pPr>
              <w:spacing w:after="0"/>
              <w:rPr>
                <w:sz w:val="24"/>
                <w:szCs w:val="24"/>
                <w:color w:val="auto"/>
              </w:rPr>
            </w:pPr>
          </w:p>
        </w:tc>
      </w:tr>
      <w:tr>
        <w:trPr>
          <w:trHeight w:val="367"/>
        </w:trPr>
        <w:tc>
          <w:tcPr>
            <w:tcW w:w="94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6"/>
                <w:szCs w:val="16"/>
                <w:color w:val="0000EE"/>
                <w:w w:val="96"/>
              </w:rPr>
            </w:pPr>
            <w:hyperlink w:anchor="page43">
              <w:r>
                <w:rPr>
                  <w:rFonts w:ascii="Arial" w:cs="Arial" w:eastAsia="Arial" w:hAnsi="Arial"/>
                  <w:sz w:val="16"/>
                  <w:szCs w:val="16"/>
                  <w:color w:val="0000EE"/>
                  <w:w w:val="96"/>
                </w:rPr>
                <w:t>Signatures</w:t>
              </w:r>
            </w:hyperlink>
          </w:p>
        </w:tc>
        <w:tc>
          <w:tcPr>
            <w:tcW w:w="5400" w:type="dxa"/>
            <w:vAlign w:val="bottom"/>
            <w:gridSpan w:val="16"/>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-3810</wp:posOffset>
            </wp:positionV>
            <wp:extent cx="58102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02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3 - 7</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3</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w:t>
      </w:r>
    </w:p>
    <w:p>
      <w:pPr>
        <w:spacing w:after="0" w:line="238" w:lineRule="exact"/>
        <w:rPr>
          <w:sz w:val="20"/>
          <w:szCs w:val="20"/>
          <w:color w:val="auto"/>
        </w:rPr>
      </w:pPr>
    </w:p>
    <w:p>
      <w:pPr>
        <w:ind w:left="100"/>
        <w:spacing w:after="0"/>
        <w:rPr>
          <w:sz w:val="20"/>
          <w:szCs w:val="20"/>
          <w:color w:val="auto"/>
        </w:rPr>
      </w:pPr>
      <w:r>
        <w:rPr>
          <w:rFonts w:ascii="Arial" w:cs="Arial" w:eastAsia="Arial" w:hAnsi="Arial"/>
          <w:sz w:val="16"/>
          <w:szCs w:val="16"/>
          <w:color w:val="auto"/>
        </w:rPr>
        <w:t>6 - 7</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6"/>
          <w:szCs w:val="16"/>
          <w:color w:val="auto"/>
        </w:rPr>
        <w:t>8 - 25</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26 - 38</w:t>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39</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41</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41</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41</w:t>
      </w:r>
    </w:p>
    <w:p>
      <w:pPr>
        <w:spacing w:after="0" w:line="20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42</w:t>
      </w:r>
    </w:p>
    <w:p>
      <w:pPr>
        <w:spacing w:after="0" w:line="23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43</w:t>
      </w:r>
    </w:p>
    <w:p>
      <w:pPr>
        <w:sectPr>
          <w:pgSz w:w="11900" w:h="16838" w:orient="portrait"/>
          <w:cols w:equalWidth="0" w:num="2">
            <w:col w:w="10020" w:space="720"/>
            <w:col w:w="480"/>
          </w:cols>
          <w:pgMar w:left="240" w:top="140" w:right="4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262890</wp:posOffset>
            </wp:positionV>
            <wp:extent cx="726440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644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jc w:val="center"/>
        <w:spacing w:after="0"/>
        <w:rPr>
          <w:sz w:val="20"/>
          <w:szCs w:val="20"/>
          <w:color w:val="auto"/>
        </w:rPr>
      </w:pPr>
      <w:r>
        <w:rPr>
          <w:rFonts w:ascii="Arial" w:cs="Arial" w:eastAsia="Arial" w:hAnsi="Arial"/>
          <w:sz w:val="16"/>
          <w:szCs w:val="16"/>
          <w:b w:val="1"/>
          <w:bCs w:val="1"/>
          <w:color w:val="auto"/>
        </w:rPr>
        <w:t>(unaudited, dollars in millions, except share and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47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7580" w:type="dxa"/>
            <w:vAlign w:val="bottom"/>
          </w:tcPr>
          <w:p>
            <w:pPr>
              <w:spacing w:after="0"/>
              <w:rPr>
                <w:sz w:val="13"/>
                <w:szCs w:val="13"/>
                <w:color w:val="auto"/>
              </w:rPr>
            </w:pPr>
          </w:p>
        </w:tc>
        <w:tc>
          <w:tcPr>
            <w:tcW w:w="1420" w:type="dxa"/>
            <w:vAlign w:val="bottom"/>
            <w:gridSpan w:val="2"/>
          </w:tcPr>
          <w:p>
            <w:pPr>
              <w:jc w:val="right"/>
              <w:ind w:right="232"/>
              <w:spacing w:after="0"/>
              <w:rPr>
                <w:sz w:val="20"/>
                <w:szCs w:val="20"/>
                <w:color w:val="auto"/>
              </w:rPr>
            </w:pPr>
            <w:r>
              <w:rPr>
                <w:rFonts w:ascii="Arial" w:cs="Arial" w:eastAsia="Arial" w:hAnsi="Arial"/>
                <w:sz w:val="13"/>
                <w:szCs w:val="13"/>
                <w:b w:val="1"/>
                <w:bCs w:val="1"/>
                <w:color w:val="auto"/>
              </w:rPr>
              <w:t>2019</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jc w:val="right"/>
              <w:ind w:right="730"/>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8"/>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CFF0FC"/>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52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58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1420" w:type="dxa"/>
            <w:vAlign w:val="bottom"/>
            <w:gridSpan w:val="2"/>
            <w:shd w:val="clear" w:color="auto" w:fill="CFF0FC"/>
          </w:tcPr>
          <w:p>
            <w:pPr>
              <w:jc w:val="right"/>
              <w:ind w:right="1112"/>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152</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0"/>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76"/>
        </w:trPr>
        <w:tc>
          <w:tcPr>
            <w:tcW w:w="7580" w:type="dxa"/>
            <w:vAlign w:val="bottom"/>
          </w:tcPr>
          <w:p>
            <w:pPr>
              <w:ind w:left="200"/>
              <w:spacing w:after="0"/>
              <w:rPr>
                <w:sz w:val="20"/>
                <w:szCs w:val="20"/>
                <w:color w:val="auto"/>
              </w:rPr>
            </w:pPr>
            <w:r>
              <w:rPr>
                <w:rFonts w:ascii="Arial" w:cs="Arial" w:eastAsia="Arial" w:hAnsi="Arial"/>
                <w:sz w:val="14"/>
                <w:szCs w:val="14"/>
                <w:color w:val="auto"/>
              </w:rPr>
              <w:t>Accounts receivable – net of allowances for doubtful accounts of $1</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329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209</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76"/>
        </w:trPr>
        <w:tc>
          <w:tcPr>
            <w:tcW w:w="758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58</w:t>
            </w:r>
          </w:p>
        </w:tc>
        <w:tc>
          <w:tcPr>
            <w:tcW w:w="1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8"/>
        </w:trPr>
        <w:tc>
          <w:tcPr>
            <w:tcW w:w="7580" w:type="dxa"/>
            <w:vAlign w:val="bottom"/>
            <w:shd w:val="clear" w:color="auto" w:fill="CFF0FC"/>
          </w:tcPr>
          <w:p>
            <w:pPr>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748</w:t>
            </w: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76"/>
        </w:trPr>
        <w:tc>
          <w:tcPr>
            <w:tcW w:w="758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561</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1,061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1,066</w:t>
            </w:r>
          </w:p>
        </w:tc>
        <w:tc>
          <w:tcPr>
            <w:tcW w:w="0" w:type="dxa"/>
            <w:vAlign w:val="bottom"/>
          </w:tcPr>
          <w:p>
            <w:pPr>
              <w:spacing w:after="0"/>
              <w:rPr>
                <w:sz w:val="1"/>
                <w:szCs w:val="1"/>
                <w:color w:val="auto"/>
              </w:rPr>
            </w:pPr>
          </w:p>
        </w:tc>
      </w:tr>
      <w:tr>
        <w:trPr>
          <w:trHeight w:val="176"/>
        </w:trPr>
        <w:tc>
          <w:tcPr>
            <w:tcW w:w="7580" w:type="dxa"/>
            <w:vAlign w:val="bottom"/>
          </w:tcPr>
          <w:p>
            <w:pPr>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2,040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spacing w:after="0"/>
              <w:rPr>
                <w:sz w:val="20"/>
                <w:szCs w:val="20"/>
                <w:color w:val="auto"/>
              </w:rPr>
            </w:pPr>
            <w:r>
              <w:rPr>
                <w:rFonts w:ascii="Arial" w:cs="Arial" w:eastAsia="Arial" w:hAnsi="Arial"/>
                <w:sz w:val="14"/>
                <w:szCs w:val="14"/>
                <w:color w:val="auto"/>
              </w:rPr>
              <w:t>Other non-current assets</w:t>
            </w:r>
          </w:p>
        </w:tc>
        <w:tc>
          <w:tcPr>
            <w:tcW w:w="160" w:type="dxa"/>
            <w:vAlign w:val="bottom"/>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61</w:t>
            </w:r>
          </w:p>
        </w:tc>
        <w:tc>
          <w:tcPr>
            <w:tcW w:w="1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8"/>
        </w:trPr>
        <w:tc>
          <w:tcPr>
            <w:tcW w:w="75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jc w:val="right"/>
              <w:ind w:right="1112"/>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4,471</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4,237</w:t>
            </w:r>
          </w:p>
        </w:tc>
        <w:tc>
          <w:tcPr>
            <w:tcW w:w="0" w:type="dxa"/>
            <w:vAlign w:val="bottom"/>
          </w:tcPr>
          <w:p>
            <w:pPr>
              <w:spacing w:after="0"/>
              <w:rPr>
                <w:sz w:val="1"/>
                <w:szCs w:val="1"/>
                <w:color w:val="auto"/>
              </w:rPr>
            </w:pPr>
          </w:p>
        </w:tc>
      </w:tr>
      <w:tr>
        <w:trPr>
          <w:trHeight w:val="151"/>
        </w:trPr>
        <w:tc>
          <w:tcPr>
            <w:tcW w:w="7580" w:type="dxa"/>
            <w:vAlign w:val="bottom"/>
            <w:shd w:val="clear" w:color="auto" w:fill="CFF0FC"/>
          </w:tcPr>
          <w:p>
            <w:pPr>
              <w:spacing w:after="0" w:line="151" w:lineRule="exact"/>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5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7580" w:type="dxa"/>
            <w:vAlign w:val="bottom"/>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420" w:type="dxa"/>
            <w:vAlign w:val="bottom"/>
            <w:gridSpan w:val="2"/>
            <w:shd w:val="clear" w:color="auto" w:fill="CFF0FC"/>
          </w:tcPr>
          <w:p>
            <w:pPr>
              <w:jc w:val="right"/>
              <w:ind w:right="1112"/>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185</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0"/>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76"/>
        </w:trPr>
        <w:tc>
          <w:tcPr>
            <w:tcW w:w="7580" w:type="dxa"/>
            <w:vAlign w:val="bottom"/>
          </w:tcPr>
          <w:p>
            <w:pPr>
              <w:ind w:left="200"/>
              <w:spacing w:after="0"/>
              <w:rPr>
                <w:sz w:val="20"/>
                <w:szCs w:val="20"/>
                <w:color w:val="auto"/>
              </w:rPr>
            </w:pPr>
            <w:r>
              <w:rPr>
                <w:rFonts w:ascii="Arial" w:cs="Arial" w:eastAsia="Arial" w:hAnsi="Arial"/>
                <w:sz w:val="14"/>
                <w:szCs w:val="14"/>
                <w:color w:val="auto"/>
              </w:rPr>
              <w:t>Product warranty liability</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25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580" w:type="dxa"/>
            <w:vAlign w:val="bottom"/>
          </w:tcPr>
          <w:p>
            <w:pPr>
              <w:ind w:left="200"/>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current liabilities</w:t>
            </w:r>
          </w:p>
        </w:tc>
        <w:tc>
          <w:tcPr>
            <w:tcW w:w="160" w:type="dxa"/>
            <w:vAlign w:val="bottom"/>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226</w:t>
            </w:r>
          </w:p>
        </w:tc>
        <w:tc>
          <w:tcPr>
            <w:tcW w:w="1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68"/>
        </w:trPr>
        <w:tc>
          <w:tcPr>
            <w:tcW w:w="758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477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spacing w:after="0"/>
              <w:rPr>
                <w:sz w:val="20"/>
                <w:szCs w:val="20"/>
                <w:color w:val="auto"/>
              </w:rPr>
            </w:pPr>
            <w:r>
              <w:rPr>
                <w:rFonts w:ascii="Arial" w:cs="Arial" w:eastAsia="Arial" w:hAnsi="Arial"/>
                <w:sz w:val="14"/>
                <w:szCs w:val="14"/>
                <w:color w:val="auto"/>
              </w:rPr>
              <w:t>Product warranty liability</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29</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76"/>
        </w:trPr>
        <w:tc>
          <w:tcPr>
            <w:tcW w:w="7580" w:type="dxa"/>
            <w:vAlign w:val="bottom"/>
          </w:tcPr>
          <w:p>
            <w:pPr>
              <w:spacing w:after="0"/>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103</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spacing w:after="0"/>
              <w:rPr>
                <w:sz w:val="20"/>
                <w:szCs w:val="20"/>
                <w:color w:val="auto"/>
              </w:rPr>
            </w:pPr>
            <w:r>
              <w:rPr>
                <w:rFonts w:ascii="Arial" w:cs="Arial" w:eastAsia="Arial" w:hAnsi="Arial"/>
                <w:sz w:val="14"/>
                <w:szCs w:val="14"/>
                <w:color w:val="auto"/>
              </w:rPr>
              <w:t>Long-term debt</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2,513</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2,523</w:t>
            </w:r>
          </w:p>
        </w:tc>
        <w:tc>
          <w:tcPr>
            <w:tcW w:w="0" w:type="dxa"/>
            <w:vAlign w:val="bottom"/>
          </w:tcPr>
          <w:p>
            <w:pPr>
              <w:spacing w:after="0"/>
              <w:rPr>
                <w:sz w:val="1"/>
                <w:szCs w:val="1"/>
                <w:color w:val="auto"/>
              </w:rPr>
            </w:pPr>
          </w:p>
        </w:tc>
      </w:tr>
      <w:tr>
        <w:trPr>
          <w:trHeight w:val="176"/>
        </w:trPr>
        <w:tc>
          <w:tcPr>
            <w:tcW w:w="7580" w:type="dxa"/>
            <w:vAlign w:val="bottom"/>
          </w:tcPr>
          <w:p>
            <w:pPr>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380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spacing w:after="0"/>
              <w:rPr>
                <w:sz w:val="20"/>
                <w:szCs w:val="20"/>
                <w:color w:val="auto"/>
              </w:rPr>
            </w:pPr>
            <w:r>
              <w:rPr>
                <w:rFonts w:ascii="Arial" w:cs="Arial" w:eastAsia="Arial" w:hAnsi="Arial"/>
                <w:sz w:val="14"/>
                <w:szCs w:val="14"/>
                <w:color w:val="auto"/>
              </w:rPr>
              <w:t>Other non-current liabilities</w:t>
            </w:r>
          </w:p>
        </w:tc>
        <w:tc>
          <w:tcPr>
            <w:tcW w:w="160" w:type="dxa"/>
            <w:vAlign w:val="bottom"/>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226</w:t>
            </w:r>
          </w:p>
        </w:tc>
        <w:tc>
          <w:tcPr>
            <w:tcW w:w="180" w:type="dxa"/>
            <w:vAlign w:val="bottom"/>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68"/>
        </w:trPr>
        <w:tc>
          <w:tcPr>
            <w:tcW w:w="7580" w:type="dxa"/>
            <w:vAlign w:val="bottom"/>
          </w:tcPr>
          <w:p>
            <w:pPr>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3,728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3,578</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spacing w:after="0"/>
              <w:rPr>
                <w:sz w:val="20"/>
                <w:szCs w:val="20"/>
                <w:color w:val="auto"/>
              </w:rPr>
            </w:pPr>
            <w:r>
              <w:rPr>
                <w:rFonts w:ascii="Arial" w:cs="Arial" w:eastAsia="Arial" w:hAnsi="Arial"/>
                <w:sz w:val="14"/>
                <w:szCs w:val="14"/>
                <w:color w:val="auto"/>
              </w:rPr>
              <w:t>Commitments and contingencies (see NOTE P)</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580" w:type="dxa"/>
            <w:vAlign w:val="bottom"/>
          </w:tcPr>
          <w:p>
            <w:pPr>
              <w:spacing w:after="0"/>
              <w:rPr>
                <w:sz w:val="20"/>
                <w:szCs w:val="20"/>
                <w:color w:val="auto"/>
              </w:rPr>
            </w:pPr>
            <w:r>
              <w:rPr>
                <w:rFonts w:ascii="Arial" w:cs="Arial" w:eastAsia="Arial" w:hAnsi="Arial"/>
                <w:sz w:val="14"/>
                <w:szCs w:val="14"/>
                <w:b w:val="1"/>
                <w:bCs w:val="1"/>
                <w:color w:val="auto"/>
              </w:rPr>
              <w:t>STOCKHOLDERS’ EQUITY</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Common stock, $0.01 par value, 1,880,000,000 shares authorized, 119,528,870 shares issued and outstanding and</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500" w:type="dxa"/>
            <w:vAlign w:val="bottom"/>
            <w:vMerge w:val="restart"/>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126,251,266 shares issued and outstanding, respectively</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6"/>
        </w:trPr>
        <w:tc>
          <w:tcPr>
            <w:tcW w:w="7580" w:type="dxa"/>
            <w:vAlign w:val="bottom"/>
          </w:tcPr>
          <w:p>
            <w:pPr>
              <w:ind w:left="200"/>
              <w:spacing w:after="0"/>
              <w:rPr>
                <w:sz w:val="20"/>
                <w:szCs w:val="20"/>
                <w:color w:val="auto"/>
              </w:rPr>
            </w:pPr>
            <w:r>
              <w:rPr>
                <w:rFonts w:ascii="Arial" w:cs="Arial" w:eastAsia="Arial" w:hAnsi="Arial"/>
                <w:sz w:val="14"/>
                <w:szCs w:val="14"/>
                <w:color w:val="auto"/>
              </w:rPr>
              <w:t>Non-voting common stock, $0.01 par value, 20,000,000 shares authorized, none issued and outstanding</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 $0.01 par value, 100,000,000 shares authorized, none issued and outstanding</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580" w:type="dxa"/>
            <w:vAlign w:val="bottom"/>
          </w:tcPr>
          <w:p>
            <w:pPr>
              <w:ind w:left="200"/>
              <w:spacing w:after="0"/>
              <w:rPr>
                <w:sz w:val="20"/>
                <w:szCs w:val="20"/>
                <w:color w:val="auto"/>
              </w:rPr>
            </w:pPr>
            <w:r>
              <w:rPr>
                <w:rFonts w:ascii="Arial" w:cs="Arial" w:eastAsia="Arial" w:hAnsi="Arial"/>
                <w:sz w:val="14"/>
                <w:szCs w:val="14"/>
                <w:color w:val="auto"/>
              </w:rPr>
              <w:t>Paid in capital</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00" w:type="dxa"/>
            <w:vAlign w:val="bottom"/>
          </w:tcPr>
          <w:p>
            <w:pPr>
              <w:jc w:val="right"/>
              <w:ind w:right="50"/>
              <w:spacing w:after="0"/>
              <w:rPr>
                <w:sz w:val="20"/>
                <w:szCs w:val="20"/>
                <w:color w:val="auto"/>
              </w:rPr>
            </w:pPr>
            <w:r>
              <w:rPr>
                <w:rFonts w:ascii="Arial" w:cs="Arial" w:eastAsia="Arial" w:hAnsi="Arial"/>
                <w:sz w:val="14"/>
                <w:szCs w:val="14"/>
                <w:b w:val="1"/>
                <w:bCs w:val="1"/>
                <w:color w:val="auto"/>
              </w:rPr>
              <w:t>1,799</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Pr>
          <w:p>
            <w:pPr>
              <w:jc w:val="right"/>
              <w:ind w:right="5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76"/>
        </w:trPr>
        <w:tc>
          <w:tcPr>
            <w:tcW w:w="7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(997)</w:t>
            </w: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0" w:type="dxa"/>
            <w:vAlign w:val="bottom"/>
          </w:tcPr>
          <w:p>
            <w:pPr>
              <w:spacing w:after="0"/>
              <w:rPr>
                <w:sz w:val="1"/>
                <w:szCs w:val="1"/>
                <w:color w:val="auto"/>
              </w:rPr>
            </w:pPr>
          </w:p>
        </w:tc>
      </w:tr>
      <w:tr>
        <w:trPr>
          <w:trHeight w:val="176"/>
        </w:trPr>
        <w:tc>
          <w:tcPr>
            <w:tcW w:w="758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Accumulated other comprehensive loss, net of tax</w:t>
            </w:r>
          </w:p>
        </w:tc>
        <w:tc>
          <w:tcPr>
            <w:tcW w:w="160" w:type="dxa"/>
            <w:vAlign w:val="bottom"/>
            <w:tcBorders>
              <w:bottom w:val="single" w:sz="8" w:color="CFF0FC"/>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c>
          <w:tcPr>
            <w:tcW w:w="1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68"/>
        </w:trPr>
        <w:tc>
          <w:tcPr>
            <w:tcW w:w="7580" w:type="dxa"/>
            <w:vAlign w:val="bottom"/>
            <w:shd w:val="clear" w:color="auto" w:fill="CFF0FC"/>
          </w:tcPr>
          <w:p>
            <w:pPr>
              <w:spacing w:after="0"/>
              <w:rPr>
                <w:sz w:val="20"/>
                <w:szCs w:val="20"/>
                <w:color w:val="auto"/>
              </w:rPr>
            </w:pPr>
            <w:r>
              <w:rPr>
                <w:rFonts w:ascii="Arial" w:cs="Arial" w:eastAsia="Arial" w:hAnsi="Arial"/>
                <w:sz w:val="14"/>
                <w:szCs w:val="14"/>
                <w:color w:val="auto"/>
              </w:rPr>
              <w:t>TOTAL STOCKHOLDERS’ EQUITY</w:t>
            </w:r>
          </w:p>
        </w:tc>
        <w:tc>
          <w:tcPr>
            <w:tcW w:w="160" w:type="dxa"/>
            <w:vAlign w:val="bottom"/>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743</w:t>
            </w:r>
          </w:p>
        </w:tc>
        <w:tc>
          <w:tcPr>
            <w:tcW w:w="1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5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68"/>
        </w:trPr>
        <w:tc>
          <w:tcPr>
            <w:tcW w:w="7580" w:type="dxa"/>
            <w:vAlign w:val="bottom"/>
          </w:tcPr>
          <w:p>
            <w:pPr>
              <w:spacing w:after="0"/>
              <w:rPr>
                <w:sz w:val="20"/>
                <w:szCs w:val="20"/>
                <w:color w:val="auto"/>
              </w:rPr>
            </w:pPr>
            <w:r>
              <w:rPr>
                <w:rFonts w:ascii="Arial" w:cs="Arial" w:eastAsia="Arial" w:hAnsi="Arial"/>
                <w:sz w:val="14"/>
                <w:szCs w:val="14"/>
                <w:color w:val="auto"/>
              </w:rPr>
              <w:t>TOTAL LIABILITIES &amp; STOCKHOLDERS’ EQUITY</w:t>
            </w:r>
          </w:p>
        </w:tc>
        <w:tc>
          <w:tcPr>
            <w:tcW w:w="160" w:type="dxa"/>
            <w:vAlign w:val="bottom"/>
          </w:tcPr>
          <w:p>
            <w:pPr>
              <w:spacing w:after="0"/>
              <w:rPr>
                <w:sz w:val="14"/>
                <w:szCs w:val="14"/>
                <w:color w:val="auto"/>
              </w:rPr>
            </w:pPr>
          </w:p>
        </w:tc>
        <w:tc>
          <w:tcPr>
            <w:tcW w:w="1260" w:type="dxa"/>
            <w:vAlign w:val="bottom"/>
            <w:tcBorders>
              <w:bottom w:val="single" w:sz="8" w:color="auto"/>
            </w:tcBorders>
          </w:tcPr>
          <w:p>
            <w:pPr>
              <w:jc w:val="right"/>
              <w:ind w:right="1112"/>
              <w:spacing w:after="0"/>
              <w:rPr>
                <w:sz w:val="20"/>
                <w:szCs w:val="20"/>
                <w:color w:val="auto"/>
              </w:rPr>
            </w:pPr>
            <w:r>
              <w:rPr>
                <w:rFonts w:ascii="Arial" w:cs="Arial" w:eastAsia="Arial" w:hAnsi="Arial"/>
                <w:sz w:val="14"/>
                <w:szCs w:val="14"/>
                <w:b w:val="1"/>
                <w:bCs w:val="1"/>
                <w:color w:val="auto"/>
                <w:w w:val="76"/>
              </w:rPr>
              <w:t>$</w:t>
            </w: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4,471</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4,237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jc w:val="center"/>
        <w:spacing w:after="0"/>
        <w:rPr>
          <w:sz w:val="20"/>
          <w:szCs w:val="20"/>
          <w:color w:val="auto"/>
        </w:rPr>
      </w:pPr>
      <w:r>
        <w:rPr>
          <w:rFonts w:ascii="Arial" w:cs="Arial" w:eastAsia="Arial" w:hAnsi="Arial"/>
          <w:sz w:val="16"/>
          <w:szCs w:val="16"/>
          <w:b w:val="1"/>
          <w:bCs w:val="1"/>
          <w:color w:val="auto"/>
        </w:rPr>
        <w:t>(unaudited, dollars in millions,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2180" w:type="dxa"/>
            <w:vAlign w:val="bottom"/>
            <w:gridSpan w:val="4"/>
          </w:tcPr>
          <w:p>
            <w:pPr>
              <w:jc w:val="right"/>
              <w:ind w:right="237"/>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40" w:type="dxa"/>
            <w:vAlign w:val="bottom"/>
            <w:gridSpan w:val="4"/>
          </w:tcPr>
          <w:p>
            <w:pPr>
              <w:jc w:val="right"/>
              <w:ind w:right="75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59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96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7"/>
              <w:spacing w:after="0" w:line="144" w:lineRule="exact"/>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1"/>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0"/>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68"/>
        </w:trPr>
        <w:tc>
          <w:tcPr>
            <w:tcW w:w="5960" w:type="dxa"/>
            <w:vAlign w:val="bottom"/>
            <w:shd w:val="clear" w:color="auto" w:fill="CFF0FC"/>
          </w:tcPr>
          <w:p>
            <w:pPr>
              <w:spacing w:after="0"/>
              <w:rPr>
                <w:sz w:val="20"/>
                <w:szCs w:val="20"/>
                <w:color w:val="auto"/>
              </w:rPr>
            </w:pPr>
            <w:r>
              <w:rPr>
                <w:rFonts w:ascii="Arial" w:cs="Arial" w:eastAsia="Arial" w:hAnsi="Arial"/>
                <w:sz w:val="14"/>
                <w:szCs w:val="14"/>
                <w:color w:val="auto"/>
              </w:rPr>
              <w:t>Net sales</w:t>
            </w: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669</w:t>
            </w:r>
          </w:p>
        </w:tc>
        <w:tc>
          <w:tcPr>
            <w:tcW w:w="920" w:type="dxa"/>
            <w:vAlign w:val="bottom"/>
            <w:gridSpan w:val="2"/>
            <w:shd w:val="clear" w:color="auto" w:fill="CFF0FC"/>
          </w:tcPr>
          <w:p>
            <w:pPr>
              <w:jc w:val="right"/>
              <w:ind w:right="657"/>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692</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2,081</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176"/>
        </w:trPr>
        <w:tc>
          <w:tcPr>
            <w:tcW w:w="59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Cost of sales</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321</w:t>
            </w:r>
          </w:p>
        </w:tc>
        <w:tc>
          <w:tcPr>
            <w:tcW w:w="14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324</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985</w:t>
            </w:r>
          </w:p>
        </w:tc>
        <w:tc>
          <w:tcPr>
            <w:tcW w:w="1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68"/>
        </w:trPr>
        <w:tc>
          <w:tcPr>
            <w:tcW w:w="59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Gross profit</w:t>
            </w:r>
          </w:p>
        </w:tc>
        <w:tc>
          <w:tcPr>
            <w:tcW w:w="78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348</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1,096</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1,084</w:t>
            </w:r>
          </w:p>
        </w:tc>
        <w:tc>
          <w:tcPr>
            <w:tcW w:w="0" w:type="dxa"/>
            <w:vAlign w:val="bottom"/>
          </w:tcPr>
          <w:p>
            <w:pPr>
              <w:spacing w:after="0"/>
              <w:rPr>
                <w:sz w:val="1"/>
                <w:szCs w:val="1"/>
                <w:color w:val="auto"/>
              </w:rPr>
            </w:pPr>
          </w:p>
        </w:tc>
      </w:tr>
      <w:tr>
        <w:trPr>
          <w:trHeight w:val="176"/>
        </w:trPr>
        <w:tc>
          <w:tcPr>
            <w:tcW w:w="5960" w:type="dxa"/>
            <w:vAlign w:val="bottom"/>
          </w:tcPr>
          <w:p>
            <w:pPr>
              <w:spacing w:after="0"/>
              <w:rPr>
                <w:sz w:val="20"/>
                <w:szCs w:val="20"/>
                <w:color w:val="auto"/>
              </w:rPr>
            </w:pPr>
            <w:r>
              <w:rPr>
                <w:rFonts w:ascii="Arial" w:cs="Arial" w:eastAsia="Arial" w:hAnsi="Arial"/>
                <w:sz w:val="14"/>
                <w:szCs w:val="14"/>
                <w:color w:val="auto"/>
              </w:rPr>
              <w:t>Selling, general and administrative</w:t>
            </w:r>
          </w:p>
        </w:tc>
        <w:tc>
          <w:tcPr>
            <w:tcW w:w="7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Arial" w:cs="Arial" w:eastAsia="Arial" w:hAnsi="Arial"/>
                <w:sz w:val="14"/>
                <w:szCs w:val="14"/>
                <w:b w:val="1"/>
                <w:bCs w:val="1"/>
                <w:color w:val="auto"/>
              </w:rPr>
              <w:t>85</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jc w:val="right"/>
              <w:ind w:right="50"/>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rPr>
              <w:t>262</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76"/>
        </w:trPr>
        <w:tc>
          <w:tcPr>
            <w:tcW w:w="5960" w:type="dxa"/>
            <w:vAlign w:val="bottom"/>
            <w:shd w:val="clear" w:color="auto" w:fill="CFF0FC"/>
          </w:tcPr>
          <w:p>
            <w:pPr>
              <w:spacing w:after="0"/>
              <w:rPr>
                <w:sz w:val="20"/>
                <w:szCs w:val="20"/>
                <w:color w:val="auto"/>
              </w:rPr>
            </w:pPr>
            <w:r>
              <w:rPr>
                <w:rFonts w:ascii="Arial" w:cs="Arial" w:eastAsia="Arial" w:hAnsi="Arial"/>
                <w:sz w:val="14"/>
                <w:szCs w:val="14"/>
                <w:color w:val="auto"/>
              </w:rPr>
              <w:t>Engineering — research and development</w:t>
            </w:r>
          </w:p>
        </w:tc>
        <w:tc>
          <w:tcPr>
            <w:tcW w:w="78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39</w:t>
            </w:r>
          </w:p>
        </w:tc>
        <w:tc>
          <w:tcPr>
            <w:tcW w:w="140" w:type="dxa"/>
            <w:vAlign w:val="bottom"/>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4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107</w:t>
            </w:r>
          </w:p>
        </w:tc>
        <w:tc>
          <w:tcPr>
            <w:tcW w:w="14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68"/>
        </w:trPr>
        <w:tc>
          <w:tcPr>
            <w:tcW w:w="5960" w:type="dxa"/>
            <w:vAlign w:val="bottom"/>
          </w:tcPr>
          <w:p>
            <w:pPr>
              <w:spacing w:after="0"/>
              <w:rPr>
                <w:sz w:val="20"/>
                <w:szCs w:val="20"/>
                <w:color w:val="auto"/>
              </w:rPr>
            </w:pPr>
            <w:r>
              <w:rPr>
                <w:rFonts w:ascii="Arial" w:cs="Arial" w:eastAsia="Arial" w:hAnsi="Arial"/>
                <w:sz w:val="14"/>
                <w:szCs w:val="14"/>
                <w:b w:val="1"/>
                <w:bCs w:val="1"/>
                <w:color w:val="auto"/>
              </w:rPr>
              <w:t>Operating income</w:t>
            </w:r>
          </w:p>
        </w:tc>
        <w:tc>
          <w:tcPr>
            <w:tcW w:w="780" w:type="dxa"/>
            <w:vAlign w:val="bottom"/>
          </w:tcPr>
          <w:p>
            <w:pPr>
              <w:spacing w:after="0"/>
              <w:rPr>
                <w:sz w:val="14"/>
                <w:szCs w:val="14"/>
                <w:color w:val="auto"/>
              </w:rPr>
            </w:pPr>
          </w:p>
        </w:tc>
        <w:tc>
          <w:tcPr>
            <w:tcW w:w="480" w:type="dxa"/>
            <w:vAlign w:val="bottom"/>
          </w:tcPr>
          <w:p>
            <w:pPr>
              <w:jc w:val="right"/>
              <w:ind w:right="50"/>
              <w:spacing w:after="0"/>
              <w:rPr>
                <w:sz w:val="20"/>
                <w:szCs w:val="20"/>
                <w:color w:val="auto"/>
              </w:rPr>
            </w:pPr>
            <w:r>
              <w:rPr>
                <w:rFonts w:ascii="Arial" w:cs="Arial" w:eastAsia="Arial" w:hAnsi="Arial"/>
                <w:sz w:val="14"/>
                <w:szCs w:val="14"/>
                <w:b w:val="1"/>
                <w:bCs w:val="1"/>
                <w:color w:val="auto"/>
              </w:rPr>
              <w:t>224</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ind w:right="50"/>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Arial" w:cs="Arial" w:eastAsia="Arial" w:hAnsi="Arial"/>
                <w:sz w:val="14"/>
                <w:szCs w:val="14"/>
                <w:b w:val="1"/>
                <w:bCs w:val="1"/>
                <w:color w:val="auto"/>
              </w:rPr>
              <w:t>727</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50"/>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76"/>
        </w:trPr>
        <w:tc>
          <w:tcPr>
            <w:tcW w:w="59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 net</w:t>
            </w: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(32)</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(101)</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6"/>
        </w:trPr>
        <w:tc>
          <w:tcPr>
            <w:tcW w:w="59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income, net</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w:t>
            </w:r>
          </w:p>
        </w:tc>
        <w:tc>
          <w:tcPr>
            <w:tcW w:w="14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8</w:t>
            </w:r>
          </w:p>
        </w:tc>
        <w:tc>
          <w:tcPr>
            <w:tcW w:w="1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8"/>
        </w:trPr>
        <w:tc>
          <w:tcPr>
            <w:tcW w:w="59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Income before income taxes</w:t>
            </w:r>
          </w:p>
        </w:tc>
        <w:tc>
          <w:tcPr>
            <w:tcW w:w="78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194</w:t>
            </w: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218</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634</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631</w:t>
            </w:r>
          </w:p>
        </w:tc>
        <w:tc>
          <w:tcPr>
            <w:tcW w:w="0" w:type="dxa"/>
            <w:vAlign w:val="bottom"/>
          </w:tcPr>
          <w:p>
            <w:pPr>
              <w:spacing w:after="0"/>
              <w:rPr>
                <w:sz w:val="1"/>
                <w:szCs w:val="1"/>
                <w:color w:val="auto"/>
              </w:rPr>
            </w:pPr>
          </w:p>
        </w:tc>
      </w:tr>
      <w:tr>
        <w:trPr>
          <w:trHeight w:val="176"/>
        </w:trPr>
        <w:tc>
          <w:tcPr>
            <w:tcW w:w="59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Income tax expense</w:t>
            </w: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w:t>
            </w:r>
          </w:p>
        </w:tc>
        <w:tc>
          <w:tcPr>
            <w:tcW w:w="140" w:type="dxa"/>
            <w:vAlign w:val="bottom"/>
            <w:tcBorders>
              <w:bottom w:val="single" w:sz="8" w:color="CFF0FC"/>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1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68"/>
        </w:trPr>
        <w:tc>
          <w:tcPr>
            <w:tcW w:w="59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Net income</w:t>
            </w: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149</w:t>
            </w:r>
          </w:p>
        </w:tc>
        <w:tc>
          <w:tcPr>
            <w:tcW w:w="920" w:type="dxa"/>
            <w:vAlign w:val="bottom"/>
            <w:gridSpan w:val="2"/>
            <w:shd w:val="clear" w:color="auto" w:fill="CFF0FC"/>
          </w:tcPr>
          <w:p>
            <w:pPr>
              <w:jc w:val="right"/>
              <w:ind w:right="657"/>
              <w:spacing w:after="0"/>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10"/>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497</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Basic earnings per share attributable to common stockholders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960" w:type="dxa"/>
            <w:vAlign w:val="bottom"/>
            <w:vMerge w:val="continue"/>
          </w:tcPr>
          <w:p>
            <w:pPr>
              <w:spacing w:after="0"/>
              <w:rPr>
                <w:sz w:val="14"/>
                <w:szCs w:val="14"/>
                <w:color w:val="auto"/>
              </w:rPr>
            </w:pPr>
          </w:p>
        </w:tc>
        <w:tc>
          <w:tcPr>
            <w:tcW w:w="780" w:type="dxa"/>
            <w:vAlign w:val="bottom"/>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ind w:right="50"/>
              <w:spacing w:after="0" w:line="151" w:lineRule="exact"/>
              <w:rPr>
                <w:sz w:val="20"/>
                <w:szCs w:val="20"/>
                <w:color w:val="auto"/>
              </w:rPr>
            </w:pPr>
            <w:r>
              <w:rPr>
                <w:rFonts w:ascii="Arial" w:cs="Arial" w:eastAsia="Arial" w:hAnsi="Arial"/>
                <w:sz w:val="14"/>
                <w:szCs w:val="14"/>
                <w:b w:val="1"/>
                <w:bCs w:val="1"/>
                <w:color w:val="auto"/>
              </w:rPr>
              <w:t>1.24</w:t>
            </w:r>
          </w:p>
        </w:tc>
        <w:tc>
          <w:tcPr>
            <w:tcW w:w="920" w:type="dxa"/>
            <w:vAlign w:val="bottom"/>
            <w:gridSpan w:val="2"/>
          </w:tcPr>
          <w:p>
            <w:pPr>
              <w:jc w:val="right"/>
              <w:ind w:right="657"/>
              <w:spacing w:after="0" w:line="151"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1.28</w:t>
            </w:r>
          </w:p>
        </w:tc>
        <w:tc>
          <w:tcPr>
            <w:tcW w:w="120" w:type="dxa"/>
            <w:vAlign w:val="bottom"/>
          </w:tcPr>
          <w:p>
            <w:pPr>
              <w:spacing w:after="0"/>
              <w:rPr>
                <w:sz w:val="14"/>
                <w:szCs w:val="14"/>
                <w:color w:val="auto"/>
              </w:rPr>
            </w:pPr>
          </w:p>
        </w:tc>
        <w:tc>
          <w:tcPr>
            <w:tcW w:w="260" w:type="dxa"/>
            <w:vAlign w:val="bottom"/>
          </w:tcPr>
          <w:p>
            <w:pPr>
              <w:jc w:val="right"/>
              <w:ind w:right="110"/>
              <w:spacing w:after="0" w:line="151" w:lineRule="exact"/>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51"/>
              <w:spacing w:after="0" w:line="151" w:lineRule="exact"/>
              <w:rPr>
                <w:sz w:val="20"/>
                <w:szCs w:val="20"/>
                <w:color w:val="auto"/>
              </w:rPr>
            </w:pPr>
            <w:r>
              <w:rPr>
                <w:rFonts w:ascii="Arial" w:cs="Arial" w:eastAsia="Arial" w:hAnsi="Arial"/>
                <w:sz w:val="14"/>
                <w:szCs w:val="14"/>
                <w:b w:val="1"/>
                <w:bCs w:val="1"/>
                <w:color w:val="auto"/>
              </w:rPr>
              <w:t>4.04</w:t>
            </w:r>
          </w:p>
        </w:tc>
        <w:tc>
          <w:tcPr>
            <w:tcW w:w="140" w:type="dxa"/>
            <w:vAlign w:val="bottom"/>
          </w:tcPr>
          <w:p>
            <w:pPr>
              <w:spacing w:after="0"/>
              <w:rPr>
                <w:sz w:val="14"/>
                <w:szCs w:val="14"/>
                <w:color w:val="auto"/>
              </w:rPr>
            </w:pPr>
          </w:p>
        </w:tc>
        <w:tc>
          <w:tcPr>
            <w:tcW w:w="360" w:type="dxa"/>
            <w:vAlign w:val="bottom"/>
          </w:tcPr>
          <w:p>
            <w:pPr>
              <w:jc w:val="right"/>
              <w:ind w:right="210"/>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50"/>
              <w:spacing w:after="0" w:line="151" w:lineRule="exact"/>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4"/>
                <w:szCs w:val="14"/>
                <w:b w:val="1"/>
                <w:bCs w:val="1"/>
                <w:color w:val="auto"/>
              </w:rPr>
              <w:t>Diluted earnings per share attributable to common stockholders</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6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b w:val="1"/>
                <w:bCs w:val="1"/>
                <w:color w:val="auto"/>
              </w:rPr>
              <w:t>1.23</w:t>
            </w:r>
          </w:p>
        </w:tc>
        <w:tc>
          <w:tcPr>
            <w:tcW w:w="920" w:type="dxa"/>
            <w:vAlign w:val="bottom"/>
            <w:gridSpan w:val="2"/>
            <w:shd w:val="clear" w:color="auto" w:fill="CFF0FC"/>
          </w:tcPr>
          <w:p>
            <w:pPr>
              <w:jc w:val="right"/>
              <w:ind w:right="657"/>
              <w:spacing w:after="0" w:line="151" w:lineRule="exact"/>
              <w:rPr>
                <w:sz w:val="20"/>
                <w:szCs w:val="20"/>
                <w:color w:val="auto"/>
              </w:rPr>
            </w:pPr>
            <w:r>
              <w:rPr>
                <w:rFonts w:ascii="Arial" w:cs="Arial" w:eastAsia="Arial" w:hAnsi="Arial"/>
                <w:sz w:val="14"/>
                <w:szCs w:val="14"/>
                <w:color w:val="auto"/>
              </w:rPr>
              <w:t>$</w:t>
            </w:r>
          </w:p>
        </w:tc>
        <w:tc>
          <w:tcPr>
            <w:tcW w:w="48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1.27</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jc w:val="right"/>
              <w:ind w:right="110"/>
              <w:spacing w:after="0" w:line="151" w:lineRule="exact"/>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ind w:right="51"/>
              <w:spacing w:after="0" w:line="151" w:lineRule="exact"/>
              <w:rPr>
                <w:sz w:val="20"/>
                <w:szCs w:val="20"/>
                <w:color w:val="auto"/>
              </w:rPr>
            </w:pPr>
            <w:r>
              <w:rPr>
                <w:rFonts w:ascii="Arial" w:cs="Arial" w:eastAsia="Arial" w:hAnsi="Arial"/>
                <w:sz w:val="14"/>
                <w:szCs w:val="14"/>
                <w:b w:val="1"/>
                <w:bCs w:val="1"/>
                <w:color w:val="auto"/>
              </w:rPr>
              <w:t>4.01</w:t>
            </w: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jc w:val="right"/>
              <w:ind w:right="210"/>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ind w:right="50"/>
              <w:spacing w:after="0" w:line="151"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0"/>
        </w:trPr>
        <w:tc>
          <w:tcPr>
            <w:tcW w:w="5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b w:val="1"/>
                <w:bCs w:val="1"/>
                <w:color w:val="auto"/>
              </w:rPr>
              <w:t>Comprehensive income, net of tax</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960" w:type="dxa"/>
            <w:vAlign w:val="bottom"/>
            <w:vMerge w:val="continue"/>
          </w:tcPr>
          <w:p>
            <w:pPr>
              <w:spacing w:after="0"/>
              <w:rPr>
                <w:sz w:val="13"/>
                <w:szCs w:val="13"/>
                <w:color w:val="auto"/>
              </w:rPr>
            </w:pPr>
          </w:p>
        </w:tc>
        <w:tc>
          <w:tcPr>
            <w:tcW w:w="780" w:type="dxa"/>
            <w:vAlign w:val="bottom"/>
          </w:tcPr>
          <w:p>
            <w:pPr>
              <w:jc w:val="right"/>
              <w:ind w:right="632"/>
              <w:spacing w:after="0" w:line="151" w:lineRule="exact"/>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ind w:right="50"/>
              <w:spacing w:after="0" w:line="151" w:lineRule="exact"/>
              <w:rPr>
                <w:sz w:val="20"/>
                <w:szCs w:val="20"/>
                <w:color w:val="auto"/>
              </w:rPr>
            </w:pPr>
            <w:r>
              <w:rPr>
                <w:rFonts w:ascii="Arial" w:cs="Arial" w:eastAsia="Arial" w:hAnsi="Arial"/>
                <w:sz w:val="14"/>
                <w:szCs w:val="14"/>
                <w:b w:val="1"/>
                <w:bCs w:val="1"/>
                <w:color w:val="auto"/>
              </w:rPr>
              <w:t>136</w:t>
            </w:r>
          </w:p>
        </w:tc>
        <w:tc>
          <w:tcPr>
            <w:tcW w:w="920" w:type="dxa"/>
            <w:vAlign w:val="bottom"/>
            <w:gridSpan w:val="2"/>
          </w:tcPr>
          <w:p>
            <w:pPr>
              <w:jc w:val="right"/>
              <w:ind w:right="657"/>
              <w:spacing w:after="0" w:line="151"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168</w:t>
            </w:r>
          </w:p>
        </w:tc>
        <w:tc>
          <w:tcPr>
            <w:tcW w:w="120" w:type="dxa"/>
            <w:vAlign w:val="bottom"/>
          </w:tcPr>
          <w:p>
            <w:pPr>
              <w:spacing w:after="0"/>
              <w:rPr>
                <w:sz w:val="13"/>
                <w:szCs w:val="13"/>
                <w:color w:val="auto"/>
              </w:rPr>
            </w:pPr>
          </w:p>
        </w:tc>
        <w:tc>
          <w:tcPr>
            <w:tcW w:w="260" w:type="dxa"/>
            <w:vAlign w:val="bottom"/>
          </w:tcPr>
          <w:p>
            <w:pPr>
              <w:jc w:val="right"/>
              <w:ind w:right="110"/>
              <w:spacing w:after="0" w:line="151" w:lineRule="exact"/>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ind w:right="51"/>
              <w:spacing w:after="0" w:line="151" w:lineRule="exact"/>
              <w:rPr>
                <w:sz w:val="20"/>
                <w:szCs w:val="20"/>
                <w:color w:val="auto"/>
              </w:rPr>
            </w:pPr>
            <w:r>
              <w:rPr>
                <w:rFonts w:ascii="Arial" w:cs="Arial" w:eastAsia="Arial" w:hAnsi="Arial"/>
                <w:sz w:val="14"/>
                <w:szCs w:val="14"/>
                <w:b w:val="1"/>
                <w:bCs w:val="1"/>
                <w:color w:val="auto"/>
              </w:rPr>
              <w:t>467</w:t>
            </w:r>
          </w:p>
        </w:tc>
        <w:tc>
          <w:tcPr>
            <w:tcW w:w="140" w:type="dxa"/>
            <w:vAlign w:val="bottom"/>
          </w:tcPr>
          <w:p>
            <w:pPr>
              <w:spacing w:after="0"/>
              <w:rPr>
                <w:sz w:val="13"/>
                <w:szCs w:val="13"/>
                <w:color w:val="auto"/>
              </w:rPr>
            </w:pPr>
          </w:p>
        </w:tc>
        <w:tc>
          <w:tcPr>
            <w:tcW w:w="360" w:type="dxa"/>
            <w:vAlign w:val="bottom"/>
          </w:tcPr>
          <w:p>
            <w:pPr>
              <w:jc w:val="right"/>
              <w:ind w:right="210"/>
              <w:spacing w:after="0" w:line="151"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50"/>
              <w:spacing w:after="0" w:line="151" w:lineRule="exact"/>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04" w:lineRule="exact"/>
        <w:rPr>
          <w:sz w:val="20"/>
          <w:szCs w:val="20"/>
          <w:color w:val="auto"/>
        </w:rPr>
      </w:pPr>
    </w:p>
    <w:p>
      <w:pPr>
        <w:jc w:val="center"/>
        <w:ind w:left="7760"/>
        <w:spacing w:after="0"/>
        <w:rPr>
          <w:sz w:val="20"/>
          <w:szCs w:val="20"/>
          <w:color w:val="auto"/>
        </w:rPr>
      </w:pPr>
      <w:r>
        <w:rPr>
          <w:rFonts w:ascii="Arial" w:cs="Arial" w:eastAsia="Arial" w:hAnsi="Arial"/>
          <w:sz w:val="13"/>
          <w:szCs w:val="13"/>
          <w:b w:val="1"/>
          <w:bCs w:val="1"/>
          <w:color w:val="auto"/>
        </w:rPr>
        <w:t>Nine months ended</w:t>
      </w:r>
    </w:p>
    <w:p>
      <w:pPr>
        <w:jc w:val="center"/>
        <w:ind w:left="7760"/>
        <w:spacing w:after="0" w:line="231" w:lineRule="auto"/>
        <w:rPr>
          <w:sz w:val="20"/>
          <w:szCs w:val="20"/>
          <w:color w:val="auto"/>
        </w:rPr>
      </w:pPr>
      <w:r>
        <w:rPr>
          <w:rFonts w:ascii="Arial" w:cs="Arial" w:eastAsia="Arial" w:hAnsi="Arial"/>
          <w:sz w:val="13"/>
          <w:szCs w:val="13"/>
          <w:b w:val="1"/>
          <w:bCs w:val="1"/>
          <w:color w:val="auto"/>
        </w:rPr>
        <w:t>September 30,</w:t>
      </w:r>
    </w:p>
    <w:tbl>
      <w:tblPr>
        <w:tblLayout w:type="fixed"/>
        <w:tblInd w:w="0" w:type="dxa"/>
        <w:tblCellMar>
          <w:top w:w="0" w:type="dxa"/>
          <w:left w:w="0" w:type="dxa"/>
          <w:bottom w:w="0" w:type="dxa"/>
          <w:right w:w="0" w:type="dxa"/>
        </w:tblCellMar>
      </w:tblPr>
      <w:tr>
        <w:trPr>
          <w:trHeight w:val="144"/>
        </w:trPr>
        <w:tc>
          <w:tcPr>
            <w:tcW w:w="6440" w:type="dxa"/>
            <w:vAlign w:val="bottom"/>
            <w:tcBorders>
              <w:bottom w:val="single" w:sz="8" w:color="CFF0FC"/>
            </w:tcBorders>
          </w:tcPr>
          <w:p>
            <w:pPr>
              <w:spacing w:after="0"/>
              <w:rPr>
                <w:sz w:val="12"/>
                <w:szCs w:val="12"/>
                <w:color w:val="auto"/>
              </w:rPr>
            </w:pPr>
          </w:p>
        </w:tc>
        <w:tc>
          <w:tcPr>
            <w:tcW w:w="1440" w:type="dxa"/>
            <w:vAlign w:val="bottom"/>
            <w:tcBorders>
              <w:bottom w:val="single" w:sz="8" w:color="CFF0FC"/>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54"/>
              <w:spacing w:after="0" w:line="144" w:lineRule="exact"/>
              <w:rPr>
                <w:sz w:val="20"/>
                <w:szCs w:val="20"/>
                <w:color w:val="auto"/>
              </w:rPr>
            </w:pPr>
            <w:r>
              <w:rPr>
                <w:rFonts w:ascii="Arial" w:cs="Arial" w:eastAsia="Arial" w:hAnsi="Arial"/>
                <w:sz w:val="13"/>
                <w:szCs w:val="13"/>
                <w:b w:val="1"/>
                <w:bCs w:val="1"/>
                <w:color w:val="auto"/>
              </w:rPr>
              <w:t>2019</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710"/>
              <w:spacing w:after="0" w:line="144" w:lineRule="exact"/>
              <w:rPr>
                <w:sz w:val="20"/>
                <w:szCs w:val="20"/>
                <w:color w:val="auto"/>
              </w:rPr>
            </w:pPr>
            <w:r>
              <w:rPr>
                <w:rFonts w:ascii="Arial" w:cs="Arial" w:eastAsia="Arial" w:hAnsi="Arial"/>
                <w:sz w:val="13"/>
                <w:szCs w:val="13"/>
                <w:b w:val="1"/>
                <w:bCs w:val="1"/>
                <w:color w:val="auto"/>
              </w:rPr>
              <w:t>2018</w:t>
            </w:r>
          </w:p>
        </w:tc>
      </w:tr>
      <w:tr>
        <w:trPr>
          <w:trHeight w:val="168"/>
        </w:trPr>
        <w:tc>
          <w:tcPr>
            <w:tcW w:w="644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4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176"/>
        </w:trPr>
        <w:tc>
          <w:tcPr>
            <w:tcW w:w="6440" w:type="dxa"/>
            <w:vAlign w:val="bottom"/>
          </w:tcPr>
          <w:p>
            <w:pPr>
              <w:spacing w:after="0"/>
              <w:rPr>
                <w:sz w:val="20"/>
                <w:szCs w:val="20"/>
                <w:color w:val="auto"/>
              </w:rPr>
            </w:pPr>
            <w:r>
              <w:rPr>
                <w:rFonts w:ascii="Arial" w:cs="Arial" w:eastAsia="Arial" w:hAnsi="Arial"/>
                <w:sz w:val="14"/>
                <w:szCs w:val="14"/>
                <w:color w:val="auto"/>
              </w:rPr>
              <w:t>Net income</w:t>
            </w:r>
          </w:p>
        </w:tc>
        <w:tc>
          <w:tcPr>
            <w:tcW w:w="2480" w:type="dxa"/>
            <w:vAlign w:val="bottom"/>
            <w:gridSpan w:val="2"/>
          </w:tcPr>
          <w:p>
            <w:pPr>
              <w:jc w:val="right"/>
              <w:ind w:right="894"/>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497</w:t>
            </w:r>
          </w:p>
        </w:tc>
        <w:tc>
          <w:tcPr>
            <w:tcW w:w="18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492</w:t>
            </w:r>
          </w:p>
        </w:tc>
      </w:tr>
      <w:tr>
        <w:trPr>
          <w:trHeight w:val="176"/>
        </w:trPr>
        <w:tc>
          <w:tcPr>
            <w:tcW w:w="6440" w:type="dxa"/>
            <w:vAlign w:val="bottom"/>
            <w:shd w:val="clear" w:color="auto" w:fill="CFF0FC"/>
          </w:tcPr>
          <w:p>
            <w:pPr>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r>
      <w:tr>
        <w:trPr>
          <w:trHeight w:val="176"/>
        </w:trPr>
        <w:tc>
          <w:tcPr>
            <w:tcW w:w="64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65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66</w:t>
            </w: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Deferred income taxes</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61</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46</w:t>
            </w:r>
          </w:p>
        </w:tc>
      </w:tr>
      <w:tr>
        <w:trPr>
          <w:trHeight w:val="176"/>
        </w:trPr>
        <w:tc>
          <w:tcPr>
            <w:tcW w:w="6440" w:type="dxa"/>
            <w:vAlign w:val="bottom"/>
          </w:tcPr>
          <w:p>
            <w:pPr>
              <w:ind w:left="200"/>
              <w:spacing w:after="0"/>
              <w:rPr>
                <w:sz w:val="20"/>
                <w:szCs w:val="20"/>
                <w:color w:val="auto"/>
              </w:rPr>
            </w:pPr>
            <w:r>
              <w:rPr>
                <w:rFonts w:ascii="Arial" w:cs="Arial" w:eastAsia="Arial" w:hAnsi="Arial"/>
                <w:sz w:val="14"/>
                <w:szCs w:val="14"/>
                <w:color w:val="auto"/>
              </w:rPr>
              <w:t>Depreciation of property, plant and equipment</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57</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58</w:t>
            </w: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10</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9</w:t>
            </w:r>
          </w:p>
        </w:tc>
      </w:tr>
      <w:tr>
        <w:trPr>
          <w:trHeight w:val="176"/>
        </w:trPr>
        <w:tc>
          <w:tcPr>
            <w:tcW w:w="6440" w:type="dxa"/>
            <w:vAlign w:val="bottom"/>
          </w:tcPr>
          <w:p>
            <w:pPr>
              <w:ind w:left="200"/>
              <w:spacing w:after="0"/>
              <w:rPr>
                <w:sz w:val="20"/>
                <w:szCs w:val="20"/>
                <w:color w:val="auto"/>
              </w:rPr>
            </w:pPr>
            <w:r>
              <w:rPr>
                <w:rFonts w:ascii="Arial" w:cs="Arial" w:eastAsia="Arial" w:hAnsi="Arial"/>
                <w:sz w:val="14"/>
                <w:szCs w:val="14"/>
                <w:color w:val="auto"/>
              </w:rPr>
              <w:t>Expenses related to long-term debt refinancing</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deferred financing costs</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5</w:t>
            </w:r>
          </w:p>
        </w:tc>
      </w:tr>
      <w:tr>
        <w:trPr>
          <w:trHeight w:val="176"/>
        </w:trPr>
        <w:tc>
          <w:tcPr>
            <w:tcW w:w="6440" w:type="dxa"/>
            <w:vAlign w:val="bottom"/>
          </w:tcPr>
          <w:p>
            <w:pPr>
              <w:ind w:left="200"/>
              <w:spacing w:after="0"/>
              <w:rPr>
                <w:sz w:val="20"/>
                <w:szCs w:val="20"/>
                <w:color w:val="auto"/>
              </w:rPr>
            </w:pPr>
            <w:r>
              <w:rPr>
                <w:rFonts w:ascii="Arial" w:cs="Arial" w:eastAsia="Arial" w:hAnsi="Arial"/>
                <w:sz w:val="14"/>
                <w:szCs w:val="14"/>
                <w:color w:val="auto"/>
              </w:rPr>
              <w:t>Allowance for doubtful accounts</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7</w:t>
            </w:r>
          </w:p>
        </w:tc>
      </w:tr>
      <w:tr>
        <w:trPr>
          <w:trHeight w:val="176"/>
        </w:trPr>
        <w:tc>
          <w:tcPr>
            <w:tcW w:w="6440" w:type="dxa"/>
            <w:vAlign w:val="bottom"/>
          </w:tcPr>
          <w:p>
            <w:pPr>
              <w:spacing w:after="0"/>
              <w:rPr>
                <w:sz w:val="20"/>
                <w:szCs w:val="20"/>
                <w:color w:val="auto"/>
              </w:rPr>
            </w:pPr>
            <w:r>
              <w:rPr>
                <w:rFonts w:ascii="Arial" w:cs="Arial" w:eastAsia="Arial" w:hAnsi="Arial"/>
                <w:sz w:val="14"/>
                <w:szCs w:val="14"/>
                <w:color w:val="auto"/>
              </w:rPr>
              <w:t>Changes in assets and liabilities:</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(40)</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(117)</w:t>
            </w:r>
          </w:p>
        </w:tc>
      </w:tr>
      <w:tr>
        <w:trPr>
          <w:trHeight w:val="176"/>
        </w:trPr>
        <w:tc>
          <w:tcPr>
            <w:tcW w:w="6440" w:type="dxa"/>
            <w:vAlign w:val="bottom"/>
          </w:tcPr>
          <w:p>
            <w:pPr>
              <w:ind w:left="200"/>
              <w:spacing w:after="0"/>
              <w:rPr>
                <w:sz w:val="20"/>
                <w:szCs w:val="20"/>
                <w:color w:val="auto"/>
              </w:rPr>
            </w:pPr>
            <w:r>
              <w:rPr>
                <w:rFonts w:ascii="Arial" w:cs="Arial" w:eastAsia="Arial" w:hAnsi="Arial"/>
                <w:sz w:val="14"/>
                <w:szCs w:val="14"/>
                <w:color w:val="auto"/>
              </w:rPr>
              <w:t>Inventories</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(15)</w:t>
            </w: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29</w:t>
            </w:r>
          </w:p>
        </w:tc>
      </w:tr>
      <w:tr>
        <w:trPr>
          <w:trHeight w:val="176"/>
        </w:trPr>
        <w:tc>
          <w:tcPr>
            <w:tcW w:w="64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Other assets and liabilities</w:t>
            </w:r>
          </w:p>
        </w:tc>
        <w:tc>
          <w:tcPr>
            <w:tcW w:w="144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4</w:t>
            </w: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25</w:t>
            </w:r>
          </w:p>
        </w:tc>
      </w:tr>
      <w:tr>
        <w:trPr>
          <w:trHeight w:val="168"/>
        </w:trPr>
        <w:tc>
          <w:tcPr>
            <w:tcW w:w="64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14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645</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605</w:t>
            </w:r>
          </w:p>
        </w:tc>
      </w:tr>
      <w:tr>
        <w:trPr>
          <w:trHeight w:val="176"/>
        </w:trPr>
        <w:tc>
          <w:tcPr>
            <w:tcW w:w="6440" w:type="dxa"/>
            <w:vAlign w:val="bottom"/>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Business acquisitions</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(232)</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644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Additions of long-lived assets</w:t>
            </w:r>
          </w:p>
        </w:tc>
        <w:tc>
          <w:tcPr>
            <w:tcW w:w="144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8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(52)</w:t>
            </w:r>
          </w:p>
        </w:tc>
      </w:tr>
      <w:tr>
        <w:trPr>
          <w:trHeight w:val="168"/>
        </w:trPr>
        <w:tc>
          <w:tcPr>
            <w:tcW w:w="64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Net cash used for investing activities</w:t>
            </w:r>
          </w:p>
        </w:tc>
        <w:tc>
          <w:tcPr>
            <w:tcW w:w="14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(323)</w:t>
            </w:r>
          </w:p>
        </w:tc>
        <w:tc>
          <w:tcPr>
            <w:tcW w:w="1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(52)</w:t>
            </w:r>
          </w:p>
        </w:tc>
      </w:tr>
      <w:tr>
        <w:trPr>
          <w:trHeight w:val="176"/>
        </w:trPr>
        <w:tc>
          <w:tcPr>
            <w:tcW w:w="6440" w:type="dxa"/>
            <w:vAlign w:val="bottom"/>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Payments on long-term debt</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(1,149)</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(28)</w:t>
            </w:r>
          </w:p>
        </w:tc>
      </w:tr>
      <w:tr>
        <w:trPr>
          <w:trHeight w:val="176"/>
        </w:trPr>
        <w:tc>
          <w:tcPr>
            <w:tcW w:w="6440" w:type="dxa"/>
            <w:vAlign w:val="bottom"/>
          </w:tcPr>
          <w:p>
            <w:pPr>
              <w:ind w:left="200"/>
              <w:spacing w:after="0"/>
              <w:rPr>
                <w:sz w:val="20"/>
                <w:szCs w:val="20"/>
                <w:color w:val="auto"/>
              </w:rPr>
            </w:pPr>
            <w:r>
              <w:rPr>
                <w:rFonts w:ascii="Arial" w:cs="Arial" w:eastAsia="Arial" w:hAnsi="Arial"/>
                <w:sz w:val="14"/>
                <w:szCs w:val="14"/>
                <w:color w:val="auto"/>
              </w:rPr>
              <w:t>Issuance of long-term debt</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1,148</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Repurchases of common stock</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(331)</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(456)</w:t>
            </w:r>
          </w:p>
        </w:tc>
      </w:tr>
      <w:tr>
        <w:trPr>
          <w:trHeight w:val="176"/>
        </w:trPr>
        <w:tc>
          <w:tcPr>
            <w:tcW w:w="6440" w:type="dxa"/>
            <w:vAlign w:val="bottom"/>
          </w:tcPr>
          <w:p>
            <w:pPr>
              <w:ind w:left="200"/>
              <w:spacing w:after="0"/>
              <w:rPr>
                <w:sz w:val="20"/>
                <w:szCs w:val="20"/>
                <w:color w:val="auto"/>
              </w:rPr>
            </w:pPr>
            <w:r>
              <w:rPr>
                <w:rFonts w:ascii="Arial" w:cs="Arial" w:eastAsia="Arial" w:hAnsi="Arial"/>
                <w:sz w:val="14"/>
                <w:szCs w:val="14"/>
                <w:color w:val="auto"/>
              </w:rPr>
              <w:t>Payments on revolving credit facility</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Borrowings on revolving credit facility</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90</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w:t>
            </w:r>
          </w:p>
        </w:tc>
      </w:tr>
      <w:tr>
        <w:trPr>
          <w:trHeight w:val="176"/>
        </w:trPr>
        <w:tc>
          <w:tcPr>
            <w:tcW w:w="6440" w:type="dxa"/>
            <w:vAlign w:val="bottom"/>
          </w:tcPr>
          <w:p>
            <w:pPr>
              <w:ind w:left="200"/>
              <w:spacing w:after="0"/>
              <w:rPr>
                <w:sz w:val="20"/>
                <w:szCs w:val="20"/>
                <w:color w:val="auto"/>
              </w:rPr>
            </w:pPr>
            <w:r>
              <w:rPr>
                <w:rFonts w:ascii="Arial" w:cs="Arial" w:eastAsia="Arial" w:hAnsi="Arial"/>
                <w:sz w:val="14"/>
                <w:szCs w:val="14"/>
                <w:color w:val="auto"/>
              </w:rPr>
              <w:t>Dividend payments</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(61)</w:t>
            </w: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Debt financing fees</w:t>
            </w:r>
          </w:p>
        </w:tc>
        <w:tc>
          <w:tcPr>
            <w:tcW w:w="14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(12)</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4"/>
                <w:szCs w:val="14"/>
                <w:color w:val="auto"/>
              </w:rPr>
              <w:t>(1)</w:t>
            </w:r>
          </w:p>
        </w:tc>
      </w:tr>
      <w:tr>
        <w:trPr>
          <w:trHeight w:val="176"/>
        </w:trPr>
        <w:tc>
          <w:tcPr>
            <w:tcW w:w="6440" w:type="dxa"/>
            <w:vAlign w:val="bottom"/>
          </w:tcPr>
          <w:p>
            <w:pPr>
              <w:ind w:left="200"/>
              <w:spacing w:after="0"/>
              <w:rPr>
                <w:sz w:val="20"/>
                <w:szCs w:val="20"/>
                <w:color w:val="auto"/>
              </w:rPr>
            </w:pPr>
            <w:r>
              <w:rPr>
                <w:rFonts w:ascii="Arial" w:cs="Arial" w:eastAsia="Arial" w:hAnsi="Arial"/>
                <w:sz w:val="14"/>
                <w:szCs w:val="14"/>
                <w:color w:val="auto"/>
              </w:rPr>
              <w:t>Taxes paid related to net share settlement of equity awards</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(4)</w:t>
            </w:r>
          </w:p>
        </w:tc>
      </w:tr>
      <w:tr>
        <w:trPr>
          <w:trHeight w:val="176"/>
        </w:trPr>
        <w:tc>
          <w:tcPr>
            <w:tcW w:w="64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exercise of stock options</w:t>
            </w:r>
          </w:p>
        </w:tc>
        <w:tc>
          <w:tcPr>
            <w:tcW w:w="144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w:t>
            </w:r>
          </w:p>
        </w:tc>
        <w:tc>
          <w:tcPr>
            <w:tcW w:w="1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21</w:t>
            </w:r>
          </w:p>
        </w:tc>
      </w:tr>
      <w:tr>
        <w:trPr>
          <w:trHeight w:val="168"/>
        </w:trPr>
        <w:tc>
          <w:tcPr>
            <w:tcW w:w="6440" w:type="dxa"/>
            <w:vAlign w:val="bottom"/>
          </w:tcPr>
          <w:p>
            <w:pPr>
              <w:ind w:left="420"/>
              <w:spacing w:after="0"/>
              <w:rPr>
                <w:sz w:val="20"/>
                <w:szCs w:val="20"/>
                <w:color w:val="auto"/>
              </w:rPr>
            </w:pPr>
            <w:r>
              <w:rPr>
                <w:rFonts w:ascii="Arial" w:cs="Arial" w:eastAsia="Arial" w:hAnsi="Arial"/>
                <w:sz w:val="14"/>
                <w:szCs w:val="14"/>
                <w:color w:val="auto"/>
              </w:rPr>
              <w:t>Net cash used for financing activities</w:t>
            </w: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(399)</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right"/>
              <w:ind w:right="10"/>
              <w:spacing w:after="0"/>
              <w:rPr>
                <w:sz w:val="20"/>
                <w:szCs w:val="20"/>
                <w:color w:val="auto"/>
              </w:rPr>
            </w:pPr>
            <w:r>
              <w:rPr>
                <w:rFonts w:ascii="Arial" w:cs="Arial" w:eastAsia="Arial" w:hAnsi="Arial"/>
                <w:sz w:val="14"/>
                <w:szCs w:val="14"/>
                <w:color w:val="auto"/>
              </w:rPr>
              <w:t>(529)</w:t>
            </w:r>
          </w:p>
        </w:tc>
      </w:tr>
      <w:tr>
        <w:trPr>
          <w:trHeight w:val="176"/>
        </w:trPr>
        <w:tc>
          <w:tcPr>
            <w:tcW w:w="6440" w:type="dxa"/>
            <w:vAlign w:val="bottom"/>
            <w:shd w:val="clear" w:color="auto" w:fill="CFF0FC"/>
          </w:tcPr>
          <w:p>
            <w:pPr>
              <w:spacing w:after="0"/>
              <w:rPr>
                <w:sz w:val="20"/>
                <w:szCs w:val="20"/>
                <w:color w:val="auto"/>
              </w:rPr>
            </w:pPr>
            <w:r>
              <w:rPr>
                <w:rFonts w:ascii="Arial" w:cs="Arial" w:eastAsia="Arial" w:hAnsi="Arial"/>
                <w:sz w:val="14"/>
                <w:szCs w:val="14"/>
                <w:color w:val="auto"/>
              </w:rPr>
              <w:t>Effect of exchange rate changes on cash</w:t>
            </w:r>
          </w:p>
        </w:tc>
        <w:tc>
          <w:tcPr>
            <w:tcW w:w="144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4"/>
                <w:szCs w:val="14"/>
                <w:color w:val="auto"/>
              </w:rPr>
              <w:t>(2)</w:t>
            </w:r>
          </w:p>
        </w:tc>
      </w:tr>
      <w:tr>
        <w:trPr>
          <w:trHeight w:val="168"/>
        </w:trPr>
        <w:tc>
          <w:tcPr>
            <w:tcW w:w="6440" w:type="dxa"/>
            <w:vAlign w:val="bottom"/>
          </w:tcPr>
          <w:p>
            <w:pPr>
              <w:ind w:left="420"/>
              <w:spacing w:after="0"/>
              <w:rPr>
                <w:sz w:val="20"/>
                <w:szCs w:val="20"/>
                <w:color w:val="auto"/>
              </w:rPr>
            </w:pPr>
            <w:r>
              <w:rPr>
                <w:rFonts w:ascii="Arial" w:cs="Arial" w:eastAsia="Arial" w:hAnsi="Arial"/>
                <w:sz w:val="14"/>
                <w:szCs w:val="14"/>
                <w:color w:val="auto"/>
              </w:rPr>
              <w:t>Net (decrease) increase in cash and cash equivalents</w:t>
            </w:r>
          </w:p>
        </w:tc>
        <w:tc>
          <w:tcPr>
            <w:tcW w:w="1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22</w:t>
            </w:r>
          </w:p>
        </w:tc>
      </w:tr>
      <w:tr>
        <w:trPr>
          <w:trHeight w:val="176"/>
        </w:trPr>
        <w:tc>
          <w:tcPr>
            <w:tcW w:w="6440" w:type="dxa"/>
            <w:vAlign w:val="bottom"/>
            <w:shd w:val="clear" w:color="auto" w:fill="CFF0FC"/>
          </w:tcPr>
          <w:p>
            <w:pPr>
              <w:spacing w:after="0"/>
              <w:rPr>
                <w:sz w:val="20"/>
                <w:szCs w:val="20"/>
                <w:color w:val="auto"/>
              </w:rPr>
            </w:pPr>
            <w:r>
              <w:rPr>
                <w:rFonts w:ascii="Arial" w:cs="Arial" w:eastAsia="Arial" w:hAnsi="Arial"/>
                <w:sz w:val="14"/>
                <w:szCs w:val="14"/>
                <w:color w:val="auto"/>
              </w:rPr>
              <w:t>Cash and cash equivalents at beginning of period</w:t>
            </w:r>
          </w:p>
        </w:tc>
        <w:tc>
          <w:tcPr>
            <w:tcW w:w="1440" w:type="dxa"/>
            <w:vAlign w:val="bottom"/>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231</w:t>
            </w:r>
          </w:p>
        </w:tc>
        <w:tc>
          <w:tcPr>
            <w:tcW w:w="180" w:type="dxa"/>
            <w:vAlign w:val="bottom"/>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4"/>
                <w:szCs w:val="14"/>
                <w:color w:val="auto"/>
              </w:rPr>
              <w:t>199</w:t>
            </w:r>
          </w:p>
        </w:tc>
      </w:tr>
      <w:tr>
        <w:trPr>
          <w:trHeight w:val="208"/>
        </w:trPr>
        <w:tc>
          <w:tcPr>
            <w:tcW w:w="644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Cash and cash equivalents at end of period</w:t>
            </w:r>
          </w:p>
        </w:tc>
        <w:tc>
          <w:tcPr>
            <w:tcW w:w="144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ind w:right="894"/>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152</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221</w:t>
            </w:r>
          </w:p>
        </w:tc>
      </w:tr>
      <w:tr>
        <w:trPr>
          <w:trHeight w:val="151"/>
        </w:trPr>
        <w:tc>
          <w:tcPr>
            <w:tcW w:w="6440" w:type="dxa"/>
            <w:vAlign w:val="bottom"/>
            <w:shd w:val="clear" w:color="auto" w:fill="CFF0FC"/>
          </w:tcPr>
          <w:p>
            <w:pPr>
              <w:spacing w:after="0" w:line="151" w:lineRule="exact"/>
              <w:rPr>
                <w:sz w:val="20"/>
                <w:szCs w:val="20"/>
                <w:color w:val="auto"/>
              </w:rPr>
            </w:pPr>
            <w:r>
              <w:rPr>
                <w:rFonts w:ascii="Arial" w:cs="Arial" w:eastAsia="Arial" w:hAnsi="Arial"/>
                <w:sz w:val="14"/>
                <w:szCs w:val="14"/>
                <w:color w:val="auto"/>
              </w:rPr>
              <w:t>Supplemental disclosures:</w:t>
            </w:r>
          </w:p>
        </w:tc>
        <w:tc>
          <w:tcPr>
            <w:tcW w:w="14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r>
      <w:tr>
        <w:trPr>
          <w:trHeight w:val="176"/>
        </w:trPr>
        <w:tc>
          <w:tcPr>
            <w:tcW w:w="6440" w:type="dxa"/>
            <w:vAlign w:val="bottom"/>
          </w:tcPr>
          <w:p>
            <w:pPr>
              <w:ind w:left="420"/>
              <w:spacing w:after="0"/>
              <w:rPr>
                <w:sz w:val="20"/>
                <w:szCs w:val="20"/>
                <w:color w:val="auto"/>
              </w:rPr>
            </w:pPr>
            <w:r>
              <w:rPr>
                <w:rFonts w:ascii="Arial" w:cs="Arial" w:eastAsia="Arial" w:hAnsi="Arial"/>
                <w:sz w:val="14"/>
                <w:szCs w:val="14"/>
                <w:color w:val="auto"/>
              </w:rPr>
              <w:t>Interest paid</w:t>
            </w:r>
          </w:p>
        </w:tc>
        <w:tc>
          <w:tcPr>
            <w:tcW w:w="2480" w:type="dxa"/>
            <w:vAlign w:val="bottom"/>
            <w:gridSpan w:val="2"/>
          </w:tcPr>
          <w:p>
            <w:pPr>
              <w:jc w:val="right"/>
              <w:ind w:right="894"/>
              <w:spacing w:after="0"/>
              <w:rPr>
                <w:sz w:val="20"/>
                <w:szCs w:val="20"/>
                <w:color w:val="auto"/>
              </w:rPr>
            </w:pPr>
            <w:r>
              <w:rPr>
                <w:rFonts w:ascii="Arial" w:cs="Arial" w:eastAsia="Arial" w:hAnsi="Arial"/>
                <w:sz w:val="14"/>
                <w:szCs w:val="14"/>
                <w:b w:val="1"/>
                <w:bCs w:val="1"/>
                <w:color w:val="auto"/>
              </w:rPr>
              <w:t>$</w:t>
            </w:r>
          </w:p>
        </w:tc>
        <w:tc>
          <w:tcPr>
            <w:tcW w:w="640" w:type="dxa"/>
            <w:vAlign w:val="bottom"/>
          </w:tcPr>
          <w:p>
            <w:pPr>
              <w:jc w:val="right"/>
              <w:ind w:right="50"/>
              <w:spacing w:after="0"/>
              <w:rPr>
                <w:sz w:val="20"/>
                <w:szCs w:val="20"/>
                <w:color w:val="auto"/>
              </w:rPr>
            </w:pPr>
            <w:r>
              <w:rPr>
                <w:rFonts w:ascii="Arial" w:cs="Arial" w:eastAsia="Arial" w:hAnsi="Arial"/>
                <w:sz w:val="14"/>
                <w:szCs w:val="14"/>
                <w:b w:val="1"/>
                <w:bCs w:val="1"/>
                <w:color w:val="auto"/>
              </w:rPr>
              <w:t>63</w:t>
            </w:r>
          </w:p>
        </w:tc>
        <w:tc>
          <w:tcPr>
            <w:tcW w:w="18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70"/>
              <w:spacing w:after="0"/>
              <w:rPr>
                <w:sz w:val="20"/>
                <w:szCs w:val="20"/>
                <w:color w:val="auto"/>
              </w:rPr>
            </w:pPr>
            <w:r>
              <w:rPr>
                <w:rFonts w:ascii="Arial" w:cs="Arial" w:eastAsia="Arial" w:hAnsi="Arial"/>
                <w:sz w:val="14"/>
                <w:szCs w:val="14"/>
                <w:color w:val="auto"/>
              </w:rPr>
              <w:t>68</w:t>
            </w:r>
          </w:p>
        </w:tc>
      </w:tr>
      <w:tr>
        <w:trPr>
          <w:trHeight w:val="176"/>
        </w:trPr>
        <w:tc>
          <w:tcPr>
            <w:tcW w:w="6440" w:type="dxa"/>
            <w:vAlign w:val="bottom"/>
            <w:shd w:val="clear" w:color="auto" w:fill="CFF0FC"/>
          </w:tcPr>
          <w:p>
            <w:pPr>
              <w:ind w:left="420"/>
              <w:spacing w:after="0"/>
              <w:rPr>
                <w:sz w:val="20"/>
                <w:szCs w:val="20"/>
                <w:color w:val="auto"/>
              </w:rPr>
            </w:pPr>
            <w:r>
              <w:rPr>
                <w:rFonts w:ascii="Arial" w:cs="Arial" w:eastAsia="Arial" w:hAnsi="Arial"/>
                <w:sz w:val="14"/>
                <w:szCs w:val="14"/>
                <w:color w:val="auto"/>
              </w:rPr>
              <w:t>Income taxes paid</w:t>
            </w:r>
          </w:p>
        </w:tc>
        <w:tc>
          <w:tcPr>
            <w:tcW w:w="2480" w:type="dxa"/>
            <w:vAlign w:val="bottom"/>
            <w:gridSpan w:val="2"/>
            <w:shd w:val="clear" w:color="auto" w:fill="CFF0FC"/>
          </w:tcPr>
          <w:p>
            <w:pPr>
              <w:jc w:val="right"/>
              <w:ind w:right="894"/>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84</w:t>
            </w:r>
          </w:p>
        </w:tc>
        <w:tc>
          <w:tcPr>
            <w:tcW w:w="1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10"/>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ind w:right="70"/>
              <w:spacing w:after="0"/>
              <w:rPr>
                <w:sz w:val="20"/>
                <w:szCs w:val="20"/>
                <w:color w:val="auto"/>
              </w:rPr>
            </w:pPr>
            <w:r>
              <w:rPr>
                <w:rFonts w:ascii="Arial" w:cs="Arial" w:eastAsia="Arial" w:hAnsi="Arial"/>
                <w:sz w:val="14"/>
                <w:szCs w:val="14"/>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6"/>
              </w:rPr>
              <w:t>Three months ended</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center"/>
              <w:ind w:right="131"/>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ind w:right="131"/>
              <w:spacing w:after="0" w:line="141"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50"/>
              <w:spacing w:after="0" w:line="141" w:lineRule="exact"/>
              <w:rPr>
                <w:sz w:val="20"/>
                <w:szCs w:val="20"/>
                <w:color w:val="auto"/>
              </w:rPr>
            </w:pPr>
            <w:r>
              <w:rPr>
                <w:rFonts w:ascii="Arial" w:cs="Arial" w:eastAsia="Arial" w:hAnsi="Arial"/>
                <w:sz w:val="13"/>
                <w:szCs w:val="13"/>
                <w:b w:val="1"/>
                <w:bCs w:val="1"/>
                <w:color w:val="auto"/>
                <w:w w:val="96"/>
              </w:rPr>
              <w:t>Non-voting</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5"/>
              </w:rPr>
              <w:t>Accumulated</w:t>
            </w:r>
          </w:p>
        </w:tc>
        <w:tc>
          <w:tcPr>
            <w:tcW w:w="10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left="93"/>
              <w:spacing w:after="0" w:line="141" w:lineRule="exact"/>
              <w:rPr>
                <w:sz w:val="20"/>
                <w:szCs w:val="20"/>
                <w:color w:val="auto"/>
              </w:rPr>
            </w:pPr>
            <w:r>
              <w:rPr>
                <w:rFonts w:ascii="Arial" w:cs="Arial" w:eastAsia="Arial" w:hAnsi="Arial"/>
                <w:sz w:val="13"/>
                <w:szCs w:val="13"/>
                <w:b w:val="1"/>
                <w:bCs w:val="1"/>
                <w:color w:val="auto"/>
                <w:w w:val="95"/>
              </w:rPr>
              <w:t>Common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4"/>
              </w:rPr>
              <w:t>(Deficit)</w:t>
            </w:r>
          </w:p>
        </w:tc>
        <w:tc>
          <w:tcPr>
            <w:tcW w:w="1060" w:type="dxa"/>
            <w:vAlign w:val="bottom"/>
            <w:gridSpan w:val="2"/>
          </w:tcPr>
          <w:p>
            <w:pPr>
              <w:jc w:val="center"/>
              <w:ind w:right="31"/>
              <w:spacing w:after="0" w:line="141" w:lineRule="exact"/>
              <w:rPr>
                <w:sz w:val="20"/>
                <w:szCs w:val="20"/>
                <w:color w:val="auto"/>
              </w:rPr>
            </w:pPr>
            <w:r>
              <w:rPr>
                <w:rFonts w:ascii="Arial" w:cs="Arial" w:eastAsia="Arial" w:hAnsi="Arial"/>
                <w:sz w:val="13"/>
                <w:szCs w:val="13"/>
                <w:b w:val="1"/>
                <w:bCs w:val="1"/>
                <w:color w:val="auto"/>
                <w:w w:val="95"/>
              </w:rPr>
              <w:t>(Loss) Income,</w:t>
            </w:r>
          </w:p>
        </w:tc>
        <w:tc>
          <w:tcPr>
            <w:tcW w:w="120" w:type="dxa"/>
            <w:vAlign w:val="bottom"/>
          </w:tcPr>
          <w:p>
            <w:pPr>
              <w:spacing w:after="0"/>
              <w:rPr>
                <w:sz w:val="12"/>
                <w:szCs w:val="12"/>
                <w:color w:val="auto"/>
              </w:rPr>
            </w:pPr>
          </w:p>
        </w:tc>
        <w:tc>
          <w:tcPr>
            <w:tcW w:w="1060" w:type="dxa"/>
            <w:vAlign w:val="bottom"/>
            <w:gridSpan w:val="2"/>
          </w:tcPr>
          <w:p>
            <w:pPr>
              <w:jc w:val="right"/>
              <w:ind w:right="110"/>
              <w:spacing w:after="0" w:line="14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3"/>
        </w:trPr>
        <w:tc>
          <w:tcPr>
            <w:tcW w:w="32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rPr>
              <w:t>Stock</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b w:val="1"/>
                <w:bCs w:val="1"/>
                <w:color w:val="auto"/>
                <w:w w:val="95"/>
              </w:rPr>
              <w:t>Stock</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Stock</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Paid-in Capital</w:t>
            </w:r>
          </w:p>
        </w:tc>
        <w:tc>
          <w:tcPr>
            <w:tcW w:w="1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10"/>
              <w:spacing w:after="0"/>
              <w:rPr>
                <w:sz w:val="20"/>
                <w:szCs w:val="20"/>
                <w:color w:val="auto"/>
              </w:rPr>
            </w:pPr>
            <w:r>
              <w:rPr>
                <w:rFonts w:ascii="Arial" w:cs="Arial" w:eastAsia="Arial" w:hAnsi="Arial"/>
                <w:sz w:val="13"/>
                <w:szCs w:val="13"/>
                <w:b w:val="1"/>
                <w:bCs w:val="1"/>
                <w:color w:val="auto"/>
                <w:w w:val="96"/>
              </w:rPr>
              <w:t>Income</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96"/>
              </w:rPr>
              <w:t>net of tax</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2018</w:t>
            </w:r>
          </w:p>
        </w:tc>
        <w:tc>
          <w:tcPr>
            <w:tcW w:w="980" w:type="dxa"/>
            <w:vAlign w:val="bottom"/>
            <w:gridSpan w:val="2"/>
            <w:shd w:val="clear" w:color="auto" w:fill="CFF0FC"/>
          </w:tcPr>
          <w:p>
            <w:pPr>
              <w:jc w:val="right"/>
              <w:ind w:right="594"/>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93"/>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595"/>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1,764</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300" w:type="dxa"/>
            <w:vAlign w:val="bottom"/>
            <w:gridSpan w:val="2"/>
            <w:shd w:val="clear" w:color="auto" w:fill="CFF0FC"/>
          </w:tcPr>
          <w:p>
            <w:pPr>
              <w:jc w:val="right"/>
              <w:ind w:right="34"/>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78"/>
        </w:trPr>
        <w:tc>
          <w:tcPr>
            <w:tcW w:w="3220" w:type="dxa"/>
            <w:vAlign w:val="bottom"/>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20" w:type="dxa"/>
            <w:vAlign w:val="bottom"/>
          </w:tcPr>
          <w:p>
            <w:pPr>
              <w:ind w:left="200"/>
              <w:spacing w:after="0"/>
              <w:rPr>
                <w:sz w:val="20"/>
                <w:szCs w:val="20"/>
                <w:color w:val="auto"/>
              </w:rPr>
            </w:pPr>
            <w:r>
              <w:rPr>
                <w:rFonts w:ascii="Arial" w:cs="Arial" w:eastAsia="Arial" w:hAnsi="Arial"/>
                <w:sz w:val="14"/>
                <w:szCs w:val="14"/>
                <w:color w:val="auto"/>
              </w:rPr>
              <w:t>swaps</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76"/>
        </w:trPr>
        <w:tc>
          <w:tcPr>
            <w:tcW w:w="322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9"/>
              </w:rPr>
              <w:t>—</w:t>
            </w: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 at September 30, 2018</w:t>
            </w:r>
          </w:p>
        </w:tc>
        <w:tc>
          <w:tcPr>
            <w:tcW w:w="2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94"/>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93"/>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595"/>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1,784</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300" w:type="dxa"/>
            <w:vAlign w:val="bottom"/>
            <w:gridSpan w:val="2"/>
            <w:shd w:val="clear" w:color="auto" w:fill="CFF0FC"/>
          </w:tcPr>
          <w:p>
            <w:pPr>
              <w:jc w:val="right"/>
              <w:ind w:right="34"/>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20" w:type="dxa"/>
            <w:vAlign w:val="bottom"/>
          </w:tcPr>
          <w:p>
            <w:pPr>
              <w:spacing w:after="0" w:line="151" w:lineRule="exact"/>
              <w:rPr>
                <w:sz w:val="20"/>
                <w:szCs w:val="20"/>
                <w:color w:val="auto"/>
              </w:rPr>
            </w:pPr>
            <w:r>
              <w:rPr>
                <w:rFonts w:ascii="Arial" w:cs="Arial" w:eastAsia="Arial" w:hAnsi="Arial"/>
                <w:sz w:val="14"/>
                <w:szCs w:val="14"/>
                <w:color w:val="auto"/>
              </w:rPr>
              <w:t>Balance at June 30, 2019</w:t>
            </w:r>
          </w:p>
        </w:tc>
        <w:tc>
          <w:tcPr>
            <w:tcW w:w="980" w:type="dxa"/>
            <w:vAlign w:val="bottom"/>
            <w:gridSpan w:val="2"/>
          </w:tcPr>
          <w:p>
            <w:pPr>
              <w:jc w:val="right"/>
              <w:ind w:right="594"/>
              <w:spacing w:after="0" w:line="151"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3"/>
                <w:szCs w:val="13"/>
                <w:color w:val="auto"/>
              </w:rPr>
            </w:pPr>
          </w:p>
        </w:tc>
        <w:tc>
          <w:tcPr>
            <w:tcW w:w="740" w:type="dxa"/>
            <w:vAlign w:val="bottom"/>
          </w:tcPr>
          <w:p>
            <w:pPr>
              <w:jc w:val="right"/>
              <w:ind w:right="593"/>
              <w:spacing w:after="0" w:line="151" w:lineRule="exact"/>
              <w:rPr>
                <w:sz w:val="20"/>
                <w:szCs w:val="20"/>
                <w:color w:val="auto"/>
              </w:rPr>
            </w:pPr>
            <w:r>
              <w:rPr>
                <w:rFonts w:ascii="Arial" w:cs="Arial" w:eastAsia="Arial" w:hAnsi="Arial"/>
                <w:sz w:val="14"/>
                <w:szCs w:val="14"/>
                <w:color w:val="auto"/>
                <w:w w:val="76"/>
              </w:rPr>
              <w:t>$</w:t>
            </w:r>
          </w:p>
        </w:tc>
        <w:tc>
          <w:tcPr>
            <w:tcW w:w="280" w:type="dxa"/>
            <w:vAlign w:val="bottom"/>
          </w:tcPr>
          <w:p>
            <w:pPr>
              <w:ind w:left="20"/>
              <w:spacing w:after="0" w:line="151"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95"/>
              <w:spacing w:after="0" w:line="151" w:lineRule="exact"/>
              <w:rPr>
                <w:sz w:val="20"/>
                <w:szCs w:val="20"/>
                <w:color w:val="auto"/>
              </w:rPr>
            </w:pPr>
            <w:r>
              <w:rPr>
                <w:rFonts w:ascii="Arial" w:cs="Arial" w:eastAsia="Arial" w:hAnsi="Arial"/>
                <w:sz w:val="14"/>
                <w:szCs w:val="14"/>
                <w:color w:val="auto"/>
              </w:rPr>
              <w:t>$</w:t>
            </w:r>
          </w:p>
        </w:tc>
        <w:tc>
          <w:tcPr>
            <w:tcW w:w="280" w:type="dxa"/>
            <w:vAlign w:val="bottom"/>
          </w:tcPr>
          <w:p>
            <w:pPr>
              <w:ind w:left="20"/>
              <w:spacing w:after="0" w:line="151"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line="151"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1,796</w:t>
            </w:r>
          </w:p>
        </w:tc>
        <w:tc>
          <w:tcPr>
            <w:tcW w:w="120" w:type="dxa"/>
            <w:vAlign w:val="bottom"/>
          </w:tcPr>
          <w:p>
            <w:pPr>
              <w:spacing w:after="0"/>
              <w:rPr>
                <w:sz w:val="13"/>
                <w:szCs w:val="13"/>
                <w:color w:val="auto"/>
              </w:rPr>
            </w:pPr>
          </w:p>
        </w:tc>
        <w:tc>
          <w:tcPr>
            <w:tcW w:w="16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1" w:lineRule="exact"/>
              <w:rPr>
                <w:sz w:val="20"/>
                <w:szCs w:val="20"/>
                <w:color w:val="auto"/>
              </w:rPr>
            </w:pPr>
            <w:r>
              <w:rPr>
                <w:rFonts w:ascii="Arial" w:cs="Arial" w:eastAsia="Arial" w:hAnsi="Arial"/>
                <w:sz w:val="14"/>
                <w:szCs w:val="14"/>
                <w:color w:val="auto"/>
              </w:rPr>
              <w:t>(1,082)</w:t>
            </w:r>
          </w:p>
        </w:tc>
        <w:tc>
          <w:tcPr>
            <w:tcW w:w="120" w:type="dxa"/>
            <w:vAlign w:val="bottom"/>
          </w:tcPr>
          <w:p>
            <w:pPr>
              <w:spacing w:after="0"/>
              <w:rPr>
                <w:sz w:val="13"/>
                <w:szCs w:val="13"/>
                <w:color w:val="auto"/>
              </w:rPr>
            </w:pP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1" w:lineRule="exact"/>
              <w:rPr>
                <w:sz w:val="20"/>
                <w:szCs w:val="20"/>
                <w:color w:val="auto"/>
              </w:rPr>
            </w:pPr>
            <w:r>
              <w:rPr>
                <w:rFonts w:ascii="Arial" w:cs="Arial" w:eastAsia="Arial" w:hAnsi="Arial"/>
                <w:sz w:val="14"/>
                <w:szCs w:val="14"/>
                <w:color w:val="auto"/>
              </w:rPr>
              <w:t>(47)</w:t>
            </w:r>
          </w:p>
        </w:tc>
        <w:tc>
          <w:tcPr>
            <w:tcW w:w="300" w:type="dxa"/>
            <w:vAlign w:val="bottom"/>
            <w:gridSpan w:val="2"/>
          </w:tcPr>
          <w:p>
            <w:pPr>
              <w:jc w:val="right"/>
              <w:ind w:right="34"/>
              <w:spacing w:after="0" w:line="151"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line="151"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Pension and OPEB liability adjustment</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78"/>
        </w:trPr>
        <w:tc>
          <w:tcPr>
            <w:tcW w:w="3220" w:type="dxa"/>
            <w:vAlign w:val="bottom"/>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63"/>
        </w:trPr>
        <w:tc>
          <w:tcPr>
            <w:tcW w:w="3220" w:type="dxa"/>
            <w:vAlign w:val="bottom"/>
          </w:tcPr>
          <w:p>
            <w:pPr>
              <w:ind w:left="200"/>
              <w:spacing w:after="0"/>
              <w:rPr>
                <w:sz w:val="20"/>
                <w:szCs w:val="20"/>
                <w:color w:val="auto"/>
              </w:rPr>
            </w:pPr>
            <w:r>
              <w:rPr>
                <w:rFonts w:ascii="Arial" w:cs="Arial" w:eastAsia="Arial" w:hAnsi="Arial"/>
                <w:sz w:val="14"/>
                <w:szCs w:val="14"/>
                <w:color w:val="auto"/>
              </w:rPr>
              <w:t>swaps</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2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b w:val="1"/>
                <w:bCs w:val="1"/>
                <w:color w:val="auto"/>
              </w:rPr>
              <w:t>149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b w:val="1"/>
                <w:bCs w:val="1"/>
                <w:color w:val="auto"/>
              </w:rPr>
              <w:t>149</w:t>
            </w:r>
          </w:p>
        </w:tc>
        <w:tc>
          <w:tcPr>
            <w:tcW w:w="0" w:type="dxa"/>
            <w:vAlign w:val="bottom"/>
          </w:tcPr>
          <w:p>
            <w:pPr>
              <w:spacing w:after="0"/>
              <w:rPr>
                <w:sz w:val="1"/>
                <w:szCs w:val="1"/>
                <w:color w:val="auto"/>
              </w:rPr>
            </w:pPr>
          </w:p>
        </w:tc>
      </w:tr>
      <w:tr>
        <w:trPr>
          <w:trHeight w:val="168"/>
        </w:trPr>
        <w:tc>
          <w:tcPr>
            <w:tcW w:w="3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at September 30, 2019</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ind w:right="594"/>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FF0FC"/>
              <w:bottom w:val="single" w:sz="8" w:color="CFF0FC"/>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ind w:right="595"/>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1,799</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20" w:type="dxa"/>
            <w:vAlign w:val="bottom"/>
            <w:tcBorders>
              <w:top w:val="single" w:sz="8" w:color="CFF0FC"/>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(997)</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(60)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743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jc w:val="center"/>
        <w:spacing w:after="0"/>
        <w:rPr>
          <w:sz w:val="20"/>
          <w:szCs w:val="20"/>
          <w:color w:val="auto"/>
        </w:rPr>
      </w:pPr>
      <w:r>
        <w:rPr>
          <w:rFonts w:ascii="Arial" w:cs="Arial" w:eastAsia="Arial" w:hAnsi="Arial"/>
          <w:sz w:val="16"/>
          <w:szCs w:val="16"/>
          <w:b w:val="1"/>
          <w:bCs w:val="1"/>
          <w:color w:val="auto"/>
        </w:rPr>
        <w:t>(unaudited,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w w:val="99"/>
              </w:rPr>
              <w:t>Nine months ended</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40"/>
              <w:spacing w:after="0" w:line="133" w:lineRule="exact"/>
              <w:rPr>
                <w:sz w:val="20"/>
                <w:szCs w:val="20"/>
                <w:color w:val="auto"/>
              </w:rPr>
            </w:pPr>
            <w:r>
              <w:rPr>
                <w:rFonts w:ascii="Arial" w:cs="Arial" w:eastAsia="Arial" w:hAnsi="Arial"/>
                <w:sz w:val="13"/>
                <w:szCs w:val="13"/>
                <w:b w:val="1"/>
                <w:bCs w:val="1"/>
                <w:color w:val="auto"/>
                <w:w w:val="95"/>
              </w:rPr>
              <w:t>Accumulated</w:t>
            </w: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1"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0"/>
              <w:spacing w:after="0" w:line="141" w:lineRule="exact"/>
              <w:rPr>
                <w:sz w:val="20"/>
                <w:szCs w:val="20"/>
                <w:color w:val="auto"/>
              </w:rPr>
            </w:pPr>
            <w:r>
              <w:rPr>
                <w:rFonts w:ascii="Arial" w:cs="Arial" w:eastAsia="Arial" w:hAnsi="Arial"/>
                <w:sz w:val="13"/>
                <w:szCs w:val="13"/>
                <w:b w:val="1"/>
                <w:bCs w:val="1"/>
                <w:color w:val="auto"/>
                <w:w w:val="96"/>
              </w:rPr>
              <w:t>Non-voting</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3"/>
          </w:tcPr>
          <w:p>
            <w:pPr>
              <w:jc w:val="center"/>
              <w:ind w:right="260"/>
              <w:spacing w:after="0" w:line="141" w:lineRule="exact"/>
              <w:rPr>
                <w:sz w:val="20"/>
                <w:szCs w:val="20"/>
                <w:color w:val="auto"/>
              </w:rPr>
            </w:pPr>
            <w:r>
              <w:rPr>
                <w:rFonts w:ascii="Arial" w:cs="Arial" w:eastAsia="Arial" w:hAnsi="Arial"/>
                <w:sz w:val="13"/>
                <w:szCs w:val="13"/>
                <w:b w:val="1"/>
                <w:bCs w:val="1"/>
                <w:color w:val="auto"/>
                <w:w w:val="97"/>
              </w:rPr>
              <w:t>Accumulated</w:t>
            </w:r>
          </w:p>
        </w:tc>
        <w:tc>
          <w:tcPr>
            <w:tcW w:w="120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Comprehensive</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Common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left="93"/>
              <w:spacing w:after="0" w:line="141" w:lineRule="exact"/>
              <w:rPr>
                <w:sz w:val="20"/>
                <w:szCs w:val="20"/>
                <w:color w:val="auto"/>
              </w:rPr>
            </w:pPr>
            <w:r>
              <w:rPr>
                <w:rFonts w:ascii="Arial" w:cs="Arial" w:eastAsia="Arial" w:hAnsi="Arial"/>
                <w:sz w:val="13"/>
                <w:szCs w:val="13"/>
                <w:b w:val="1"/>
                <w:bCs w:val="1"/>
                <w:color w:val="auto"/>
                <w:w w:val="95"/>
              </w:rPr>
              <w:t>Common</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Preferred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400"/>
              <w:spacing w:after="0" w:line="141" w:lineRule="exact"/>
              <w:rPr>
                <w:sz w:val="20"/>
                <w:szCs w:val="20"/>
                <w:color w:val="auto"/>
              </w:rPr>
            </w:pPr>
            <w:r>
              <w:rPr>
                <w:rFonts w:ascii="Arial" w:cs="Arial" w:eastAsia="Arial" w:hAnsi="Arial"/>
                <w:sz w:val="13"/>
                <w:szCs w:val="13"/>
                <w:b w:val="1"/>
                <w:bCs w:val="1"/>
                <w:color w:val="auto"/>
                <w:w w:val="99"/>
              </w:rPr>
              <w:t>(Deficit)</w:t>
            </w:r>
          </w:p>
        </w:tc>
        <w:tc>
          <w:tcPr>
            <w:tcW w:w="1200" w:type="dxa"/>
            <w:vAlign w:val="bottom"/>
            <w:gridSpan w:val="3"/>
          </w:tcPr>
          <w:p>
            <w:pPr>
              <w:jc w:val="center"/>
              <w:ind w:right="240"/>
              <w:spacing w:after="0" w:line="141" w:lineRule="exact"/>
              <w:rPr>
                <w:sz w:val="20"/>
                <w:szCs w:val="20"/>
                <w:color w:val="auto"/>
              </w:rPr>
            </w:pPr>
            <w:r>
              <w:rPr>
                <w:rFonts w:ascii="Arial" w:cs="Arial" w:eastAsia="Arial" w:hAnsi="Arial"/>
                <w:sz w:val="13"/>
                <w:szCs w:val="13"/>
                <w:b w:val="1"/>
                <w:bCs w:val="1"/>
                <w:color w:val="auto"/>
                <w:w w:val="95"/>
              </w:rPr>
              <w:t>(Loss) Income,</w:t>
            </w:r>
          </w:p>
        </w:tc>
        <w:tc>
          <w:tcPr>
            <w:tcW w:w="1040" w:type="dxa"/>
            <w:vAlign w:val="bottom"/>
            <w:gridSpan w:val="2"/>
          </w:tcPr>
          <w:p>
            <w:pPr>
              <w:jc w:val="right"/>
              <w:ind w:right="90"/>
              <w:spacing w:after="0" w:line="14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53"/>
        </w:trPr>
        <w:tc>
          <w:tcPr>
            <w:tcW w:w="32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b w:val="1"/>
                <w:bCs w:val="1"/>
                <w:color w:val="auto"/>
              </w:rPr>
              <w:t>Stock</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ind w:left="93"/>
              <w:spacing w:after="0"/>
              <w:rPr>
                <w:sz w:val="20"/>
                <w:szCs w:val="20"/>
                <w:color w:val="auto"/>
              </w:rPr>
            </w:pPr>
            <w:r>
              <w:rPr>
                <w:rFonts w:ascii="Arial" w:cs="Arial" w:eastAsia="Arial" w:hAnsi="Arial"/>
                <w:sz w:val="13"/>
                <w:szCs w:val="13"/>
                <w:b w:val="1"/>
                <w:bCs w:val="1"/>
                <w:color w:val="auto"/>
                <w:w w:val="95"/>
              </w:rPr>
              <w:t>Stock</w:t>
            </w:r>
          </w:p>
        </w:tc>
        <w:tc>
          <w:tcPr>
            <w:tcW w:w="2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rPr>
              <w:t>Stock</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Paid-in Capital</w:t>
            </w: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90"/>
              <w:spacing w:after="0"/>
              <w:rPr>
                <w:sz w:val="20"/>
                <w:szCs w:val="20"/>
                <w:color w:val="auto"/>
              </w:rPr>
            </w:pPr>
            <w:r>
              <w:rPr>
                <w:rFonts w:ascii="Arial" w:cs="Arial" w:eastAsia="Arial" w:hAnsi="Arial"/>
                <w:sz w:val="13"/>
                <w:szCs w:val="13"/>
                <w:b w:val="1"/>
                <w:bCs w:val="1"/>
                <w:color w:val="auto"/>
                <w:w w:val="96"/>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96"/>
              </w:rPr>
              <w:t>net of tax</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2017</w:t>
            </w:r>
          </w:p>
        </w:tc>
        <w:tc>
          <w:tcPr>
            <w:tcW w:w="960" w:type="dxa"/>
            <w:vAlign w:val="bottom"/>
            <w:gridSpan w:val="2"/>
            <w:shd w:val="clear" w:color="auto" w:fill="CFF0FC"/>
          </w:tcPr>
          <w:p>
            <w:pPr>
              <w:jc w:val="right"/>
              <w:ind w:right="575"/>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93"/>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59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1,758</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Pension and OPEB liability adjustment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8"/>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swaps</w:t>
            </w:r>
          </w:p>
        </w:tc>
        <w:tc>
          <w:tcPr>
            <w:tcW w:w="2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51"/>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Dividends on common stock</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Impact of adopting accounting standards</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6"/>
        </w:trPr>
        <w:tc>
          <w:tcPr>
            <w:tcW w:w="3220" w:type="dxa"/>
            <w:vAlign w:val="bottom"/>
            <w:tcBorders>
              <w:bottom w:val="single" w:sz="8" w:color="CFF0FC"/>
            </w:tcBorders>
          </w:tcPr>
          <w:p>
            <w:pPr>
              <w:ind w:left="200"/>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CFF0FC"/>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492</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68"/>
        </w:trPr>
        <w:tc>
          <w:tcPr>
            <w:tcW w:w="3220" w:type="dxa"/>
            <w:vAlign w:val="bottom"/>
            <w:shd w:val="clear" w:color="auto" w:fill="CFF0FC"/>
          </w:tcPr>
          <w:p>
            <w:pPr>
              <w:spacing w:after="0"/>
              <w:rPr>
                <w:sz w:val="20"/>
                <w:szCs w:val="20"/>
                <w:color w:val="auto"/>
              </w:rPr>
            </w:pPr>
            <w:r>
              <w:rPr>
                <w:rFonts w:ascii="Arial" w:cs="Arial" w:eastAsia="Arial" w:hAnsi="Arial"/>
                <w:sz w:val="14"/>
                <w:szCs w:val="14"/>
                <w:color w:val="auto"/>
              </w:rPr>
              <w:t>Balance at September 30, 2018</w:t>
            </w:r>
          </w:p>
        </w:tc>
        <w:tc>
          <w:tcPr>
            <w:tcW w:w="960" w:type="dxa"/>
            <w:vAlign w:val="bottom"/>
            <w:gridSpan w:val="2"/>
            <w:shd w:val="clear" w:color="auto" w:fill="CFF0FC"/>
          </w:tcPr>
          <w:p>
            <w:pPr>
              <w:jc w:val="right"/>
              <w:ind w:right="575"/>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93"/>
              <w:spacing w:after="0"/>
              <w:rPr>
                <w:sz w:val="20"/>
                <w:szCs w:val="20"/>
                <w:color w:val="auto"/>
              </w:rPr>
            </w:pPr>
            <w:r>
              <w:rPr>
                <w:rFonts w:ascii="Arial" w:cs="Arial" w:eastAsia="Arial" w:hAnsi="Arial"/>
                <w:sz w:val="14"/>
                <w:szCs w:val="14"/>
                <w:color w:val="auto"/>
                <w:w w:val="76"/>
              </w:rPr>
              <w:t>$</w:t>
            </w: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FF0FC"/>
          </w:tcPr>
          <w:p>
            <w:pPr>
              <w:jc w:val="right"/>
              <w:ind w:right="595"/>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CFF0FC"/>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1,784</w:t>
            </w:r>
          </w:p>
        </w:tc>
        <w:tc>
          <w:tcPr>
            <w:tcW w:w="100" w:type="dxa"/>
            <w:vAlign w:val="bottom"/>
            <w:shd w:val="clear" w:color="auto" w:fill="CFF0FC"/>
          </w:tcPr>
          <w:p>
            <w:pPr>
              <w:spacing w:after="0"/>
              <w:rPr>
                <w:sz w:val="14"/>
                <w:szCs w:val="14"/>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1"/>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0"/>
        </w:trPr>
        <w:tc>
          <w:tcPr>
            <w:tcW w:w="3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220" w:type="dxa"/>
            <w:vAlign w:val="bottom"/>
          </w:tcPr>
          <w:p>
            <w:pPr>
              <w:spacing w:after="0" w:line="151" w:lineRule="exact"/>
              <w:rPr>
                <w:sz w:val="20"/>
                <w:szCs w:val="20"/>
                <w:color w:val="auto"/>
              </w:rPr>
            </w:pPr>
            <w:r>
              <w:rPr>
                <w:rFonts w:ascii="Arial" w:cs="Arial" w:eastAsia="Arial" w:hAnsi="Arial"/>
                <w:sz w:val="14"/>
                <w:szCs w:val="14"/>
                <w:color w:val="auto"/>
              </w:rPr>
              <w:t>Balance at December 31, 2018</w:t>
            </w:r>
          </w:p>
        </w:tc>
        <w:tc>
          <w:tcPr>
            <w:tcW w:w="960" w:type="dxa"/>
            <w:vAlign w:val="bottom"/>
            <w:gridSpan w:val="2"/>
          </w:tcPr>
          <w:p>
            <w:pPr>
              <w:jc w:val="right"/>
              <w:ind w:right="575"/>
              <w:spacing w:after="0" w:line="151" w:lineRule="exact"/>
              <w:rPr>
                <w:sz w:val="20"/>
                <w:szCs w:val="20"/>
                <w:color w:val="auto"/>
              </w:rPr>
            </w:pPr>
            <w:r>
              <w:rPr>
                <w:rFonts w:ascii="Arial" w:cs="Arial" w:eastAsia="Arial" w:hAnsi="Arial"/>
                <w:sz w:val="14"/>
                <w:szCs w:val="14"/>
                <w:color w:val="auto"/>
              </w:rPr>
              <w:t>$</w:t>
            </w:r>
          </w:p>
        </w:tc>
        <w:tc>
          <w:tcPr>
            <w:tcW w:w="28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3"/>
                <w:szCs w:val="13"/>
                <w:color w:val="auto"/>
              </w:rPr>
            </w:pPr>
          </w:p>
        </w:tc>
        <w:tc>
          <w:tcPr>
            <w:tcW w:w="740" w:type="dxa"/>
            <w:vAlign w:val="bottom"/>
          </w:tcPr>
          <w:p>
            <w:pPr>
              <w:jc w:val="right"/>
              <w:ind w:right="593"/>
              <w:spacing w:after="0" w:line="151" w:lineRule="exact"/>
              <w:rPr>
                <w:sz w:val="20"/>
                <w:szCs w:val="20"/>
                <w:color w:val="auto"/>
              </w:rPr>
            </w:pPr>
            <w:r>
              <w:rPr>
                <w:rFonts w:ascii="Arial" w:cs="Arial" w:eastAsia="Arial" w:hAnsi="Arial"/>
                <w:sz w:val="14"/>
                <w:szCs w:val="14"/>
                <w:color w:val="auto"/>
                <w:w w:val="76"/>
              </w:rPr>
              <w:t>$</w:t>
            </w:r>
          </w:p>
        </w:tc>
        <w:tc>
          <w:tcPr>
            <w:tcW w:w="280" w:type="dxa"/>
            <w:vAlign w:val="bottom"/>
          </w:tcPr>
          <w:p>
            <w:pPr>
              <w:ind w:left="20"/>
              <w:spacing w:after="0" w:line="151"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595"/>
              <w:spacing w:after="0" w:line="151"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40"/>
              <w:spacing w:after="0" w:line="151"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50"/>
              <w:spacing w:after="0" w:line="151" w:lineRule="exact"/>
              <w:rPr>
                <w:sz w:val="20"/>
                <w:szCs w:val="20"/>
                <w:color w:val="auto"/>
              </w:rPr>
            </w:pPr>
            <w:r>
              <w:rPr>
                <w:rFonts w:ascii="Arial" w:cs="Arial" w:eastAsia="Arial" w:hAnsi="Arial"/>
                <w:sz w:val="14"/>
                <w:szCs w:val="14"/>
                <w:color w:val="auto"/>
              </w:rPr>
              <w:t>1,788</w:t>
            </w:r>
          </w:p>
        </w:tc>
        <w:tc>
          <w:tcPr>
            <w:tcW w:w="100" w:type="dxa"/>
            <w:vAlign w:val="bottom"/>
          </w:tcPr>
          <w:p>
            <w:pPr>
              <w:spacing w:after="0"/>
              <w:rPr>
                <w:sz w:val="13"/>
                <w:szCs w:val="13"/>
                <w:color w:val="auto"/>
              </w:rPr>
            </w:pPr>
          </w:p>
        </w:tc>
        <w:tc>
          <w:tcPr>
            <w:tcW w:w="18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1" w:lineRule="exact"/>
              <w:rPr>
                <w:sz w:val="20"/>
                <w:szCs w:val="20"/>
                <w:color w:val="auto"/>
              </w:rPr>
            </w:pPr>
            <w:r>
              <w:rPr>
                <w:rFonts w:ascii="Arial" w:cs="Arial" w:eastAsia="Arial" w:hAnsi="Arial"/>
                <w:sz w:val="14"/>
                <w:szCs w:val="14"/>
                <w:color w:val="auto"/>
              </w:rPr>
              <w:t>(1,100)</w:t>
            </w:r>
          </w:p>
        </w:tc>
        <w:tc>
          <w:tcPr>
            <w:tcW w:w="140" w:type="dxa"/>
            <w:vAlign w:val="bottom"/>
          </w:tcPr>
          <w:p>
            <w:pPr>
              <w:spacing w:after="0"/>
              <w:rPr>
                <w:sz w:val="13"/>
                <w:szCs w:val="13"/>
                <w:color w:val="auto"/>
              </w:rPr>
            </w:pP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line="151"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3"/>
                <w:szCs w:val="13"/>
                <w:color w:val="auto"/>
              </w:rPr>
            </w:pPr>
          </w:p>
        </w:tc>
        <w:tc>
          <w:tcPr>
            <w:tcW w:w="180" w:type="dxa"/>
            <w:vAlign w:val="bottom"/>
          </w:tcPr>
          <w:p>
            <w:pPr>
              <w:jc w:val="right"/>
              <w:ind w:right="31"/>
              <w:spacing w:after="0" w:line="151"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ind w:right="50"/>
              <w:spacing w:after="0" w:line="151" w:lineRule="exact"/>
              <w:rPr>
                <w:sz w:val="20"/>
                <w:szCs w:val="20"/>
                <w:color w:val="auto"/>
              </w:rPr>
            </w:pPr>
            <w:r>
              <w:rPr>
                <w:rFonts w:ascii="Arial" w:cs="Arial" w:eastAsia="Arial" w:hAnsi="Arial"/>
                <w:sz w:val="14"/>
                <w:szCs w:val="14"/>
                <w:color w:val="auto"/>
              </w:rPr>
              <w:t>659</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10</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Pension and OPEB liability adjustment</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tcPr>
          <w:p>
            <w:pPr>
              <w:jc w:val="right"/>
              <w:ind w:right="51"/>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w:t>
            </w: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w:t>
            </w:r>
          </w:p>
        </w:tc>
        <w:tc>
          <w:tcPr>
            <w:tcW w:w="0" w:type="dxa"/>
            <w:vAlign w:val="bottom"/>
          </w:tcPr>
          <w:p>
            <w:pPr>
              <w:spacing w:after="0"/>
              <w:rPr>
                <w:sz w:val="1"/>
                <w:szCs w:val="1"/>
                <w:color w:val="auto"/>
              </w:rPr>
            </w:pPr>
          </w:p>
        </w:tc>
      </w:tr>
      <w:tr>
        <w:trPr>
          <w:trHeight w:val="178"/>
        </w:trPr>
        <w:tc>
          <w:tcPr>
            <w:tcW w:w="3220" w:type="dxa"/>
            <w:vAlign w:val="bottom"/>
          </w:tcPr>
          <w:p>
            <w:pPr>
              <w:ind w:left="200"/>
              <w:spacing w:after="0"/>
              <w:rPr>
                <w:sz w:val="20"/>
                <w:szCs w:val="20"/>
                <w:color w:val="auto"/>
              </w:rPr>
            </w:pPr>
            <w:r>
              <w:rPr>
                <w:rFonts w:ascii="Arial" w:cs="Arial" w:eastAsia="Arial" w:hAnsi="Arial"/>
                <w:sz w:val="14"/>
                <w:szCs w:val="14"/>
                <w:color w:val="auto"/>
              </w:rPr>
              <w:t>Available-for-sale securities and interest rate</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163"/>
        </w:trPr>
        <w:tc>
          <w:tcPr>
            <w:tcW w:w="3220" w:type="dxa"/>
            <w:vAlign w:val="bottom"/>
          </w:tcPr>
          <w:p>
            <w:pPr>
              <w:ind w:left="200"/>
              <w:spacing w:after="0"/>
              <w:rPr>
                <w:sz w:val="20"/>
                <w:szCs w:val="20"/>
                <w:color w:val="auto"/>
              </w:rPr>
            </w:pPr>
            <w:r>
              <w:rPr>
                <w:rFonts w:ascii="Arial" w:cs="Arial" w:eastAsia="Arial" w:hAnsi="Arial"/>
                <w:sz w:val="14"/>
                <w:szCs w:val="14"/>
                <w:color w:val="auto"/>
              </w:rPr>
              <w:t>swaps</w:t>
            </w: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1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Repurchase of common stock</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(331)</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on common stock</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(55)</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(55)</w:t>
            </w:r>
          </w:p>
        </w:tc>
        <w:tc>
          <w:tcPr>
            <w:tcW w:w="0" w:type="dxa"/>
            <w:vAlign w:val="bottom"/>
          </w:tcPr>
          <w:p>
            <w:pPr>
              <w:spacing w:after="0"/>
              <w:rPr>
                <w:sz w:val="1"/>
                <w:szCs w:val="1"/>
                <w:color w:val="auto"/>
              </w:rPr>
            </w:pPr>
          </w:p>
        </w:tc>
      </w:tr>
      <w:tr>
        <w:trPr>
          <w:trHeight w:val="176"/>
        </w:trPr>
        <w:tc>
          <w:tcPr>
            <w:tcW w:w="3220" w:type="dxa"/>
            <w:vAlign w:val="bottom"/>
          </w:tcPr>
          <w:p>
            <w:pPr>
              <w:ind w:left="200"/>
              <w:spacing w:after="0"/>
              <w:rPr>
                <w:sz w:val="20"/>
                <w:szCs w:val="20"/>
                <w:color w:val="auto"/>
              </w:rPr>
            </w:pPr>
            <w:r>
              <w:rPr>
                <w:rFonts w:ascii="Arial" w:cs="Arial" w:eastAsia="Arial" w:hAnsi="Arial"/>
                <w:sz w:val="14"/>
                <w:szCs w:val="14"/>
                <w:color w:val="auto"/>
              </w:rPr>
              <w:t>Impact of adopting accounting standards</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9"/>
              </w:rPr>
              <w:t>—</w:t>
            </w:r>
          </w:p>
        </w:tc>
        <w:tc>
          <w:tcPr>
            <w:tcW w:w="740" w:type="dxa"/>
            <w:vAlign w:val="bottom"/>
          </w:tcPr>
          <w:p>
            <w:pPr>
              <w:spacing w:after="0"/>
              <w:rPr>
                <w:sz w:val="15"/>
                <w:szCs w:val="15"/>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176"/>
        </w:trPr>
        <w:tc>
          <w:tcPr>
            <w:tcW w:w="3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w w:val="99"/>
              </w:rPr>
              <w:t>—</w:t>
            </w: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497</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4"/>
                <w:szCs w:val="14"/>
                <w:b w:val="1"/>
                <w:bCs w:val="1"/>
                <w:color w:val="auto"/>
              </w:rPr>
              <w:t>497</w:t>
            </w:r>
          </w:p>
        </w:tc>
        <w:tc>
          <w:tcPr>
            <w:tcW w:w="0" w:type="dxa"/>
            <w:vAlign w:val="bottom"/>
          </w:tcPr>
          <w:p>
            <w:pPr>
              <w:spacing w:after="0"/>
              <w:rPr>
                <w:sz w:val="1"/>
                <w:szCs w:val="1"/>
                <w:color w:val="auto"/>
              </w:rPr>
            </w:pPr>
          </w:p>
        </w:tc>
      </w:tr>
      <w:tr>
        <w:trPr>
          <w:trHeight w:val="168"/>
        </w:trPr>
        <w:tc>
          <w:tcPr>
            <w:tcW w:w="3220" w:type="dxa"/>
            <w:vAlign w:val="bottom"/>
          </w:tcPr>
          <w:p>
            <w:pPr>
              <w:spacing w:after="0"/>
              <w:rPr>
                <w:sz w:val="20"/>
                <w:szCs w:val="20"/>
                <w:color w:val="auto"/>
              </w:rPr>
            </w:pPr>
            <w:r>
              <w:rPr>
                <w:rFonts w:ascii="Arial" w:cs="Arial" w:eastAsia="Arial" w:hAnsi="Arial"/>
                <w:sz w:val="14"/>
                <w:szCs w:val="14"/>
                <w:color w:val="auto"/>
              </w:rPr>
              <w:t>Balance at September 30, 2019</w:t>
            </w:r>
          </w:p>
        </w:tc>
        <w:tc>
          <w:tcPr>
            <w:tcW w:w="24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w w:val="76"/>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1,799</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(997)</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743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Allison Transmission Holdings,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A. OVERVIEW</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Overview</w:t>
      </w:r>
    </w:p>
    <w:p>
      <w:pPr>
        <w:spacing w:after="0" w:line="104" w:lineRule="exact"/>
        <w:rPr>
          <w:sz w:val="20"/>
          <w:szCs w:val="20"/>
          <w:color w:val="auto"/>
        </w:rPr>
      </w:pPr>
    </w:p>
    <w:p>
      <w:pPr>
        <w:ind w:right="320" w:firstLine="537"/>
        <w:spacing w:after="0" w:line="233" w:lineRule="auto"/>
        <w:rPr>
          <w:sz w:val="20"/>
          <w:szCs w:val="20"/>
          <w:color w:val="auto"/>
        </w:rPr>
      </w:pPr>
      <w:r>
        <w:rPr>
          <w:rFonts w:ascii="Arial" w:cs="Arial" w:eastAsia="Arial" w:hAnsi="Arial"/>
          <w:sz w:val="16"/>
          <w:szCs w:val="16"/>
          <w:color w:val="auto"/>
        </w:rPr>
        <w:t>Allison Transmission Holdings, Inc. and its subsidiaries (“Allison” or the “Company”)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83" w:lineRule="exact"/>
        <w:rPr>
          <w:sz w:val="20"/>
          <w:szCs w:val="20"/>
          <w:color w:val="auto"/>
        </w:rPr>
      </w:pPr>
    </w:p>
    <w:p>
      <w:pPr>
        <w:jc w:val="both"/>
        <w:ind w:right="20" w:firstLine="537"/>
        <w:spacing w:after="0" w:line="234" w:lineRule="auto"/>
        <w:rPr>
          <w:sz w:val="20"/>
          <w:szCs w:val="20"/>
          <w:color w:val="auto"/>
        </w:rPr>
      </w:pPr>
      <w:r>
        <w:rPr>
          <w:rFonts w:ascii="Arial" w:cs="Arial" w:eastAsia="Arial" w:hAnsi="Arial"/>
          <w:sz w:val="16"/>
          <w:szCs w:val="16"/>
          <w:color w:val="auto"/>
        </w:rPr>
        <w:t>The Company has 12 different product lines. Although approximately 77% of revenues were generated in North America in 2018, the Company has a global presence by serving customers in Europe, Asia, South America and Africa. The Company serves customers through an independent network of approximately 1,400 independent distributor and dealer locations worldwide.</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B. SUMMARY OF SIGNIFICANT ACCOUNTING POLICIES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Basis of Presentation and Principles of Consolidation</w:t>
      </w:r>
    </w:p>
    <w:p>
      <w:pPr>
        <w:spacing w:after="0" w:line="104" w:lineRule="exact"/>
        <w:rPr>
          <w:sz w:val="20"/>
          <w:szCs w:val="20"/>
          <w:color w:val="auto"/>
        </w:rPr>
      </w:pPr>
    </w:p>
    <w:p>
      <w:pPr>
        <w:ind w:firstLine="537"/>
        <w:spacing w:after="0" w:line="232" w:lineRule="auto"/>
        <w:rPr>
          <w:sz w:val="20"/>
          <w:szCs w:val="20"/>
          <w:color w:val="auto"/>
        </w:rPr>
      </w:pPr>
      <w:r>
        <w:rPr>
          <w:rFonts w:ascii="Arial" w:cs="Arial" w:eastAsia="Arial" w:hAnsi="Arial"/>
          <w:sz w:val="16"/>
          <w:szCs w:val="16"/>
          <w:color w:val="auto"/>
        </w:rPr>
        <w:t>The condensed consolidated financial statements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83" w:lineRule="exact"/>
        <w:rPr>
          <w:sz w:val="20"/>
          <w:szCs w:val="20"/>
          <w:color w:val="auto"/>
        </w:rPr>
      </w:pPr>
    </w:p>
    <w:p>
      <w:pPr>
        <w:ind w:right="20" w:firstLine="537"/>
        <w:spacing w:after="0" w:line="233" w:lineRule="auto"/>
        <w:rPr>
          <w:sz w:val="20"/>
          <w:szCs w:val="20"/>
          <w:color w:val="auto"/>
        </w:rPr>
      </w:pPr>
      <w:r>
        <w:rPr>
          <w:rFonts w:ascii="Arial" w:cs="Arial" w:eastAsia="Arial" w:hAnsi="Arial"/>
          <w:sz w:val="16"/>
          <w:szCs w:val="16"/>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2018 as filed with the Securities and Exchange Commission on February 26, 2019. The interim period financial results for the three and nine month periods presented are not necessarily indicative of results to be expected for any other interim period or for the entire year.</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04" w:lineRule="exact"/>
        <w:rPr>
          <w:sz w:val="20"/>
          <w:szCs w:val="20"/>
          <w:color w:val="auto"/>
        </w:rPr>
      </w:pPr>
    </w:p>
    <w:p>
      <w:pPr>
        <w:ind w:right="20" w:firstLine="537"/>
        <w:spacing w:after="0" w:line="23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sales allowances, government price adjustments, fair market values and future cash flows associated with goodwill, indefinite life intangibles, definite life intangibles, long-lived asset impairment tests, useful lives for depreciation and amortization, warranty liabilities, environmental liabilities, determination of discount and other assumptions for pension and other post-retirement benefit expense, determination of discount rate and period for leases,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104" w:lineRule="exact"/>
        <w:rPr>
          <w:sz w:val="20"/>
          <w:szCs w:val="20"/>
          <w:color w:val="auto"/>
        </w:rPr>
      </w:pPr>
    </w:p>
    <w:p>
      <w:pPr>
        <w:ind w:firstLine="537"/>
        <w:spacing w:after="0" w:line="233" w:lineRule="auto"/>
        <w:rPr>
          <w:sz w:val="20"/>
          <w:szCs w:val="20"/>
          <w:color w:val="auto"/>
        </w:rPr>
      </w:pPr>
      <w:r>
        <w:rPr>
          <w:rFonts w:ascii="Arial" w:cs="Arial" w:eastAsia="Arial" w:hAnsi="Arial"/>
          <w:sz w:val="16"/>
          <w:szCs w:val="16"/>
          <w:color w:val="auto"/>
        </w:rPr>
        <w:t>The Company uses the acquisition method to account for business combinations. The assets acquired and liabilities assumed are recorded at their respective estimated fair value at the date of acquisition. Any excess purchase price over the fair values of the acquired net assets is recorded as goodwill. Determining the fair values of assets acquired and liabilities assumed requires management's judgment and includes the use of estimates with respect to timing and amount of future cash flows, market rate assumptions, actuarial assumptions, appropriate discount rates and other relevant factors.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04" w:lineRule="exact"/>
        <w:rPr>
          <w:sz w:val="20"/>
          <w:szCs w:val="20"/>
          <w:color w:val="auto"/>
        </w:rPr>
      </w:pPr>
    </w:p>
    <w:p>
      <w:pPr>
        <w:jc w:val="both"/>
        <w:ind w:right="380" w:firstLine="537"/>
        <w:spacing w:after="0" w:line="234" w:lineRule="auto"/>
        <w:rPr>
          <w:sz w:val="20"/>
          <w:szCs w:val="20"/>
          <w:color w:val="auto"/>
        </w:rPr>
      </w:pPr>
      <w:r>
        <w:rPr>
          <w:rFonts w:ascii="Arial" w:cs="Arial" w:eastAsia="Arial" w:hAnsi="Arial"/>
          <w:sz w:val="16"/>
          <w:szCs w:val="16"/>
          <w:color w:val="auto"/>
        </w:rPr>
        <w:t>In June 2018, the Financial Accounting Standards Board ("FASB") issued authoritative accounting guidance on accounting for nonemployee awards for goods or services received by a company. The Company adopted this guidance effective January 1, 2019. The adoption of this guidance did not have a material impact on the Company's consolidated financial statements.</w:t>
      </w:r>
    </w:p>
    <w:p>
      <w:pPr>
        <w:spacing w:after="0" w:line="84" w:lineRule="exact"/>
        <w:rPr>
          <w:sz w:val="20"/>
          <w:szCs w:val="20"/>
          <w:color w:val="auto"/>
        </w:rPr>
      </w:pPr>
    </w:p>
    <w:p>
      <w:pPr>
        <w:jc w:val="both"/>
        <w:ind w:right="140" w:firstLine="537"/>
        <w:spacing w:after="0" w:line="244" w:lineRule="auto"/>
        <w:rPr>
          <w:sz w:val="20"/>
          <w:szCs w:val="20"/>
          <w:color w:val="auto"/>
        </w:rPr>
      </w:pPr>
      <w:r>
        <w:rPr>
          <w:rFonts w:ascii="Arial" w:cs="Arial" w:eastAsia="Arial" w:hAnsi="Arial"/>
          <w:sz w:val="15"/>
          <w:szCs w:val="15"/>
          <w:color w:val="auto"/>
        </w:rPr>
        <w:t>In February 2018, the FASB issued authoritative accounting guidance on transfers of stranded balances in accumulated other comprehensive loss ("AOCL") to retained earnings. The passage of the U.S. Tax Cuts and Jobs Act by the U.S. federal government in December 2017 and existing GAAP requirements to adjust deferred tax assets and liabilities for changes in tax laws or rates created stranded balances in AOCL on deferred tax assets and liabilities previously recorded as a component to AOCL. The guidance applies to companies affected by these stranded balances and allows a reclassification of these balances to retained earnings.</w:t>
      </w:r>
    </w:p>
    <w:p>
      <w:pPr>
        <w:spacing w:after="0" w:line="3"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Company adopted this guidance effective January 1, 2019. As a result of the adoption of this guidance, the Company recorded an adjustment that reclassified $7 million of AOCL to retained earnings as of January 1, 2019.</w:t>
      </w:r>
    </w:p>
    <w:p>
      <w:pPr>
        <w:spacing w:after="0" w:line="83" w:lineRule="exact"/>
        <w:rPr>
          <w:sz w:val="20"/>
          <w:szCs w:val="20"/>
          <w:color w:val="auto"/>
        </w:rPr>
      </w:pPr>
    </w:p>
    <w:p>
      <w:pPr>
        <w:ind w:right="60" w:firstLine="537"/>
        <w:spacing w:after="0" w:line="231" w:lineRule="auto"/>
        <w:rPr>
          <w:sz w:val="20"/>
          <w:szCs w:val="20"/>
          <w:color w:val="auto"/>
        </w:rPr>
      </w:pPr>
      <w:r>
        <w:rPr>
          <w:rFonts w:ascii="Arial" w:cs="Arial" w:eastAsia="Arial" w:hAnsi="Arial"/>
          <w:sz w:val="16"/>
          <w:szCs w:val="16"/>
          <w:color w:val="auto"/>
        </w:rPr>
        <w:t>In February 2016, the FASB issued authoritative accounting guidance on lease accounting, which guidance was subsequently amended.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guidance also introduces new disclosure requirements for leasing arrangements. In July 2018, the FASB issued additional authoritative guidance on this topic giving lessees an optional adoption approach under which the impact of the adoption of the guidance would be shown as of the date of adoption. Management elected to adopt the guidance using this optional alternative method. The Company adopted this guidance effective January 1, 2019. The Company recorded non-financial right-of-use ("ROU") assets of $14 million, including $1 million of assets transferred from the balance recorded as prepaid lease expense under the prior guidance, and current and non-current lease liabilities of $4 million and $9 million, respectively. The adoption of this guidance did not have a material impact on the Company's opening retained earnings. See Note K, "Leases" for further details.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04" w:lineRule="exact"/>
        <w:rPr>
          <w:sz w:val="20"/>
          <w:szCs w:val="20"/>
          <w:color w:val="auto"/>
        </w:rPr>
      </w:pPr>
    </w:p>
    <w:p>
      <w:pPr>
        <w:ind w:right="60" w:firstLine="537"/>
        <w:spacing w:after="0" w:line="232" w:lineRule="auto"/>
        <w:rPr>
          <w:sz w:val="20"/>
          <w:szCs w:val="20"/>
          <w:color w:val="auto"/>
        </w:rPr>
      </w:pPr>
      <w:r>
        <w:rPr>
          <w:rFonts w:ascii="Arial" w:cs="Arial" w:eastAsia="Arial" w:hAnsi="Arial"/>
          <w:sz w:val="16"/>
          <w:szCs w:val="16"/>
          <w:color w:val="auto"/>
        </w:rPr>
        <w:t>In August 2018, the FASB issued authoritative accounting guidance on accounting for implementation costs in hosting arrangements to align these costs with existing guidance for internally developed software. The stage of implementation must be assessed to determine if costs should be capitalized or expensed, and capitalized costs should be expensed during the noncancellable term of the agreement. The guidance will be effective for the Company in fiscal year 2020, and the Company does not plan to early adopt. Management has elected to apply the guidance prospectively upon adoption and does not expect the adoption of this guidance to have a material impact on the Company's consolidated financial statements.</w:t>
      </w:r>
    </w:p>
    <w:p>
      <w:pPr>
        <w:spacing w:after="0" w:line="85" w:lineRule="exact"/>
        <w:rPr>
          <w:sz w:val="20"/>
          <w:szCs w:val="20"/>
          <w:color w:val="auto"/>
        </w:rPr>
      </w:pPr>
    </w:p>
    <w:p>
      <w:pPr>
        <w:jc w:val="both"/>
        <w:ind w:right="100" w:firstLine="537"/>
        <w:spacing w:after="0" w:line="234" w:lineRule="auto"/>
        <w:rPr>
          <w:sz w:val="20"/>
          <w:szCs w:val="20"/>
          <w:color w:val="auto"/>
        </w:rPr>
      </w:pPr>
      <w:r>
        <w:rPr>
          <w:rFonts w:ascii="Arial" w:cs="Arial" w:eastAsia="Arial" w:hAnsi="Arial"/>
          <w:sz w:val="16"/>
          <w:szCs w:val="16"/>
          <w:color w:val="auto"/>
        </w:rPr>
        <w:t>In August 2018, the FASB issued authoritative accounting guidance amending disclosure requirements for the Company's defined benefit pension plans and other postretirement benefit plan. The guidance will be effective for the Company in fiscal year 2021, and the Company does not plan to early adopt. Management is currently evaluating the impact of this guidance on the Company's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6" w:lineRule="exact"/>
        <w:rPr>
          <w:sz w:val="20"/>
          <w:szCs w:val="20"/>
          <w:color w:val="auto"/>
        </w:rPr>
      </w:pPr>
    </w:p>
    <w:p>
      <w:pPr>
        <w:ind w:right="140" w:firstLine="537"/>
        <w:spacing w:after="0" w:line="233" w:lineRule="auto"/>
        <w:rPr>
          <w:sz w:val="20"/>
          <w:szCs w:val="20"/>
          <w:color w:val="auto"/>
        </w:rPr>
      </w:pPr>
      <w:r>
        <w:rPr>
          <w:rFonts w:ascii="Arial" w:cs="Arial" w:eastAsia="Arial" w:hAnsi="Arial"/>
          <w:sz w:val="16"/>
          <w:szCs w:val="16"/>
          <w:color w:val="auto"/>
        </w:rPr>
        <w:t>In August 2018, the FASB issued authoritative accounting guidance amending disclosure requirements for certain assets subject to fair value measurement. The guidance allows the Company to reduce the amount of disclosure on transfers between Level 1 and Level 2 assets. The guidance will be effective for the Company in fiscal year 2020, and the Company does not plan to early adopt. Management does not expect the adoption of this guidance to have a material impact on the Company's consolidated financial statements.</w:t>
      </w:r>
    </w:p>
    <w:p>
      <w:pPr>
        <w:spacing w:after="0" w:line="83" w:lineRule="exact"/>
        <w:rPr>
          <w:sz w:val="20"/>
          <w:szCs w:val="20"/>
          <w:color w:val="auto"/>
        </w:rPr>
      </w:pPr>
    </w:p>
    <w:p>
      <w:pPr>
        <w:ind w:right="80" w:firstLine="537"/>
        <w:spacing w:after="0" w:line="233" w:lineRule="auto"/>
        <w:rPr>
          <w:sz w:val="20"/>
          <w:szCs w:val="20"/>
          <w:color w:val="auto"/>
        </w:rPr>
      </w:pPr>
      <w:r>
        <w:rPr>
          <w:rFonts w:ascii="Arial" w:cs="Arial" w:eastAsia="Arial" w:hAnsi="Arial"/>
          <w:sz w:val="16"/>
          <w:szCs w:val="16"/>
          <w:color w:val="auto"/>
        </w:rPr>
        <w:t>In June 2016, the FASB issued authoritative accounting guidance on the presentation of financial assets at the net amount expected to be collected, which guidance was subsequently amended. The guidance also requires the disclosure of financing receivables disaggregated by the year of origination. The guidance will be effective for the Company in fiscal year 2020. Management is currently reviewing accounting policies for estimating credit losses on financial assets, but does not expect the adoption of this guidance to have a material impact on the Company's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C. REVENUE</w:t>
      </w:r>
    </w:p>
    <w:p>
      <w:pPr>
        <w:spacing w:after="0" w:line="106" w:lineRule="exact"/>
        <w:rPr>
          <w:sz w:val="20"/>
          <w:szCs w:val="20"/>
          <w:color w:val="auto"/>
        </w:rPr>
      </w:pPr>
    </w:p>
    <w:p>
      <w:pPr>
        <w:ind w:right="140" w:firstLine="537"/>
        <w:spacing w:after="0" w:line="232" w:lineRule="auto"/>
        <w:rPr>
          <w:sz w:val="20"/>
          <w:szCs w:val="20"/>
          <w:color w:val="auto"/>
        </w:rPr>
      </w:pPr>
      <w:r>
        <w:rPr>
          <w:rFonts w:ascii="Arial" w:cs="Arial" w:eastAsia="Arial" w:hAnsi="Arial"/>
          <w:sz w:val="16"/>
          <w:szCs w:val="16"/>
          <w:color w:val="auto"/>
        </w:rPr>
        <w:t>Revenue is recognized as each distinct performance obligation within a contract is satisfied. A performance obligation is a promise in a contract to transfer a distinct good or service to the customer. The Company enters into long-term agreements (“LTAs”) and distributor agreements with certain customers. The LTAs and distributor agreements do not include committed volumes until underlying purchase orders are issued; therefore, the Company determined that purchase orders are the contract with a customer. A contract’s transaction price is allocated to each distinct performance obligation and recognized as revenue when the performance obligation is satisfied, as there is no right of return.</w:t>
      </w:r>
    </w:p>
    <w:p>
      <w:pPr>
        <w:spacing w:after="0" w:line="85" w:lineRule="exact"/>
        <w:rPr>
          <w:sz w:val="20"/>
          <w:szCs w:val="20"/>
          <w:color w:val="auto"/>
        </w:rPr>
      </w:pPr>
    </w:p>
    <w:p>
      <w:pPr>
        <w:ind w:right="20" w:firstLine="537"/>
        <w:spacing w:after="0" w:line="234" w:lineRule="auto"/>
        <w:rPr>
          <w:sz w:val="20"/>
          <w:szCs w:val="20"/>
          <w:color w:val="auto"/>
        </w:rPr>
      </w:pPr>
      <w:r>
        <w:rPr>
          <w:rFonts w:ascii="Arial" w:cs="Arial" w:eastAsia="Arial" w:hAnsi="Arial"/>
          <w:sz w:val="16"/>
          <w:szCs w:val="16"/>
          <w:color w:val="auto"/>
        </w:rPr>
        <w:t>Some of the Company's contracts include multiple performance obligations, most commonly the sale of both a transmission and Extended Transmission Coverage ("ETC"). The Company allocates the contract’s transaction price to each performance obligation based on the standalone selling price of each distinct good or service in the contract.</w:t>
      </w:r>
    </w:p>
    <w:p>
      <w:pPr>
        <w:spacing w:after="0" w:line="84" w:lineRule="exact"/>
        <w:rPr>
          <w:sz w:val="20"/>
          <w:szCs w:val="20"/>
          <w:color w:val="auto"/>
        </w:rPr>
      </w:pPr>
    </w:p>
    <w:p>
      <w:pPr>
        <w:ind w:right="40" w:firstLine="537"/>
        <w:spacing w:after="0" w:line="232" w:lineRule="auto"/>
        <w:rPr>
          <w:sz w:val="20"/>
          <w:szCs w:val="20"/>
          <w:color w:val="auto"/>
        </w:rPr>
      </w:pPr>
      <w:r>
        <w:rPr>
          <w:rFonts w:ascii="Arial" w:cs="Arial" w:eastAsia="Arial" w:hAnsi="Arial"/>
          <w:sz w:val="16"/>
          <w:szCs w:val="16"/>
          <w:color w:val="auto"/>
        </w:rPr>
        <w:t>The Company may also use volume based discounts and rebates as marketing incentives in the sales of both transmissions and service parts, which are accounted for as variable consideration. The Company records the impact of the incentives as a reduction to revenue when it is determined that the adjustment is not likely to reverse, historically on a quarterly basis. The Company estimates the impact of all other incentives based on the related sales and market conditions in the end market vocation. The Company recorded no adjustments based on variable consideration during the three and nine months ended September 30, 2019 and 2018.</w:t>
      </w:r>
    </w:p>
    <w:p>
      <w:pPr>
        <w:spacing w:after="0" w:line="85" w:lineRule="exact"/>
        <w:rPr>
          <w:sz w:val="20"/>
          <w:szCs w:val="20"/>
          <w:color w:val="auto"/>
        </w:rPr>
      </w:pPr>
    </w:p>
    <w:p>
      <w:pPr>
        <w:ind w:firstLine="537"/>
        <w:spacing w:after="0" w:line="232" w:lineRule="auto"/>
        <w:rPr>
          <w:sz w:val="20"/>
          <w:szCs w:val="20"/>
          <w:color w:val="auto"/>
        </w:rPr>
      </w:pPr>
      <w:r>
        <w:rPr>
          <w:rFonts w:ascii="Arial" w:cs="Arial" w:eastAsia="Arial" w:hAnsi="Arial"/>
          <w:sz w:val="16"/>
          <w:szCs w:val="16"/>
          <w:color w:val="auto"/>
        </w:rPr>
        <w:t>Net sales are made on credit terms, generally 30 days, based on an assessment of the customer’s creditworthiness. For certain goods or services, the Company receives consideration prior to satisfying the related performance obligation. Such consideration is recorded as a contract liability in current and non-current Deferred revenue as of September 30, 2019 and December 31, 2018. See Note J, “Deferred Revenue” for more information including the amount of revenue earned during the three and nine months ended September 30, 2019 that had been previously deferred. The Company had no contract assets as of September 30, 2019 and December 31, 2018.</w:t>
      </w:r>
    </w:p>
    <w:p>
      <w:pPr>
        <w:spacing w:after="0" w:line="85" w:lineRule="exact"/>
        <w:rPr>
          <w:sz w:val="20"/>
          <w:szCs w:val="20"/>
          <w:color w:val="auto"/>
        </w:rPr>
      </w:pPr>
    </w:p>
    <w:p>
      <w:pPr>
        <w:ind w:right="200" w:firstLine="537"/>
        <w:spacing w:after="0" w:line="237" w:lineRule="auto"/>
        <w:rPr>
          <w:sz w:val="20"/>
          <w:szCs w:val="20"/>
          <w:color w:val="auto"/>
        </w:rPr>
      </w:pPr>
      <w:r>
        <w:rPr>
          <w:rFonts w:ascii="Arial" w:cs="Arial" w:eastAsia="Arial" w:hAnsi="Arial"/>
          <w:sz w:val="16"/>
          <w:szCs w:val="16"/>
          <w:color w:val="auto"/>
        </w:rPr>
        <w:t>The following presents disaggregated revenue by categories that best depict how the nature, amount, timing and uncertainty of revenue and cash flows are affected by economic factors (dollars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0" w:type="dxa"/>
            <w:vAlign w:val="bottom"/>
            <w:gridSpan w:val="4"/>
          </w:tcPr>
          <w:p>
            <w:pPr>
              <w:jc w:val="right"/>
              <w:ind w:right="257"/>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20" w:type="dxa"/>
            <w:vAlign w:val="bottom"/>
            <w:gridSpan w:val="4"/>
          </w:tcPr>
          <w:p>
            <w:pPr>
              <w:jc w:val="right"/>
              <w:ind w:right="744"/>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4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3"/>
                <w:szCs w:val="13"/>
                <w:b w:val="1"/>
                <w:bCs w:val="1"/>
                <w:color w:val="auto"/>
              </w:rPr>
              <w:t>September 30,</w:t>
            </w:r>
          </w:p>
        </w:tc>
        <w:tc>
          <w:tcPr>
            <w:tcW w:w="4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60" w:type="dxa"/>
            <w:vAlign w:val="bottom"/>
            <w:tcBorders>
              <w:bottom w:val="single" w:sz="8" w:color="CFF0FC"/>
            </w:tcBorders>
          </w:tcPr>
          <w:p>
            <w:pPr>
              <w:spacing w:after="0"/>
              <w:rPr>
                <w:sz w:val="12"/>
                <w:szCs w:val="12"/>
                <w:color w:val="auto"/>
              </w:rPr>
            </w:pPr>
          </w:p>
        </w:tc>
        <w:tc>
          <w:tcPr>
            <w:tcW w:w="160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ind w:right="12"/>
              <w:spacing w:after="0" w:line="144"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ind w:right="37"/>
              <w:spacing w:after="0" w:line="144" w:lineRule="exact"/>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86"/>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4"/>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9"/>
        </w:trPr>
        <w:tc>
          <w:tcPr>
            <w:tcW w:w="43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16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369</w:t>
            </w:r>
          </w:p>
        </w:tc>
        <w:tc>
          <w:tcPr>
            <w:tcW w:w="940" w:type="dxa"/>
            <w:vAlign w:val="bottom"/>
            <w:gridSpan w:val="2"/>
            <w:shd w:val="clear" w:color="auto" w:fill="CFF0FC"/>
          </w:tcPr>
          <w:p>
            <w:pPr>
              <w:jc w:val="right"/>
              <w:ind w:right="657"/>
              <w:spacing w:after="0" w:line="180"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332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1,144</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ind w:right="44"/>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29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8"/>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16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40</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109</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jc w:val="right"/>
              <w:ind w:right="44"/>
              <w:spacing w:after="0"/>
              <w:rPr>
                <w:sz w:val="20"/>
                <w:szCs w:val="20"/>
                <w:color w:val="auto"/>
              </w:rPr>
            </w:pPr>
            <w:r>
              <w:rPr>
                <w:rFonts w:ascii="Arial" w:cs="Arial" w:eastAsia="Arial" w:hAnsi="Arial"/>
                <w:sz w:val="16"/>
                <w:szCs w:val="16"/>
                <w:b w:val="1"/>
                <w:bCs w:val="1"/>
                <w:color w:val="auto"/>
              </w:rPr>
              <w:t>99</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6"/>
              <w:spacing w:after="0"/>
              <w:rPr>
                <w:sz w:val="20"/>
                <w:szCs w:val="20"/>
                <w:color w:val="auto"/>
              </w:rPr>
            </w:pPr>
            <w:r>
              <w:rPr>
                <w:rFonts w:ascii="Arial" w:cs="Arial" w:eastAsia="Arial" w:hAnsi="Arial"/>
                <w:sz w:val="16"/>
                <w:szCs w:val="16"/>
                <w:b w:val="1"/>
                <w:bCs w:val="1"/>
                <w:color w:val="auto"/>
              </w:rPr>
              <w:t>299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188"/>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16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24</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91</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8"/>
        </w:trPr>
        <w:tc>
          <w:tcPr>
            <w:tcW w:w="4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160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b w:val="1"/>
                <w:bCs w:val="1"/>
                <w:color w:val="auto"/>
              </w:rPr>
              <w:t>131</w:t>
            </w:r>
          </w:p>
        </w:tc>
        <w:tc>
          <w:tcPr>
            <w:tcW w:w="140" w:type="dxa"/>
            <w:vAlign w:val="bottom"/>
            <w:tcBorders>
              <w:bottom w:val="single" w:sz="8" w:color="CFF0FC"/>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409</w:t>
            </w:r>
          </w:p>
        </w:tc>
        <w:tc>
          <w:tcPr>
            <w:tcW w:w="1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484</w:t>
            </w:r>
          </w:p>
        </w:tc>
        <w:tc>
          <w:tcPr>
            <w:tcW w:w="0" w:type="dxa"/>
            <w:vAlign w:val="bottom"/>
          </w:tcPr>
          <w:p>
            <w:pPr>
              <w:spacing w:after="0"/>
              <w:rPr>
                <w:sz w:val="1"/>
                <w:szCs w:val="1"/>
                <w:color w:val="auto"/>
              </w:rPr>
            </w:pPr>
          </w:p>
        </w:tc>
      </w:tr>
      <w:tr>
        <w:trPr>
          <w:trHeight w:val="179"/>
        </w:trPr>
        <w:tc>
          <w:tcPr>
            <w:tcW w:w="43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160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669</w:t>
            </w:r>
          </w:p>
        </w:tc>
        <w:tc>
          <w:tcPr>
            <w:tcW w:w="940" w:type="dxa"/>
            <w:vAlign w:val="bottom"/>
            <w:gridSpan w:val="2"/>
            <w:shd w:val="clear" w:color="auto" w:fill="CFF0FC"/>
          </w:tcPr>
          <w:p>
            <w:pPr>
              <w:jc w:val="right"/>
              <w:ind w:right="657"/>
              <w:spacing w:after="0" w:line="180"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692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2,081</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bottom w:val="single" w:sz="8" w:color="CFF0FC"/>
            </w:tcBorders>
            <w:vMerge w:val="restart"/>
          </w:tcPr>
          <w:p>
            <w:pPr>
              <w:jc w:val="right"/>
              <w:ind w:right="82"/>
              <w:spacing w:after="0"/>
              <w:rPr>
                <w:sz w:val="20"/>
                <w:szCs w:val="20"/>
                <w:color w:val="auto"/>
              </w:rPr>
            </w:pPr>
            <w:r>
              <w:rPr>
                <w:rFonts w:ascii="Arial" w:cs="Arial" w:eastAsia="Arial" w:hAnsi="Arial"/>
                <w:sz w:val="16"/>
                <w:szCs w:val="16"/>
                <w:color w:val="auto"/>
              </w:rPr>
              <w:t>10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6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6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D. INVENTORIES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Inventories consisted of the following components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4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446"/>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5140" w:type="dxa"/>
            <w:vAlign w:val="bottom"/>
          </w:tcPr>
          <w:p>
            <w:pPr>
              <w:spacing w:after="0"/>
              <w:rPr>
                <w:sz w:val="13"/>
                <w:szCs w:val="13"/>
                <w:color w:val="auto"/>
              </w:rPr>
            </w:pPr>
          </w:p>
        </w:tc>
        <w:tc>
          <w:tcPr>
            <w:tcW w:w="4000" w:type="dxa"/>
            <w:vAlign w:val="bottom"/>
            <w:gridSpan w:val="2"/>
          </w:tcPr>
          <w:p>
            <w:pPr>
              <w:jc w:val="right"/>
              <w:ind w:right="271"/>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706"/>
              <w:spacing w:after="0"/>
              <w:rPr>
                <w:sz w:val="20"/>
                <w:szCs w:val="20"/>
                <w:color w:val="auto"/>
              </w:rPr>
            </w:pPr>
            <w:r>
              <w:rPr>
                <w:rFonts w:ascii="Arial" w:cs="Arial" w:eastAsia="Arial" w:hAnsi="Arial"/>
                <w:sz w:val="13"/>
                <w:szCs w:val="13"/>
                <w:b w:val="1"/>
                <w:bCs w:val="1"/>
                <w:color w:val="auto"/>
              </w:rPr>
              <w:t>2018</w:t>
            </w:r>
          </w:p>
        </w:tc>
      </w:tr>
      <w:tr>
        <w:trPr>
          <w:trHeight w:val="179"/>
        </w:trPr>
        <w:tc>
          <w:tcPr>
            <w:tcW w:w="51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Purchased parts and raw materials</w:t>
            </w:r>
          </w:p>
        </w:tc>
        <w:tc>
          <w:tcPr>
            <w:tcW w:w="2740" w:type="dxa"/>
            <w:vAlign w:val="bottom"/>
            <w:tcBorders>
              <w:top w:val="single" w:sz="8" w:color="CFF0FC"/>
            </w:tcBorders>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jc w:val="right"/>
              <w:ind w:right="111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100</w:t>
            </w:r>
          </w:p>
        </w:tc>
        <w:tc>
          <w:tcPr>
            <w:tcW w:w="18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82</w:t>
            </w:r>
          </w:p>
        </w:tc>
      </w:tr>
      <w:tr>
        <w:trPr>
          <w:trHeight w:val="188"/>
        </w:trPr>
        <w:tc>
          <w:tcPr>
            <w:tcW w:w="5140" w:type="dxa"/>
            <w:vAlign w:val="bottom"/>
          </w:tcPr>
          <w:p>
            <w:pPr>
              <w:spacing w:after="0"/>
              <w:rPr>
                <w:sz w:val="20"/>
                <w:szCs w:val="20"/>
                <w:color w:val="auto"/>
              </w:rPr>
            </w:pPr>
            <w:r>
              <w:rPr>
                <w:rFonts w:ascii="Arial" w:cs="Arial" w:eastAsia="Arial" w:hAnsi="Arial"/>
                <w:sz w:val="16"/>
                <w:szCs w:val="16"/>
                <w:color w:val="auto"/>
              </w:rPr>
              <w:t>Work in progress</w:t>
            </w:r>
          </w:p>
        </w:tc>
        <w:tc>
          <w:tcPr>
            <w:tcW w:w="2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jc w:val="right"/>
              <w:ind w:right="42"/>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ind w:right="66"/>
              <w:spacing w:after="0"/>
              <w:rPr>
                <w:sz w:val="20"/>
                <w:szCs w:val="20"/>
                <w:color w:val="auto"/>
              </w:rPr>
            </w:pPr>
            <w:r>
              <w:rPr>
                <w:rFonts w:ascii="Arial" w:cs="Arial" w:eastAsia="Arial" w:hAnsi="Arial"/>
                <w:sz w:val="16"/>
                <w:szCs w:val="16"/>
                <w:color w:val="auto"/>
              </w:rPr>
              <w:t>8</w:t>
            </w:r>
          </w:p>
        </w:tc>
      </w:tr>
      <w:tr>
        <w:trPr>
          <w:trHeight w:val="188"/>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Service parts</w:t>
            </w:r>
          </w:p>
        </w:tc>
        <w:tc>
          <w:tcPr>
            <w:tcW w:w="274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56</w:t>
            </w: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80" w:type="dxa"/>
            <w:vAlign w:val="bottom"/>
            <w:shd w:val="clear" w:color="auto" w:fill="CFF0FC"/>
          </w:tcPr>
          <w:p>
            <w:pPr>
              <w:jc w:val="right"/>
              <w:ind w:right="66"/>
              <w:spacing w:after="0"/>
              <w:rPr>
                <w:sz w:val="20"/>
                <w:szCs w:val="20"/>
                <w:color w:val="auto"/>
              </w:rPr>
            </w:pPr>
            <w:r>
              <w:rPr>
                <w:rFonts w:ascii="Arial" w:cs="Arial" w:eastAsia="Arial" w:hAnsi="Arial"/>
                <w:sz w:val="16"/>
                <w:szCs w:val="16"/>
                <w:color w:val="auto"/>
              </w:rPr>
              <w:t>48</w:t>
            </w:r>
          </w:p>
        </w:tc>
      </w:tr>
      <w:tr>
        <w:trPr>
          <w:trHeight w:val="188"/>
        </w:trPr>
        <w:tc>
          <w:tcPr>
            <w:tcW w:w="5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Finished goods</w:t>
            </w:r>
          </w:p>
        </w:tc>
        <w:tc>
          <w:tcPr>
            <w:tcW w:w="2740" w:type="dxa"/>
            <w:vAlign w:val="bottom"/>
            <w:tcBorders>
              <w:bottom w:val="single" w:sz="8" w:color="CFF0FC"/>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36</w:t>
            </w:r>
          </w:p>
        </w:tc>
        <w:tc>
          <w:tcPr>
            <w:tcW w:w="1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6"/>
              <w:spacing w:after="0"/>
              <w:rPr>
                <w:sz w:val="20"/>
                <w:szCs w:val="20"/>
                <w:color w:val="auto"/>
              </w:rPr>
            </w:pPr>
            <w:r>
              <w:rPr>
                <w:rFonts w:ascii="Arial" w:cs="Arial" w:eastAsia="Arial" w:hAnsi="Arial"/>
                <w:sz w:val="16"/>
                <w:szCs w:val="16"/>
                <w:color w:val="auto"/>
              </w:rPr>
              <w:t>32</w:t>
            </w:r>
          </w:p>
        </w:tc>
      </w:tr>
      <w:tr>
        <w:trPr>
          <w:trHeight w:val="179"/>
        </w:trPr>
        <w:tc>
          <w:tcPr>
            <w:tcW w:w="514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inventories</w:t>
            </w:r>
          </w:p>
        </w:tc>
        <w:tc>
          <w:tcPr>
            <w:tcW w:w="2740" w:type="dxa"/>
            <w:vAlign w:val="bottom"/>
            <w:tcBorders>
              <w:bottom w:val="single" w:sz="8" w:color="CFF0FC"/>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111"/>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209</w:t>
            </w:r>
          </w:p>
        </w:tc>
        <w:tc>
          <w:tcPr>
            <w:tcW w:w="1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170</w:t>
            </w:r>
          </w:p>
        </w:tc>
      </w:tr>
      <w:tr>
        <w:trPr>
          <w:trHeight w:val="20"/>
        </w:trPr>
        <w:tc>
          <w:tcPr>
            <w:tcW w:w="5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right="40" w:firstLine="537"/>
        <w:spacing w:after="0" w:line="234" w:lineRule="auto"/>
        <w:rPr>
          <w:sz w:val="20"/>
          <w:szCs w:val="20"/>
          <w:color w:val="auto"/>
        </w:rPr>
      </w:pPr>
      <w:r>
        <w:rPr>
          <w:rFonts w:ascii="Arial" w:cs="Arial" w:eastAsia="Arial" w:hAnsi="Arial"/>
          <w:sz w:val="16"/>
          <w:szCs w:val="16"/>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L, “Other Current Liabilities” for more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E. GOODWILL AND OTHER INTANGIBLE ASSETS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 of September 30, 2019 and December 31, 2018, the carrying amount of the Company’s Goodwill was $2,040 million and $1,941 million, respectively.</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presents a summary of other intangible assets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95"/>
              </w:rPr>
              <w:t>September 30, 2019</w:t>
            </w: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3"/>
                <w:szCs w:val="13"/>
                <w:b w:val="1"/>
                <w:bCs w:val="1"/>
                <w:color w:val="auto"/>
                <w:w w:val="97"/>
              </w:rPr>
              <w:t>December 31, 2018</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02"/>
        </w:trPr>
        <w:tc>
          <w:tcPr>
            <w:tcW w:w="37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jc w:val="right"/>
              <w:ind w:right="168"/>
              <w:spacing w:after="0" w:line="102" w:lineRule="exact"/>
              <w:rPr>
                <w:sz w:val="20"/>
                <w:szCs w:val="20"/>
                <w:color w:val="auto"/>
              </w:rPr>
            </w:pPr>
            <w:r>
              <w:rPr>
                <w:rFonts w:ascii="Arial" w:cs="Arial" w:eastAsia="Arial" w:hAnsi="Arial"/>
                <w:sz w:val="11"/>
                <w:szCs w:val="11"/>
                <w:b w:val="1"/>
                <w:bCs w:val="1"/>
                <w:color w:val="auto"/>
              </w:rPr>
              <w:t>Intangible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gridSpan w:val="2"/>
          </w:tcPr>
          <w:p>
            <w:pPr>
              <w:jc w:val="center"/>
              <w:ind w:right="300"/>
              <w:spacing w:after="0" w:line="102" w:lineRule="exact"/>
              <w:rPr>
                <w:sz w:val="20"/>
                <w:szCs w:val="20"/>
                <w:color w:val="auto"/>
              </w:rPr>
            </w:pPr>
            <w:r>
              <w:rPr>
                <w:rFonts w:ascii="Arial" w:cs="Arial" w:eastAsia="Arial" w:hAnsi="Arial"/>
                <w:sz w:val="11"/>
                <w:szCs w:val="11"/>
                <w:b w:val="1"/>
                <w:bCs w:val="1"/>
                <w:color w:val="auto"/>
                <w:w w:val="98"/>
              </w:rPr>
              <w:t>Accumulated</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jc w:val="center"/>
              <w:ind w:right="168"/>
              <w:spacing w:after="0" w:line="102" w:lineRule="exact"/>
              <w:rPr>
                <w:sz w:val="20"/>
                <w:szCs w:val="20"/>
                <w:color w:val="auto"/>
              </w:rPr>
            </w:pPr>
            <w:r>
              <w:rPr>
                <w:rFonts w:ascii="Arial" w:cs="Arial" w:eastAsia="Arial" w:hAnsi="Arial"/>
                <w:sz w:val="11"/>
                <w:szCs w:val="11"/>
                <w:b w:val="1"/>
                <w:bCs w:val="1"/>
                <w:color w:val="auto"/>
                <w:w w:val="99"/>
              </w:rPr>
              <w:t>Intangible</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jc w:val="right"/>
              <w:ind w:right="228"/>
              <w:spacing w:after="0" w:line="102" w:lineRule="exact"/>
              <w:rPr>
                <w:sz w:val="20"/>
                <w:szCs w:val="20"/>
                <w:color w:val="auto"/>
              </w:rPr>
            </w:pPr>
            <w:r>
              <w:rPr>
                <w:rFonts w:ascii="Arial" w:cs="Arial" w:eastAsia="Arial" w:hAnsi="Arial"/>
                <w:sz w:val="11"/>
                <w:szCs w:val="11"/>
                <w:b w:val="1"/>
                <w:bCs w:val="1"/>
                <w:color w:val="auto"/>
              </w:rPr>
              <w:t>Intangible</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jc w:val="center"/>
              <w:ind w:right="320"/>
              <w:spacing w:after="0" w:line="102"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900" w:type="dxa"/>
            <w:vAlign w:val="bottom"/>
          </w:tcPr>
          <w:p>
            <w:pPr>
              <w:jc w:val="right"/>
              <w:ind w:right="248"/>
              <w:spacing w:after="0" w:line="102" w:lineRule="exact"/>
              <w:rPr>
                <w:sz w:val="20"/>
                <w:szCs w:val="20"/>
                <w:color w:val="auto"/>
              </w:rPr>
            </w:pPr>
            <w:r>
              <w:rPr>
                <w:rFonts w:ascii="Arial" w:cs="Arial" w:eastAsia="Arial" w:hAnsi="Arial"/>
                <w:sz w:val="11"/>
                <w:szCs w:val="11"/>
                <w:b w:val="1"/>
                <w:bCs w:val="1"/>
                <w:color w:val="auto"/>
              </w:rPr>
              <w:t>Intangible</w:t>
            </w:r>
          </w:p>
        </w:tc>
      </w:tr>
      <w:tr>
        <w:trPr>
          <w:trHeight w:val="137"/>
        </w:trPr>
        <w:tc>
          <w:tcPr>
            <w:tcW w:w="37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68"/>
              <w:spacing w:after="0"/>
              <w:rPr>
                <w:sz w:val="20"/>
                <w:szCs w:val="20"/>
                <w:color w:val="auto"/>
              </w:rPr>
            </w:pPr>
            <w:r>
              <w:rPr>
                <w:rFonts w:ascii="Arial" w:cs="Arial" w:eastAsia="Arial" w:hAnsi="Arial"/>
                <w:sz w:val="11"/>
                <w:szCs w:val="11"/>
                <w:b w:val="1"/>
                <w:bCs w:val="1"/>
                <w:color w:val="auto"/>
                <w:w w:val="96"/>
              </w:rPr>
              <w:t>assets, 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rPr>
              <w:t>amortization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8"/>
              </w:rPr>
              <w:t>assets, net</w:t>
            </w:r>
          </w:p>
        </w:tc>
        <w:tc>
          <w:tcPr>
            <w:tcW w:w="100" w:type="dxa"/>
            <w:vAlign w:val="bottom"/>
          </w:tcPr>
          <w:p>
            <w:pPr>
              <w:spacing w:after="0"/>
              <w:rPr>
                <w:sz w:val="11"/>
                <w:szCs w:val="11"/>
                <w:color w:val="auto"/>
              </w:rPr>
            </w:pPr>
          </w:p>
        </w:tc>
        <w:tc>
          <w:tcPr>
            <w:tcW w:w="920" w:type="dxa"/>
            <w:vAlign w:val="bottom"/>
          </w:tcPr>
          <w:p>
            <w:pPr>
              <w:jc w:val="right"/>
              <w:ind w:right="128"/>
              <w:spacing w:after="0"/>
              <w:rPr>
                <w:sz w:val="20"/>
                <w:szCs w:val="20"/>
                <w:color w:val="auto"/>
              </w:rPr>
            </w:pPr>
            <w:r>
              <w:rPr>
                <w:rFonts w:ascii="Arial" w:cs="Arial" w:eastAsia="Arial" w:hAnsi="Arial"/>
                <w:sz w:val="11"/>
                <w:szCs w:val="11"/>
                <w:b w:val="1"/>
                <w:bCs w:val="1"/>
                <w:color w:val="auto"/>
                <w:w w:val="99"/>
              </w:rPr>
              <w:t>assets, gross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amortization</w:t>
            </w:r>
          </w:p>
        </w:tc>
        <w:tc>
          <w:tcPr>
            <w:tcW w:w="140" w:type="dxa"/>
            <w:vAlign w:val="bottom"/>
          </w:tcPr>
          <w:p>
            <w:pPr>
              <w:spacing w:after="0"/>
              <w:rPr>
                <w:sz w:val="11"/>
                <w:szCs w:val="11"/>
                <w:color w:val="auto"/>
              </w:rPr>
            </w:pPr>
          </w:p>
        </w:tc>
        <w:tc>
          <w:tcPr>
            <w:tcW w:w="900" w:type="dxa"/>
            <w:vAlign w:val="bottom"/>
          </w:tcPr>
          <w:p>
            <w:pPr>
              <w:jc w:val="right"/>
              <w:ind w:right="228"/>
              <w:spacing w:after="0"/>
              <w:rPr>
                <w:sz w:val="20"/>
                <w:szCs w:val="20"/>
                <w:color w:val="auto"/>
              </w:rPr>
            </w:pPr>
            <w:r>
              <w:rPr>
                <w:rFonts w:ascii="Arial" w:cs="Arial" w:eastAsia="Arial" w:hAnsi="Arial"/>
                <w:sz w:val="11"/>
                <w:szCs w:val="11"/>
                <w:b w:val="1"/>
                <w:bCs w:val="1"/>
                <w:color w:val="auto"/>
              </w:rPr>
              <w:t>assets, net</w:t>
            </w:r>
          </w:p>
        </w:tc>
      </w:tr>
      <w:tr>
        <w:trPr>
          <w:trHeight w:val="179"/>
        </w:trPr>
        <w:tc>
          <w:tcPr>
            <w:tcW w:w="372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Other intangible assets:</w:t>
            </w:r>
          </w:p>
        </w:tc>
        <w:tc>
          <w:tcPr>
            <w:tcW w:w="108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r>
      <w:tr>
        <w:trPr>
          <w:trHeight w:val="188"/>
        </w:trPr>
        <w:tc>
          <w:tcPr>
            <w:tcW w:w="3720" w:type="dxa"/>
            <w:vAlign w:val="bottom"/>
          </w:tcPr>
          <w:p>
            <w:pPr>
              <w:spacing w:after="0"/>
              <w:rPr>
                <w:sz w:val="20"/>
                <w:szCs w:val="20"/>
                <w:color w:val="auto"/>
              </w:rPr>
            </w:pPr>
            <w:r>
              <w:rPr>
                <w:rFonts w:ascii="Arial" w:cs="Arial" w:eastAsia="Arial" w:hAnsi="Arial"/>
                <w:sz w:val="16"/>
                <w:szCs w:val="16"/>
                <w:color w:val="auto"/>
              </w:rPr>
              <w:t>Trade name</w:t>
            </w:r>
          </w:p>
        </w:tc>
        <w:tc>
          <w:tcPr>
            <w:tcW w:w="11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791</w:t>
            </w:r>
          </w:p>
        </w:tc>
        <w:tc>
          <w:tcPr>
            <w:tcW w:w="28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791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8"/>
              <w:spacing w:after="0"/>
              <w:rPr>
                <w:sz w:val="20"/>
                <w:szCs w:val="20"/>
                <w:color w:val="auto"/>
              </w:rPr>
            </w:pPr>
            <w:r>
              <w:rPr>
                <w:rFonts w:ascii="Arial" w:cs="Arial" w:eastAsia="Arial" w:hAnsi="Arial"/>
                <w:sz w:val="16"/>
                <w:szCs w:val="16"/>
                <w:color w:val="auto"/>
              </w:rPr>
              <w:t>790</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790</w:t>
            </w:r>
          </w:p>
        </w:tc>
      </w:tr>
      <w:tr>
        <w:trPr>
          <w:trHeight w:val="188"/>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In process research and development</w:t>
            </w: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50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w:t>
            </w:r>
          </w:p>
        </w:tc>
      </w:tr>
      <w:tr>
        <w:trPr>
          <w:trHeight w:val="188"/>
        </w:trPr>
        <w:tc>
          <w:tcPr>
            <w:tcW w:w="3720" w:type="dxa"/>
            <w:vAlign w:val="bottom"/>
          </w:tcPr>
          <w:p>
            <w:pPr>
              <w:spacing w:after="0"/>
              <w:rPr>
                <w:sz w:val="20"/>
                <w:szCs w:val="20"/>
                <w:color w:val="auto"/>
              </w:rPr>
            </w:pPr>
            <w:r>
              <w:rPr>
                <w:rFonts w:ascii="Arial" w:cs="Arial" w:eastAsia="Arial" w:hAnsi="Arial"/>
                <w:sz w:val="16"/>
                <w:szCs w:val="16"/>
                <w:color w:val="auto"/>
              </w:rPr>
              <w:t>Customer relationships — commercial</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839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(653)</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48"/>
              <w:spacing w:after="0"/>
              <w:rPr>
                <w:sz w:val="20"/>
                <w:szCs w:val="20"/>
                <w:color w:val="auto"/>
              </w:rPr>
            </w:pPr>
            <w:r>
              <w:rPr>
                <w:rFonts w:ascii="Arial" w:cs="Arial" w:eastAsia="Arial" w:hAnsi="Arial"/>
                <w:sz w:val="16"/>
                <w:szCs w:val="16"/>
                <w:b w:val="1"/>
                <w:bCs w:val="1"/>
                <w:color w:val="auto"/>
              </w:rPr>
              <w:t>186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6"/>
                <w:szCs w:val="16"/>
                <w:color w:val="auto"/>
              </w:rPr>
              <w:t>832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213</w:t>
            </w:r>
          </w:p>
        </w:tc>
      </w:tr>
      <w:tr>
        <w:trPr>
          <w:trHeight w:val="188"/>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Proprietary technology</w:t>
            </w: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479</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(463)</w:t>
            </w:r>
          </w:p>
        </w:tc>
        <w:tc>
          <w:tcPr>
            <w:tcW w:w="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48"/>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(434)</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42</w:t>
            </w:r>
          </w:p>
        </w:tc>
      </w:tr>
      <w:tr>
        <w:trPr>
          <w:trHeight w:val="188"/>
        </w:trPr>
        <w:tc>
          <w:tcPr>
            <w:tcW w:w="3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Customer relationships — defense</w:t>
            </w:r>
          </w:p>
        </w:tc>
        <w:tc>
          <w:tcPr>
            <w:tcW w:w="108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80" w:type="dxa"/>
            <w:vAlign w:val="bottom"/>
            <w:tcBorders>
              <w:bottom w:val="single" w:sz="8" w:color="CFF0FC"/>
            </w:tcBorders>
          </w:tcPr>
          <w:p>
            <w:pPr>
              <w:spacing w:after="0"/>
              <w:rPr>
                <w:sz w:val="16"/>
                <w:szCs w:val="16"/>
                <w:color w:val="auto"/>
              </w:rPr>
            </w:pPr>
          </w:p>
        </w:tc>
        <w:tc>
          <w:tcPr>
            <w:tcW w:w="4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FF0FC"/>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color w:val="auto"/>
              </w:rPr>
              <w:t>21</w:t>
            </w:r>
          </w:p>
        </w:tc>
      </w:tr>
      <w:tr>
        <w:trPr>
          <w:trHeight w:val="179"/>
        </w:trPr>
        <w:tc>
          <w:tcPr>
            <w:tcW w:w="372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2,221</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(1,160)</w:t>
            </w:r>
          </w:p>
        </w:tc>
        <w:tc>
          <w:tcPr>
            <w:tcW w:w="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1,061</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ind w:right="28"/>
              <w:spacing w:after="0" w:line="180" w:lineRule="exact"/>
              <w:rPr>
                <w:sz w:val="20"/>
                <w:szCs w:val="20"/>
                <w:color w:val="auto"/>
              </w:rPr>
            </w:pPr>
            <w:r>
              <w:rPr>
                <w:rFonts w:ascii="Arial" w:cs="Arial" w:eastAsia="Arial" w:hAnsi="Arial"/>
                <w:sz w:val="16"/>
                <w:szCs w:val="16"/>
                <w:color w:val="auto"/>
              </w:rPr>
              <w:t>2,160</w:t>
            </w:r>
          </w:p>
        </w:tc>
        <w:tc>
          <w:tcPr>
            <w:tcW w:w="220" w:type="dxa"/>
            <w:vAlign w:val="bottom"/>
            <w:gridSpan w:val="2"/>
            <w:shd w:val="clear" w:color="auto" w:fill="CFF0FC"/>
          </w:tcPr>
          <w:p>
            <w:pPr>
              <w:jc w:val="right"/>
              <w:ind w:right="20"/>
              <w:spacing w:after="0" w:line="180"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(1,094)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color w:val="auto"/>
              </w:rPr>
              <w:t>1,066</w:t>
            </w:r>
          </w:p>
        </w:tc>
      </w:tr>
      <w:tr>
        <w:trPr>
          <w:trHeight w:val="20"/>
        </w:trPr>
        <w:tc>
          <w:tcPr>
            <w:tcW w:w="372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right="40" w:firstLine="537"/>
        <w:spacing w:after="0" w:line="237" w:lineRule="auto"/>
        <w:rPr>
          <w:sz w:val="20"/>
          <w:szCs w:val="20"/>
          <w:color w:val="auto"/>
        </w:rPr>
      </w:pPr>
      <w:r>
        <w:rPr>
          <w:rFonts w:ascii="Arial" w:cs="Arial" w:eastAsia="Arial" w:hAnsi="Arial"/>
          <w:sz w:val="16"/>
          <w:szCs w:val="16"/>
          <w:color w:val="auto"/>
        </w:rPr>
        <w:t>As of September 30, 2019 and December 31, 2018, the net carrying value of the Company’s Goodwill and other intangible assets, net was $3,101 million and $3,007 million, respectively. See NOTE T, "Acquisitions" for details on the increase in the Company's Goodwill and other intangible assets, gross.</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Amortization expense related to other intangible assets for the next five fiscal years is expected to be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3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07"/>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2022</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3"/>
                <w:szCs w:val="13"/>
                <w:b w:val="1"/>
                <w:bCs w:val="1"/>
                <w:color w:val="auto"/>
              </w:rPr>
              <w:t>2023</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2024</w:t>
            </w:r>
          </w:p>
        </w:tc>
      </w:tr>
      <w:tr>
        <w:trPr>
          <w:trHeight w:val="179"/>
        </w:trPr>
        <w:tc>
          <w:tcPr>
            <w:tcW w:w="53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expense</w:t>
            </w:r>
          </w:p>
        </w:tc>
        <w:tc>
          <w:tcPr>
            <w:tcW w:w="2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45</w:t>
            </w:r>
          </w:p>
        </w:tc>
        <w:tc>
          <w:tcPr>
            <w:tcW w:w="34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43</w:t>
            </w:r>
          </w:p>
        </w:tc>
        <w:tc>
          <w:tcPr>
            <w:tcW w:w="360" w:type="dxa"/>
            <w:vAlign w:val="bottom"/>
            <w:gridSpan w:val="2"/>
            <w:shd w:val="clear" w:color="auto" w:fill="CFF0FC"/>
          </w:tcPr>
          <w:p>
            <w:pPr>
              <w:jc w:val="right"/>
              <w:ind w:right="140"/>
              <w:spacing w:after="0" w:line="180" w:lineRule="exact"/>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color w:val="auto"/>
              </w:rPr>
              <w:t>8</w:t>
            </w:r>
          </w:p>
        </w:tc>
      </w:tr>
      <w:tr>
        <w:trPr>
          <w:trHeight w:val="20"/>
        </w:trPr>
        <w:tc>
          <w:tcPr>
            <w:tcW w:w="53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61"/>
        </w:trPr>
        <w:tc>
          <w:tcPr>
            <w:tcW w:w="5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567"/>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87"/>
        </w:trPr>
        <w:tc>
          <w:tcPr>
            <w:tcW w:w="53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F. FAIR VALUE OF FINANCIAL INSTRUMENTS</w:t>
      </w:r>
    </w:p>
    <w:p>
      <w:pPr>
        <w:spacing w:after="0" w:line="106" w:lineRule="exact"/>
        <w:rPr>
          <w:sz w:val="20"/>
          <w:szCs w:val="20"/>
          <w:color w:val="auto"/>
        </w:rPr>
      </w:pPr>
    </w:p>
    <w:p>
      <w:pPr>
        <w:ind w:firstLine="537"/>
        <w:spacing w:after="0" w:line="231"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84" w:lineRule="exact"/>
        <w:rPr>
          <w:sz w:val="20"/>
          <w:szCs w:val="20"/>
          <w:color w:val="auto"/>
        </w:rPr>
      </w:pPr>
    </w:p>
    <w:p>
      <w:pPr>
        <w:ind w:right="60" w:firstLine="537"/>
        <w:spacing w:after="0" w:line="234" w:lineRule="auto"/>
        <w:rPr>
          <w:sz w:val="20"/>
          <w:szCs w:val="20"/>
          <w:color w:val="auto"/>
        </w:rPr>
      </w:pPr>
      <w:r>
        <w:rPr>
          <w:rFonts w:ascii="Arial" w:cs="Arial" w:eastAsia="Arial" w:hAnsi="Arial"/>
          <w:sz w:val="16"/>
          <w:szCs w:val="16"/>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84" w:lineRule="exact"/>
        <w:rPr>
          <w:sz w:val="20"/>
          <w:szCs w:val="20"/>
          <w:color w:val="auto"/>
        </w:rPr>
      </w:pPr>
    </w:p>
    <w:p>
      <w:pPr>
        <w:ind w:right="20" w:firstLine="537"/>
        <w:spacing w:after="0" w:line="232"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83" w:lineRule="exact"/>
        <w:rPr>
          <w:sz w:val="20"/>
          <w:szCs w:val="20"/>
          <w:color w:val="auto"/>
        </w:rPr>
      </w:pPr>
    </w:p>
    <w:p>
      <w:pPr>
        <w:ind w:right="160" w:firstLine="537"/>
        <w:spacing w:after="0" w:line="233"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2019 and December 31, 2018, the Company did not have any Level 3 financial assets or liabilities.</w:t>
      </w:r>
    </w:p>
    <w:p>
      <w:pPr>
        <w:spacing w:after="0" w:line="83" w:lineRule="exact"/>
        <w:rPr>
          <w:sz w:val="20"/>
          <w:szCs w:val="20"/>
          <w:color w:val="auto"/>
        </w:rPr>
      </w:pPr>
    </w:p>
    <w:p>
      <w:pPr>
        <w:ind w:right="20" w:firstLine="537"/>
        <w:spacing w:after="0" w:line="233" w:lineRule="auto"/>
        <w:rPr>
          <w:sz w:val="20"/>
          <w:szCs w:val="20"/>
          <w:color w:val="auto"/>
        </w:rPr>
      </w:pPr>
      <w:r>
        <w:rPr>
          <w:rFonts w:ascii="Arial" w:cs="Arial" w:eastAsia="Arial" w:hAnsi="Arial"/>
          <w:sz w:val="16"/>
          <w:szCs w:val="16"/>
          <w:color w:val="auto"/>
        </w:rPr>
        <w:t>The Company’s assets and liabilities that are measured at fair value include cash equivalents, derivative instruments, assets held in a rabbi trust and a deferred compensation obligation. The Company’s cash equivalents consist of short-term U.S. government backed securities. The Company’s derivative instruments consist of interest rate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83" w:lineRule="exact"/>
        <w:rPr>
          <w:sz w:val="20"/>
          <w:szCs w:val="20"/>
          <w:color w:val="auto"/>
        </w:rPr>
      </w:pPr>
    </w:p>
    <w:p>
      <w:pPr>
        <w:ind w:right="240" w:firstLine="537"/>
        <w:spacing w:after="0" w:line="233" w:lineRule="auto"/>
        <w:rPr>
          <w:sz w:val="20"/>
          <w:szCs w:val="20"/>
          <w:color w:val="auto"/>
        </w:rPr>
      </w:pPr>
      <w:r>
        <w:rPr>
          <w:rFonts w:ascii="Arial" w:cs="Arial" w:eastAsia="Arial" w:hAnsi="Arial"/>
          <w:sz w:val="16"/>
          <w:szCs w:val="16"/>
          <w:color w:val="auto"/>
        </w:rPr>
        <w:t>The Company’s valuation techniques used to calculate the fair value of cash and cash equivalents,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83" w:lineRule="exact"/>
        <w:rPr>
          <w:sz w:val="20"/>
          <w:szCs w:val="20"/>
          <w:color w:val="auto"/>
        </w:rPr>
      </w:pPr>
    </w:p>
    <w:p>
      <w:pPr>
        <w:jc w:val="both"/>
        <w:ind w:right="220" w:firstLine="537"/>
        <w:spacing w:after="0" w:line="234" w:lineRule="auto"/>
        <w:rPr>
          <w:sz w:val="20"/>
          <w:szCs w:val="20"/>
          <w:color w:val="auto"/>
        </w:rPr>
      </w:pPr>
      <w:r>
        <w:rPr>
          <w:rFonts w:ascii="Arial" w:cs="Arial" w:eastAsia="Arial" w:hAnsi="Arial"/>
          <w:sz w:val="16"/>
          <w:szCs w:val="16"/>
          <w:color w:val="auto"/>
        </w:rPr>
        <w:t>The Company uses valuations from the issuing financial institutions for the fair value measurement of interest rate swaps. The floating-to-fixed interest rate swaps are based on the London Interbank Offered Rate (“LIBOR”) which is observable at commonly quoted intervals. The fair values are included in other current and non-current assets and liabilities in the Condensed Consolidated Balance Sheets.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6" w:lineRule="exact"/>
        <w:rPr>
          <w:sz w:val="20"/>
          <w:szCs w:val="20"/>
          <w:color w:val="auto"/>
        </w:rPr>
      </w:pPr>
    </w:p>
    <w:p>
      <w:pPr>
        <w:ind w:right="80" w:firstLine="537"/>
        <w:spacing w:after="0" w:line="237" w:lineRule="auto"/>
        <w:rPr>
          <w:sz w:val="20"/>
          <w:szCs w:val="20"/>
          <w:color w:val="auto"/>
        </w:rPr>
      </w:pPr>
      <w:r>
        <w:rPr>
          <w:rFonts w:ascii="Arial" w:cs="Arial" w:eastAsia="Arial" w:hAnsi="Arial"/>
          <w:sz w:val="16"/>
          <w:szCs w:val="16"/>
          <w:color w:val="auto"/>
        </w:rPr>
        <w:t>The following table summarizes the fair value of the Company’s financial assets and (liabilities) as of September 30, 2019 and December 31, 2018 (dollars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3"/>
                <w:szCs w:val="13"/>
                <w:b w:val="1"/>
                <w:bCs w:val="1"/>
                <w:color w:val="auto"/>
              </w:rPr>
              <w:t>Fair Value Measurements Using</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gridSpan w:val="4"/>
          </w:tcPr>
          <w:p>
            <w:pPr>
              <w:jc w:val="center"/>
              <w:ind w:right="206"/>
              <w:spacing w:after="0" w:line="133" w:lineRule="exact"/>
              <w:rPr>
                <w:sz w:val="20"/>
                <w:szCs w:val="20"/>
                <w:color w:val="auto"/>
              </w:rPr>
            </w:pPr>
            <w:r>
              <w:rPr>
                <w:rFonts w:ascii="Arial" w:cs="Arial" w:eastAsia="Arial" w:hAnsi="Arial"/>
                <w:sz w:val="13"/>
                <w:szCs w:val="13"/>
                <w:b w:val="1"/>
                <w:bCs w:val="1"/>
                <w:color w:val="auto"/>
                <w:w w:val="95"/>
              </w:rPr>
              <w:t>Quoted Prices in Active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00" w:type="dxa"/>
            <w:vAlign w:val="bottom"/>
            <w:gridSpan w:val="4"/>
          </w:tcPr>
          <w:p>
            <w:pPr>
              <w:jc w:val="center"/>
              <w:spacing w:after="0" w:line="133" w:lineRule="exact"/>
              <w:rPr>
                <w:sz w:val="20"/>
                <w:szCs w:val="20"/>
                <w:color w:val="auto"/>
              </w:rPr>
            </w:pPr>
            <w:r>
              <w:rPr>
                <w:rFonts w:ascii="Arial" w:cs="Arial" w:eastAsia="Arial" w:hAnsi="Arial"/>
                <w:sz w:val="13"/>
                <w:szCs w:val="13"/>
                <w:b w:val="1"/>
                <w:bCs w:val="1"/>
                <w:color w:val="auto"/>
                <w:w w:val="95"/>
              </w:rPr>
              <w:t>Significant Other</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60" w:type="dxa"/>
            <w:vAlign w:val="bottom"/>
            <w:gridSpan w:val="4"/>
          </w:tcPr>
          <w:p>
            <w:pPr>
              <w:jc w:val="center"/>
              <w:ind w:right="186"/>
              <w:spacing w:after="0" w:line="141" w:lineRule="exact"/>
              <w:rPr>
                <w:sz w:val="20"/>
                <w:szCs w:val="20"/>
                <w:color w:val="auto"/>
              </w:rPr>
            </w:pPr>
            <w:r>
              <w:rPr>
                <w:rFonts w:ascii="Arial" w:cs="Arial" w:eastAsia="Arial" w:hAnsi="Arial"/>
                <w:sz w:val="13"/>
                <w:szCs w:val="13"/>
                <w:b w:val="1"/>
                <w:bCs w:val="1"/>
                <w:color w:val="auto"/>
                <w:w w:val="96"/>
              </w:rPr>
              <w:t>Markets for Identical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gridSpan w:val="4"/>
          </w:tcPr>
          <w:p>
            <w:pPr>
              <w:jc w:val="center"/>
              <w:spacing w:after="0" w:line="141" w:lineRule="exact"/>
              <w:rPr>
                <w:sz w:val="20"/>
                <w:szCs w:val="20"/>
                <w:color w:val="auto"/>
              </w:rPr>
            </w:pPr>
            <w:r>
              <w:rPr>
                <w:rFonts w:ascii="Arial" w:cs="Arial" w:eastAsia="Arial" w:hAnsi="Arial"/>
                <w:sz w:val="13"/>
                <w:szCs w:val="13"/>
                <w:b w:val="1"/>
                <w:bCs w:val="1"/>
                <w:color w:val="auto"/>
                <w:w w:val="95"/>
              </w:rPr>
              <w:t>Observable Inputs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0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4"/>
          </w:tcPr>
          <w:p>
            <w:pPr>
              <w:jc w:val="center"/>
              <w:ind w:right="186"/>
              <w:spacing w:after="0"/>
              <w:rPr>
                <w:sz w:val="20"/>
                <w:szCs w:val="20"/>
                <w:color w:val="auto"/>
              </w:rPr>
            </w:pPr>
            <w:r>
              <w:rPr>
                <w:rFonts w:ascii="Arial" w:cs="Arial" w:eastAsia="Arial" w:hAnsi="Arial"/>
                <w:sz w:val="13"/>
                <w:szCs w:val="13"/>
                <w:b w:val="1"/>
                <w:bCs w:val="1"/>
                <w:color w:val="auto"/>
                <w:w w:val="94"/>
              </w:rPr>
              <w:t>Assets (Level 1)</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8"/>
              </w:rPr>
              <w:t>(Level 2)</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TOTAL</w:t>
            </w: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40"/>
              <w:spacing w:after="0" w:line="133"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1"/>
                <w:szCs w:val="11"/>
                <w:color w:val="auto"/>
              </w:rPr>
            </w:pPr>
          </w:p>
        </w:tc>
        <w:tc>
          <w:tcPr>
            <w:tcW w:w="1140" w:type="dxa"/>
            <w:vAlign w:val="bottom"/>
          </w:tcPr>
          <w:p>
            <w:pPr>
              <w:jc w:val="right"/>
              <w:ind w:right="206"/>
              <w:spacing w:after="0" w:line="133"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ind w:left="40"/>
              <w:spacing w:after="0" w:line="133" w:lineRule="exact"/>
              <w:rPr>
                <w:sz w:val="20"/>
                <w:szCs w:val="20"/>
                <w:color w:val="auto"/>
              </w:rPr>
            </w:pPr>
            <w:r>
              <w:rPr>
                <w:rFonts w:ascii="Arial" w:cs="Arial" w:eastAsia="Arial" w:hAnsi="Arial"/>
                <w:sz w:val="13"/>
                <w:szCs w:val="13"/>
                <w:b w:val="1"/>
                <w:bCs w:val="1"/>
                <w:color w:val="auto"/>
              </w:rPr>
              <w:t>September 30,</w:t>
            </w:r>
          </w:p>
        </w:tc>
        <w:tc>
          <w:tcPr>
            <w:tcW w:w="1000" w:type="dxa"/>
            <w:vAlign w:val="bottom"/>
            <w:gridSpan w:val="2"/>
          </w:tcPr>
          <w:p>
            <w:pPr>
              <w:jc w:val="right"/>
              <w:spacing w:after="0" w:line="133"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3"/>
          </w:tcPr>
          <w:p>
            <w:pPr>
              <w:jc w:val="right"/>
              <w:ind w:right="237"/>
              <w:spacing w:after="0" w:line="133"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245"/>
              <w:spacing w:after="0" w:line="133"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3"/>
        </w:trPr>
        <w:tc>
          <w:tcPr>
            <w:tcW w:w="30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86"/>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3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2"/>
          </w:tcPr>
          <w:p>
            <w:pPr>
              <w:jc w:val="right"/>
              <w:ind w:right="211"/>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9"/>
        </w:trPr>
        <w:tc>
          <w:tcPr>
            <w:tcW w:w="30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equivalents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08"/>
              <w:spacing w:after="0" w:line="180" w:lineRule="exact"/>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w w:val="87"/>
              </w:rPr>
              <w:t>—</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30"/>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FF0FC"/>
          </w:tcPr>
          <w:p>
            <w:pPr>
              <w:jc w:val="right"/>
              <w:ind w:right="57"/>
              <w:spacing w:after="0" w:line="180" w:lineRule="exact"/>
              <w:rPr>
                <w:sz w:val="20"/>
                <w:szCs w:val="20"/>
                <w:color w:val="auto"/>
              </w:rPr>
            </w:pPr>
            <w:r>
              <w:rPr>
                <w:rFonts w:ascii="Arial" w:cs="Arial" w:eastAsia="Arial" w:hAnsi="Arial"/>
                <w:sz w:val="16"/>
                <w:szCs w:val="16"/>
                <w:b w:val="1"/>
                <w:bCs w:val="1"/>
                <w:color w:val="auto"/>
              </w:rPr>
              <w:t>10</w:t>
            </w:r>
          </w:p>
        </w:tc>
        <w:tc>
          <w:tcPr>
            <w:tcW w:w="240" w:type="dxa"/>
            <w:vAlign w:val="bottom"/>
            <w:gridSpan w:val="2"/>
            <w:shd w:val="clear" w:color="auto" w:fill="CFF0FC"/>
          </w:tcPr>
          <w:p>
            <w:pPr>
              <w:ind w:left="120"/>
              <w:spacing w:after="0" w:line="18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8"/>
        </w:trPr>
        <w:tc>
          <w:tcPr>
            <w:tcW w:w="3060" w:type="dxa"/>
            <w:vAlign w:val="bottom"/>
          </w:tcPr>
          <w:p>
            <w:pPr>
              <w:spacing w:after="0"/>
              <w:rPr>
                <w:sz w:val="20"/>
                <w:szCs w:val="20"/>
                <w:color w:val="auto"/>
              </w:rPr>
            </w:pPr>
            <w:r>
              <w:rPr>
                <w:rFonts w:ascii="Arial" w:cs="Arial" w:eastAsia="Arial" w:hAnsi="Arial"/>
                <w:sz w:val="16"/>
                <w:szCs w:val="16"/>
                <w:color w:val="auto"/>
              </w:rPr>
              <w:t>Rabbi trust assets</w:t>
            </w:r>
          </w:p>
        </w:tc>
        <w:tc>
          <w:tcPr>
            <w:tcW w:w="140" w:type="dxa"/>
            <w:vAlign w:val="bottom"/>
          </w:tcPr>
          <w:p>
            <w:pPr>
              <w:spacing w:after="0"/>
              <w:rPr>
                <w:sz w:val="16"/>
                <w:szCs w:val="16"/>
                <w:color w:val="auto"/>
              </w:rPr>
            </w:pPr>
          </w:p>
        </w:tc>
        <w:tc>
          <w:tcPr>
            <w:tcW w:w="1200" w:type="dxa"/>
            <w:vAlign w:val="bottom"/>
          </w:tcPr>
          <w:p>
            <w:pPr>
              <w:jc w:val="right"/>
              <w:ind w:right="50"/>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46"/>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 w:type="dxa"/>
            <w:vAlign w:val="bottom"/>
            <w:gridSpan w:val="2"/>
          </w:tcPr>
          <w:p>
            <w:pPr>
              <w:jc w:val="right"/>
              <w:ind w:right="57"/>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Deferred compensation obligation</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3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Derivative liabilities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(41)</w:t>
            </w:r>
          </w:p>
        </w:tc>
        <w:tc>
          <w:tcPr>
            <w:tcW w:w="120" w:type="dxa"/>
            <w:vAlign w:val="bottom"/>
            <w:tcBorders>
              <w:bottom w:val="single" w:sz="8" w:color="CFF0FC"/>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9"/>
        </w:trPr>
        <w:tc>
          <w:tcPr>
            <w:tcW w:w="30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(41)</w:t>
            </w: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08"/>
              <w:spacing w:after="0" w:line="180" w:lineRule="exact"/>
              <w:rPr>
                <w:sz w:val="20"/>
                <w:szCs w:val="20"/>
                <w:color w:val="auto"/>
              </w:rPr>
            </w:pPr>
            <w:r>
              <w:rPr>
                <w:rFonts w:ascii="Arial" w:cs="Arial" w:eastAsia="Arial" w:hAnsi="Arial"/>
                <w:sz w:val="16"/>
                <w:szCs w:val="16"/>
                <w:color w:val="auto"/>
                <w:w w:val="89"/>
              </w:rPr>
              <w:t>$</w:t>
            </w: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(9)</w:t>
            </w: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30"/>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(31)</w:t>
            </w:r>
          </w:p>
        </w:tc>
        <w:tc>
          <w:tcPr>
            <w:tcW w:w="240" w:type="dxa"/>
            <w:vAlign w:val="bottom"/>
            <w:gridSpan w:val="2"/>
            <w:shd w:val="clear" w:color="auto" w:fill="CFF0FC"/>
          </w:tcPr>
          <w:p>
            <w:pPr>
              <w:ind w:left="120"/>
              <w:spacing w:after="0" w:line="18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3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NOTE G. 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3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60" w:type="dxa"/>
            <w:vAlign w:val="bottom"/>
            <w:gridSpan w:val="6"/>
          </w:tcPr>
          <w:p>
            <w:pPr>
              <w:ind w:left="540"/>
              <w:spacing w:after="0"/>
              <w:rPr>
                <w:sz w:val="20"/>
                <w:szCs w:val="20"/>
                <w:color w:val="auto"/>
              </w:rPr>
            </w:pPr>
            <w:r>
              <w:rPr>
                <w:rFonts w:ascii="Arial" w:cs="Arial" w:eastAsia="Arial" w:hAnsi="Arial"/>
                <w:sz w:val="16"/>
                <w:szCs w:val="16"/>
                <w:color w:val="auto"/>
              </w:rPr>
              <w:t>Long-term debt and maturities are as follows (dollars in millions):</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1"/>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gridSpan w:val="5"/>
          </w:tcPr>
          <w:p>
            <w:pPr>
              <w:jc w:val="right"/>
              <w:ind w:right="410"/>
              <w:spacing w:after="0"/>
              <w:rPr>
                <w:sz w:val="20"/>
                <w:szCs w:val="20"/>
                <w:color w:val="auto"/>
              </w:rPr>
            </w:pPr>
            <w:r>
              <w:rPr>
                <w:rFonts w:ascii="Arial" w:cs="Arial" w:eastAsia="Arial" w:hAnsi="Arial"/>
                <w:sz w:val="13"/>
                <w:szCs w:val="13"/>
                <w:b w:val="1"/>
                <w:bCs w:val="1"/>
                <w:color w:val="auto"/>
              </w:rPr>
              <w:t>September 30,</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3"/>
          </w:tcPr>
          <w:p>
            <w:pPr>
              <w:ind w:left="100"/>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30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5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3"/>
                <w:szCs w:val="13"/>
                <w:b w:val="1"/>
                <w:bCs w:val="1"/>
                <w:color w:val="auto"/>
                <w:w w:val="89"/>
              </w:rPr>
              <w:t>2019</w:t>
            </w: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05"/>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9"/>
        </w:trPr>
        <w:tc>
          <w:tcPr>
            <w:tcW w:w="30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Long-term debt:</w:t>
            </w: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00" w:type="dxa"/>
            <w:vAlign w:val="bottom"/>
            <w:gridSpan w:val="4"/>
          </w:tcPr>
          <w:p>
            <w:pPr>
              <w:spacing w:after="0"/>
              <w:rPr>
                <w:sz w:val="20"/>
                <w:szCs w:val="20"/>
                <w:color w:val="auto"/>
              </w:rPr>
            </w:pPr>
            <w:r>
              <w:rPr>
                <w:rFonts w:ascii="Arial" w:cs="Arial" w:eastAsia="Arial" w:hAnsi="Arial"/>
                <w:sz w:val="16"/>
                <w:szCs w:val="16"/>
                <w:color w:val="auto"/>
              </w:rPr>
              <w:t>Senior Secured Credit Facility Term Loan, variable, due 2022</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7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50"/>
              <w:spacing w:after="0"/>
              <w:rPr>
                <w:sz w:val="20"/>
                <w:szCs w:val="20"/>
                <w:color w:val="auto"/>
              </w:rPr>
            </w:pPr>
            <w:r>
              <w:rPr>
                <w:rFonts w:ascii="Arial" w:cs="Arial" w:eastAsia="Arial" w:hAnsi="Arial"/>
                <w:sz w:val="16"/>
                <w:szCs w:val="16"/>
                <w:b w:val="1"/>
                <w:bCs w:val="1"/>
                <w:color w:val="auto"/>
              </w:rPr>
              <w:t>—</w:t>
            </w:r>
          </w:p>
        </w:tc>
        <w:tc>
          <w:tcPr>
            <w:tcW w:w="460" w:type="dxa"/>
            <w:vAlign w:val="bottom"/>
            <w:gridSpan w:val="2"/>
          </w:tcPr>
          <w:p>
            <w:pPr>
              <w:jc w:val="right"/>
              <w:ind w:right="137"/>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6"/>
                <w:szCs w:val="16"/>
                <w:color w:val="auto"/>
              </w:rPr>
              <w:t>1,148</w:t>
            </w:r>
          </w:p>
        </w:tc>
        <w:tc>
          <w:tcPr>
            <w:tcW w:w="0" w:type="dxa"/>
            <w:vAlign w:val="bottom"/>
          </w:tcPr>
          <w:p>
            <w:pPr>
              <w:spacing w:after="0"/>
              <w:rPr>
                <w:sz w:val="1"/>
                <w:szCs w:val="1"/>
                <w:color w:val="auto"/>
              </w:rPr>
            </w:pPr>
          </w:p>
        </w:tc>
      </w:tr>
      <w:tr>
        <w:trPr>
          <w:trHeight w:val="18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5.0%, due 2024</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3"/>
            <w:shd w:val="clear" w:color="auto" w:fill="CFF0FC"/>
          </w:tcPr>
          <w:p>
            <w:pPr>
              <w:jc w:val="right"/>
              <w:ind w:right="50"/>
              <w:spacing w:after="0"/>
              <w:rPr>
                <w:sz w:val="20"/>
                <w:szCs w:val="20"/>
                <w:color w:val="auto"/>
              </w:rPr>
            </w:pPr>
            <w:r>
              <w:rPr>
                <w:rFonts w:ascii="Arial" w:cs="Arial" w:eastAsia="Arial" w:hAnsi="Arial"/>
                <w:sz w:val="16"/>
                <w:szCs w:val="16"/>
                <w:b w:val="1"/>
                <w:bCs w:val="1"/>
                <w:color w:val="auto"/>
              </w:rPr>
              <w:t>1,000</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88"/>
        </w:trPr>
        <w:tc>
          <w:tcPr>
            <w:tcW w:w="4500" w:type="dxa"/>
            <w:vAlign w:val="bottom"/>
            <w:gridSpan w:val="4"/>
          </w:tcPr>
          <w:p>
            <w:pPr>
              <w:spacing w:after="0"/>
              <w:rPr>
                <w:sz w:val="20"/>
                <w:szCs w:val="20"/>
                <w:color w:val="auto"/>
              </w:rPr>
            </w:pPr>
            <w:r>
              <w:rPr>
                <w:rFonts w:ascii="Arial" w:cs="Arial" w:eastAsia="Arial" w:hAnsi="Arial"/>
                <w:sz w:val="16"/>
                <w:szCs w:val="16"/>
                <w:color w:val="auto"/>
              </w:rPr>
              <w:t>Senior Secured Credit Facility Term Loan, variable, due 2026</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646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Senior Notes, fixed 4.75%, due 2027</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3"/>
            <w:shd w:val="clear" w:color="auto" w:fill="CFF0FC"/>
          </w:tcPr>
          <w:p>
            <w:pPr>
              <w:jc w:val="right"/>
              <w:ind w:right="50"/>
              <w:spacing w:after="0"/>
              <w:rPr>
                <w:sz w:val="20"/>
                <w:szCs w:val="20"/>
                <w:color w:val="auto"/>
              </w:rPr>
            </w:pPr>
            <w:r>
              <w:rPr>
                <w:rFonts w:ascii="Arial" w:cs="Arial" w:eastAsia="Arial" w:hAnsi="Arial"/>
                <w:sz w:val="16"/>
                <w:szCs w:val="16"/>
                <w:b w:val="1"/>
                <w:bCs w:val="1"/>
                <w:color w:val="auto"/>
              </w:rPr>
              <w:t>400</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188"/>
        </w:trPr>
        <w:tc>
          <w:tcPr>
            <w:tcW w:w="3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Senior Notes, fixed 5.875%, due 2029</w:t>
            </w:r>
          </w:p>
        </w:tc>
        <w:tc>
          <w:tcPr>
            <w:tcW w:w="140" w:type="dxa"/>
            <w:vAlign w:val="bottom"/>
            <w:tcBorders>
              <w:bottom w:val="single" w:sz="8" w:color="CFF0FC"/>
            </w:tcBorders>
          </w:tcPr>
          <w:p>
            <w:pPr>
              <w:spacing w:after="0"/>
              <w:rPr>
                <w:sz w:val="16"/>
                <w:szCs w:val="16"/>
                <w:color w:val="auto"/>
              </w:rPr>
            </w:pPr>
          </w:p>
        </w:tc>
        <w:tc>
          <w:tcPr>
            <w:tcW w:w="12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114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140" w:type="dxa"/>
            <w:vAlign w:val="bottom"/>
            <w:tcBorders>
              <w:bottom w:val="single" w:sz="8" w:color="CFF0FC"/>
            </w:tcBorders>
          </w:tcPr>
          <w:p>
            <w:pPr>
              <w:spacing w:after="0"/>
              <w:rPr>
                <w:sz w:val="16"/>
                <w:szCs w:val="16"/>
                <w:color w:val="auto"/>
              </w:rPr>
            </w:pPr>
          </w:p>
        </w:tc>
        <w:tc>
          <w:tcPr>
            <w:tcW w:w="1200" w:type="dxa"/>
            <w:vAlign w:val="bottom"/>
            <w:tcBorders>
              <w:bottom w:val="single" w:sz="8" w:color="CFF0FC"/>
            </w:tcBorders>
          </w:tcPr>
          <w:p>
            <w:pPr>
              <w:spacing w:after="0"/>
              <w:rPr>
                <w:sz w:val="16"/>
                <w:szCs w:val="16"/>
                <w:color w:val="auto"/>
              </w:rPr>
            </w:pPr>
          </w:p>
        </w:tc>
        <w:tc>
          <w:tcPr>
            <w:tcW w:w="100" w:type="dxa"/>
            <w:vAlign w:val="bottom"/>
            <w:tcBorders>
              <w:bottom w:val="single" w:sz="8" w:color="CFF0FC"/>
            </w:tcBorders>
          </w:tcPr>
          <w:p>
            <w:pPr>
              <w:spacing w:after="0"/>
              <w:rPr>
                <w:sz w:val="16"/>
                <w:szCs w:val="16"/>
                <w:color w:val="auto"/>
              </w:rPr>
            </w:pPr>
          </w:p>
        </w:tc>
        <w:tc>
          <w:tcPr>
            <w:tcW w:w="580" w:type="dxa"/>
            <w:vAlign w:val="bottom"/>
            <w:tcBorders>
              <w:bottom w:val="single" w:sz="8" w:color="CFF0FC"/>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6"/>
                <w:szCs w:val="16"/>
                <w:b w:val="1"/>
                <w:bCs w:val="1"/>
                <w:color w:val="auto"/>
              </w:rPr>
              <w:t>500</w:t>
            </w:r>
          </w:p>
        </w:tc>
        <w:tc>
          <w:tcPr>
            <w:tcW w:w="18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306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long-term debt</w:t>
            </w: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71"/>
              <w:spacing w:after="0"/>
              <w:rPr>
                <w:sz w:val="20"/>
                <w:szCs w:val="20"/>
                <w:color w:val="auto"/>
              </w:rPr>
            </w:pPr>
            <w:r>
              <w:rPr>
                <w:rFonts w:ascii="Arial" w:cs="Arial" w:eastAsia="Arial" w:hAnsi="Arial"/>
                <w:sz w:val="15"/>
                <w:szCs w:val="15"/>
                <w:b w:val="1"/>
                <w:bCs w:val="1"/>
                <w:color w:val="auto"/>
                <w:w w:val="71"/>
              </w:rPr>
              <w:t>$</w:t>
            </w:r>
          </w:p>
        </w:tc>
        <w:tc>
          <w:tcPr>
            <w:tcW w:w="220" w:type="dxa"/>
            <w:vAlign w:val="bottom"/>
            <w:shd w:val="clear" w:color="auto" w:fill="CFF0FC"/>
          </w:tcPr>
          <w:p>
            <w:pPr>
              <w:spacing w:after="0"/>
              <w:rPr>
                <w:sz w:val="15"/>
                <w:szCs w:val="15"/>
                <w:color w:val="auto"/>
              </w:rPr>
            </w:pPr>
          </w:p>
        </w:tc>
        <w:tc>
          <w:tcPr>
            <w:tcW w:w="1040" w:type="dxa"/>
            <w:vAlign w:val="bottom"/>
            <w:gridSpan w:val="3"/>
            <w:shd w:val="clear" w:color="auto" w:fill="CFF0FC"/>
          </w:tcPr>
          <w:p>
            <w:pPr>
              <w:jc w:val="right"/>
              <w:ind w:right="50"/>
              <w:spacing w:after="0" w:line="180" w:lineRule="exact"/>
              <w:rPr>
                <w:sz w:val="20"/>
                <w:szCs w:val="20"/>
                <w:color w:val="auto"/>
              </w:rPr>
            </w:pPr>
            <w:r>
              <w:rPr>
                <w:rFonts w:ascii="Arial" w:cs="Arial" w:eastAsia="Arial" w:hAnsi="Arial"/>
                <w:sz w:val="16"/>
                <w:szCs w:val="16"/>
                <w:b w:val="1"/>
                <w:bCs w:val="1"/>
                <w:color w:val="auto"/>
              </w:rPr>
              <w:t>2,546</w:t>
            </w:r>
          </w:p>
        </w:tc>
        <w:tc>
          <w:tcPr>
            <w:tcW w:w="460" w:type="dxa"/>
            <w:vAlign w:val="bottom"/>
            <w:gridSpan w:val="2"/>
            <w:shd w:val="clear" w:color="auto" w:fill="CFF0FC"/>
          </w:tcPr>
          <w:p>
            <w:pPr>
              <w:jc w:val="right"/>
              <w:ind w:right="137"/>
              <w:spacing w:after="0" w:line="180" w:lineRule="exact"/>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5"/>
              <w:spacing w:after="0" w:line="180" w:lineRule="exact"/>
              <w:rPr>
                <w:sz w:val="20"/>
                <w:szCs w:val="20"/>
                <w:color w:val="auto"/>
              </w:rPr>
            </w:pPr>
            <w:r>
              <w:rPr>
                <w:rFonts w:ascii="Arial" w:cs="Arial" w:eastAsia="Arial" w:hAnsi="Arial"/>
                <w:sz w:val="16"/>
                <w:szCs w:val="16"/>
                <w:color w:val="auto"/>
              </w:rPr>
              <w:t>2,548</w:t>
            </w:r>
          </w:p>
        </w:tc>
        <w:tc>
          <w:tcPr>
            <w:tcW w:w="0" w:type="dxa"/>
            <w:vAlign w:val="bottom"/>
          </w:tcPr>
          <w:p>
            <w:pPr>
              <w:spacing w:after="0"/>
              <w:rPr>
                <w:sz w:val="1"/>
                <w:szCs w:val="1"/>
                <w:color w:val="auto"/>
              </w:rPr>
            </w:pPr>
          </w:p>
        </w:tc>
      </w:tr>
      <w:tr>
        <w:trPr>
          <w:trHeight w:val="188"/>
        </w:trPr>
        <w:tc>
          <w:tcPr>
            <w:tcW w:w="3060" w:type="dxa"/>
            <w:vAlign w:val="bottom"/>
          </w:tcPr>
          <w:p>
            <w:pPr>
              <w:spacing w:after="0"/>
              <w:rPr>
                <w:sz w:val="20"/>
                <w:szCs w:val="20"/>
                <w:color w:val="auto"/>
              </w:rPr>
            </w:pPr>
            <w:r>
              <w:rPr>
                <w:rFonts w:ascii="Arial" w:cs="Arial" w:eastAsia="Arial" w:hAnsi="Arial"/>
                <w:sz w:val="16"/>
                <w:szCs w:val="16"/>
                <w:color w:val="auto"/>
              </w:rPr>
              <w:t>Less: current maturities of long-term debt</w:t>
            </w: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6"/>
                <w:szCs w:val="16"/>
                <w:b w:val="1"/>
                <w:bCs w:val="1"/>
                <w:color w:val="auto"/>
              </w:rPr>
              <w:t>6</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65"/>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30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deferred financing costs, net</w:t>
            </w: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gridSpan w:val="3"/>
            <w:shd w:val="clear" w:color="auto" w:fill="CFF0FC"/>
          </w:tcPr>
          <w:p>
            <w:pPr>
              <w:jc w:val="right"/>
              <w:ind w:right="50"/>
              <w:spacing w:after="0"/>
              <w:rPr>
                <w:sz w:val="20"/>
                <w:szCs w:val="20"/>
                <w:color w:val="auto"/>
              </w:rPr>
            </w:pPr>
            <w:r>
              <w:rPr>
                <w:rFonts w:ascii="Arial" w:cs="Arial" w:eastAsia="Arial" w:hAnsi="Arial"/>
                <w:sz w:val="16"/>
                <w:szCs w:val="16"/>
                <w:b w:val="1"/>
                <w:bCs w:val="1"/>
                <w:color w:val="auto"/>
              </w:rPr>
              <w:t>27</w:t>
            </w:r>
          </w:p>
        </w:tc>
        <w:tc>
          <w:tcPr>
            <w:tcW w:w="18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79"/>
        </w:trPr>
        <w:tc>
          <w:tcPr>
            <w:tcW w:w="3060" w:type="dxa"/>
            <w:vAlign w:val="bottom"/>
          </w:tcPr>
          <w:p>
            <w:pPr>
              <w:ind w:left="200"/>
              <w:spacing w:after="0" w:line="180" w:lineRule="exact"/>
              <w:rPr>
                <w:sz w:val="20"/>
                <w:szCs w:val="20"/>
                <w:color w:val="auto"/>
              </w:rPr>
            </w:pPr>
            <w:r>
              <w:rPr>
                <w:rFonts w:ascii="Arial" w:cs="Arial" w:eastAsia="Arial" w:hAnsi="Arial"/>
                <w:sz w:val="16"/>
                <w:szCs w:val="16"/>
                <w:color w:val="auto"/>
              </w:rPr>
              <w:t>Total long-term debt, net</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jc w:val="right"/>
              <w:ind w:right="271"/>
              <w:spacing w:after="0"/>
              <w:rPr>
                <w:sz w:val="20"/>
                <w:szCs w:val="20"/>
                <w:color w:val="auto"/>
              </w:rPr>
            </w:pPr>
            <w:r>
              <w:rPr>
                <w:rFonts w:ascii="Arial" w:cs="Arial" w:eastAsia="Arial" w:hAnsi="Arial"/>
                <w:sz w:val="15"/>
                <w:szCs w:val="15"/>
                <w:b w:val="1"/>
                <w:bCs w:val="1"/>
                <w:color w:val="auto"/>
                <w:w w:val="71"/>
              </w:rPr>
              <w:t>$</w:t>
            </w:r>
          </w:p>
        </w:tc>
        <w:tc>
          <w:tcPr>
            <w:tcW w:w="220" w:type="dxa"/>
            <w:vAlign w:val="bottom"/>
          </w:tcPr>
          <w:p>
            <w:pPr>
              <w:spacing w:after="0"/>
              <w:rPr>
                <w:sz w:val="15"/>
                <w:szCs w:val="15"/>
                <w:color w:val="auto"/>
              </w:rPr>
            </w:pPr>
          </w:p>
        </w:tc>
        <w:tc>
          <w:tcPr>
            <w:tcW w:w="1040" w:type="dxa"/>
            <w:vAlign w:val="bottom"/>
            <w:gridSpan w:val="3"/>
          </w:tcPr>
          <w:p>
            <w:pPr>
              <w:jc w:val="right"/>
              <w:ind w:right="50"/>
              <w:spacing w:after="0" w:line="180" w:lineRule="exact"/>
              <w:rPr>
                <w:sz w:val="20"/>
                <w:szCs w:val="20"/>
                <w:color w:val="auto"/>
              </w:rPr>
            </w:pPr>
            <w:r>
              <w:rPr>
                <w:rFonts w:ascii="Arial" w:cs="Arial" w:eastAsia="Arial" w:hAnsi="Arial"/>
                <w:sz w:val="16"/>
                <w:szCs w:val="16"/>
                <w:b w:val="1"/>
                <w:bCs w:val="1"/>
                <w:color w:val="auto"/>
              </w:rPr>
              <w:t>2,513</w:t>
            </w:r>
          </w:p>
        </w:tc>
        <w:tc>
          <w:tcPr>
            <w:tcW w:w="460" w:type="dxa"/>
            <w:vAlign w:val="bottom"/>
            <w:gridSpan w:val="2"/>
          </w:tcPr>
          <w:p>
            <w:pPr>
              <w:jc w:val="right"/>
              <w:ind w:right="137"/>
              <w:spacing w:after="0" w:line="180"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ind w:right="65"/>
              <w:spacing w:after="0" w:line="180" w:lineRule="exact"/>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440" w:firstLine="537"/>
        <w:spacing w:after="0" w:line="244" w:lineRule="auto"/>
        <w:rPr>
          <w:sz w:val="20"/>
          <w:szCs w:val="20"/>
          <w:color w:val="auto"/>
        </w:rPr>
      </w:pPr>
      <w:r>
        <w:rPr>
          <w:rFonts w:ascii="Arial" w:cs="Arial" w:eastAsia="Arial" w:hAnsi="Arial"/>
          <w:sz w:val="15"/>
          <w:szCs w:val="15"/>
          <w:color w:val="auto"/>
        </w:rPr>
        <w:t>As of September 30, 2019, the Company had $2,546 million of indebtedness associated with Allison Transmission, Inc.’s (“ATI”), the Company’s wholly-owned subsidiary, 5.0% Senior Notes due September 2024 (“5.0% Senior Notes”), ATI’s 4.75% Senior Notes due October 2027 (“4.75% Senior Notes”), ATI’s</w:t>
      </w:r>
    </w:p>
    <w:p>
      <w:pPr>
        <w:spacing w:after="0" w:line="1" w:lineRule="exact"/>
        <w:rPr>
          <w:sz w:val="20"/>
          <w:szCs w:val="20"/>
          <w:color w:val="auto"/>
        </w:rPr>
      </w:pPr>
    </w:p>
    <w:p>
      <w:pPr>
        <w:ind w:right="60"/>
        <w:spacing w:after="0" w:line="233" w:lineRule="auto"/>
        <w:rPr>
          <w:sz w:val="20"/>
          <w:szCs w:val="20"/>
          <w:color w:val="auto"/>
        </w:rPr>
      </w:pPr>
      <w:r>
        <w:rPr>
          <w:rFonts w:ascii="Arial" w:cs="Arial" w:eastAsia="Arial" w:hAnsi="Arial"/>
          <w:sz w:val="16"/>
          <w:szCs w:val="16"/>
          <w:color w:val="auto"/>
        </w:rPr>
        <w:t>5.875% Senior Notes due June 2029 (“5.875% Senior Notes,” and, together with the 5.0% Senior Notes and 4.75% Senior Notes, the “Senior Notes”) and the Second Amended and Restated Credit Agreement dated as of March 29, 2019 (the “Credit Agreement”), governing ATI’s new term loan facility in the amount of $646 million due March 2026 (“New Term Loan”) and ATI’s new revolving credit facility with commitments in the amount of $600 million due September 2024 (“New Revolving Credit Facility” and, together with the New Term Loan, the “New Senior Secured Credit Facility”).</w:t>
      </w:r>
    </w:p>
    <w:p>
      <w:pPr>
        <w:spacing w:after="0" w:line="83" w:lineRule="exact"/>
        <w:rPr>
          <w:sz w:val="20"/>
          <w:szCs w:val="20"/>
          <w:color w:val="auto"/>
        </w:rPr>
      </w:pPr>
    </w:p>
    <w:p>
      <w:pPr>
        <w:jc w:val="both"/>
        <w:ind w:right="220" w:firstLine="537"/>
        <w:spacing w:after="0" w:line="234" w:lineRule="auto"/>
        <w:rPr>
          <w:sz w:val="20"/>
          <w:szCs w:val="20"/>
          <w:color w:val="auto"/>
        </w:rPr>
      </w:pPr>
      <w:r>
        <w:rPr>
          <w:rFonts w:ascii="Arial" w:cs="Arial" w:eastAsia="Arial" w:hAnsi="Arial"/>
          <w:sz w:val="16"/>
          <w:szCs w:val="16"/>
          <w:color w:val="auto"/>
        </w:rPr>
        <w:t>The fair value of the Company’s long-term debt obligations as of September 30, 2019 was $ 2,626 million. The fair value is based on quoted Level 2 market prices of the Company’s debt as of September 30, 2019.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Senior Secured Credit Facility</w:t>
      </w:r>
    </w:p>
    <w:p>
      <w:pPr>
        <w:spacing w:after="0" w:line="104" w:lineRule="exact"/>
        <w:rPr>
          <w:sz w:val="20"/>
          <w:szCs w:val="20"/>
          <w:color w:val="auto"/>
        </w:rPr>
      </w:pPr>
    </w:p>
    <w:p>
      <w:pPr>
        <w:ind w:right="20" w:firstLine="537"/>
        <w:spacing w:after="0" w:line="231" w:lineRule="auto"/>
        <w:rPr>
          <w:sz w:val="20"/>
          <w:szCs w:val="20"/>
          <w:color w:val="auto"/>
        </w:rPr>
      </w:pPr>
      <w:r>
        <w:rPr>
          <w:rFonts w:ascii="Arial" w:cs="Arial" w:eastAsia="Arial" w:hAnsi="Arial"/>
          <w:sz w:val="16"/>
          <w:szCs w:val="16"/>
          <w:color w:val="auto"/>
        </w:rPr>
        <w:t>In March 2019, the Company and ATI entered into the Credit Agreement to reduce the commitments under the prior term loan due 2022 (“Prior Term Loan”) by $500 million and increase the commitments under the prior $550 million revolving credit facility due 2021 (“Prior Revolving Credit Facility” and, together with the Prior Term Loan, the “Prior Senior Secured Credit Facility”) by $50 million. The New Senior Secured Credit Facility also extended the maturity of the Prior Term Loan from 2022 to 2026 and extended the Prior Revolving Credit Facility termination date from 2021 to 2024. The New Senior Secured Credit Facility replaced the Prior Senior Secured Credit Facility, including the Prior Term Loan and Prior Revolving Credit Facility, on March 29, 2019. The Credit Agreement was treated as a modification to the Prior Senior Secured Credit Facility under GAAP, and thus the Company expensed $5 million of prior deferred financing fees and $1 million of related third party fees in the Condensed Consolidated Statement of Comprehensive Income for the nine months ended September 30, 2019 and recorded $5 million as new deferred financing fees in the Condensed Consolidated Balance Sheet in the first quarter of 2019.</w:t>
      </w:r>
    </w:p>
    <w:p>
      <w:pPr>
        <w:spacing w:after="0" w:line="85" w:lineRule="exact"/>
        <w:rPr>
          <w:sz w:val="20"/>
          <w:szCs w:val="20"/>
          <w:color w:val="auto"/>
        </w:rPr>
      </w:pPr>
    </w:p>
    <w:p>
      <w:pPr>
        <w:ind w:right="180" w:firstLine="537"/>
        <w:spacing w:after="0" w:line="234" w:lineRule="auto"/>
        <w:rPr>
          <w:sz w:val="20"/>
          <w:szCs w:val="20"/>
          <w:color w:val="auto"/>
        </w:rPr>
      </w:pPr>
      <w:r>
        <w:rPr>
          <w:rFonts w:ascii="Arial" w:cs="Arial" w:eastAsia="Arial" w:hAnsi="Arial"/>
          <w:sz w:val="16"/>
          <w:szCs w:val="16"/>
          <w:color w:val="auto"/>
        </w:rPr>
        <w:t>In March 2018, ATI entered into an amendment with the term loan lenders under the Prior Senior Secured Credit Facility to lower the applicable margins on the Prior Term Loan by 0.25%. The March 2018 amendment was treated as a modification to the Prior Senior Secured Credit Facility under GAAP, and thus the Company recorded $1 million as new deferred financing fees in the first quarter of 2018.</w:t>
      </w:r>
    </w:p>
    <w:p>
      <w:pPr>
        <w:spacing w:after="0" w:line="84" w:lineRule="exact"/>
        <w:rPr>
          <w:sz w:val="20"/>
          <w:szCs w:val="20"/>
          <w:color w:val="auto"/>
        </w:rPr>
      </w:pPr>
    </w:p>
    <w:p>
      <w:pPr>
        <w:ind w:right="20" w:firstLine="537"/>
        <w:spacing w:after="0" w:line="230" w:lineRule="auto"/>
        <w:rPr>
          <w:sz w:val="20"/>
          <w:szCs w:val="20"/>
          <w:color w:val="auto"/>
        </w:rPr>
      </w:pPr>
      <w:r>
        <w:rPr>
          <w:rFonts w:ascii="Arial" w:cs="Arial" w:eastAsia="Arial" w:hAnsi="Arial"/>
          <w:sz w:val="16"/>
          <w:szCs w:val="16"/>
          <w:color w:val="auto"/>
        </w:rPr>
        <w:t>The borrowings under the New Senior Secured Credit Facility are collateralized by a lien on substantially all assets of the Company, ATI and each of the existing and future U.S. subsidiary guarantors, with certain exceptions set forth in the Credit Agreement, and ATI’s capital stock and all of the capital stock or other equity interests held by the Company, ATI and each of ATI’s existing and future U.S. subsidiary guarantors (subject to certain limitations for equity interest of foreign subsidiaries and other exceptions set forth in the Credit Agreement). Interest on the New Term Loan, as of September 30, 2019, is either (a) 2.00% over a LIBOR rate on deposits in U.S. dollars for one-, two-, three- or six-month periods (or twelve-month or shorter periods if, at the time of the borrowing, available from all relevant lenders) (the "LIBOR Rate"), or (b) 1.00% over the greater of the prime lending rate as quoted by the administrative agent, the LIBOR Rate for an interest period of one month plus 1.00% and the federal funds effective rate published by the Federal Reserve Bank of New York plus 0.50%, subject to a 1.00% floor (the "Base Rate"). As of September 30, 2019, the Company elected to pay the lowest all-in rate of LIBOR plus the applicable margin, or 4.05%, on the New Term Loan. The Credit Agreement requires minimum quarterly principal payments on the New Term Loan starting with the fiscal quarter ending September 30, 2019, as well as prepayments from certain net cash proceeds of non-ordinary course asset sales and casualty and condemnation events, the incurrence of certain debt and from a percentage of excess cash flow, if applicable. The minimum required quarterly principal payment on the New Term Loan through its maturity date of March 2026 is $2 million. As of September 30, 2019, there had been no payments required for certain net cash proceeds of non-ordinary course asset sales and casualty and condemnation events. The remaining principal balance is due upon maturity.</w:t>
      </w:r>
    </w:p>
    <w:p>
      <w:pPr>
        <w:spacing w:after="0" w:line="90" w:lineRule="exact"/>
        <w:rPr>
          <w:sz w:val="20"/>
          <w:szCs w:val="20"/>
          <w:color w:val="auto"/>
        </w:rPr>
      </w:pPr>
    </w:p>
    <w:p>
      <w:pPr>
        <w:ind w:firstLine="537"/>
        <w:spacing w:after="0" w:line="246" w:lineRule="auto"/>
        <w:rPr>
          <w:sz w:val="20"/>
          <w:szCs w:val="20"/>
          <w:color w:val="auto"/>
        </w:rPr>
      </w:pPr>
      <w:r>
        <w:rPr>
          <w:rFonts w:ascii="Arial" w:cs="Arial" w:eastAsia="Arial" w:hAnsi="Arial"/>
          <w:sz w:val="15"/>
          <w:szCs w:val="15"/>
          <w:color w:val="auto"/>
        </w:rPr>
        <w:t>The New Senior Secured Credit Facility also provides a New Revolving Credit Facility, net of an allowance for up to $75 million in outstanding letters of credit commitments. Throughout the nine months ended September 30, 2019, the Company made periodic withdrawals and payments on the New Revolving Credit Facility as part of the Company's debt management plans. The maximum amount outstanding at any time during the nine months ended September 30, 2019 was $90 million. As of September 30, 2019, the Company had $583 million available under the New Revolving Credit Facility, net of $17 million in letters of credit. Borrowings under the New Revolving Credit Facility bear interest at a variable base rate plus an applicable margin based on the Company’s first lien net leverage ratio. When the Company’s first lien net leverage ratio is above 4.00x, interest on the New Revolving Credit Facility is (a) 0.75% over the Base Rate or (b) 1.75% over the LIBOR Rate; when the Company’s first lien net leverage ratio is equal to or less than 4.00x and above 3.50x, interest on the New Revolving Credit Facility is (i) 0.50% over the Base Rate or (ii) 1.50% over the LIBOR Rate; and when the Company’s first lien net leverage ratio is equal to or below 3.50x, interest on the New Revolving Credit Facility is (y) 0.25% over the Base Rate or (z) 1.25% over the LIBOR Rate. As of September 30, 2019, the applicable margin for the New Revolving Credit Facility was 1.25%. In addition, there is an annual commitment fee, based on the Company’s first lien net leverage ratio, on the average unused revolving credit borrowings available under the New Revolving Credit Facility. As of September 30, 2019, the commitment fee is 0.25%. Borrowings under the New Revolving Credit Facility are payable at the option of the Company throughout the term of the New Senior Secured Credit Facility with the balance due in September 2024.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6" w:lineRule="exact"/>
        <w:rPr>
          <w:sz w:val="20"/>
          <w:szCs w:val="20"/>
          <w:color w:val="auto"/>
        </w:rPr>
      </w:pPr>
    </w:p>
    <w:p>
      <w:pPr>
        <w:ind w:right="60" w:firstLine="537"/>
        <w:spacing w:after="0" w:line="232" w:lineRule="auto"/>
        <w:rPr>
          <w:sz w:val="20"/>
          <w:szCs w:val="20"/>
          <w:color w:val="auto"/>
        </w:rPr>
      </w:pPr>
      <w:r>
        <w:rPr>
          <w:rFonts w:ascii="Arial" w:cs="Arial" w:eastAsia="Arial" w:hAnsi="Arial"/>
          <w:sz w:val="16"/>
          <w:szCs w:val="16"/>
          <w:color w:val="auto"/>
        </w:rPr>
        <w:t>The New Senior Secured Credit Facility requires the Company to maintain a specified maximum first lien net leverage ratio of 5.50x when revolving loan commitments remain outstanding on the New Revolving Credit Facility at the end of a fiscal quarter. As of September 30, 2019, the Company had no amounts outstanding under the New Revolving Credit Facility; however, the Company would have been in compliance with the maximum first lien net leverage ratio, achieving a 0.44x ratio. Additionally, within the terms of the New Senior Secured Credit Facility, a first lien net leverage ratio at or below 4.00x results in the elimination of excess cash flow payments on the New Senior Secured Credit Facility for the applicable year.</w:t>
      </w:r>
    </w:p>
    <w:p>
      <w:pPr>
        <w:spacing w:after="0" w:line="85" w:lineRule="exact"/>
        <w:rPr>
          <w:sz w:val="20"/>
          <w:szCs w:val="20"/>
          <w:color w:val="auto"/>
        </w:rPr>
      </w:pPr>
    </w:p>
    <w:p>
      <w:pPr>
        <w:ind w:right="20" w:firstLine="537"/>
        <w:spacing w:after="0" w:line="234" w:lineRule="auto"/>
        <w:rPr>
          <w:sz w:val="20"/>
          <w:szCs w:val="20"/>
          <w:color w:val="auto"/>
        </w:rPr>
      </w:pPr>
      <w:r>
        <w:rPr>
          <w:rFonts w:ascii="Arial" w:cs="Arial" w:eastAsia="Arial" w:hAnsi="Arial"/>
          <w:sz w:val="16"/>
          <w:szCs w:val="16"/>
          <w:color w:val="auto"/>
        </w:rPr>
        <w:t>In addition, the Credit Agreement, among other things, includes customary restrictions (subject to certain exceptions) on the Company’s ability to incur certain indebtedness, grant certain liens, make certain investments, engage in acquisitions, consolidations and mergers, declare or pay certain dividends or repurchase shares of the Company’s common stock. As of September 30, 2019, the Company was in compliance with all covenants under the Credit Agreement.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5.0% Senior Notes</w:t>
      </w:r>
    </w:p>
    <w:p>
      <w:pPr>
        <w:spacing w:after="0" w:line="104" w:lineRule="exact"/>
        <w:rPr>
          <w:sz w:val="20"/>
          <w:szCs w:val="20"/>
          <w:color w:val="auto"/>
        </w:rPr>
      </w:pPr>
    </w:p>
    <w:p>
      <w:pPr>
        <w:ind w:right="180" w:firstLine="537"/>
        <w:spacing w:after="0" w:line="231"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2019, the Company was in compliance with all covenants under the indenture governing the 5.0% Senior Notes.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4.75% Senior Notes</w:t>
      </w:r>
    </w:p>
    <w:p>
      <w:pPr>
        <w:spacing w:after="0" w:line="104" w:lineRule="exact"/>
        <w:rPr>
          <w:sz w:val="20"/>
          <w:szCs w:val="20"/>
          <w:color w:val="auto"/>
        </w:rPr>
      </w:pPr>
    </w:p>
    <w:p>
      <w:pPr>
        <w:ind w:right="180" w:firstLine="537"/>
        <w:spacing w:after="0" w:line="231" w:lineRule="auto"/>
        <w:rPr>
          <w:sz w:val="20"/>
          <w:szCs w:val="20"/>
          <w:color w:val="auto"/>
        </w:rPr>
      </w:pPr>
      <w:r>
        <w:rPr>
          <w:rFonts w:ascii="Arial" w:cs="Arial" w:eastAsia="Arial" w:hAnsi="Arial"/>
          <w:sz w:val="16"/>
          <w:szCs w:val="16"/>
          <w:color w:val="auto"/>
        </w:rPr>
        <w:t>The 4.75%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4.75% Senior Notes. The indenture governing the 4.75%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2019, the Company was in compliance with all covenants under the indenture governing the 4.75% Senior Notes.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5.875% Senior Notes</w:t>
      </w:r>
    </w:p>
    <w:p>
      <w:pPr>
        <w:spacing w:after="0" w:line="104" w:lineRule="exact"/>
        <w:rPr>
          <w:sz w:val="20"/>
          <w:szCs w:val="20"/>
          <w:color w:val="auto"/>
        </w:rPr>
      </w:pPr>
    </w:p>
    <w:p>
      <w:pPr>
        <w:ind w:firstLine="537"/>
        <w:spacing w:after="0" w:line="232" w:lineRule="auto"/>
        <w:rPr>
          <w:sz w:val="20"/>
          <w:szCs w:val="20"/>
          <w:color w:val="auto"/>
        </w:rPr>
      </w:pPr>
      <w:r>
        <w:rPr>
          <w:rFonts w:ascii="Arial" w:cs="Arial" w:eastAsia="Arial" w:hAnsi="Arial"/>
          <w:sz w:val="16"/>
          <w:szCs w:val="16"/>
          <w:color w:val="auto"/>
        </w:rPr>
        <w:t>In March 2019, ATI completed an offering of $500 million of the 5.875% Senior Notes. The 5.875% Senior Notes were offered in a private placement exempt from registration under the Securities Act of 1933, as amended. The net proceeds from the offering, together with borrowings under the New Senior Secured Credit Facility and cash on hand, were used to repay all of the outstanding borrowings under the Prior Term Loan plus accrued and unpaid interest and related transaction expenses. As a result of the offering, the Company recorded $6 million as deferred financing fees in the Condensed Consolidated Balance Sheet in the first quarter of 2019.</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6" w:lineRule="exact"/>
        <w:rPr>
          <w:sz w:val="20"/>
          <w:szCs w:val="20"/>
          <w:color w:val="auto"/>
        </w:rPr>
      </w:pPr>
    </w:p>
    <w:p>
      <w:pPr>
        <w:ind w:right="160" w:firstLine="537"/>
        <w:spacing w:after="0" w:line="231" w:lineRule="auto"/>
        <w:rPr>
          <w:sz w:val="20"/>
          <w:szCs w:val="20"/>
          <w:color w:val="auto"/>
        </w:rPr>
      </w:pPr>
      <w:r>
        <w:rPr>
          <w:rFonts w:ascii="Arial" w:cs="Arial" w:eastAsia="Arial" w:hAnsi="Arial"/>
          <w:sz w:val="16"/>
          <w:szCs w:val="16"/>
          <w:color w:val="auto"/>
        </w:rPr>
        <w:t>The 5.875% Senior Notes are unsecured and are guaranteed by each of ATI’s domestic subsidiaries that is a borrower under or guarantees the New Senior Secured Credit Facility and are unconditionally guaranteed, jointly and severally, by any of ATI’s future domestic subsidiaries that are borrowers under or guarantee the New Senior Secured Credit Facility. None of ATI’s domestic subsidiaries currently guarantee its obligations under the New Senior Secured Credit Facility, and therefore none of ATI’s domestic subsidiaries currently guarantee the 5.875% Senior Notes. The indenture governing the 5.875%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 As of September 30, 2019, the Company was in compliance with all covenants under the indenture governing the 5.875% Senior Notes.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H. DERIVATIVES</w:t>
      </w:r>
    </w:p>
    <w:p>
      <w:pPr>
        <w:spacing w:after="0" w:line="106" w:lineRule="exact"/>
        <w:rPr>
          <w:sz w:val="20"/>
          <w:szCs w:val="20"/>
          <w:color w:val="auto"/>
        </w:rPr>
      </w:pPr>
    </w:p>
    <w:p>
      <w:pPr>
        <w:ind w:right="60" w:firstLine="537"/>
        <w:spacing w:after="0" w:line="231" w:lineRule="auto"/>
        <w:rPr>
          <w:sz w:val="20"/>
          <w:szCs w:val="20"/>
          <w:color w:val="auto"/>
        </w:rPr>
      </w:pPr>
      <w:r>
        <w:rPr>
          <w:rFonts w:ascii="Arial" w:cs="Arial" w:eastAsia="Arial" w:hAnsi="Arial"/>
          <w:sz w:val="16"/>
          <w:szCs w:val="16"/>
          <w:color w:val="auto"/>
        </w:rPr>
        <w:t>The Company is subject to interest rate risk related to the New Senior Secured Credit Facility and enters into interest rate swaps that are based on LIBOR to manage a portion of this exposure. The interest rate swaps are designated as cash flow hedges that qualify for hedge accounting under the hypothetical derivative method. Fair value adjustments are recorded as a component of AOCL in the Condensed Consolidated Balance Sheets. Balances in AOCL are reclassified to earnings when transactions related to the underlying risk are settled. During the first quarter of 2019, the Company entered into $250 million of interest rate swaps and designated them as cash flow hedges under the hypothetical derivative method. As of September 30, 2019, the Company held interest rate swaps effective from September 2019 to September 2025 with notional values totaling $250 million and a weighted average LIBOR fixed rate of 3.04%, interest rate swaps effective from September 2019 to September 2022 with notional values totaling $250 million and a weighted average LIBOR fixed rate of 3.01% and interest rate swaps effective from September 2022 to September 2025 with notional values totaling $250 million and a weighted average LIBOR fixed rate of 2.82%. See NOTE F “Fair Value of Financial Instruments” for information regarding the fair value of the Company’s interest rate swaps.</w:t>
      </w:r>
    </w:p>
    <w:p>
      <w:pPr>
        <w:spacing w:after="0" w:line="84" w:lineRule="exact"/>
        <w:rPr>
          <w:sz w:val="20"/>
          <w:szCs w:val="20"/>
          <w:color w:val="auto"/>
        </w:rPr>
      </w:pPr>
    </w:p>
    <w:p>
      <w:pPr>
        <w:ind w:right="80" w:firstLine="537"/>
        <w:spacing w:after="0" w:line="237" w:lineRule="auto"/>
        <w:rPr>
          <w:sz w:val="20"/>
          <w:szCs w:val="20"/>
          <w:color w:val="auto"/>
        </w:rPr>
      </w:pPr>
      <w:r>
        <w:rPr>
          <w:rFonts w:ascii="Arial" w:cs="Arial" w:eastAsia="Arial" w:hAnsi="Arial"/>
          <w:sz w:val="16"/>
          <w:szCs w:val="16"/>
          <w:color w:val="auto"/>
        </w:rPr>
        <w:t>The following tabular disclosures further describe the Company’s interest rate derivatives qualifying and designated for hedge accounting and their impact on the financial condition of the Company (dollars 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Fair Value</w:t>
            </w:r>
          </w:p>
        </w:tc>
        <w:tc>
          <w:tcPr>
            <w:tcW w:w="1300" w:type="dxa"/>
            <w:vAlign w:val="bottom"/>
            <w:tcBorders>
              <w:bottom w:val="single" w:sz="8" w:color="auto"/>
            </w:tcBorders>
          </w:tcPr>
          <w:p>
            <w:pPr>
              <w:spacing w:after="0"/>
              <w:rPr>
                <w:sz w:val="13"/>
                <w:szCs w:val="13"/>
                <w:color w:val="auto"/>
              </w:rPr>
            </w:pPr>
          </w:p>
        </w:tc>
      </w:tr>
      <w:tr>
        <w:trPr>
          <w:trHeight w:val="132"/>
        </w:trPr>
        <w:tc>
          <w:tcPr>
            <w:tcW w:w="51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spacing w:after="0" w:line="133" w:lineRule="exact"/>
              <w:rPr>
                <w:sz w:val="20"/>
                <w:szCs w:val="20"/>
                <w:color w:val="auto"/>
              </w:rPr>
            </w:pPr>
            <w:r>
              <w:rPr>
                <w:rFonts w:ascii="Arial" w:cs="Arial" w:eastAsia="Arial" w:hAnsi="Arial"/>
                <w:sz w:val="13"/>
                <w:szCs w:val="13"/>
                <w:b w:val="1"/>
                <w:bCs w:val="1"/>
                <w:color w:val="auto"/>
              </w:rPr>
              <w:t>September 30,</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right"/>
              <w:ind w:right="348"/>
              <w:spacing w:after="0" w:line="133" w:lineRule="exact"/>
              <w:rPr>
                <w:sz w:val="20"/>
                <w:szCs w:val="20"/>
                <w:color w:val="auto"/>
              </w:rPr>
            </w:pPr>
            <w:r>
              <w:rPr>
                <w:rFonts w:ascii="Arial" w:cs="Arial" w:eastAsia="Arial" w:hAnsi="Arial"/>
                <w:sz w:val="13"/>
                <w:szCs w:val="13"/>
                <w:b w:val="1"/>
                <w:bCs w:val="1"/>
                <w:color w:val="auto"/>
              </w:rPr>
              <w:t>December 31,</w:t>
            </w:r>
          </w:p>
        </w:tc>
      </w:tr>
      <w:tr>
        <w:trPr>
          <w:trHeight w:val="153"/>
        </w:trPr>
        <w:tc>
          <w:tcPr>
            <w:tcW w:w="5100" w:type="dxa"/>
            <w:vAlign w:val="bottom"/>
          </w:tcPr>
          <w:p>
            <w:pPr>
              <w:spacing w:after="0"/>
              <w:rPr>
                <w:sz w:val="13"/>
                <w:szCs w:val="13"/>
                <w:color w:val="auto"/>
              </w:rPr>
            </w:pPr>
          </w:p>
        </w:tc>
        <w:tc>
          <w:tcPr>
            <w:tcW w:w="3140" w:type="dxa"/>
            <w:vAlign w:val="bottom"/>
            <w:gridSpan w:val="2"/>
          </w:tcPr>
          <w:p>
            <w:pPr>
              <w:ind w:left="780"/>
              <w:spacing w:after="0"/>
              <w:rPr>
                <w:sz w:val="20"/>
                <w:szCs w:val="20"/>
                <w:color w:val="auto"/>
              </w:rPr>
            </w:pPr>
            <w:r>
              <w:rPr>
                <w:rFonts w:ascii="Arial" w:cs="Arial" w:eastAsia="Arial" w:hAnsi="Arial"/>
                <w:sz w:val="13"/>
                <w:szCs w:val="13"/>
                <w:b w:val="1"/>
                <w:bCs w:val="1"/>
                <w:color w:val="auto"/>
              </w:rPr>
              <w:t>Balance Sheet Location</w:t>
            </w:r>
          </w:p>
        </w:tc>
        <w:tc>
          <w:tcPr>
            <w:tcW w:w="1180" w:type="dxa"/>
            <w:vAlign w:val="bottom"/>
          </w:tcPr>
          <w:p>
            <w:pPr>
              <w:jc w:val="right"/>
              <w:ind w:right="272"/>
              <w:spacing w:after="0"/>
              <w:rPr>
                <w:sz w:val="20"/>
                <w:szCs w:val="20"/>
                <w:color w:val="auto"/>
              </w:rPr>
            </w:pPr>
            <w:r>
              <w:rPr>
                <w:rFonts w:ascii="Arial" w:cs="Arial" w:eastAsia="Arial" w:hAnsi="Arial"/>
                <w:sz w:val="13"/>
                <w:szCs w:val="13"/>
                <w:b w:val="1"/>
                <w:bCs w:val="1"/>
                <w:color w:val="auto"/>
              </w:rPr>
              <w:t>2019</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608"/>
              <w:spacing w:after="0"/>
              <w:rPr>
                <w:sz w:val="20"/>
                <w:szCs w:val="20"/>
                <w:color w:val="auto"/>
              </w:rPr>
            </w:pPr>
            <w:r>
              <w:rPr>
                <w:rFonts w:ascii="Arial" w:cs="Arial" w:eastAsia="Arial" w:hAnsi="Arial"/>
                <w:sz w:val="13"/>
                <w:szCs w:val="13"/>
                <w:b w:val="1"/>
                <w:bCs w:val="1"/>
                <w:color w:val="auto"/>
              </w:rPr>
              <w:t>2018</w:t>
            </w:r>
          </w:p>
        </w:tc>
      </w:tr>
      <w:tr>
        <w:trPr>
          <w:trHeight w:val="179"/>
        </w:trPr>
        <w:tc>
          <w:tcPr>
            <w:tcW w:w="510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Derivatives designated as hedging instruments:</w:t>
            </w:r>
          </w:p>
        </w:tc>
        <w:tc>
          <w:tcPr>
            <w:tcW w:w="298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00" w:type="dxa"/>
            <w:vAlign w:val="bottom"/>
            <w:tcBorders>
              <w:top w:val="single" w:sz="8" w:color="auto"/>
            </w:tcBorders>
            <w:shd w:val="clear" w:color="auto" w:fill="CFF0FC"/>
          </w:tcPr>
          <w:p>
            <w:pPr>
              <w:spacing w:after="0"/>
              <w:rPr>
                <w:sz w:val="15"/>
                <w:szCs w:val="15"/>
                <w:color w:val="auto"/>
              </w:rPr>
            </w:pPr>
          </w:p>
        </w:tc>
      </w:tr>
      <w:tr>
        <w:trPr>
          <w:trHeight w:val="188"/>
        </w:trPr>
        <w:tc>
          <w:tcPr>
            <w:tcW w:w="510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3140" w:type="dxa"/>
            <w:vAlign w:val="bottom"/>
            <w:gridSpan w:val="2"/>
          </w:tcPr>
          <w:p>
            <w:pPr>
              <w:spacing w:after="0"/>
              <w:rPr>
                <w:sz w:val="20"/>
                <w:szCs w:val="20"/>
                <w:color w:val="auto"/>
              </w:rPr>
            </w:pPr>
            <w:r>
              <w:rPr>
                <w:rFonts w:ascii="Arial" w:cs="Arial" w:eastAsia="Arial" w:hAnsi="Arial"/>
                <w:sz w:val="16"/>
                <w:szCs w:val="16"/>
                <w:color w:val="auto"/>
              </w:rPr>
              <w:t>Other current liabilities</w:t>
            </w:r>
          </w:p>
        </w:tc>
        <w:tc>
          <w:tcPr>
            <w:tcW w:w="1180" w:type="dxa"/>
            <w:vAlign w:val="bottom"/>
          </w:tcPr>
          <w:p>
            <w:pPr>
              <w:jc w:val="right"/>
              <w:ind w:right="10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ind w:right="46"/>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48"/>
              <w:spacing w:after="0"/>
              <w:rPr>
                <w:sz w:val="20"/>
                <w:szCs w:val="20"/>
                <w:color w:val="auto"/>
              </w:rPr>
            </w:pPr>
            <w:r>
              <w:rPr>
                <w:rFonts w:ascii="Arial" w:cs="Arial" w:eastAsia="Arial" w:hAnsi="Arial"/>
                <w:sz w:val="16"/>
                <w:szCs w:val="16"/>
                <w:color w:val="auto"/>
              </w:rPr>
              <w:t>1</w:t>
            </w:r>
          </w:p>
        </w:tc>
      </w:tr>
      <w:tr>
        <w:trPr>
          <w:trHeight w:val="188"/>
        </w:trPr>
        <w:tc>
          <w:tcPr>
            <w:tcW w:w="5100" w:type="dxa"/>
            <w:vAlign w:val="bottom"/>
            <w:shd w:val="clear" w:color="auto" w:fill="CFF0FC"/>
          </w:tcPr>
          <w:p>
            <w:pPr>
              <w:spacing w:after="0"/>
              <w:rPr>
                <w:sz w:val="16"/>
                <w:szCs w:val="16"/>
                <w:color w:val="auto"/>
              </w:rPr>
            </w:pPr>
          </w:p>
        </w:tc>
        <w:tc>
          <w:tcPr>
            <w:tcW w:w="31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non-current liabilities</w:t>
            </w:r>
          </w:p>
        </w:tc>
        <w:tc>
          <w:tcPr>
            <w:tcW w:w="11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34</w:t>
            </w:r>
          </w:p>
        </w:tc>
        <w:tc>
          <w:tcPr>
            <w:tcW w:w="1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6"/>
                <w:szCs w:val="16"/>
                <w:color w:val="auto"/>
              </w:rPr>
              <w:t>8</w:t>
            </w:r>
          </w:p>
        </w:tc>
      </w:tr>
      <w:tr>
        <w:trPr>
          <w:trHeight w:val="179"/>
        </w:trPr>
        <w:tc>
          <w:tcPr>
            <w:tcW w:w="5100" w:type="dxa"/>
            <w:vAlign w:val="bottom"/>
          </w:tcPr>
          <w:p>
            <w:pPr>
              <w:spacing w:after="0" w:line="180" w:lineRule="exact"/>
              <w:rPr>
                <w:sz w:val="20"/>
                <w:szCs w:val="20"/>
                <w:color w:val="auto"/>
              </w:rPr>
            </w:pPr>
            <w:r>
              <w:rPr>
                <w:rFonts w:ascii="Arial" w:cs="Arial" w:eastAsia="Arial" w:hAnsi="Arial"/>
                <w:sz w:val="16"/>
                <w:szCs w:val="16"/>
                <w:color w:val="auto"/>
              </w:rPr>
              <w:t>Total derivatives designated as hedging instruments</w:t>
            </w: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Borders>
              <w:bottom w:val="single" w:sz="8" w:color="auto"/>
            </w:tcBorders>
          </w:tcPr>
          <w:p>
            <w:pPr>
              <w:jc w:val="right"/>
              <w:ind w:right="1032"/>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ind w:right="46"/>
              <w:spacing w:after="0" w:line="180" w:lineRule="exact"/>
              <w:rPr>
                <w:sz w:val="20"/>
                <w:szCs w:val="20"/>
                <w:color w:val="auto"/>
              </w:rPr>
            </w:pPr>
            <w:r>
              <w:rPr>
                <w:rFonts w:ascii="Arial" w:cs="Arial" w:eastAsia="Arial" w:hAnsi="Arial"/>
                <w:sz w:val="16"/>
                <w:szCs w:val="16"/>
                <w:b w:val="1"/>
                <w:bCs w:val="1"/>
                <w:color w:val="auto"/>
              </w:rPr>
              <w:t>41</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48"/>
              <w:spacing w:after="0" w:line="180" w:lineRule="exact"/>
              <w:rPr>
                <w:sz w:val="20"/>
                <w:szCs w:val="20"/>
                <w:color w:val="auto"/>
              </w:rPr>
            </w:pPr>
            <w:r>
              <w:rPr>
                <w:rFonts w:ascii="Arial" w:cs="Arial" w:eastAsia="Arial" w:hAnsi="Arial"/>
                <w:sz w:val="16"/>
                <w:szCs w:val="16"/>
                <w:color w:val="auto"/>
              </w:rPr>
              <w:t>9</w:t>
            </w:r>
          </w:p>
        </w:tc>
      </w:tr>
      <w:tr>
        <w:trPr>
          <w:trHeight w:val="20"/>
        </w:trPr>
        <w:tc>
          <w:tcPr>
            <w:tcW w:w="51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right="200" w:firstLine="537"/>
        <w:spacing w:after="0" w:line="234" w:lineRule="auto"/>
        <w:rPr>
          <w:sz w:val="20"/>
          <w:szCs w:val="20"/>
          <w:color w:val="auto"/>
        </w:rPr>
      </w:pPr>
      <w:r>
        <w:rPr>
          <w:rFonts w:ascii="Arial" w:cs="Arial" w:eastAsia="Arial" w:hAnsi="Arial"/>
          <w:sz w:val="16"/>
          <w:szCs w:val="16"/>
          <w:color w:val="auto"/>
        </w:rPr>
        <w:t>The balance of derivative losses recorded in AOCL as of September 30, 2019 was $41 million. See NOTE O “Accumulated Other Comprehensive Loss” for information regarding activity recorded as a component of AOCL during the three and nine months ended September 30, 2019. As of September 30, 2019, the Company had $6 million of derivative losses recorded in AOCL expected to be reclassified to earnings within the next twelve months.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I. PRODUCT WARRANTY LIABILITIES</w:t>
      </w:r>
    </w:p>
    <w:p>
      <w:pPr>
        <w:spacing w:after="0" w:line="106" w:lineRule="exact"/>
        <w:rPr>
          <w:sz w:val="20"/>
          <w:szCs w:val="20"/>
          <w:color w:val="auto"/>
        </w:rPr>
      </w:pPr>
    </w:p>
    <w:p>
      <w:pPr>
        <w:ind w:right="420" w:firstLine="537"/>
        <w:spacing w:after="0" w:line="237" w:lineRule="auto"/>
        <w:rPr>
          <w:sz w:val="20"/>
          <w:szCs w:val="20"/>
          <w:color w:val="auto"/>
        </w:rPr>
      </w:pPr>
      <w:r>
        <w:rPr>
          <w:rFonts w:ascii="Arial" w:cs="Arial" w:eastAsia="Arial" w:hAnsi="Arial"/>
          <w:sz w:val="16"/>
          <w:szCs w:val="16"/>
          <w:color w:val="auto"/>
        </w:rPr>
        <w:t>As of September 30, 2019, current and non-current product warranty liabilities were $25 million and $29 million, respectively. As of September 30, 2018, current and non-current product warranty liabilities were $26 million and $41 million, respectively.</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Product warranty liability activities consist of the following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40" w:type="dxa"/>
            <w:vAlign w:val="bottom"/>
            <w:gridSpan w:val="4"/>
          </w:tcPr>
          <w:p>
            <w:pPr>
              <w:jc w:val="right"/>
              <w:ind w:right="271"/>
              <w:spacing w:after="0"/>
              <w:rPr>
                <w:sz w:val="20"/>
                <w:szCs w:val="20"/>
                <w:color w:val="auto"/>
              </w:rPr>
            </w:pPr>
            <w:r>
              <w:rPr>
                <w:rFonts w:ascii="Arial" w:cs="Arial" w:eastAsia="Arial" w:hAnsi="Arial"/>
                <w:sz w:val="13"/>
                <w:szCs w:val="13"/>
                <w:b w:val="1"/>
                <w:bCs w:val="1"/>
                <w:color w:val="auto"/>
              </w:rPr>
              <w:t>Three months ended</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40" w:type="dxa"/>
            <w:vAlign w:val="bottom"/>
            <w:gridSpan w:val="4"/>
          </w:tcPr>
          <w:p>
            <w:pPr>
              <w:jc w:val="right"/>
              <w:ind w:right="317"/>
              <w:spacing w:after="0"/>
              <w:rPr>
                <w:sz w:val="20"/>
                <w:szCs w:val="20"/>
                <w:color w:val="auto"/>
              </w:rPr>
            </w:pPr>
            <w:r>
              <w:rPr>
                <w:rFonts w:ascii="Arial" w:cs="Arial" w:eastAsia="Arial" w:hAnsi="Arial"/>
                <w:sz w:val="13"/>
                <w:szCs w:val="13"/>
                <w:b w:val="1"/>
                <w:bCs w:val="1"/>
                <w:color w:val="auto"/>
              </w:rPr>
              <w:t>Nine months ended</w:t>
            </w:r>
          </w:p>
        </w:tc>
        <w:tc>
          <w:tcPr>
            <w:tcW w:w="460" w:type="dxa"/>
            <w:vAlign w:val="bottom"/>
          </w:tcPr>
          <w:p>
            <w:pPr>
              <w:spacing w:after="0"/>
              <w:rPr>
                <w:sz w:val="13"/>
                <w:szCs w:val="13"/>
                <w:color w:val="auto"/>
              </w:rPr>
            </w:pPr>
          </w:p>
        </w:tc>
      </w:tr>
      <w:tr>
        <w:trPr>
          <w:trHeight w:val="153"/>
        </w:trPr>
        <w:tc>
          <w:tcPr>
            <w:tcW w:w="47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3"/>
          </w:tcPr>
          <w:p>
            <w:pPr>
              <w:jc w:val="right"/>
              <w:ind w:right="471"/>
              <w:spacing w:after="0"/>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September 30,</w:t>
            </w:r>
          </w:p>
        </w:tc>
        <w:tc>
          <w:tcPr>
            <w:tcW w:w="460" w:type="dxa"/>
            <w:vAlign w:val="bottom"/>
          </w:tcPr>
          <w:p>
            <w:pPr>
              <w:spacing w:after="0"/>
              <w:rPr>
                <w:sz w:val="13"/>
                <w:szCs w:val="13"/>
                <w:color w:val="auto"/>
              </w:rPr>
            </w:pPr>
          </w:p>
        </w:tc>
      </w:tr>
      <w:tr>
        <w:trPr>
          <w:trHeight w:val="153"/>
        </w:trPr>
        <w:tc>
          <w:tcPr>
            <w:tcW w:w="470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2018</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13"/>
                <w:szCs w:val="13"/>
                <w:color w:val="auto"/>
              </w:rPr>
            </w:pPr>
          </w:p>
        </w:tc>
      </w:tr>
      <w:tr>
        <w:trPr>
          <w:trHeight w:val="179"/>
        </w:trPr>
        <w:tc>
          <w:tcPr>
            <w:tcW w:w="47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1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59</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66</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55</w:t>
            </w:r>
          </w:p>
        </w:tc>
      </w:tr>
      <w:tr>
        <w:trPr>
          <w:trHeight w:val="188"/>
        </w:trPr>
        <w:tc>
          <w:tcPr>
            <w:tcW w:w="4700" w:type="dxa"/>
            <w:vAlign w:val="bottom"/>
          </w:tcPr>
          <w:p>
            <w:pPr>
              <w:spacing w:after="0"/>
              <w:rPr>
                <w:sz w:val="20"/>
                <w:szCs w:val="20"/>
                <w:color w:val="auto"/>
              </w:rPr>
            </w:pPr>
            <w:r>
              <w:rPr>
                <w:rFonts w:ascii="Arial" w:cs="Arial" w:eastAsia="Arial" w:hAnsi="Arial"/>
                <w:sz w:val="16"/>
                <w:szCs w:val="16"/>
                <w:color w:val="auto"/>
              </w:rPr>
              <w:t>Payments</w:t>
            </w:r>
          </w:p>
        </w:tc>
        <w:tc>
          <w:tcPr>
            <w:tcW w:w="1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jc w:val="right"/>
              <w:ind w:right="2"/>
              <w:spacing w:after="0"/>
              <w:rPr>
                <w:sz w:val="20"/>
                <w:szCs w:val="20"/>
                <w:color w:val="auto"/>
              </w:rPr>
            </w:pPr>
            <w:r>
              <w:rPr>
                <w:rFonts w:ascii="Arial" w:cs="Arial" w:eastAsia="Arial" w:hAnsi="Arial"/>
                <w:sz w:val="16"/>
                <w:szCs w:val="16"/>
                <w:color w:val="auto"/>
              </w:rPr>
              <w:t>(25)</w:t>
            </w:r>
          </w:p>
        </w:tc>
      </w:tr>
      <w:tr>
        <w:trPr>
          <w:trHeight w:val="188"/>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Increase in liability (warranty issued during period)</w:t>
            </w:r>
          </w:p>
        </w:tc>
        <w:tc>
          <w:tcPr>
            <w:tcW w:w="12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9</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30</w:t>
            </w:r>
          </w:p>
        </w:tc>
      </w:tr>
      <w:tr>
        <w:trPr>
          <w:trHeight w:val="188"/>
        </w:trPr>
        <w:tc>
          <w:tcPr>
            <w:tcW w:w="4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adjustments to liability</w:t>
            </w:r>
          </w:p>
        </w:tc>
        <w:tc>
          <w:tcPr>
            <w:tcW w:w="124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7</w:t>
            </w:r>
          </w:p>
        </w:tc>
      </w:tr>
      <w:tr>
        <w:trPr>
          <w:trHeight w:val="179"/>
        </w:trPr>
        <w:tc>
          <w:tcPr>
            <w:tcW w:w="47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Ending balance</w:t>
            </w:r>
          </w:p>
        </w:tc>
        <w:tc>
          <w:tcPr>
            <w:tcW w:w="1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54</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691"/>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67</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54</w:t>
            </w:r>
          </w:p>
        </w:tc>
        <w:tc>
          <w:tcPr>
            <w:tcW w:w="960" w:type="dxa"/>
            <w:vAlign w:val="bottom"/>
            <w:gridSpan w:val="2"/>
            <w:shd w:val="clear" w:color="auto" w:fill="CFF0FC"/>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67</w:t>
            </w: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J. DEFERRED REVENUE</w:t>
      </w:r>
    </w:p>
    <w:p>
      <w:pPr>
        <w:spacing w:after="0" w:line="106" w:lineRule="exact"/>
        <w:rPr>
          <w:sz w:val="20"/>
          <w:szCs w:val="20"/>
          <w:color w:val="auto"/>
        </w:rPr>
      </w:pPr>
    </w:p>
    <w:p>
      <w:pPr>
        <w:ind w:right="160" w:firstLine="537"/>
        <w:spacing w:after="0" w:line="237" w:lineRule="auto"/>
        <w:rPr>
          <w:sz w:val="20"/>
          <w:szCs w:val="20"/>
          <w:color w:val="auto"/>
        </w:rPr>
      </w:pPr>
      <w:r>
        <w:rPr>
          <w:rFonts w:ascii="Arial" w:cs="Arial" w:eastAsia="Arial" w:hAnsi="Arial"/>
          <w:sz w:val="16"/>
          <w:szCs w:val="16"/>
          <w:color w:val="auto"/>
        </w:rPr>
        <w:t>As of September 30, 2019, current and non-current deferred revenue was $35 million and $103 million, respectively. As of September 30, 2018, current and non-current deferred revenue was $35 million and $89 million, respectively.</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Deferred revenue activity consists of the following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2200" w:type="dxa"/>
            <w:vAlign w:val="bottom"/>
            <w:gridSpan w:val="4"/>
          </w:tcPr>
          <w:p>
            <w:pPr>
              <w:jc w:val="right"/>
              <w:ind w:right="257"/>
              <w:spacing w:after="0"/>
              <w:rPr>
                <w:sz w:val="20"/>
                <w:szCs w:val="20"/>
                <w:color w:val="auto"/>
              </w:rPr>
            </w:pPr>
            <w:r>
              <w:rPr>
                <w:rFonts w:ascii="Arial" w:cs="Arial" w:eastAsia="Arial" w:hAnsi="Arial"/>
                <w:sz w:val="13"/>
                <w:szCs w:val="13"/>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4"/>
          </w:tcPr>
          <w:p>
            <w:pPr>
              <w:jc w:val="right"/>
              <w:ind w:right="745"/>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5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20" w:type="dxa"/>
            <w:vAlign w:val="bottom"/>
            <w:gridSpan w:val="3"/>
          </w:tcPr>
          <w:p>
            <w:pPr>
              <w:jc w:val="right"/>
              <w:ind w:right="437"/>
              <w:spacing w:after="0"/>
              <w:rPr>
                <w:sz w:val="20"/>
                <w:szCs w:val="20"/>
                <w:color w:val="auto"/>
              </w:rPr>
            </w:pPr>
            <w:r>
              <w:rPr>
                <w:rFonts w:ascii="Arial" w:cs="Arial" w:eastAsia="Arial" w:hAnsi="Arial"/>
                <w:sz w:val="13"/>
                <w:szCs w:val="13"/>
                <w:b w:val="1"/>
                <w:bCs w:val="1"/>
                <w:color w:val="auto"/>
              </w:rPr>
              <w:t>September 30,</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20" w:type="dxa"/>
            <w:vAlign w:val="bottom"/>
          </w:tcPr>
          <w:p>
            <w:pPr>
              <w:spacing w:after="0"/>
              <w:rPr>
                <w:sz w:val="13"/>
                <w:szCs w:val="13"/>
                <w:color w:val="auto"/>
              </w:rPr>
            </w:pPr>
          </w:p>
        </w:tc>
      </w:tr>
      <w:tr>
        <w:trPr>
          <w:trHeight w:val="153"/>
        </w:trPr>
        <w:tc>
          <w:tcPr>
            <w:tcW w:w="59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2018</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5"/>
              <w:spacing w:after="0"/>
              <w:rPr>
                <w:sz w:val="20"/>
                <w:szCs w:val="20"/>
                <w:color w:val="auto"/>
              </w:rPr>
            </w:pPr>
            <w:r>
              <w:rPr>
                <w:rFonts w:ascii="Arial" w:cs="Arial" w:eastAsia="Arial" w:hAnsi="Arial"/>
                <w:sz w:val="13"/>
                <w:szCs w:val="13"/>
                <w:b w:val="1"/>
                <w:bCs w:val="1"/>
                <w:color w:val="auto"/>
              </w:rPr>
              <w:t>2018</w:t>
            </w:r>
          </w:p>
        </w:tc>
      </w:tr>
      <w:tr>
        <w:trPr>
          <w:trHeight w:val="179"/>
        </w:trPr>
        <w:tc>
          <w:tcPr>
            <w:tcW w:w="59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Beginning balance</w:t>
            </w:r>
          </w:p>
        </w:tc>
        <w:tc>
          <w:tcPr>
            <w:tcW w:w="780" w:type="dxa"/>
            <w:vAlign w:val="bottom"/>
            <w:shd w:val="clear" w:color="auto" w:fill="CFF0FC"/>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133</w:t>
            </w:r>
          </w:p>
        </w:tc>
        <w:tc>
          <w:tcPr>
            <w:tcW w:w="940" w:type="dxa"/>
            <w:vAlign w:val="bottom"/>
            <w:gridSpan w:val="2"/>
            <w:shd w:val="clear" w:color="auto" w:fill="CFF0FC"/>
          </w:tcPr>
          <w:p>
            <w:pPr>
              <w:jc w:val="right"/>
              <w:ind w:right="657"/>
              <w:spacing w:after="0" w:line="180" w:lineRule="exact"/>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125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9"/>
              <w:spacing w:after="0" w:line="180" w:lineRule="exact"/>
              <w:rPr>
                <w:sz w:val="20"/>
                <w:szCs w:val="20"/>
                <w:color w:val="auto"/>
              </w:rPr>
            </w:pPr>
            <w:r>
              <w:rPr>
                <w:rFonts w:ascii="Arial" w:cs="Arial" w:eastAsia="Arial" w:hAnsi="Arial"/>
                <w:sz w:val="16"/>
                <w:szCs w:val="16"/>
                <w:b w:val="1"/>
                <w:bCs w:val="1"/>
                <w:color w:val="auto"/>
              </w:rPr>
              <w:t>122</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110</w:t>
            </w: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Increases</w:t>
            </w:r>
          </w:p>
        </w:tc>
        <w:tc>
          <w:tcPr>
            <w:tcW w:w="780" w:type="dxa"/>
            <w:vAlign w:val="bottom"/>
          </w:tcPr>
          <w:p>
            <w:pPr>
              <w:spacing w:after="0"/>
              <w:rPr>
                <w:sz w:val="16"/>
                <w:szCs w:val="16"/>
                <w:color w:val="auto"/>
              </w:rPr>
            </w:pPr>
          </w:p>
        </w:tc>
        <w:tc>
          <w:tcPr>
            <w:tcW w:w="480" w:type="dxa"/>
            <w:vAlign w:val="bottom"/>
          </w:tcPr>
          <w:p>
            <w:pPr>
              <w:jc w:val="right"/>
              <w:ind w:right="45"/>
              <w:spacing w:after="0"/>
              <w:rPr>
                <w:sz w:val="20"/>
                <w:szCs w:val="20"/>
                <w:color w:val="auto"/>
              </w:rPr>
            </w:pPr>
            <w:r>
              <w:rPr>
                <w:rFonts w:ascii="Arial" w:cs="Arial" w:eastAsia="Arial" w:hAnsi="Arial"/>
                <w:sz w:val="16"/>
                <w:szCs w:val="16"/>
                <w:b w:val="1"/>
                <w:bCs w:val="1"/>
                <w:color w:val="auto"/>
              </w:rPr>
              <w:t>15</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right"/>
              <w:ind w:right="49"/>
              <w:spacing w:after="0"/>
              <w:rPr>
                <w:sz w:val="20"/>
                <w:szCs w:val="20"/>
                <w:color w:val="auto"/>
              </w:rPr>
            </w:pPr>
            <w:r>
              <w:rPr>
                <w:rFonts w:ascii="Arial" w:cs="Arial" w:eastAsia="Arial" w:hAnsi="Arial"/>
                <w:sz w:val="16"/>
                <w:szCs w:val="16"/>
                <w:b w:val="1"/>
                <w:bCs w:val="1"/>
                <w:color w:val="auto"/>
              </w:rPr>
              <w:t>44</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Arial" w:cs="Arial" w:eastAsia="Arial" w:hAnsi="Arial"/>
                <w:sz w:val="16"/>
                <w:szCs w:val="16"/>
                <w:color w:val="auto"/>
              </w:rPr>
              <w:t>44</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Revenue earned</w:t>
            </w:r>
          </w:p>
        </w:tc>
        <w:tc>
          <w:tcPr>
            <w:tcW w:w="7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w:t>
            </w:r>
          </w:p>
        </w:tc>
        <w:tc>
          <w:tcPr>
            <w:tcW w:w="1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w:t>
            </w:r>
          </w:p>
        </w:tc>
      </w:tr>
      <w:tr>
        <w:trPr>
          <w:trHeight w:val="179"/>
        </w:trPr>
        <w:tc>
          <w:tcPr>
            <w:tcW w:w="5960" w:type="dxa"/>
            <w:vAlign w:val="bottom"/>
          </w:tcPr>
          <w:p>
            <w:pPr>
              <w:spacing w:after="0" w:line="180" w:lineRule="exact"/>
              <w:rPr>
                <w:sz w:val="20"/>
                <w:szCs w:val="20"/>
                <w:color w:val="auto"/>
              </w:rPr>
            </w:pPr>
            <w:r>
              <w:rPr>
                <w:rFonts w:ascii="Arial" w:cs="Arial" w:eastAsia="Arial" w:hAnsi="Arial"/>
                <w:sz w:val="16"/>
                <w:szCs w:val="16"/>
                <w:color w:val="auto"/>
              </w:rPr>
              <w:t>Ending balance</w:t>
            </w:r>
          </w:p>
        </w:tc>
        <w:tc>
          <w:tcPr>
            <w:tcW w:w="780" w:type="dxa"/>
            <w:vAlign w:val="bottom"/>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ind w:right="45"/>
              <w:spacing w:after="0" w:line="180" w:lineRule="exact"/>
              <w:rPr>
                <w:sz w:val="20"/>
                <w:szCs w:val="20"/>
                <w:color w:val="auto"/>
              </w:rPr>
            </w:pPr>
            <w:r>
              <w:rPr>
                <w:rFonts w:ascii="Arial" w:cs="Arial" w:eastAsia="Arial" w:hAnsi="Arial"/>
                <w:sz w:val="16"/>
                <w:szCs w:val="16"/>
                <w:b w:val="1"/>
                <w:bCs w:val="1"/>
                <w:color w:val="auto"/>
              </w:rPr>
              <w:t>138</w:t>
            </w:r>
          </w:p>
        </w:tc>
        <w:tc>
          <w:tcPr>
            <w:tcW w:w="940" w:type="dxa"/>
            <w:vAlign w:val="bottom"/>
            <w:gridSpan w:val="2"/>
          </w:tcPr>
          <w:p>
            <w:pPr>
              <w:jc w:val="right"/>
              <w:ind w:right="657"/>
              <w:spacing w:after="0" w:line="180" w:lineRule="exact"/>
              <w:rPr>
                <w:sz w:val="20"/>
                <w:szCs w:val="20"/>
                <w:color w:val="auto"/>
              </w:rPr>
            </w:pPr>
            <w:r>
              <w:rPr>
                <w:rFonts w:ascii="Arial" w:cs="Arial" w:eastAsia="Arial" w:hAnsi="Arial"/>
                <w:sz w:val="16"/>
                <w:szCs w:val="16"/>
                <w:color w:val="auto"/>
              </w:rPr>
              <w:t>$</w:t>
            </w:r>
          </w:p>
        </w:tc>
        <w:tc>
          <w:tcPr>
            <w:tcW w:w="460" w:type="dxa"/>
            <w:vAlign w:val="bottom"/>
          </w:tcPr>
          <w:p>
            <w:pPr>
              <w:jc w:val="right"/>
              <w:ind w:right="42"/>
              <w:spacing w:after="0" w:line="180" w:lineRule="exact"/>
              <w:rPr>
                <w:sz w:val="20"/>
                <w:szCs w:val="20"/>
                <w:color w:val="auto"/>
              </w:rPr>
            </w:pPr>
            <w:r>
              <w:rPr>
                <w:rFonts w:ascii="Arial" w:cs="Arial" w:eastAsia="Arial" w:hAnsi="Arial"/>
                <w:sz w:val="16"/>
                <w:szCs w:val="16"/>
                <w:color w:val="auto"/>
              </w:rPr>
              <w:t>124</w:t>
            </w:r>
          </w:p>
        </w:tc>
        <w:tc>
          <w:tcPr>
            <w:tcW w:w="120" w:type="dxa"/>
            <w:vAlign w:val="bottom"/>
          </w:tcPr>
          <w:p>
            <w:pPr>
              <w:spacing w:after="0"/>
              <w:rPr>
                <w:sz w:val="15"/>
                <w:szCs w:val="15"/>
                <w:color w:val="auto"/>
              </w:rPr>
            </w:pPr>
          </w:p>
        </w:tc>
        <w:tc>
          <w:tcPr>
            <w:tcW w:w="280" w:type="dxa"/>
            <w:vAlign w:val="bottom"/>
          </w:tcPr>
          <w:p>
            <w:pPr>
              <w:jc w:val="right"/>
              <w:ind w:right="10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9"/>
              <w:spacing w:after="0" w:line="180" w:lineRule="exact"/>
              <w:rPr>
                <w:sz w:val="20"/>
                <w:szCs w:val="20"/>
                <w:color w:val="auto"/>
              </w:rPr>
            </w:pPr>
            <w:r>
              <w:rPr>
                <w:rFonts w:ascii="Arial" w:cs="Arial" w:eastAsia="Arial" w:hAnsi="Arial"/>
                <w:sz w:val="16"/>
                <w:szCs w:val="16"/>
                <w:b w:val="1"/>
                <w:bCs w:val="1"/>
                <w:color w:val="auto"/>
              </w:rPr>
              <w:t>138</w:t>
            </w:r>
          </w:p>
        </w:tc>
        <w:tc>
          <w:tcPr>
            <w:tcW w:w="140" w:type="dxa"/>
            <w:vAlign w:val="bottom"/>
          </w:tcPr>
          <w:p>
            <w:pPr>
              <w:spacing w:after="0"/>
              <w:rPr>
                <w:sz w:val="15"/>
                <w:szCs w:val="15"/>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45"/>
              <w:spacing w:after="0" w:line="180" w:lineRule="exact"/>
              <w:rPr>
                <w:sz w:val="20"/>
                <w:szCs w:val="20"/>
                <w:color w:val="auto"/>
              </w:rPr>
            </w:pPr>
            <w:r>
              <w:rPr>
                <w:rFonts w:ascii="Arial" w:cs="Arial" w:eastAsia="Arial" w:hAnsi="Arial"/>
                <w:sz w:val="16"/>
                <w:szCs w:val="16"/>
                <w:color w:val="auto"/>
              </w:rPr>
              <w:t>124</w:t>
            </w:r>
          </w:p>
        </w:tc>
      </w:tr>
      <w:tr>
        <w:trPr>
          <w:trHeight w:val="20"/>
        </w:trPr>
        <w:tc>
          <w:tcPr>
            <w:tcW w:w="5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Deferred revenue recorded in current and non-current liabilities related to ETC as of September 30, 2019 was $28 million and $82 million, respectively.</w:t>
      </w:r>
    </w:p>
    <w:p>
      <w:pPr>
        <w:spacing w:after="0"/>
        <w:rPr>
          <w:sz w:val="20"/>
          <w:szCs w:val="20"/>
          <w:color w:val="auto"/>
        </w:rPr>
      </w:pPr>
      <w:r>
        <w:rPr>
          <w:rFonts w:ascii="Arial" w:cs="Arial" w:eastAsia="Arial" w:hAnsi="Arial"/>
          <w:sz w:val="16"/>
          <w:szCs w:val="16"/>
          <w:color w:val="auto"/>
        </w:rPr>
        <w:t>Deferred revenue recorded in current and non-current liabilities related to ETC as of September 30, 2018 was $30 million and $73 million,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K. LEASES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Adoption of New Lease Guidance</w:t>
      </w:r>
    </w:p>
    <w:p>
      <w:pPr>
        <w:spacing w:after="0" w:line="104" w:lineRule="exact"/>
        <w:rPr>
          <w:sz w:val="20"/>
          <w:szCs w:val="20"/>
          <w:color w:val="auto"/>
        </w:rPr>
      </w:pPr>
    </w:p>
    <w:p>
      <w:pPr>
        <w:ind w:right="640" w:firstLine="537"/>
        <w:spacing w:after="0" w:line="234" w:lineRule="auto"/>
        <w:rPr>
          <w:sz w:val="20"/>
          <w:szCs w:val="20"/>
          <w:color w:val="auto"/>
        </w:rPr>
      </w:pPr>
      <w:r>
        <w:rPr>
          <w:rFonts w:ascii="Arial" w:cs="Arial" w:eastAsia="Arial" w:hAnsi="Arial"/>
          <w:sz w:val="16"/>
          <w:szCs w:val="16"/>
          <w:color w:val="auto"/>
        </w:rPr>
        <w:t>New authoritative guidance for leases was adopted by the Company effective January 1, 2019 using the optional transition method. Balances as of September 30, 2019 and results for the three and nine months ended September 30, 2019 are presented in conformity with the new authoritative accounting guidance, while prior period balances and results are presented in conformity with prior accounting guidance for leases.</w:t>
      </w:r>
    </w:p>
    <w:p>
      <w:pPr>
        <w:spacing w:after="0" w:line="84" w:lineRule="exact"/>
        <w:rPr>
          <w:sz w:val="20"/>
          <w:szCs w:val="20"/>
          <w:color w:val="auto"/>
        </w:rPr>
      </w:pPr>
    </w:p>
    <w:p>
      <w:pPr>
        <w:ind w:right="200" w:firstLine="537"/>
        <w:spacing w:after="0" w:line="237" w:lineRule="auto"/>
        <w:rPr>
          <w:sz w:val="20"/>
          <w:szCs w:val="20"/>
          <w:color w:val="auto"/>
        </w:rPr>
      </w:pPr>
      <w:r>
        <w:rPr>
          <w:rFonts w:ascii="Arial" w:cs="Arial" w:eastAsia="Arial" w:hAnsi="Arial"/>
          <w:sz w:val="16"/>
          <w:szCs w:val="16"/>
          <w:color w:val="auto"/>
        </w:rPr>
        <w:t>The Company recognized ROU assets for operating leases of $14 million and current and non-current operating lease liabilities of $4 million and $9 million, respectively, as of January 1, 2019. At the time of adoption, the Company was not party to any finance leases.</w:t>
      </w:r>
    </w:p>
    <w:p>
      <w:pPr>
        <w:spacing w:after="0" w:line="83" w:lineRule="exact"/>
        <w:rPr>
          <w:sz w:val="20"/>
          <w:szCs w:val="20"/>
          <w:color w:val="auto"/>
        </w:rPr>
      </w:pPr>
    </w:p>
    <w:p>
      <w:pPr>
        <w:ind w:right="100" w:firstLine="537"/>
        <w:spacing w:after="0" w:line="265" w:lineRule="auto"/>
        <w:rPr>
          <w:sz w:val="20"/>
          <w:szCs w:val="20"/>
          <w:color w:val="auto"/>
        </w:rPr>
      </w:pPr>
      <w:r>
        <w:rPr>
          <w:rFonts w:ascii="Arial" w:cs="Arial" w:eastAsia="Arial" w:hAnsi="Arial"/>
          <w:sz w:val="15"/>
          <w:szCs w:val="15"/>
          <w:color w:val="auto"/>
        </w:rPr>
        <w:t>The Company elected practical expedients allowed by this guidance which included not reassessing existing or expired contracts for leases, not reassessing existing or expired leases for classification, not reassessing indirect costs for any existing leases and using hindsight when determining lease terms.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Lessee Accounting</w:t>
      </w:r>
    </w:p>
    <w:p>
      <w:pPr>
        <w:spacing w:after="0" w:line="104" w:lineRule="exact"/>
        <w:rPr>
          <w:sz w:val="20"/>
          <w:szCs w:val="20"/>
          <w:color w:val="auto"/>
        </w:rPr>
      </w:pPr>
    </w:p>
    <w:p>
      <w:pPr>
        <w:ind w:right="180" w:firstLine="537"/>
        <w:spacing w:after="0" w:line="232" w:lineRule="auto"/>
        <w:rPr>
          <w:sz w:val="20"/>
          <w:szCs w:val="20"/>
          <w:color w:val="auto"/>
        </w:rPr>
      </w:pPr>
      <w:r>
        <w:rPr>
          <w:rFonts w:ascii="Arial" w:cs="Arial" w:eastAsia="Arial" w:hAnsi="Arial"/>
          <w:sz w:val="16"/>
          <w:szCs w:val="16"/>
          <w:color w:val="auto"/>
        </w:rPr>
        <w:t>Contracts are assessed by the Company to determine if the contract conveys the right to control an identified asset in exchange for consideration during a period of time. The Company classifies all identified leases as operating or finance leases. As of September 30, 2019, the Company was not a party to any finance leases. Contracts that contain leases are assessed to determine if the consideration in the contract is related to a lease component, non-lease component or other components not related to the lease. Lease components are recorded as ROU assets and lease liabilities while any non-lease component is expensed as incurred. The consideration in the contract related to other components not related to the lease is allocated among the lease component and the non-lease component, as applicable, based on the stand-alone selling price of the lease and non-lease components.</w:t>
      </w:r>
    </w:p>
    <w:p>
      <w:pPr>
        <w:spacing w:after="0" w:line="83" w:lineRule="exact"/>
        <w:rPr>
          <w:sz w:val="20"/>
          <w:szCs w:val="20"/>
          <w:color w:val="auto"/>
        </w:rPr>
      </w:pPr>
    </w:p>
    <w:p>
      <w:pPr>
        <w:jc w:val="both"/>
        <w:ind w:right="220" w:firstLine="537"/>
        <w:spacing w:after="0" w:line="234" w:lineRule="auto"/>
        <w:rPr>
          <w:sz w:val="20"/>
          <w:szCs w:val="20"/>
          <w:color w:val="auto"/>
        </w:rPr>
      </w:pPr>
      <w:r>
        <w:rPr>
          <w:rFonts w:ascii="Arial" w:cs="Arial" w:eastAsia="Arial" w:hAnsi="Arial"/>
          <w:sz w:val="16"/>
          <w:szCs w:val="16"/>
          <w:color w:val="auto"/>
        </w:rPr>
        <w:t>Certain lease contracts may contain an option to extend or terminate the lease. The Company considers the economic impact of extension and termination options by contract. If the Company concludes it is reasonably certain an option will be exercised, that option is included in the lease term and impacts the amount recorded as an ROU asset and lease liability upon inception of the contract.</w:t>
      </w:r>
    </w:p>
    <w:p>
      <w:pPr>
        <w:spacing w:after="0" w:line="84" w:lineRule="exact"/>
        <w:rPr>
          <w:sz w:val="20"/>
          <w:szCs w:val="20"/>
          <w:color w:val="auto"/>
        </w:rPr>
      </w:pPr>
    </w:p>
    <w:p>
      <w:pPr>
        <w:ind w:right="40" w:firstLine="537"/>
        <w:spacing w:after="0" w:line="232" w:lineRule="auto"/>
        <w:rPr>
          <w:sz w:val="20"/>
          <w:szCs w:val="20"/>
          <w:color w:val="auto"/>
        </w:rPr>
      </w:pPr>
      <w:r>
        <w:rPr>
          <w:rFonts w:ascii="Arial" w:cs="Arial" w:eastAsia="Arial" w:hAnsi="Arial"/>
          <w:sz w:val="16"/>
          <w:szCs w:val="16"/>
          <w:color w:val="auto"/>
        </w:rPr>
        <w:t>The Company's lease liability is determined by discounting the future cash flows over the lease period. The Company determines its discount rates utilizing current secured financing rates based on the length of the lease period plus the Company's margin over LIBOR on the New Term Loan. The Company believes this rate effectively represents a borrowing rate the Company could obtain on a debt instrument possessing similar terms as the lease. The lease liability is classified between current and non-current liabilities based on the terms of the underlying leases. The weighted average discount rate on operating leases as of September 30, 2019 was 4.35%.</w:t>
      </w:r>
    </w:p>
    <w:p>
      <w:pPr>
        <w:spacing w:after="0" w:line="85" w:lineRule="exact"/>
        <w:rPr>
          <w:sz w:val="20"/>
          <w:szCs w:val="20"/>
          <w:color w:val="auto"/>
        </w:rPr>
      </w:pPr>
    </w:p>
    <w:p>
      <w:pPr>
        <w:ind w:right="20" w:firstLine="537"/>
        <w:spacing w:after="0" w:line="237" w:lineRule="auto"/>
        <w:rPr>
          <w:sz w:val="20"/>
          <w:szCs w:val="20"/>
          <w:color w:val="auto"/>
        </w:rPr>
      </w:pPr>
      <w:r>
        <w:rPr>
          <w:rFonts w:ascii="Arial" w:cs="Arial" w:eastAsia="Arial" w:hAnsi="Arial"/>
          <w:sz w:val="16"/>
          <w:szCs w:val="16"/>
          <w:color w:val="auto"/>
        </w:rPr>
        <w:t>As of December 31, 2018, future undiscounted payments under operating leases (as defined by prior guidance) are expected to be as follows for the next five annual periods and thereafter following December 31,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jc w:val="right"/>
              <w:ind w:right="585"/>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94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ind w:right="865"/>
              <w:spacing w:after="0"/>
              <w:rPr>
                <w:sz w:val="20"/>
                <w:szCs w:val="20"/>
                <w:color w:val="auto"/>
              </w:rPr>
            </w:pPr>
            <w:r>
              <w:rPr>
                <w:rFonts w:ascii="Arial" w:cs="Arial" w:eastAsia="Arial" w:hAnsi="Arial"/>
                <w:sz w:val="13"/>
                <w:szCs w:val="13"/>
                <w:b w:val="1"/>
                <w:bCs w:val="1"/>
                <w:color w:val="auto"/>
              </w:rPr>
              <w:t>2018</w:t>
            </w:r>
          </w:p>
        </w:tc>
      </w:tr>
      <w:tr>
        <w:trPr>
          <w:trHeight w:val="179"/>
        </w:trPr>
        <w:tc>
          <w:tcPr>
            <w:tcW w:w="9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2019</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7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4</w:t>
            </w:r>
          </w:p>
        </w:tc>
      </w:tr>
      <w:tr>
        <w:trPr>
          <w:trHeight w:val="188"/>
        </w:trPr>
        <w:tc>
          <w:tcPr>
            <w:tcW w:w="9420" w:type="dxa"/>
            <w:vAlign w:val="bottom"/>
          </w:tcPr>
          <w:p>
            <w:pPr>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Arial" w:cs="Arial" w:eastAsia="Arial" w:hAnsi="Arial"/>
                <w:sz w:val="16"/>
                <w:szCs w:val="16"/>
                <w:b w:val="1"/>
                <w:bCs w:val="1"/>
                <w:color w:val="auto"/>
              </w:rPr>
              <w:t>3</w:t>
            </w:r>
          </w:p>
        </w:tc>
      </w:tr>
      <w:tr>
        <w:trPr>
          <w:trHeight w:val="188"/>
        </w:trPr>
        <w:tc>
          <w:tcPr>
            <w:tcW w:w="942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320" w:type="dxa"/>
            <w:vAlign w:val="bottom"/>
            <w:shd w:val="clear" w:color="auto" w:fill="CFF0FC"/>
          </w:tcPr>
          <w:p>
            <w:pPr>
              <w:spacing w:after="0"/>
              <w:rPr>
                <w:sz w:val="16"/>
                <w:szCs w:val="16"/>
                <w:color w:val="auto"/>
              </w:rPr>
            </w:pPr>
          </w:p>
        </w:tc>
        <w:tc>
          <w:tcPr>
            <w:tcW w:w="17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2</w:t>
            </w:r>
          </w:p>
        </w:tc>
      </w:tr>
      <w:tr>
        <w:trPr>
          <w:trHeight w:val="188"/>
        </w:trPr>
        <w:tc>
          <w:tcPr>
            <w:tcW w:w="9420" w:type="dxa"/>
            <w:vAlign w:val="bottom"/>
          </w:tcPr>
          <w:p>
            <w:pPr>
              <w:spacing w:after="0"/>
              <w:rPr>
                <w:sz w:val="20"/>
                <w:szCs w:val="20"/>
                <w:color w:val="auto"/>
              </w:rPr>
            </w:pPr>
            <w:r>
              <w:rPr>
                <w:rFonts w:ascii="Arial" w:cs="Arial" w:eastAsia="Arial" w:hAnsi="Arial"/>
                <w:sz w:val="16"/>
                <w:szCs w:val="16"/>
                <w:color w:val="auto"/>
              </w:rPr>
              <w:t>2022</w:t>
            </w:r>
          </w:p>
        </w:tc>
        <w:tc>
          <w:tcPr>
            <w:tcW w:w="320" w:type="dxa"/>
            <w:vAlign w:val="bottom"/>
          </w:tcPr>
          <w:p>
            <w:pPr>
              <w:spacing w:after="0"/>
              <w:rPr>
                <w:sz w:val="16"/>
                <w:szCs w:val="16"/>
                <w:color w:val="auto"/>
              </w:rPr>
            </w:pPr>
          </w:p>
        </w:tc>
        <w:tc>
          <w:tcPr>
            <w:tcW w:w="1700" w:type="dxa"/>
            <w:vAlign w:val="bottom"/>
          </w:tcPr>
          <w:p>
            <w:pPr>
              <w:jc w:val="right"/>
              <w:ind w:right="45"/>
              <w:spacing w:after="0"/>
              <w:rPr>
                <w:sz w:val="20"/>
                <w:szCs w:val="20"/>
                <w:color w:val="auto"/>
              </w:rPr>
            </w:pPr>
            <w:r>
              <w:rPr>
                <w:rFonts w:ascii="Arial" w:cs="Arial" w:eastAsia="Arial" w:hAnsi="Arial"/>
                <w:sz w:val="16"/>
                <w:szCs w:val="16"/>
                <w:b w:val="1"/>
                <w:bCs w:val="1"/>
                <w:color w:val="auto"/>
              </w:rPr>
              <w:t>1</w:t>
            </w:r>
          </w:p>
        </w:tc>
      </w:tr>
      <w:tr>
        <w:trPr>
          <w:trHeight w:val="188"/>
        </w:trPr>
        <w:tc>
          <w:tcPr>
            <w:tcW w:w="942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20" w:type="dxa"/>
            <w:vAlign w:val="bottom"/>
            <w:shd w:val="clear" w:color="auto" w:fill="CFF0FC"/>
          </w:tcPr>
          <w:p>
            <w:pPr>
              <w:spacing w:after="0"/>
              <w:rPr>
                <w:sz w:val="16"/>
                <w:szCs w:val="16"/>
                <w:color w:val="auto"/>
              </w:rPr>
            </w:pPr>
          </w:p>
        </w:tc>
        <w:tc>
          <w:tcPr>
            <w:tcW w:w="170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w:t>
            </w:r>
          </w:p>
        </w:tc>
      </w:tr>
      <w:tr>
        <w:trPr>
          <w:trHeight w:val="188"/>
        </w:trPr>
        <w:tc>
          <w:tcPr>
            <w:tcW w:w="9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w:t>
            </w:r>
          </w:p>
        </w:tc>
      </w:tr>
      <w:tr>
        <w:trPr>
          <w:trHeight w:val="179"/>
        </w:trPr>
        <w:tc>
          <w:tcPr>
            <w:tcW w:w="942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7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11</w:t>
            </w:r>
          </w:p>
        </w:tc>
      </w:tr>
      <w:tr>
        <w:trPr>
          <w:trHeight w:val="20"/>
        </w:trPr>
        <w:tc>
          <w:tcPr>
            <w:tcW w:w="9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100" w:firstLine="537"/>
        <w:spacing w:after="0" w:line="237" w:lineRule="auto"/>
        <w:rPr>
          <w:sz w:val="20"/>
          <w:szCs w:val="20"/>
          <w:color w:val="auto"/>
        </w:rPr>
      </w:pPr>
      <w:r>
        <w:rPr>
          <w:rFonts w:ascii="Arial" w:cs="Arial" w:eastAsia="Arial" w:hAnsi="Arial"/>
          <w:sz w:val="16"/>
          <w:szCs w:val="16"/>
          <w:color w:val="auto"/>
        </w:rPr>
        <w:t>As of September 30, 2019, the Company recorded current and non-current operating lease liabilities of $4 million and $16 million, respectively. The following table reconciles total operating lease liabilities as of September 30, 2019 to future undiscounted cash flows for operating leases: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tcPr>
          <w:p>
            <w:pPr>
              <w:jc w:val="right"/>
              <w:ind w:right="565"/>
              <w:spacing w:after="0"/>
              <w:rPr>
                <w:sz w:val="20"/>
                <w:szCs w:val="20"/>
                <w:color w:val="auto"/>
              </w:rPr>
            </w:pPr>
            <w:r>
              <w:rPr>
                <w:rFonts w:ascii="Arial" w:cs="Arial" w:eastAsia="Arial" w:hAnsi="Arial"/>
                <w:sz w:val="13"/>
                <w:szCs w:val="13"/>
                <w:b w:val="1"/>
                <w:bCs w:val="1"/>
                <w:color w:val="auto"/>
              </w:rPr>
              <w:t>September 30,</w:t>
            </w:r>
          </w:p>
        </w:tc>
        <w:tc>
          <w:tcPr>
            <w:tcW w:w="0" w:type="dxa"/>
            <w:vAlign w:val="bottom"/>
          </w:tcPr>
          <w:p>
            <w:pPr>
              <w:spacing w:after="0"/>
              <w:rPr>
                <w:sz w:val="1"/>
                <w:szCs w:val="1"/>
                <w:color w:val="auto"/>
              </w:rPr>
            </w:pPr>
          </w:p>
        </w:tc>
      </w:tr>
      <w:tr>
        <w:trPr>
          <w:trHeight w:val="153"/>
        </w:trPr>
        <w:tc>
          <w:tcPr>
            <w:tcW w:w="4000" w:type="dxa"/>
            <w:vAlign w:val="bottom"/>
            <w:tcBorders>
              <w:bottom w:val="single" w:sz="8" w:color="CFF0FC"/>
            </w:tcBorders>
          </w:tcPr>
          <w:p>
            <w:pPr>
              <w:spacing w:after="0"/>
              <w:rPr>
                <w:sz w:val="13"/>
                <w:szCs w:val="13"/>
                <w:color w:val="auto"/>
              </w:rPr>
            </w:pPr>
          </w:p>
        </w:tc>
        <w:tc>
          <w:tcPr>
            <w:tcW w:w="5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86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9"/>
        </w:trPr>
        <w:tc>
          <w:tcPr>
            <w:tcW w:w="40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2019</w:t>
            </w:r>
          </w:p>
        </w:tc>
        <w:tc>
          <w:tcPr>
            <w:tcW w:w="54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7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Arial" w:cs="Arial" w:eastAsia="Arial" w:hAnsi="Arial"/>
                <w:sz w:val="16"/>
                <w:szCs w:val="16"/>
                <w:color w:val="auto"/>
              </w:rPr>
              <w:t>2020</w:t>
            </w:r>
          </w:p>
        </w:tc>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jc w:val="right"/>
              <w:ind w:right="45"/>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5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188"/>
        </w:trPr>
        <w:tc>
          <w:tcPr>
            <w:tcW w:w="4000" w:type="dxa"/>
            <w:vAlign w:val="bottom"/>
          </w:tcPr>
          <w:p>
            <w:pPr>
              <w:spacing w:after="0"/>
              <w:rPr>
                <w:sz w:val="20"/>
                <w:szCs w:val="20"/>
                <w:color w:val="auto"/>
              </w:rPr>
            </w:pPr>
            <w:r>
              <w:rPr>
                <w:rFonts w:ascii="Arial" w:cs="Arial" w:eastAsia="Arial" w:hAnsi="Arial"/>
                <w:sz w:val="16"/>
                <w:szCs w:val="16"/>
                <w:color w:val="auto"/>
              </w:rPr>
              <w:t>2022</w:t>
            </w:r>
          </w:p>
        </w:tc>
        <w:tc>
          <w:tcPr>
            <w:tcW w:w="5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20" w:type="dxa"/>
            <w:vAlign w:val="bottom"/>
          </w:tcPr>
          <w:p>
            <w:pPr>
              <w:jc w:val="right"/>
              <w:ind w:right="45"/>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88"/>
        </w:trPr>
        <w:tc>
          <w:tcPr>
            <w:tcW w:w="400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5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54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179"/>
        </w:trPr>
        <w:tc>
          <w:tcPr>
            <w:tcW w:w="4000" w:type="dxa"/>
            <w:vAlign w:val="bottom"/>
            <w:shd w:val="clear" w:color="auto" w:fill="CFF0FC"/>
          </w:tcPr>
          <w:p>
            <w:pPr>
              <w:ind w:left="200"/>
              <w:spacing w:after="0" w:line="180" w:lineRule="exact"/>
              <w:rPr>
                <w:sz w:val="20"/>
                <w:szCs w:val="20"/>
                <w:color w:val="auto"/>
              </w:rPr>
            </w:pPr>
            <w:r>
              <w:rPr>
                <w:rFonts w:ascii="Arial" w:cs="Arial" w:eastAsia="Arial" w:hAnsi="Arial"/>
                <w:sz w:val="16"/>
                <w:szCs w:val="16"/>
                <w:color w:val="auto"/>
              </w:rPr>
              <w:t>Total lease payments</w:t>
            </w:r>
          </w:p>
        </w:tc>
        <w:tc>
          <w:tcPr>
            <w:tcW w:w="542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7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188"/>
        </w:trPr>
        <w:tc>
          <w:tcPr>
            <w:tcW w:w="400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Less: Interest</w:t>
            </w:r>
          </w:p>
        </w:tc>
        <w:tc>
          <w:tcPr>
            <w:tcW w:w="54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179"/>
        </w:trPr>
        <w:tc>
          <w:tcPr>
            <w:tcW w:w="4000" w:type="dxa"/>
            <w:vAlign w:val="bottom"/>
            <w:tcBorders>
              <w:bottom w:val="single" w:sz="8" w:color="CFF0FC"/>
            </w:tcBorders>
            <w:shd w:val="clear" w:color="auto" w:fill="CFF0FC"/>
          </w:tcPr>
          <w:p>
            <w:pPr>
              <w:ind w:left="200"/>
              <w:spacing w:after="0" w:line="180" w:lineRule="exact"/>
              <w:rPr>
                <w:sz w:val="20"/>
                <w:szCs w:val="20"/>
                <w:color w:val="auto"/>
              </w:rPr>
            </w:pPr>
            <w:r>
              <w:rPr>
                <w:rFonts w:ascii="Arial" w:cs="Arial" w:eastAsia="Arial" w:hAnsi="Arial"/>
                <w:sz w:val="16"/>
                <w:szCs w:val="16"/>
                <w:color w:val="auto"/>
              </w:rPr>
              <w:t>Present value of lease liabilities</w:t>
            </w:r>
          </w:p>
        </w:tc>
        <w:tc>
          <w:tcPr>
            <w:tcW w:w="54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72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20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5420" w:type="dxa"/>
            <w:vAlign w:val="bottom"/>
            <w:vMerge w:val="restart"/>
          </w:tcPr>
          <w:p>
            <w:pPr>
              <w:jc w:val="right"/>
              <w:ind w:right="3542"/>
              <w:spacing w:after="0"/>
              <w:rPr>
                <w:sz w:val="20"/>
                <w:szCs w:val="20"/>
                <w:color w:val="auto"/>
              </w:rPr>
            </w:pPr>
            <w:r>
              <w:rPr>
                <w:rFonts w:ascii="Arial" w:cs="Arial" w:eastAsia="Arial" w:hAnsi="Arial"/>
                <w:sz w:val="16"/>
                <w:szCs w:val="16"/>
                <w:color w:val="auto"/>
              </w:rPr>
              <w:t>18</w:t>
            </w: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00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00" w:type="dxa"/>
            <w:vAlign w:val="bottom"/>
            <w:tcBorders>
              <w:bottom w:val="single" w:sz="8" w:color="9A9A9A"/>
            </w:tcBorders>
          </w:tcPr>
          <w:p>
            <w:pPr>
              <w:spacing w:after="0"/>
              <w:rPr>
                <w:sz w:val="7"/>
                <w:szCs w:val="7"/>
                <w:color w:val="auto"/>
              </w:rPr>
            </w:pPr>
          </w:p>
        </w:tc>
        <w:tc>
          <w:tcPr>
            <w:tcW w:w="54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right="380" w:firstLine="537"/>
        <w:spacing w:after="0" w:line="237" w:lineRule="auto"/>
        <w:rPr>
          <w:sz w:val="20"/>
          <w:szCs w:val="20"/>
          <w:color w:val="auto"/>
        </w:rPr>
      </w:pPr>
      <w:r>
        <w:rPr>
          <w:rFonts w:ascii="Arial" w:cs="Arial" w:eastAsia="Arial" w:hAnsi="Arial"/>
          <w:sz w:val="16"/>
          <w:szCs w:val="16"/>
          <w:color w:val="auto"/>
        </w:rPr>
        <w:t>ROU assets are calculated as the related lease liability adjusted for lease incentives, prepayments and the effect of escalating lease payments on period expense. The below table depicts the ROU assets held by the Company based on the underlying asset: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tcPr>
          <w:p>
            <w:pPr>
              <w:jc w:val="right"/>
              <w:ind w:right="566"/>
              <w:spacing w:after="0"/>
              <w:rPr>
                <w:sz w:val="20"/>
                <w:szCs w:val="20"/>
                <w:color w:val="auto"/>
              </w:rPr>
            </w:pPr>
            <w:r>
              <w:rPr>
                <w:rFonts w:ascii="Arial" w:cs="Arial" w:eastAsia="Arial" w:hAnsi="Arial"/>
                <w:sz w:val="13"/>
                <w:szCs w:val="13"/>
                <w:b w:val="1"/>
                <w:bCs w:val="1"/>
                <w:color w:val="auto"/>
              </w:rPr>
              <w:t>September 30,</w:t>
            </w:r>
          </w:p>
        </w:tc>
      </w:tr>
      <w:tr>
        <w:trPr>
          <w:trHeight w:val="153"/>
        </w:trPr>
        <w:tc>
          <w:tcPr>
            <w:tcW w:w="94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866"/>
              <w:spacing w:after="0"/>
              <w:rPr>
                <w:sz w:val="20"/>
                <w:szCs w:val="20"/>
                <w:color w:val="auto"/>
              </w:rPr>
            </w:pPr>
            <w:r>
              <w:rPr>
                <w:rFonts w:ascii="Arial" w:cs="Arial" w:eastAsia="Arial" w:hAnsi="Arial"/>
                <w:sz w:val="13"/>
                <w:szCs w:val="13"/>
                <w:b w:val="1"/>
                <w:bCs w:val="1"/>
                <w:color w:val="auto"/>
              </w:rPr>
              <w:t>2019</w:t>
            </w:r>
          </w:p>
        </w:tc>
      </w:tr>
      <w:tr>
        <w:trPr>
          <w:trHeight w:val="179"/>
        </w:trPr>
        <w:tc>
          <w:tcPr>
            <w:tcW w:w="9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Buildings</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720" w:type="dxa"/>
            <w:vAlign w:val="bottom"/>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19</w:t>
            </w:r>
          </w:p>
        </w:tc>
      </w:tr>
      <w:tr>
        <w:trPr>
          <w:trHeight w:val="188"/>
        </w:trPr>
        <w:tc>
          <w:tcPr>
            <w:tcW w:w="9420" w:type="dxa"/>
            <w:vAlign w:val="bottom"/>
          </w:tcPr>
          <w:p>
            <w:pPr>
              <w:spacing w:after="0"/>
              <w:rPr>
                <w:sz w:val="20"/>
                <w:szCs w:val="20"/>
                <w:color w:val="auto"/>
              </w:rPr>
            </w:pPr>
            <w:r>
              <w:rPr>
                <w:rFonts w:ascii="Arial" w:cs="Arial" w:eastAsia="Arial" w:hAnsi="Arial"/>
                <w:sz w:val="16"/>
                <w:szCs w:val="16"/>
                <w:color w:val="auto"/>
              </w:rPr>
              <w:t>Land</w:t>
            </w:r>
          </w:p>
        </w:tc>
        <w:tc>
          <w:tcPr>
            <w:tcW w:w="300" w:type="dxa"/>
            <w:vAlign w:val="bottom"/>
          </w:tcPr>
          <w:p>
            <w:pPr>
              <w:spacing w:after="0"/>
              <w:rPr>
                <w:sz w:val="16"/>
                <w:szCs w:val="16"/>
                <w:color w:val="auto"/>
              </w:rPr>
            </w:pPr>
          </w:p>
        </w:tc>
        <w:tc>
          <w:tcPr>
            <w:tcW w:w="1720" w:type="dxa"/>
            <w:vAlign w:val="bottom"/>
          </w:tcPr>
          <w:p>
            <w:pPr>
              <w:jc w:val="right"/>
              <w:ind w:right="46"/>
              <w:spacing w:after="0"/>
              <w:rPr>
                <w:sz w:val="20"/>
                <w:szCs w:val="20"/>
                <w:color w:val="auto"/>
              </w:rPr>
            </w:pPr>
            <w:r>
              <w:rPr>
                <w:rFonts w:ascii="Arial" w:cs="Arial" w:eastAsia="Arial" w:hAnsi="Arial"/>
                <w:sz w:val="16"/>
                <w:szCs w:val="16"/>
                <w:b w:val="1"/>
                <w:bCs w:val="1"/>
                <w:color w:val="auto"/>
              </w:rPr>
              <w:t>1</w:t>
            </w:r>
          </w:p>
        </w:tc>
      </w:tr>
      <w:tr>
        <w:trPr>
          <w:trHeight w:val="188"/>
        </w:trPr>
        <w:tc>
          <w:tcPr>
            <w:tcW w:w="9420" w:type="dxa"/>
            <w:vAlign w:val="bottom"/>
            <w:shd w:val="clear" w:color="auto" w:fill="CFF0FC"/>
          </w:tcPr>
          <w:p>
            <w:pPr>
              <w:spacing w:after="0"/>
              <w:rPr>
                <w:sz w:val="20"/>
                <w:szCs w:val="20"/>
                <w:color w:val="auto"/>
              </w:rPr>
            </w:pPr>
            <w:r>
              <w:rPr>
                <w:rFonts w:ascii="Arial" w:cs="Arial" w:eastAsia="Arial" w:hAnsi="Arial"/>
                <w:sz w:val="16"/>
                <w:szCs w:val="16"/>
                <w:color w:val="auto"/>
              </w:rPr>
              <w:t>Vehicles</w:t>
            </w:r>
          </w:p>
        </w:tc>
        <w:tc>
          <w:tcPr>
            <w:tcW w:w="300" w:type="dxa"/>
            <w:vAlign w:val="bottom"/>
            <w:shd w:val="clear" w:color="auto" w:fill="CFF0FC"/>
          </w:tcPr>
          <w:p>
            <w:pPr>
              <w:spacing w:after="0"/>
              <w:rPr>
                <w:sz w:val="16"/>
                <w:szCs w:val="16"/>
                <w:color w:val="auto"/>
              </w:rPr>
            </w:pPr>
          </w:p>
        </w:tc>
        <w:tc>
          <w:tcPr>
            <w:tcW w:w="172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1</w:t>
            </w:r>
          </w:p>
        </w:tc>
      </w:tr>
      <w:tr>
        <w:trPr>
          <w:trHeight w:val="188"/>
        </w:trPr>
        <w:tc>
          <w:tcPr>
            <w:tcW w:w="9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Equipment</w:t>
            </w: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b w:val="1"/>
                <w:bCs w:val="1"/>
                <w:color w:val="auto"/>
              </w:rPr>
              <w:t>—</w:t>
            </w:r>
          </w:p>
        </w:tc>
      </w:tr>
      <w:tr>
        <w:trPr>
          <w:trHeight w:val="179"/>
        </w:trPr>
        <w:tc>
          <w:tcPr>
            <w:tcW w:w="942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right-of-use assets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720" w:type="dxa"/>
            <w:vAlign w:val="bottom"/>
            <w:tcBorders>
              <w:bottom w:val="single" w:sz="8" w:color="auto"/>
            </w:tcBorders>
            <w:shd w:val="clear" w:color="auto" w:fill="CFF0FC"/>
          </w:tcPr>
          <w:p>
            <w:pPr>
              <w:jc w:val="right"/>
              <w:ind w:right="46"/>
              <w:spacing w:after="0" w:line="180" w:lineRule="exact"/>
              <w:rPr>
                <w:sz w:val="20"/>
                <w:szCs w:val="20"/>
                <w:color w:val="auto"/>
              </w:rPr>
            </w:pPr>
            <w:r>
              <w:rPr>
                <w:rFonts w:ascii="Arial" w:cs="Arial" w:eastAsia="Arial" w:hAnsi="Arial"/>
                <w:sz w:val="16"/>
                <w:szCs w:val="16"/>
                <w:b w:val="1"/>
                <w:bCs w:val="1"/>
                <w:color w:val="auto"/>
              </w:rPr>
              <w:t>21</w:t>
            </w:r>
          </w:p>
        </w:tc>
      </w:tr>
      <w:tr>
        <w:trPr>
          <w:trHeight w:val="20"/>
        </w:trPr>
        <w:tc>
          <w:tcPr>
            <w:tcW w:w="9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weighted average remaining lease term as of September 30, 2019 was 6.89 years.</w:t>
      </w:r>
    </w:p>
    <w:p>
      <w:pPr>
        <w:spacing w:after="0" w:line="86" w:lineRule="exact"/>
        <w:rPr>
          <w:sz w:val="20"/>
          <w:szCs w:val="20"/>
          <w:color w:val="auto"/>
        </w:rPr>
      </w:pPr>
    </w:p>
    <w:p>
      <w:pPr>
        <w:ind w:right="200" w:firstLine="537"/>
        <w:spacing w:after="0" w:line="234" w:lineRule="auto"/>
        <w:rPr>
          <w:sz w:val="20"/>
          <w:szCs w:val="20"/>
          <w:color w:val="auto"/>
        </w:rPr>
      </w:pPr>
      <w:r>
        <w:rPr>
          <w:rFonts w:ascii="Arial" w:cs="Arial" w:eastAsia="Arial" w:hAnsi="Arial"/>
          <w:sz w:val="16"/>
          <w:szCs w:val="16"/>
          <w:color w:val="auto"/>
        </w:rPr>
        <w:t>Operating lease expense was $1 million and $4 million for the three and nine months ended September 30, 2019, respectively, and recorded within Selling, general and administrative expense and Engineering - research and development on the Company's Condensed Consolidated Statements of Comprehensive Income. There was no short-term operating lease expense for the three and nine months ended September 30, 2019.</w:t>
      </w:r>
    </w:p>
    <w:p>
      <w:pPr>
        <w:spacing w:after="0" w:line="84" w:lineRule="exact"/>
        <w:rPr>
          <w:sz w:val="20"/>
          <w:szCs w:val="20"/>
          <w:color w:val="auto"/>
        </w:rPr>
      </w:pPr>
    </w:p>
    <w:p>
      <w:pPr>
        <w:ind w:right="260" w:firstLine="537"/>
        <w:spacing w:after="0" w:line="265" w:lineRule="auto"/>
        <w:rPr>
          <w:sz w:val="20"/>
          <w:szCs w:val="20"/>
          <w:color w:val="auto"/>
        </w:rPr>
      </w:pPr>
      <w:r>
        <w:rPr>
          <w:rFonts w:ascii="Arial" w:cs="Arial" w:eastAsia="Arial" w:hAnsi="Arial"/>
          <w:sz w:val="15"/>
          <w:szCs w:val="15"/>
          <w:color w:val="auto"/>
        </w:rPr>
        <w:t>The calculation of the Company's ROU assets and lease liabilities did not include cash consideration as of September 30, 2019. During the three and nine months ended September 30, 2019, the Company recorded $2 million and $10 million of new ROU assets obtained through non-cash transactions,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L. OTHER CURRENT LIABILITIES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Other current liabilities consist of the following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gridSpan w:val="3"/>
          </w:tcPr>
          <w:p>
            <w:pPr>
              <w:jc w:val="center"/>
              <w:ind w:right="242"/>
              <w:spacing w:after="0"/>
              <w:rPr>
                <w:sz w:val="20"/>
                <w:szCs w:val="20"/>
                <w:color w:val="auto"/>
              </w:rPr>
            </w:pPr>
            <w:r>
              <w:rPr>
                <w:rFonts w:ascii="Arial" w:cs="Arial" w:eastAsia="Arial" w:hAnsi="Arial"/>
                <w:sz w:val="13"/>
                <w:szCs w:val="13"/>
                <w:b w:val="1"/>
                <w:bCs w:val="1"/>
                <w:color w:val="auto"/>
                <w:w w:val="98"/>
              </w:rPr>
              <w:t>As of</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98"/>
              </w:rPr>
              <w:t>As of</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4"/>
          </w:tcPr>
          <w:p>
            <w:pPr>
              <w:jc w:val="center"/>
              <w:ind w:left="226"/>
              <w:spacing w:after="0" w:line="141" w:lineRule="exact"/>
              <w:rPr>
                <w:sz w:val="20"/>
                <w:szCs w:val="20"/>
                <w:color w:val="auto"/>
              </w:rPr>
            </w:pPr>
            <w:r>
              <w:rPr>
                <w:rFonts w:ascii="Arial" w:cs="Arial" w:eastAsia="Arial" w:hAnsi="Arial"/>
                <w:sz w:val="13"/>
                <w:szCs w:val="13"/>
                <w:b w:val="1"/>
                <w:bCs w:val="1"/>
                <w:color w:val="auto"/>
                <w:w w:val="94"/>
              </w:rPr>
              <w:t>September 30,</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tcPr>
          <w:p>
            <w:pPr>
              <w:jc w:val="center"/>
              <w:spacing w:after="0" w:line="141" w:lineRule="exact"/>
              <w:rPr>
                <w:sz w:val="20"/>
                <w:szCs w:val="20"/>
                <w:color w:val="auto"/>
              </w:rPr>
            </w:pPr>
            <w:r>
              <w:rPr>
                <w:rFonts w:ascii="Arial" w:cs="Arial" w:eastAsia="Arial" w:hAnsi="Arial"/>
                <w:sz w:val="13"/>
                <w:szCs w:val="13"/>
                <w:b w:val="1"/>
                <w:bCs w:val="1"/>
                <w:color w:val="auto"/>
                <w:w w:val="94"/>
              </w:rPr>
              <w:t>December 31,</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40" w:type="dxa"/>
            <w:vAlign w:val="bottom"/>
            <w:tcBorders>
              <w:bottom w:val="single" w:sz="8" w:color="CFF0FC"/>
            </w:tcBorders>
          </w:tcPr>
          <w:p>
            <w:pPr>
              <w:spacing w:after="0"/>
              <w:rPr>
                <w:sz w:val="13"/>
                <w:szCs w:val="13"/>
                <w:color w:val="auto"/>
              </w:rPr>
            </w:pPr>
          </w:p>
        </w:tc>
        <w:tc>
          <w:tcPr>
            <w:tcW w:w="172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3"/>
          </w:tcPr>
          <w:p>
            <w:pPr>
              <w:jc w:val="center"/>
              <w:ind w:right="242"/>
              <w:spacing w:after="0"/>
              <w:rPr>
                <w:sz w:val="20"/>
                <w:szCs w:val="20"/>
                <w:color w:val="auto"/>
              </w:rPr>
            </w:pPr>
            <w:r>
              <w:rPr>
                <w:rFonts w:ascii="Arial" w:cs="Arial" w:eastAsia="Arial" w:hAnsi="Arial"/>
                <w:sz w:val="13"/>
                <w:szCs w:val="13"/>
                <w:b w:val="1"/>
                <w:bCs w:val="1"/>
                <w:color w:val="auto"/>
                <w:w w:val="96"/>
              </w:rPr>
              <w:t>2019</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2018</w:t>
            </w: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24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Payroll and related costs</w:t>
            </w:r>
          </w:p>
        </w:tc>
        <w:tc>
          <w:tcPr>
            <w:tcW w:w="17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20" w:type="dxa"/>
            <w:vAlign w:val="bottom"/>
            <w:shd w:val="clear" w:color="auto" w:fill="CFF0FC"/>
          </w:tcPr>
          <w:p>
            <w:pPr>
              <w:jc w:val="center"/>
              <w:ind w:right="466"/>
              <w:spacing w:after="0" w:line="180" w:lineRule="exact"/>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b w:val="1"/>
                <w:bCs w:val="1"/>
                <w:color w:val="auto"/>
              </w:rPr>
              <w:t>76</w:t>
            </w:r>
          </w:p>
        </w:tc>
        <w:tc>
          <w:tcPr>
            <w:tcW w:w="460" w:type="dxa"/>
            <w:vAlign w:val="bottom"/>
            <w:gridSpan w:val="2"/>
            <w:shd w:val="clear" w:color="auto" w:fill="CFF0FC"/>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62"/>
              <w:spacing w:after="0" w:line="180"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20"/>
                <w:szCs w:val="20"/>
                <w:color w:val="auto"/>
              </w:rPr>
            </w:pPr>
            <w:r>
              <w:rPr>
                <w:rFonts w:ascii="Arial" w:cs="Arial" w:eastAsia="Arial" w:hAnsi="Arial"/>
                <w:sz w:val="16"/>
                <w:szCs w:val="16"/>
                <w:color w:val="auto"/>
              </w:rPr>
              <w:t>Accrued interest payable</w:t>
            </w: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45"/>
              <w:spacing w:after="0"/>
              <w:rPr>
                <w:sz w:val="20"/>
                <w:szCs w:val="20"/>
                <w:color w:val="auto"/>
              </w:rPr>
            </w:pPr>
            <w:r>
              <w:rPr>
                <w:rFonts w:ascii="Arial" w:cs="Arial" w:eastAsia="Arial" w:hAnsi="Arial"/>
                <w:sz w:val="16"/>
                <w:szCs w:val="16"/>
                <w:b w:val="1"/>
                <w:bCs w:val="1"/>
                <w:color w:val="auto"/>
              </w:rPr>
              <w:t>51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62"/>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88"/>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Sales allowances</w:t>
            </w: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30</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20"/>
                <w:szCs w:val="20"/>
                <w:color w:val="auto"/>
              </w:rPr>
            </w:pPr>
            <w:r>
              <w:rPr>
                <w:rFonts w:ascii="Arial" w:cs="Arial" w:eastAsia="Arial" w:hAnsi="Arial"/>
                <w:sz w:val="16"/>
                <w:szCs w:val="16"/>
                <w:color w:val="auto"/>
              </w:rPr>
              <w:t>Vendor buyback obligation</w:t>
            </w: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45"/>
              <w:spacing w:after="0"/>
              <w:rPr>
                <w:sz w:val="20"/>
                <w:szCs w:val="20"/>
                <w:color w:val="auto"/>
              </w:rPr>
            </w:pPr>
            <w:r>
              <w:rPr>
                <w:rFonts w:ascii="Arial" w:cs="Arial" w:eastAsia="Arial" w:hAnsi="Arial"/>
                <w:sz w:val="16"/>
                <w:szCs w:val="16"/>
                <w:b w:val="1"/>
                <w:bCs w:val="1"/>
                <w:color w:val="auto"/>
              </w:rPr>
              <w:t>17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6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8"/>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Taxes payable</w:t>
            </w: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11</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20"/>
                <w:szCs w:val="20"/>
                <w:color w:val="auto"/>
              </w:rPr>
            </w:pPr>
            <w:r>
              <w:rPr>
                <w:rFonts w:ascii="Arial" w:cs="Arial" w:eastAsia="Arial" w:hAnsi="Arial"/>
                <w:sz w:val="16"/>
                <w:szCs w:val="16"/>
                <w:color w:val="auto"/>
              </w:rPr>
              <w:t>Defense price reduction reserve</w:t>
            </w: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45"/>
              <w:spacing w:after="0"/>
              <w:rPr>
                <w:sz w:val="20"/>
                <w:szCs w:val="20"/>
                <w:color w:val="auto"/>
              </w:rPr>
            </w:pPr>
            <w:r>
              <w:rPr>
                <w:rFonts w:ascii="Arial" w:cs="Arial" w:eastAsia="Arial" w:hAnsi="Arial"/>
                <w:sz w:val="16"/>
                <w:szCs w:val="16"/>
                <w:b w:val="1"/>
                <w:bCs w:val="1"/>
                <w:color w:val="auto"/>
              </w:rPr>
              <w:t>9</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62"/>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Derivative liabilities</w:t>
            </w: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7</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20"/>
                <w:szCs w:val="20"/>
                <w:color w:val="auto"/>
              </w:rPr>
            </w:pPr>
            <w:r>
              <w:rPr>
                <w:rFonts w:ascii="Arial" w:cs="Arial" w:eastAsia="Arial" w:hAnsi="Arial"/>
                <w:sz w:val="16"/>
                <w:szCs w:val="16"/>
                <w:color w:val="auto"/>
              </w:rPr>
              <w:t>Lease liability</w:t>
            </w: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45"/>
              <w:spacing w:after="0"/>
              <w:rPr>
                <w:sz w:val="20"/>
                <w:szCs w:val="20"/>
                <w:color w:val="auto"/>
              </w:rPr>
            </w:pPr>
            <w:r>
              <w:rPr>
                <w:rFonts w:ascii="Arial" w:cs="Arial" w:eastAsia="Arial" w:hAnsi="Arial"/>
                <w:sz w:val="16"/>
                <w:szCs w:val="16"/>
                <w:b w:val="1"/>
                <w:bCs w:val="1"/>
                <w:color w:val="auto"/>
              </w:rPr>
              <w:t>4</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Vendor liability</w:t>
            </w: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3</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20"/>
                <w:szCs w:val="20"/>
                <w:color w:val="auto"/>
              </w:rPr>
            </w:pPr>
            <w:r>
              <w:rPr>
                <w:rFonts w:ascii="Arial" w:cs="Arial" w:eastAsia="Arial" w:hAnsi="Arial"/>
                <w:sz w:val="16"/>
                <w:szCs w:val="16"/>
                <w:color w:val="auto"/>
              </w:rPr>
              <w:t>Non-trade payables</w:t>
            </w: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jc w:val="right"/>
              <w:ind w:right="45"/>
              <w:spacing w:after="0"/>
              <w:rPr>
                <w:sz w:val="20"/>
                <w:szCs w:val="20"/>
                <w:color w:val="auto"/>
              </w:rPr>
            </w:pPr>
            <w:r>
              <w:rPr>
                <w:rFonts w:ascii="Arial" w:cs="Arial" w:eastAsia="Arial" w:hAnsi="Arial"/>
                <w:sz w:val="16"/>
                <w:szCs w:val="16"/>
                <w:b w:val="1"/>
                <w:bCs w:val="1"/>
                <w:color w:val="auto"/>
              </w:rPr>
              <w:t>3</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6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Other accruals</w:t>
            </w: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b w:val="1"/>
                <w:bCs w:val="1"/>
                <w:color w:val="auto"/>
              </w:rPr>
              <w:t>15</w:t>
            </w:r>
          </w:p>
        </w:tc>
        <w:tc>
          <w:tcPr>
            <w:tcW w:w="18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79"/>
        </w:trPr>
        <w:tc>
          <w:tcPr>
            <w:tcW w:w="424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466"/>
              <w:spacing w:after="0" w:line="180" w:lineRule="exact"/>
              <w:rPr>
                <w:sz w:val="20"/>
                <w:szCs w:val="20"/>
                <w:color w:val="auto"/>
              </w:rPr>
            </w:pPr>
            <w:r>
              <w:rPr>
                <w:rFonts w:ascii="Arial" w:cs="Arial" w:eastAsia="Arial" w:hAnsi="Arial"/>
                <w:sz w:val="16"/>
                <w:szCs w:val="16"/>
                <w:b w:val="1"/>
                <w:bCs w:val="1"/>
                <w:color w:val="auto"/>
                <w:w w:val="89"/>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jc w:val="right"/>
              <w:ind w:right="45"/>
              <w:spacing w:after="0" w:line="180" w:lineRule="exact"/>
              <w:rPr>
                <w:sz w:val="20"/>
                <w:szCs w:val="20"/>
                <w:color w:val="auto"/>
              </w:rPr>
            </w:pPr>
            <w:r>
              <w:rPr>
                <w:rFonts w:ascii="Arial" w:cs="Arial" w:eastAsia="Arial" w:hAnsi="Arial"/>
                <w:sz w:val="16"/>
                <w:szCs w:val="16"/>
                <w:b w:val="1"/>
                <w:bCs w:val="1"/>
                <w:color w:val="auto"/>
              </w:rPr>
              <w:t>226</w:t>
            </w:r>
          </w:p>
        </w:tc>
        <w:tc>
          <w:tcPr>
            <w:tcW w:w="460" w:type="dxa"/>
            <w:vAlign w:val="bottom"/>
            <w:gridSpan w:val="2"/>
          </w:tcPr>
          <w:p>
            <w:pPr>
              <w:jc w:val="right"/>
              <w:ind w:right="122"/>
              <w:spacing w:after="0" w:line="180"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jc w:val="right"/>
              <w:ind w:right="62"/>
              <w:spacing w:after="0" w:line="180" w:lineRule="exact"/>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NOTE M. EMPLOYEE BENEFIT PLANS</w:t>
            </w:r>
          </w:p>
        </w:tc>
        <w:tc>
          <w:tcPr>
            <w:tcW w:w="1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2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220" w:type="dxa"/>
            <w:vAlign w:val="bottom"/>
            <w:gridSpan w:val="4"/>
          </w:tcPr>
          <w:p>
            <w:pPr>
              <w:ind w:left="540"/>
              <w:spacing w:after="0"/>
              <w:rPr>
                <w:sz w:val="20"/>
                <w:szCs w:val="20"/>
                <w:color w:val="auto"/>
              </w:rPr>
            </w:pPr>
            <w:r>
              <w:rPr>
                <w:rFonts w:ascii="Arial" w:cs="Arial" w:eastAsia="Arial" w:hAnsi="Arial"/>
                <w:sz w:val="16"/>
                <w:szCs w:val="16"/>
                <w:color w:val="auto"/>
              </w:rPr>
              <w:t>Components of net periodic benefit cost (credit) consist of the following (dollars in millions):</w:t>
            </w: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0"/>
        </w:trPr>
        <w:tc>
          <w:tcPr>
            <w:tcW w:w="4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left="449"/>
              <w:spacing w:after="0"/>
              <w:rPr>
                <w:sz w:val="20"/>
                <w:szCs w:val="20"/>
                <w:color w:val="auto"/>
              </w:rPr>
            </w:pPr>
            <w:r>
              <w:rPr>
                <w:rFonts w:ascii="Arial" w:cs="Arial" w:eastAsia="Arial" w:hAnsi="Arial"/>
                <w:sz w:val="13"/>
                <w:szCs w:val="13"/>
                <w:b w:val="1"/>
                <w:bCs w:val="1"/>
                <w:color w:val="auto"/>
                <w:w w:val="96"/>
              </w:rPr>
              <w:t>Pension Plans</w:t>
            </w: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Post-retirement Benefits</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80" w:type="dxa"/>
            <w:vAlign w:val="bottom"/>
            <w:gridSpan w:val="5"/>
          </w:tcPr>
          <w:p>
            <w:pPr>
              <w:jc w:val="center"/>
              <w:ind w:right="186"/>
              <w:spacing w:after="0" w:line="133" w:lineRule="exact"/>
              <w:rPr>
                <w:sz w:val="20"/>
                <w:szCs w:val="20"/>
                <w:color w:val="auto"/>
              </w:rPr>
            </w:pPr>
            <w:r>
              <w:rPr>
                <w:rFonts w:ascii="Arial" w:cs="Arial" w:eastAsia="Arial" w:hAnsi="Arial"/>
                <w:sz w:val="13"/>
                <w:szCs w:val="13"/>
                <w:b w:val="1"/>
                <w:bCs w:val="1"/>
                <w:color w:val="auto"/>
                <w:w w:val="95"/>
              </w:rPr>
              <w:t>Three months ended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5"/>
          </w:tcPr>
          <w:p>
            <w:pPr>
              <w:jc w:val="center"/>
              <w:spacing w:after="0" w:line="133" w:lineRule="exact"/>
              <w:rPr>
                <w:sz w:val="20"/>
                <w:szCs w:val="20"/>
                <w:color w:val="auto"/>
              </w:rPr>
            </w:pPr>
            <w:r>
              <w:rPr>
                <w:rFonts w:ascii="Arial" w:cs="Arial" w:eastAsia="Arial" w:hAnsi="Arial"/>
                <w:sz w:val="13"/>
                <w:szCs w:val="13"/>
                <w:b w:val="1"/>
                <w:bCs w:val="1"/>
                <w:color w:val="auto"/>
                <w:w w:val="95"/>
              </w:rPr>
              <w:t>Three months ended</w:t>
            </w: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center"/>
              <w:ind w:left="449"/>
              <w:spacing w:after="0"/>
              <w:rPr>
                <w:sz w:val="20"/>
                <w:szCs w:val="20"/>
                <w:color w:val="auto"/>
              </w:rPr>
            </w:pPr>
            <w:r>
              <w:rPr>
                <w:rFonts w:ascii="Arial" w:cs="Arial" w:eastAsia="Arial" w:hAnsi="Arial"/>
                <w:sz w:val="13"/>
                <w:szCs w:val="13"/>
                <w:b w:val="1"/>
                <w:bCs w:val="1"/>
                <w:color w:val="auto"/>
                <w:w w:val="96"/>
              </w:rPr>
              <w:t>September 30,</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gridSpan w:val="4"/>
          </w:tcPr>
          <w:p>
            <w:pPr>
              <w:jc w:val="center"/>
              <w:ind w:right="417"/>
              <w:spacing w:after="0"/>
              <w:rPr>
                <w:sz w:val="20"/>
                <w:szCs w:val="20"/>
                <w:color w:val="auto"/>
              </w:rPr>
            </w:pPr>
            <w:r>
              <w:rPr>
                <w:rFonts w:ascii="Arial" w:cs="Arial" w:eastAsia="Arial" w:hAnsi="Arial"/>
                <w:sz w:val="13"/>
                <w:szCs w:val="13"/>
                <w:b w:val="1"/>
                <w:bCs w:val="1"/>
                <w:color w:val="auto"/>
                <w:w w:val="96"/>
              </w:rPr>
              <w:t>September 30,</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489"/>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2"/>
          </w:tcPr>
          <w:p>
            <w:pPr>
              <w:jc w:val="center"/>
              <w:ind w:right="306"/>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jc w:val="right"/>
              <w:ind w:right="25"/>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2018</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24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w:t>
            </w:r>
          </w:p>
        </w:tc>
        <w:tc>
          <w:tcPr>
            <w:tcW w:w="17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240" w:type="dxa"/>
            <w:vAlign w:val="bottom"/>
          </w:tcPr>
          <w:p>
            <w:pPr>
              <w:spacing w:after="0"/>
              <w:rPr>
                <w:sz w:val="20"/>
                <w:szCs w:val="20"/>
                <w:color w:val="auto"/>
              </w:rPr>
            </w:pPr>
            <w:r>
              <w:rPr>
                <w:rFonts w:ascii="Arial" w:cs="Arial" w:eastAsia="Arial" w:hAnsi="Arial"/>
                <w:sz w:val="16"/>
                <w:szCs w:val="16"/>
                <w:color w:val="auto"/>
              </w:rPr>
              <w:t>Service cost</w:t>
            </w:r>
          </w:p>
        </w:tc>
        <w:tc>
          <w:tcPr>
            <w:tcW w:w="1980" w:type="dxa"/>
            <w:vAlign w:val="bottom"/>
            <w:gridSpan w:val="2"/>
          </w:tcPr>
          <w:p>
            <w:pPr>
              <w:jc w:val="right"/>
              <w:ind w:right="107"/>
              <w:spacing w:after="0"/>
              <w:rPr>
                <w:sz w:val="20"/>
                <w:szCs w:val="20"/>
                <w:color w:val="auto"/>
              </w:rPr>
            </w:pPr>
            <w:r>
              <w:rPr>
                <w:rFonts w:ascii="Arial" w:cs="Arial" w:eastAsia="Arial" w:hAnsi="Arial"/>
                <w:sz w:val="16"/>
                <w:szCs w:val="16"/>
                <w:b w:val="1"/>
                <w:bCs w:val="1"/>
                <w:color w:val="auto"/>
              </w:rPr>
              <w:t>$</w:t>
            </w:r>
          </w:p>
        </w:tc>
        <w:tc>
          <w:tcPr>
            <w:tcW w:w="1000" w:type="dxa"/>
            <w:vAlign w:val="bottom"/>
          </w:tcPr>
          <w:p>
            <w:pPr>
              <w:jc w:val="right"/>
              <w:ind w:right="49"/>
              <w:spacing w:after="0"/>
              <w:rPr>
                <w:sz w:val="20"/>
                <w:szCs w:val="20"/>
                <w:color w:val="auto"/>
              </w:rPr>
            </w:pPr>
            <w:r>
              <w:rPr>
                <w:rFonts w:ascii="Arial" w:cs="Arial" w:eastAsia="Arial" w:hAnsi="Arial"/>
                <w:sz w:val="16"/>
                <w:szCs w:val="16"/>
                <w:b w:val="1"/>
                <w:bCs w:val="1"/>
                <w:color w:val="auto"/>
              </w:rPr>
              <w:t>2</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640" w:type="dxa"/>
            <w:vAlign w:val="bottom"/>
            <w:gridSpan w:val="3"/>
          </w:tcPr>
          <w:p>
            <w:pPr>
              <w:jc w:val="right"/>
              <w:ind w:right="222"/>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960" w:type="dxa"/>
            <w:vAlign w:val="bottom"/>
            <w:gridSpan w:val="2"/>
          </w:tcPr>
          <w:p>
            <w:pPr>
              <w:jc w:val="right"/>
              <w:ind w:right="677"/>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17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jc w:val="right"/>
              <w:ind w:right="42"/>
              <w:spacing w:after="0"/>
              <w:rPr>
                <w:sz w:val="20"/>
                <w:szCs w:val="20"/>
                <w:color w:val="auto"/>
              </w:rPr>
            </w:pPr>
            <w:r>
              <w:rPr>
                <w:rFonts w:ascii="Arial" w:cs="Arial" w:eastAsia="Arial" w:hAnsi="Arial"/>
                <w:sz w:val="16"/>
                <w:szCs w:val="16"/>
                <w:b w:val="1"/>
                <w:bCs w:val="1"/>
                <w:color w:val="auto"/>
                <w:w w:val="87"/>
              </w:rPr>
              <w:t>—</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17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9"/>
        </w:trPr>
        <w:tc>
          <w:tcPr>
            <w:tcW w:w="4240" w:type="dxa"/>
            <w:vAlign w:val="bottom"/>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1720" w:type="dxa"/>
            <w:vAlign w:val="bottom"/>
          </w:tcPr>
          <w:p>
            <w:pPr>
              <w:spacing w:after="0"/>
              <w:rPr>
                <w:sz w:val="15"/>
                <w:szCs w:val="15"/>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ind w:right="49"/>
              <w:spacing w:after="0" w:line="180" w:lineRule="exact"/>
              <w:rPr>
                <w:sz w:val="20"/>
                <w:szCs w:val="20"/>
                <w:color w:val="auto"/>
              </w:rPr>
            </w:pPr>
            <w:r>
              <w:rPr>
                <w:rFonts w:ascii="Arial" w:cs="Arial" w:eastAsia="Arial" w:hAnsi="Arial"/>
                <w:sz w:val="16"/>
                <w:szCs w:val="16"/>
                <w:b w:val="1"/>
                <w:bCs w:val="1"/>
                <w:color w:val="auto"/>
              </w:rPr>
              <w:t>2</w:t>
            </w:r>
          </w:p>
        </w:tc>
        <w:tc>
          <w:tcPr>
            <w:tcW w:w="500" w:type="dxa"/>
            <w:vAlign w:val="bottom"/>
            <w:gridSpan w:val="2"/>
          </w:tcPr>
          <w:p>
            <w:pPr>
              <w:jc w:val="right"/>
              <w:ind w:right="280"/>
              <w:spacing w:after="0" w:line="180" w:lineRule="exact"/>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222"/>
              <w:spacing w:after="0" w:line="180" w:lineRule="exact"/>
              <w:rPr>
                <w:sz w:val="20"/>
                <w:szCs w:val="20"/>
                <w:color w:val="auto"/>
              </w:rPr>
            </w:pPr>
            <w:r>
              <w:rPr>
                <w:rFonts w:ascii="Arial" w:cs="Arial" w:eastAsia="Arial" w:hAnsi="Arial"/>
                <w:sz w:val="16"/>
                <w:szCs w:val="16"/>
                <w:b w:val="1"/>
                <w:bCs w:val="1"/>
                <w:color w:val="auto"/>
                <w:w w:val="89"/>
              </w:rPr>
              <w:t>$</w:t>
            </w:r>
          </w:p>
        </w:tc>
        <w:tc>
          <w:tcPr>
            <w:tcW w:w="420" w:type="dxa"/>
            <w:vAlign w:val="bottom"/>
          </w:tcPr>
          <w:p>
            <w:pPr>
              <w:spacing w:after="0"/>
              <w:rPr>
                <w:sz w:val="15"/>
                <w:szCs w:val="15"/>
                <w:color w:val="auto"/>
              </w:rPr>
            </w:pPr>
          </w:p>
        </w:tc>
        <w:tc>
          <w:tcPr>
            <w:tcW w:w="460" w:type="dxa"/>
            <w:vAlign w:val="bottom"/>
            <w:gridSpan w:val="2"/>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960" w:type="dxa"/>
            <w:vAlign w:val="bottom"/>
            <w:gridSpan w:val="2"/>
          </w:tcPr>
          <w:p>
            <w:pPr>
              <w:jc w:val="right"/>
              <w:ind w:right="677"/>
              <w:spacing w:after="0" w:line="180"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80"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720" w:type="dxa"/>
            <w:vAlign w:val="bottom"/>
            <w:vMerge w:val="restart"/>
          </w:tcPr>
          <w:p>
            <w:pPr>
              <w:jc w:val="right"/>
              <w:ind w:right="82"/>
              <w:spacing w:after="0"/>
              <w:rPr>
                <w:sz w:val="20"/>
                <w:szCs w:val="20"/>
                <w:color w:val="auto"/>
              </w:rPr>
            </w:pPr>
            <w:r>
              <w:rPr>
                <w:rFonts w:ascii="Arial" w:cs="Arial" w:eastAsia="Arial" w:hAnsi="Arial"/>
                <w:sz w:val="16"/>
                <w:szCs w:val="16"/>
                <w:color w:val="auto"/>
              </w:rPr>
              <w:t>19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2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4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9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3"/>
                <w:szCs w:val="13"/>
                <w:b w:val="1"/>
                <w:bCs w:val="1"/>
                <w:color w:val="auto"/>
                <w:w w:val="96"/>
              </w:rPr>
              <w:t>Pension Plans</w:t>
            </w:r>
          </w:p>
        </w:tc>
        <w:tc>
          <w:tcPr>
            <w:tcW w:w="4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Borders>
              <w:bottom w:val="single" w:sz="8" w:color="auto"/>
            </w:tcBorders>
            <w:gridSpan w:val="4"/>
          </w:tcPr>
          <w:p>
            <w:pPr>
              <w:jc w:val="center"/>
              <w:ind w:left="271"/>
              <w:spacing w:after="0"/>
              <w:rPr>
                <w:sz w:val="20"/>
                <w:szCs w:val="20"/>
                <w:color w:val="auto"/>
              </w:rPr>
            </w:pPr>
            <w:r>
              <w:rPr>
                <w:rFonts w:ascii="Arial" w:cs="Arial" w:eastAsia="Arial" w:hAnsi="Arial"/>
                <w:sz w:val="13"/>
                <w:szCs w:val="13"/>
                <w:b w:val="1"/>
                <w:bCs w:val="1"/>
                <w:color w:val="auto"/>
                <w:w w:val="96"/>
              </w:rPr>
              <w:t>Post-retirement Benefits</w:t>
            </w:r>
          </w:p>
        </w:tc>
        <w:tc>
          <w:tcPr>
            <w:tcW w:w="460" w:type="dxa"/>
            <w:vAlign w:val="bottom"/>
            <w:tcBorders>
              <w:bottom w:val="single" w:sz="8" w:color="auto"/>
            </w:tcBorders>
          </w:tcPr>
          <w:p>
            <w:pPr>
              <w:spacing w:after="0"/>
              <w:rPr>
                <w:sz w:val="13"/>
                <w:szCs w:val="13"/>
                <w:color w:val="auto"/>
              </w:rPr>
            </w:pPr>
          </w:p>
        </w:tc>
      </w:tr>
      <w:tr>
        <w:trPr>
          <w:trHeight w:val="132"/>
        </w:trPr>
        <w:tc>
          <w:tcPr>
            <w:tcW w:w="5960" w:type="dxa"/>
            <w:vAlign w:val="bottom"/>
          </w:tcPr>
          <w:p>
            <w:pPr>
              <w:spacing w:after="0"/>
              <w:rPr>
                <w:sz w:val="11"/>
                <w:szCs w:val="11"/>
                <w:color w:val="auto"/>
              </w:rPr>
            </w:pPr>
          </w:p>
        </w:tc>
        <w:tc>
          <w:tcPr>
            <w:tcW w:w="2240" w:type="dxa"/>
            <w:vAlign w:val="bottom"/>
            <w:gridSpan w:val="4"/>
          </w:tcPr>
          <w:p>
            <w:pPr>
              <w:jc w:val="center"/>
              <w:ind w:left="212"/>
              <w:spacing w:after="0" w:line="133" w:lineRule="exact"/>
              <w:rPr>
                <w:sz w:val="20"/>
                <w:szCs w:val="20"/>
                <w:color w:val="auto"/>
              </w:rPr>
            </w:pPr>
            <w:r>
              <w:rPr>
                <w:rFonts w:ascii="Arial" w:cs="Arial" w:eastAsia="Arial" w:hAnsi="Arial"/>
                <w:sz w:val="13"/>
                <w:szCs w:val="13"/>
                <w:b w:val="1"/>
                <w:bCs w:val="1"/>
                <w:color w:val="auto"/>
                <w:w w:val="96"/>
              </w:rPr>
              <w:t>Nine months ended</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gridSpan w:val="4"/>
          </w:tcPr>
          <w:p>
            <w:pPr>
              <w:jc w:val="center"/>
              <w:ind w:left="291"/>
              <w:spacing w:after="0" w:line="133" w:lineRule="exact"/>
              <w:rPr>
                <w:sz w:val="20"/>
                <w:szCs w:val="20"/>
                <w:color w:val="auto"/>
              </w:rPr>
            </w:pPr>
            <w:r>
              <w:rPr>
                <w:rFonts w:ascii="Arial" w:cs="Arial" w:eastAsia="Arial" w:hAnsi="Arial"/>
                <w:sz w:val="13"/>
                <w:szCs w:val="13"/>
                <w:b w:val="1"/>
                <w:bCs w:val="1"/>
                <w:color w:val="auto"/>
                <w:w w:val="96"/>
              </w:rPr>
              <w:t>Nine months ended</w:t>
            </w:r>
          </w:p>
        </w:tc>
        <w:tc>
          <w:tcPr>
            <w:tcW w:w="460" w:type="dxa"/>
            <w:vAlign w:val="bottom"/>
          </w:tcPr>
          <w:p>
            <w:pPr>
              <w:spacing w:after="0"/>
              <w:rPr>
                <w:sz w:val="11"/>
                <w:szCs w:val="11"/>
                <w:color w:val="auto"/>
              </w:rPr>
            </w:pPr>
          </w:p>
        </w:tc>
      </w:tr>
      <w:tr>
        <w:trPr>
          <w:trHeight w:val="153"/>
        </w:trPr>
        <w:tc>
          <w:tcPr>
            <w:tcW w:w="5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w w:val="96"/>
              </w:rPr>
              <w:t>September 30,</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gridSpan w:val="3"/>
          </w:tcPr>
          <w:p>
            <w:pPr>
              <w:jc w:val="center"/>
              <w:ind w:right="391"/>
              <w:spacing w:after="0"/>
              <w:rPr>
                <w:sz w:val="20"/>
                <w:szCs w:val="20"/>
                <w:color w:val="auto"/>
              </w:rPr>
            </w:pPr>
            <w:r>
              <w:rPr>
                <w:rFonts w:ascii="Arial" w:cs="Arial" w:eastAsia="Arial" w:hAnsi="Arial"/>
                <w:sz w:val="13"/>
                <w:szCs w:val="13"/>
                <w:b w:val="1"/>
                <w:bCs w:val="1"/>
                <w:color w:val="auto"/>
                <w:w w:val="96"/>
              </w:rPr>
              <w:t>September 30,</w:t>
            </w:r>
          </w:p>
        </w:tc>
        <w:tc>
          <w:tcPr>
            <w:tcW w:w="460" w:type="dxa"/>
            <w:vAlign w:val="bottom"/>
          </w:tcPr>
          <w:p>
            <w:pPr>
              <w:spacing w:after="0"/>
              <w:rPr>
                <w:sz w:val="13"/>
                <w:szCs w:val="13"/>
                <w:color w:val="auto"/>
              </w:rPr>
            </w:pPr>
          </w:p>
        </w:tc>
      </w:tr>
      <w:tr>
        <w:trPr>
          <w:trHeight w:val="153"/>
        </w:trPr>
        <w:tc>
          <w:tcPr>
            <w:tcW w:w="5960" w:type="dxa"/>
            <w:vAlign w:val="bottom"/>
          </w:tcPr>
          <w:p>
            <w:pPr>
              <w:spacing w:after="0"/>
              <w:rPr>
                <w:sz w:val="13"/>
                <w:szCs w:val="13"/>
                <w:color w:val="auto"/>
              </w:rPr>
            </w:pPr>
          </w:p>
        </w:tc>
        <w:tc>
          <w:tcPr>
            <w:tcW w:w="780" w:type="dxa"/>
            <w:vAlign w:val="bottom"/>
          </w:tcPr>
          <w:p>
            <w:pPr>
              <w:jc w:val="right"/>
              <w:ind w:right="12"/>
              <w:spacing w:after="0"/>
              <w:rPr>
                <w:sz w:val="20"/>
                <w:szCs w:val="20"/>
                <w:color w:val="auto"/>
              </w:rPr>
            </w:pPr>
            <w:r>
              <w:rPr>
                <w:rFonts w:ascii="Arial" w:cs="Arial" w:eastAsia="Arial" w:hAnsi="Arial"/>
                <w:sz w:val="13"/>
                <w:szCs w:val="13"/>
                <w:b w:val="1"/>
                <w:bCs w:val="1"/>
                <w:color w:val="auto"/>
              </w:rPr>
              <w:t>2019</w:t>
            </w:r>
          </w:p>
        </w:tc>
        <w:tc>
          <w:tcPr>
            <w:tcW w:w="4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2018</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1"/>
              <w:spacing w:after="0"/>
              <w:rPr>
                <w:sz w:val="20"/>
                <w:szCs w:val="20"/>
                <w:color w:val="auto"/>
              </w:rPr>
            </w:pPr>
            <w:r>
              <w:rPr>
                <w:rFonts w:ascii="Arial" w:cs="Arial" w:eastAsia="Arial" w:hAnsi="Arial"/>
                <w:sz w:val="13"/>
                <w:szCs w:val="13"/>
                <w:b w:val="1"/>
                <w:bCs w:val="1"/>
                <w:color w:val="auto"/>
              </w:rPr>
              <w:t>2019</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right"/>
              <w:ind w:right="31"/>
              <w:spacing w:after="0"/>
              <w:rPr>
                <w:sz w:val="20"/>
                <w:szCs w:val="20"/>
                <w:color w:val="auto"/>
              </w:rPr>
            </w:pPr>
            <w:r>
              <w:rPr>
                <w:rFonts w:ascii="Arial" w:cs="Arial" w:eastAsia="Arial" w:hAnsi="Arial"/>
                <w:sz w:val="13"/>
                <w:szCs w:val="13"/>
                <w:b w:val="1"/>
                <w:bCs w:val="1"/>
                <w:color w:val="auto"/>
              </w:rPr>
              <w:t>2018</w:t>
            </w:r>
          </w:p>
        </w:tc>
        <w:tc>
          <w:tcPr>
            <w:tcW w:w="460" w:type="dxa"/>
            <w:vAlign w:val="bottom"/>
          </w:tcPr>
          <w:p>
            <w:pPr>
              <w:spacing w:after="0"/>
              <w:rPr>
                <w:sz w:val="13"/>
                <w:szCs w:val="13"/>
                <w:color w:val="auto"/>
              </w:rPr>
            </w:pPr>
          </w:p>
        </w:tc>
      </w:tr>
      <w:tr>
        <w:trPr>
          <w:trHeight w:val="179"/>
        </w:trPr>
        <w:tc>
          <w:tcPr>
            <w:tcW w:w="59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periodic benefit cost:</w:t>
            </w:r>
          </w:p>
        </w:tc>
        <w:tc>
          <w:tcPr>
            <w:tcW w:w="7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Service cost</w:t>
            </w:r>
          </w:p>
        </w:tc>
        <w:tc>
          <w:tcPr>
            <w:tcW w:w="780" w:type="dxa"/>
            <w:vAlign w:val="bottom"/>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ind w:right="46"/>
              <w:spacing w:after="0"/>
              <w:rPr>
                <w:sz w:val="20"/>
                <w:szCs w:val="20"/>
                <w:color w:val="auto"/>
              </w:rPr>
            </w:pPr>
            <w:r>
              <w:rPr>
                <w:rFonts w:ascii="Arial" w:cs="Arial" w:eastAsia="Arial" w:hAnsi="Arial"/>
                <w:sz w:val="16"/>
                <w:szCs w:val="16"/>
                <w:b w:val="1"/>
                <w:bCs w:val="1"/>
                <w:color w:val="auto"/>
              </w:rPr>
              <w:t>7</w:t>
            </w:r>
          </w:p>
        </w:tc>
        <w:tc>
          <w:tcPr>
            <w:tcW w:w="980" w:type="dxa"/>
            <w:vAlign w:val="bottom"/>
            <w:gridSpan w:val="2"/>
          </w:tcPr>
          <w:p>
            <w:pPr>
              <w:jc w:val="right"/>
              <w:ind w:right="760"/>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42"/>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6"/>
                <w:szCs w:val="16"/>
                <w:color w:val="auto"/>
              </w:rPr>
            </w:pPr>
          </w:p>
        </w:tc>
        <w:tc>
          <w:tcPr>
            <w:tcW w:w="800" w:type="dxa"/>
            <w:vAlign w:val="bottom"/>
          </w:tcPr>
          <w:p>
            <w:pPr>
              <w:jc w:val="right"/>
              <w:ind w:right="631"/>
              <w:spacing w:after="0"/>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ind w:right="44"/>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820" w:type="dxa"/>
            <w:vAlign w:val="bottom"/>
          </w:tcPr>
          <w:p>
            <w:pPr>
              <w:jc w:val="right"/>
              <w:ind w:right="67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1</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Interest cost</w:t>
            </w:r>
          </w:p>
        </w:tc>
        <w:tc>
          <w:tcPr>
            <w:tcW w:w="78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5</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5</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480" w:type="dxa"/>
            <w:vAlign w:val="bottom"/>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w:t>
            </w: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Expected return on assets</w:t>
            </w:r>
          </w:p>
        </w:tc>
        <w:tc>
          <w:tcPr>
            <w:tcW w:w="7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spacing w:after="0"/>
              <w:rPr>
                <w:sz w:val="16"/>
                <w:szCs w:val="16"/>
                <w:color w:val="auto"/>
              </w:rPr>
            </w:pPr>
          </w:p>
        </w:tc>
        <w:tc>
          <w:tcPr>
            <w:tcW w:w="460" w:type="dxa"/>
            <w:vAlign w:val="bottom"/>
          </w:tcPr>
          <w:p>
            <w:pPr>
              <w:jc w:val="right"/>
              <w:ind w:right="42"/>
              <w:spacing w:after="0"/>
              <w:rPr>
                <w:sz w:val="20"/>
                <w:szCs w:val="20"/>
                <w:color w:val="auto"/>
              </w:rPr>
            </w:pPr>
            <w:r>
              <w:rPr>
                <w:rFonts w:ascii="Arial" w:cs="Arial" w:eastAsia="Arial" w:hAnsi="Arial"/>
                <w:sz w:val="16"/>
                <w:szCs w:val="16"/>
                <w:color w:val="auto"/>
              </w:rPr>
              <w:t>—</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Prior service credit</w:t>
            </w:r>
          </w:p>
        </w:tc>
        <w:tc>
          <w:tcPr>
            <w:tcW w:w="7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140" w:type="dxa"/>
            <w:vAlign w:val="bottom"/>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w:t>
            </w:r>
          </w:p>
        </w:tc>
      </w:tr>
      <w:tr>
        <w:trPr>
          <w:trHeight w:val="179"/>
        </w:trPr>
        <w:tc>
          <w:tcPr>
            <w:tcW w:w="5960" w:type="dxa"/>
            <w:vAlign w:val="bottom"/>
          </w:tcPr>
          <w:p>
            <w:pPr>
              <w:spacing w:after="0" w:line="180" w:lineRule="exact"/>
              <w:rPr>
                <w:sz w:val="20"/>
                <w:szCs w:val="20"/>
                <w:color w:val="auto"/>
              </w:rPr>
            </w:pPr>
            <w:r>
              <w:rPr>
                <w:rFonts w:ascii="Arial" w:cs="Arial" w:eastAsia="Arial" w:hAnsi="Arial"/>
                <w:sz w:val="16"/>
                <w:szCs w:val="16"/>
                <w:color w:val="auto"/>
              </w:rPr>
              <w:t>Net periodic benefit cost (credit)</w:t>
            </w:r>
          </w:p>
        </w:tc>
        <w:tc>
          <w:tcPr>
            <w:tcW w:w="780" w:type="dxa"/>
            <w:vAlign w:val="bottom"/>
          </w:tcPr>
          <w:p>
            <w:pPr>
              <w:jc w:val="right"/>
              <w:ind w:right="632"/>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ind w:right="46"/>
              <w:spacing w:after="0" w:line="180" w:lineRule="exact"/>
              <w:rPr>
                <w:sz w:val="20"/>
                <w:szCs w:val="20"/>
                <w:color w:val="auto"/>
              </w:rPr>
            </w:pPr>
            <w:r>
              <w:rPr>
                <w:rFonts w:ascii="Arial" w:cs="Arial" w:eastAsia="Arial" w:hAnsi="Arial"/>
                <w:sz w:val="16"/>
                <w:szCs w:val="16"/>
                <w:b w:val="1"/>
                <w:bCs w:val="1"/>
                <w:color w:val="auto"/>
              </w:rPr>
              <w:t>6</w:t>
            </w:r>
          </w:p>
        </w:tc>
        <w:tc>
          <w:tcPr>
            <w:tcW w:w="980" w:type="dxa"/>
            <w:vAlign w:val="bottom"/>
            <w:gridSpan w:val="2"/>
          </w:tcPr>
          <w:p>
            <w:pPr>
              <w:jc w:val="right"/>
              <w:ind w:right="760"/>
              <w:spacing w:after="0" w:line="180" w:lineRule="exact"/>
              <w:rPr>
                <w:sz w:val="20"/>
                <w:szCs w:val="20"/>
                <w:color w:val="auto"/>
              </w:rPr>
            </w:pPr>
            <w:r>
              <w:rPr>
                <w:rFonts w:ascii="Arial" w:cs="Arial" w:eastAsia="Arial" w:hAnsi="Arial"/>
                <w:sz w:val="16"/>
                <w:szCs w:val="16"/>
                <w:color w:val="auto"/>
              </w:rPr>
              <w:t>$</w:t>
            </w:r>
          </w:p>
        </w:tc>
        <w:tc>
          <w:tcPr>
            <w:tcW w:w="420" w:type="dxa"/>
            <w:vAlign w:val="bottom"/>
          </w:tcPr>
          <w:p>
            <w:pPr>
              <w:jc w:val="right"/>
              <w:ind w:right="42"/>
              <w:spacing w:after="0" w:line="180" w:lineRule="exact"/>
              <w:rPr>
                <w:sz w:val="20"/>
                <w:szCs w:val="20"/>
                <w:color w:val="auto"/>
              </w:rPr>
            </w:pPr>
            <w:r>
              <w:rPr>
                <w:rFonts w:ascii="Arial" w:cs="Arial" w:eastAsia="Arial" w:hAnsi="Arial"/>
                <w:sz w:val="16"/>
                <w:szCs w:val="16"/>
                <w:color w:val="auto"/>
              </w:rPr>
              <w:t>8</w:t>
            </w:r>
          </w:p>
        </w:tc>
        <w:tc>
          <w:tcPr>
            <w:tcW w:w="120" w:type="dxa"/>
            <w:vAlign w:val="bottom"/>
          </w:tcPr>
          <w:p>
            <w:pPr>
              <w:spacing w:after="0"/>
              <w:rPr>
                <w:sz w:val="15"/>
                <w:szCs w:val="15"/>
                <w:color w:val="auto"/>
              </w:rPr>
            </w:pPr>
          </w:p>
        </w:tc>
        <w:tc>
          <w:tcPr>
            <w:tcW w:w="800" w:type="dxa"/>
            <w:vAlign w:val="bottom"/>
          </w:tcPr>
          <w:p>
            <w:pPr>
              <w:jc w:val="right"/>
              <w:ind w:right="631"/>
              <w:spacing w:after="0" w:line="180" w:lineRule="exact"/>
              <w:rPr>
                <w:sz w:val="20"/>
                <w:szCs w:val="20"/>
                <w:color w:val="auto"/>
              </w:rPr>
            </w:pPr>
            <w:r>
              <w:rPr>
                <w:rFonts w:ascii="Arial" w:cs="Arial" w:eastAsia="Arial" w:hAnsi="Arial"/>
                <w:sz w:val="16"/>
                <w:szCs w:val="16"/>
                <w:b w:val="1"/>
                <w:bCs w:val="1"/>
                <w:color w:val="auto"/>
                <w:w w:val="89"/>
              </w:rPr>
              <w:t>$</w:t>
            </w:r>
          </w:p>
        </w:tc>
        <w:tc>
          <w:tcPr>
            <w:tcW w:w="480" w:type="dxa"/>
            <w:vAlign w:val="bottom"/>
          </w:tcPr>
          <w:p>
            <w:pPr>
              <w:jc w:val="right"/>
              <w:spacing w:after="0" w:line="180" w:lineRule="exact"/>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5"/>
                <w:szCs w:val="15"/>
                <w:color w:val="auto"/>
              </w:rPr>
            </w:pPr>
          </w:p>
        </w:tc>
        <w:tc>
          <w:tcPr>
            <w:tcW w:w="820" w:type="dxa"/>
            <w:vAlign w:val="bottom"/>
          </w:tcPr>
          <w:p>
            <w:pPr>
              <w:jc w:val="right"/>
              <w:ind w:right="671"/>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line="180" w:lineRule="exact"/>
              <w:rPr>
                <w:sz w:val="20"/>
                <w:szCs w:val="20"/>
                <w:color w:val="auto"/>
              </w:rPr>
            </w:pPr>
            <w:r>
              <w:rPr>
                <w:rFonts w:ascii="Arial" w:cs="Arial" w:eastAsia="Arial" w:hAnsi="Arial"/>
                <w:sz w:val="16"/>
                <w:szCs w:val="16"/>
                <w:color w:val="auto"/>
              </w:rPr>
              <w:t>(6)</w:t>
            </w:r>
          </w:p>
        </w:tc>
      </w:tr>
      <w:tr>
        <w:trPr>
          <w:trHeight w:val="20"/>
        </w:trPr>
        <w:tc>
          <w:tcPr>
            <w:tcW w:w="5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80" w:firstLine="537"/>
        <w:spacing w:after="0" w:line="237" w:lineRule="auto"/>
        <w:rPr>
          <w:sz w:val="20"/>
          <w:szCs w:val="20"/>
          <w:color w:val="auto"/>
        </w:rPr>
      </w:pPr>
      <w:r>
        <w:rPr>
          <w:rFonts w:ascii="Arial" w:cs="Arial" w:eastAsia="Arial" w:hAnsi="Arial"/>
          <w:sz w:val="16"/>
          <w:szCs w:val="16"/>
          <w:color w:val="auto"/>
        </w:rPr>
        <w:t>The components of net periodic benefit cost (credit) other than the service cost component are included in Other income, net in the Condensed Consolidated Statements of Comprehensive Income.</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N. INCOME TAXES</w:t>
      </w:r>
    </w:p>
    <w:p>
      <w:pPr>
        <w:spacing w:after="0" w:line="106" w:lineRule="exact"/>
        <w:rPr>
          <w:sz w:val="20"/>
          <w:szCs w:val="20"/>
          <w:color w:val="auto"/>
        </w:rPr>
      </w:pPr>
    </w:p>
    <w:p>
      <w:pPr>
        <w:ind w:right="300" w:firstLine="537"/>
        <w:spacing w:after="0" w:line="233" w:lineRule="auto"/>
        <w:rPr>
          <w:sz w:val="20"/>
          <w:szCs w:val="20"/>
          <w:color w:val="auto"/>
        </w:rPr>
      </w:pPr>
      <w:r>
        <w:rPr>
          <w:rFonts w:ascii="Arial" w:cs="Arial" w:eastAsia="Arial" w:hAnsi="Arial"/>
          <w:sz w:val="16"/>
          <w:szCs w:val="16"/>
          <w:color w:val="auto"/>
        </w:rPr>
        <w:t>For the three and nine months ended September 30, 2019, the Company recorded total tax expense of $45 million and $137 million, respectively. The effective tax rate for the three and nine months ended September 30, 2019 was 23% and 22%, respectively. For the three and nine months ended September 30, 2018, the Company recorded total tax expense of $51 million and $139 million, respectively. The effective tax rate for the three and nine months ended September 30, 2018 was 23% and 22%, respectively.</w:t>
      </w:r>
    </w:p>
    <w:p>
      <w:pPr>
        <w:spacing w:after="0" w:line="83" w:lineRule="exact"/>
        <w:rPr>
          <w:sz w:val="20"/>
          <w:szCs w:val="20"/>
          <w:color w:val="auto"/>
        </w:rPr>
      </w:pPr>
    </w:p>
    <w:p>
      <w:pPr>
        <w:ind w:right="100" w:firstLine="537"/>
        <w:spacing w:after="0" w:line="232"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experience with tax attributes expiring unused, and tax planning alternatives. The weight given to these considerations depends upon the degree to which they can be objectively verified.</w:t>
      </w:r>
    </w:p>
    <w:p>
      <w:pPr>
        <w:spacing w:after="0" w:line="85" w:lineRule="exact"/>
        <w:rPr>
          <w:sz w:val="20"/>
          <w:szCs w:val="20"/>
          <w:color w:val="auto"/>
        </w:rPr>
      </w:pPr>
    </w:p>
    <w:p>
      <w:pPr>
        <w:ind w:right="100" w:firstLine="537"/>
        <w:spacing w:after="0" w:line="234" w:lineRule="auto"/>
        <w:rPr>
          <w:sz w:val="20"/>
          <w:szCs w:val="20"/>
          <w:color w:val="auto"/>
        </w:rPr>
      </w:pPr>
      <w:r>
        <w:rPr>
          <w:rFonts w:ascii="Arial" w:cs="Arial" w:eastAsia="Arial" w:hAnsi="Arial"/>
          <w:sz w:val="16"/>
          <w:szCs w:val="16"/>
          <w:color w:val="auto"/>
        </w:rPr>
        <w:t>The Company continues to provide for a valuation allowance on certain of its foreign deferred tax assets and an anticipated capital loss carryforward. The Company has determined, based on the evaluation of both objective and subjective evidence available, that this valuation allowance is necessary and that it is more likely than not that the deferred tax assets are not fully realizable.</w:t>
      </w:r>
    </w:p>
    <w:p>
      <w:pPr>
        <w:spacing w:after="0" w:line="84" w:lineRule="exact"/>
        <w:rPr>
          <w:sz w:val="20"/>
          <w:szCs w:val="20"/>
          <w:color w:val="auto"/>
        </w:rPr>
      </w:pPr>
    </w:p>
    <w:p>
      <w:pPr>
        <w:ind w:right="40" w:firstLine="537"/>
        <w:spacing w:after="0" w:line="232" w:lineRule="auto"/>
        <w:rPr>
          <w:sz w:val="20"/>
          <w:szCs w:val="20"/>
          <w:color w:val="auto"/>
        </w:rPr>
      </w:pPr>
      <w:r>
        <w:rPr>
          <w:rFonts w:ascii="Arial" w:cs="Arial" w:eastAsia="Arial" w:hAnsi="Arial"/>
          <w:sz w:val="16"/>
          <w:szCs w:val="16"/>
          <w:color w:val="auto"/>
        </w:rPr>
        <w:t>In accordance with the FASB’s authoritative guidance on accounting for income taxes, the Company has recorded a liability for unrecognized tax benefits related to a 2010 Research and Development Credit as of September 30, 2019 and December 31, 2018. The accounting guidance prescribes a recognition threshold and measurement attributes for the financial statement recognition and measurement of a tax position taken or expected to be taken in a tax return. The Company's returns will remain subject to examination by the various taxing authorities for the duration of the applicable statute of limitations (generally three years from the later of the date of filing or the due date of the return).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O. ACCUMULATED OTHER COMPREHENSIVE LOSS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tables reconcile changes in AOCL by component (net of tax, dollars in millions):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96"/>
              </w:rPr>
              <w:t>Three months ended</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80"/>
              <w:spacing w:after="0" w:line="133" w:lineRule="exact"/>
              <w:rPr>
                <w:sz w:val="20"/>
                <w:szCs w:val="20"/>
                <w:color w:val="auto"/>
              </w:rPr>
            </w:pPr>
            <w:r>
              <w:rPr>
                <w:rFonts w:ascii="Arial" w:cs="Arial" w:eastAsia="Arial" w:hAnsi="Arial"/>
                <w:sz w:val="13"/>
                <w:szCs w:val="13"/>
                <w:b w:val="1"/>
                <w:bCs w:val="1"/>
                <w:color w:val="auto"/>
                <w:w w:val="94"/>
              </w:rPr>
              <w:t>Available-</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jc w:val="center"/>
              <w:ind w:left="154"/>
              <w:spacing w:after="0" w:line="141" w:lineRule="exact"/>
              <w:rPr>
                <w:sz w:val="20"/>
                <w:szCs w:val="20"/>
                <w:color w:val="auto"/>
              </w:rPr>
            </w:pPr>
            <w:r>
              <w:rPr>
                <w:rFonts w:ascii="Arial" w:cs="Arial" w:eastAsia="Arial" w:hAnsi="Arial"/>
                <w:sz w:val="13"/>
                <w:szCs w:val="13"/>
                <w:b w:val="1"/>
                <w:bCs w:val="1"/>
                <w:color w:val="auto"/>
                <w:w w:val="98"/>
              </w:rPr>
              <w:t>Pension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7"/>
              </w:rPr>
              <w:t>for-sale</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jc w:val="center"/>
              <w:ind w:left="154"/>
              <w:spacing w:after="0" w:line="141" w:lineRule="exact"/>
              <w:rPr>
                <w:sz w:val="20"/>
                <w:szCs w:val="20"/>
                <w:color w:val="auto"/>
              </w:rPr>
            </w:pPr>
            <w:r>
              <w:rPr>
                <w:rFonts w:ascii="Arial" w:cs="Arial" w:eastAsia="Arial" w:hAnsi="Arial"/>
                <w:sz w:val="13"/>
                <w:szCs w:val="13"/>
                <w:b w:val="1"/>
                <w:bCs w:val="1"/>
                <w:color w:val="auto"/>
                <w:w w:val="97"/>
              </w:rPr>
              <w:t>and OPEB</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5"/>
              </w:rPr>
              <w:t>securities</w:t>
            </w: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jc w:val="center"/>
              <w:ind w:left="154"/>
              <w:spacing w:after="0" w:line="141" w:lineRule="exact"/>
              <w:rPr>
                <w:sz w:val="20"/>
                <w:szCs w:val="20"/>
                <w:color w:val="auto"/>
              </w:rPr>
            </w:pPr>
            <w:r>
              <w:rPr>
                <w:rFonts w:ascii="Arial" w:cs="Arial" w:eastAsia="Arial" w:hAnsi="Arial"/>
                <w:sz w:val="13"/>
                <w:szCs w:val="13"/>
                <w:b w:val="1"/>
                <w:bCs w:val="1"/>
                <w:color w:val="auto"/>
                <w:w w:val="93"/>
              </w:rPr>
              <w:t>liability</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4"/>
              </w:rPr>
              <w:t>and interest</w:t>
            </w: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54"/>
              <w:spacing w:after="0"/>
              <w:rPr>
                <w:sz w:val="20"/>
                <w:szCs w:val="20"/>
                <w:color w:val="auto"/>
              </w:rPr>
            </w:pPr>
            <w:r>
              <w:rPr>
                <w:rFonts w:ascii="Arial" w:cs="Arial" w:eastAsia="Arial" w:hAnsi="Arial"/>
                <w:sz w:val="13"/>
                <w:szCs w:val="13"/>
                <w:b w:val="1"/>
                <w:bCs w:val="1"/>
                <w:color w:val="auto"/>
                <w:w w:val="95"/>
              </w:rPr>
              <w:t>adjustment</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07"/>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w w:val="99"/>
              </w:rPr>
              <w:t>items</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49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June 30, 2018</w:t>
            </w:r>
          </w:p>
        </w:tc>
        <w:tc>
          <w:tcPr>
            <w:tcW w:w="1920" w:type="dxa"/>
            <w:vAlign w:val="bottom"/>
            <w:gridSpan w:val="2"/>
            <w:shd w:val="clear" w:color="auto" w:fill="CFF0FC"/>
          </w:tcPr>
          <w:p>
            <w:pPr>
              <w:jc w:val="right"/>
              <w:ind w:right="774"/>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2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8"/>
        </w:trPr>
        <w:tc>
          <w:tcPr>
            <w:tcW w:w="4960" w:type="dxa"/>
            <w:vAlign w:val="bottom"/>
          </w:tcPr>
          <w:p>
            <w:pPr>
              <w:ind w:left="200"/>
              <w:spacing w:after="0"/>
              <w:rPr>
                <w:sz w:val="20"/>
                <w:szCs w:val="20"/>
                <w:color w:val="auto"/>
              </w:rPr>
            </w:pPr>
            <w:r>
              <w:rPr>
                <w:rFonts w:ascii="Arial" w:cs="Arial" w:eastAsia="Arial" w:hAnsi="Arial"/>
                <w:sz w:val="16"/>
                <w:szCs w:val="16"/>
                <w:color w:val="auto"/>
              </w:rPr>
              <w:t>Other comprehensive income before reclassifications</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8"/>
        </w:trPr>
        <w:tc>
          <w:tcPr>
            <w:tcW w:w="4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49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Income tax</w:t>
            </w:r>
          </w:p>
        </w:tc>
        <w:tc>
          <w:tcPr>
            <w:tcW w:w="100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9"/>
        </w:trPr>
        <w:tc>
          <w:tcPr>
            <w:tcW w:w="49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1920" w:type="dxa"/>
            <w:vAlign w:val="bottom"/>
            <w:gridSpan w:val="2"/>
            <w:shd w:val="clear" w:color="auto" w:fill="CFF0FC"/>
          </w:tcPr>
          <w:p>
            <w:pPr>
              <w:jc w:val="right"/>
              <w:ind w:right="774"/>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(3)</w:t>
            </w:r>
          </w:p>
        </w:tc>
        <w:tc>
          <w:tcPr>
            <w:tcW w:w="2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60" w:type="dxa"/>
            <w:vAlign w:val="bottom"/>
          </w:tcPr>
          <w:p>
            <w:pPr>
              <w:spacing w:after="0" w:line="180" w:lineRule="exact"/>
              <w:rPr>
                <w:sz w:val="20"/>
                <w:szCs w:val="20"/>
                <w:color w:val="auto"/>
              </w:rPr>
            </w:pPr>
            <w:r>
              <w:rPr>
                <w:rFonts w:ascii="Arial" w:cs="Arial" w:eastAsia="Arial" w:hAnsi="Arial"/>
                <w:sz w:val="16"/>
                <w:szCs w:val="16"/>
                <w:color w:val="auto"/>
              </w:rPr>
              <w:t>AOCL as of September 30, 2018</w:t>
            </w:r>
          </w:p>
        </w:tc>
        <w:tc>
          <w:tcPr>
            <w:tcW w:w="1920" w:type="dxa"/>
            <w:vAlign w:val="bottom"/>
            <w:gridSpan w:val="2"/>
          </w:tcPr>
          <w:p>
            <w:pPr>
              <w:jc w:val="right"/>
              <w:ind w:right="774"/>
              <w:spacing w:after="0" w:line="180"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2"/>
              <w:spacing w:after="0" w:line="180"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7"/>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200" w:type="dxa"/>
            <w:vAlign w:val="bottom"/>
          </w:tcPr>
          <w:p>
            <w:pPr>
              <w:jc w:val="right"/>
              <w:ind w:right="22"/>
              <w:spacing w:after="0" w:line="180"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80" w:lineRule="exact"/>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6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AOCL as of June 30, 2019</w:t>
            </w:r>
          </w:p>
        </w:tc>
        <w:tc>
          <w:tcPr>
            <w:tcW w:w="1920" w:type="dxa"/>
            <w:vAlign w:val="bottom"/>
            <w:gridSpan w:val="2"/>
            <w:shd w:val="clear" w:color="auto" w:fill="CFF0FC"/>
          </w:tcPr>
          <w:p>
            <w:pPr>
              <w:jc w:val="right"/>
              <w:ind w:right="774"/>
              <w:spacing w:after="0" w:line="16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42"/>
              <w:spacing w:after="0" w:line="163" w:lineRule="exact"/>
              <w:rPr>
                <w:sz w:val="20"/>
                <w:szCs w:val="20"/>
                <w:color w:val="auto"/>
              </w:rPr>
            </w:pPr>
            <w:r>
              <w:rPr>
                <w:rFonts w:ascii="Arial" w:cs="Arial" w:eastAsia="Arial" w:hAnsi="Arial"/>
                <w:sz w:val="16"/>
                <w:szCs w:val="16"/>
                <w:color w:val="auto"/>
              </w:rPr>
              <w:t>12</w:t>
            </w:r>
          </w:p>
        </w:tc>
        <w:tc>
          <w:tcPr>
            <w:tcW w:w="280" w:type="dxa"/>
            <w:vAlign w:val="bottom"/>
            <w:gridSpan w:val="2"/>
            <w:shd w:val="clear" w:color="auto" w:fill="CFF0FC"/>
          </w:tcPr>
          <w:p>
            <w:pPr>
              <w:jc w:val="right"/>
              <w:spacing w:after="0" w:line="16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2"/>
              <w:spacing w:after="0" w:line="163"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7"/>
              <w:spacing w:after="0" w:line="163"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8"/>
        </w:trPr>
        <w:tc>
          <w:tcPr>
            <w:tcW w:w="496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188"/>
        </w:trPr>
        <w:tc>
          <w:tcPr>
            <w:tcW w:w="4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88"/>
        </w:trPr>
        <w:tc>
          <w:tcPr>
            <w:tcW w:w="496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3</w:t>
            </w:r>
          </w:p>
        </w:tc>
        <w:tc>
          <w:tcPr>
            <w:tcW w:w="0" w:type="dxa"/>
            <w:vAlign w:val="bottom"/>
          </w:tcPr>
          <w:p>
            <w:pPr>
              <w:spacing w:after="0"/>
              <w:rPr>
                <w:sz w:val="1"/>
                <w:szCs w:val="1"/>
                <w:color w:val="auto"/>
              </w:rPr>
            </w:pPr>
          </w:p>
        </w:tc>
      </w:tr>
      <w:tr>
        <w:trPr>
          <w:trHeight w:val="179"/>
        </w:trPr>
        <w:tc>
          <w:tcPr>
            <w:tcW w:w="4960" w:type="dxa"/>
            <w:vAlign w:val="bottom"/>
            <w:tcBorders>
              <w:top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w:t>
            </w:r>
          </w:p>
        </w:tc>
        <w:tc>
          <w:tcPr>
            <w:tcW w:w="1000" w:type="dxa"/>
            <w:vAlign w:val="bottom"/>
            <w:tcBorders>
              <w:top w:val="single" w:sz="8" w:color="CFF0FC"/>
            </w:tcBorders>
            <w:shd w:val="clear" w:color="auto" w:fill="CFF0FC"/>
          </w:tcPr>
          <w:p>
            <w:pPr>
              <w:spacing w:after="0"/>
              <w:rPr>
                <w:sz w:val="15"/>
                <w:szCs w:val="15"/>
                <w:color w:val="auto"/>
              </w:rPr>
            </w:pPr>
          </w:p>
        </w:tc>
        <w:tc>
          <w:tcPr>
            <w:tcW w:w="92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w:t>
            </w:r>
          </w:p>
        </w:tc>
        <w:tc>
          <w:tcPr>
            <w:tcW w:w="14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w:t>
            </w:r>
          </w:p>
        </w:tc>
        <w:tc>
          <w:tcPr>
            <w:tcW w:w="1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179"/>
        </w:trPr>
        <w:tc>
          <w:tcPr>
            <w:tcW w:w="4960" w:type="dxa"/>
            <w:vAlign w:val="bottom"/>
          </w:tcPr>
          <w:p>
            <w:pPr>
              <w:spacing w:after="0" w:line="180" w:lineRule="exact"/>
              <w:rPr>
                <w:sz w:val="20"/>
                <w:szCs w:val="20"/>
                <w:color w:val="auto"/>
              </w:rPr>
            </w:pPr>
            <w:r>
              <w:rPr>
                <w:rFonts w:ascii="Arial" w:cs="Arial" w:eastAsia="Arial" w:hAnsi="Arial"/>
                <w:sz w:val="16"/>
                <w:szCs w:val="16"/>
                <w:color w:val="auto"/>
              </w:rPr>
              <w:t>AOCL as of September 30, 2019</w:t>
            </w:r>
          </w:p>
        </w:tc>
        <w:tc>
          <w:tcPr>
            <w:tcW w:w="1000" w:type="dxa"/>
            <w:vAlign w:val="bottom"/>
          </w:tcPr>
          <w:p>
            <w:pPr>
              <w:spacing w:after="0"/>
              <w:rPr>
                <w:sz w:val="15"/>
                <w:szCs w:val="15"/>
                <w:color w:val="auto"/>
              </w:rPr>
            </w:pPr>
          </w:p>
        </w:tc>
        <w:tc>
          <w:tcPr>
            <w:tcW w:w="920" w:type="dxa"/>
            <w:vAlign w:val="bottom"/>
            <w:tcBorders>
              <w:bottom w:val="single" w:sz="8" w:color="auto"/>
            </w:tcBorders>
          </w:tcPr>
          <w:p>
            <w:pPr>
              <w:jc w:val="right"/>
              <w:ind w:right="774"/>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10</w:t>
            </w:r>
          </w:p>
        </w:tc>
        <w:tc>
          <w:tcPr>
            <w:tcW w:w="14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(33)</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(37)</w:t>
            </w:r>
          </w:p>
        </w:tc>
        <w:tc>
          <w:tcPr>
            <w:tcW w:w="14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w w:val="96"/>
              </w:rPr>
              <w:t>Nine months ended</w:t>
            </w: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380"/>
              <w:spacing w:after="0" w:line="133" w:lineRule="exact"/>
              <w:rPr>
                <w:sz w:val="20"/>
                <w:szCs w:val="20"/>
                <w:color w:val="auto"/>
              </w:rPr>
            </w:pPr>
            <w:r>
              <w:rPr>
                <w:rFonts w:ascii="Arial" w:cs="Arial" w:eastAsia="Arial" w:hAnsi="Arial"/>
                <w:sz w:val="13"/>
                <w:szCs w:val="13"/>
                <w:b w:val="1"/>
                <w:bCs w:val="1"/>
                <w:color w:val="auto"/>
                <w:w w:val="94"/>
              </w:rPr>
              <w:t>Available-</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jc w:val="center"/>
              <w:ind w:left="154"/>
              <w:spacing w:after="0" w:line="141" w:lineRule="exact"/>
              <w:rPr>
                <w:sz w:val="20"/>
                <w:szCs w:val="20"/>
                <w:color w:val="auto"/>
              </w:rPr>
            </w:pPr>
            <w:r>
              <w:rPr>
                <w:rFonts w:ascii="Arial" w:cs="Arial" w:eastAsia="Arial" w:hAnsi="Arial"/>
                <w:sz w:val="13"/>
                <w:szCs w:val="13"/>
                <w:b w:val="1"/>
                <w:bCs w:val="1"/>
                <w:color w:val="auto"/>
                <w:w w:val="98"/>
              </w:rPr>
              <w:t>Pension</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7"/>
              </w:rPr>
              <w:t>for-sale</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jc w:val="center"/>
              <w:ind w:left="154"/>
              <w:spacing w:after="0" w:line="141" w:lineRule="exact"/>
              <w:rPr>
                <w:sz w:val="20"/>
                <w:szCs w:val="20"/>
                <w:color w:val="auto"/>
              </w:rPr>
            </w:pPr>
            <w:r>
              <w:rPr>
                <w:rFonts w:ascii="Arial" w:cs="Arial" w:eastAsia="Arial" w:hAnsi="Arial"/>
                <w:sz w:val="13"/>
                <w:szCs w:val="13"/>
                <w:b w:val="1"/>
                <w:bCs w:val="1"/>
                <w:color w:val="auto"/>
                <w:w w:val="97"/>
              </w:rPr>
              <w:t>and OPEB</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5"/>
              </w:rPr>
              <w:t>securities</w:t>
            </w: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6"/>
              </w:rPr>
              <w:t>Foreign</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jc w:val="center"/>
              <w:ind w:left="154"/>
              <w:spacing w:after="0" w:line="141" w:lineRule="exact"/>
              <w:rPr>
                <w:sz w:val="20"/>
                <w:szCs w:val="20"/>
                <w:color w:val="auto"/>
              </w:rPr>
            </w:pPr>
            <w:r>
              <w:rPr>
                <w:rFonts w:ascii="Arial" w:cs="Arial" w:eastAsia="Arial" w:hAnsi="Arial"/>
                <w:sz w:val="13"/>
                <w:szCs w:val="13"/>
                <w:b w:val="1"/>
                <w:bCs w:val="1"/>
                <w:color w:val="auto"/>
                <w:w w:val="93"/>
              </w:rPr>
              <w:t>liability</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1" w:lineRule="exact"/>
              <w:rPr>
                <w:sz w:val="20"/>
                <w:szCs w:val="20"/>
                <w:color w:val="auto"/>
              </w:rPr>
            </w:pPr>
            <w:r>
              <w:rPr>
                <w:rFonts w:ascii="Arial" w:cs="Arial" w:eastAsia="Arial" w:hAnsi="Arial"/>
                <w:sz w:val="13"/>
                <w:szCs w:val="13"/>
                <w:b w:val="1"/>
                <w:bCs w:val="1"/>
                <w:color w:val="auto"/>
                <w:w w:val="94"/>
              </w:rPr>
              <w:t>and interest</w:t>
            </w:r>
          </w:p>
        </w:tc>
        <w:tc>
          <w:tcPr>
            <w:tcW w:w="200" w:type="dxa"/>
            <w:vAlign w:val="bottom"/>
          </w:tcPr>
          <w:p>
            <w:pPr>
              <w:spacing w:after="0"/>
              <w:rPr>
                <w:sz w:val="12"/>
                <w:szCs w:val="12"/>
                <w:color w:val="auto"/>
              </w:rPr>
            </w:pPr>
          </w:p>
        </w:tc>
        <w:tc>
          <w:tcPr>
            <w:tcW w:w="122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8"/>
              </w:rPr>
              <w:t>currency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96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center"/>
              <w:ind w:left="154"/>
              <w:spacing w:after="0"/>
              <w:rPr>
                <w:sz w:val="20"/>
                <w:szCs w:val="20"/>
                <w:color w:val="auto"/>
              </w:rPr>
            </w:pPr>
            <w:r>
              <w:rPr>
                <w:rFonts w:ascii="Arial" w:cs="Arial" w:eastAsia="Arial" w:hAnsi="Arial"/>
                <w:sz w:val="13"/>
                <w:szCs w:val="13"/>
                <w:b w:val="1"/>
                <w:bCs w:val="1"/>
                <w:color w:val="auto"/>
                <w:w w:val="95"/>
              </w:rPr>
              <w:t>adjustment</w:t>
            </w:r>
          </w:p>
        </w:tc>
        <w:tc>
          <w:tcPr>
            <w:tcW w:w="34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207"/>
              <w:spacing w:after="0"/>
              <w:rPr>
                <w:sz w:val="20"/>
                <w:szCs w:val="20"/>
                <w:color w:val="auto"/>
              </w:rPr>
            </w:pPr>
            <w:r>
              <w:rPr>
                <w:rFonts w:ascii="Arial" w:cs="Arial" w:eastAsia="Arial" w:hAnsi="Arial"/>
                <w:sz w:val="13"/>
                <w:szCs w:val="13"/>
                <w:b w:val="1"/>
                <w:bCs w:val="1"/>
                <w:color w:val="auto"/>
                <w:w w:val="95"/>
              </w:rPr>
              <w:t>rate swaps</w:t>
            </w:r>
          </w:p>
        </w:tc>
        <w:tc>
          <w:tcPr>
            <w:tcW w:w="1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25"/>
              <w:spacing w:after="0"/>
              <w:rPr>
                <w:sz w:val="20"/>
                <w:szCs w:val="20"/>
                <w:color w:val="auto"/>
              </w:rPr>
            </w:pPr>
            <w:r>
              <w:rPr>
                <w:rFonts w:ascii="Arial" w:cs="Arial" w:eastAsia="Arial" w:hAnsi="Arial"/>
                <w:sz w:val="13"/>
                <w:szCs w:val="13"/>
                <w:b w:val="1"/>
                <w:bCs w:val="1"/>
                <w:color w:val="auto"/>
                <w:w w:val="99"/>
              </w:rPr>
              <w:t>items</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9"/>
        </w:trPr>
        <w:tc>
          <w:tcPr>
            <w:tcW w:w="49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AOCL as of December 31, 2017</w:t>
            </w:r>
          </w:p>
        </w:tc>
        <w:tc>
          <w:tcPr>
            <w:tcW w:w="1920" w:type="dxa"/>
            <w:vAlign w:val="bottom"/>
            <w:gridSpan w:val="2"/>
            <w:shd w:val="clear" w:color="auto" w:fill="CFF0FC"/>
          </w:tcPr>
          <w:p>
            <w:pPr>
              <w:jc w:val="right"/>
              <w:ind w:right="774"/>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8</w:t>
            </w:r>
          </w:p>
        </w:tc>
        <w:tc>
          <w:tcPr>
            <w:tcW w:w="2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8"/>
        </w:trPr>
        <w:tc>
          <w:tcPr>
            <w:tcW w:w="4960" w:type="dxa"/>
            <w:vAlign w:val="bottom"/>
          </w:tcPr>
          <w:p>
            <w:pPr>
              <w:ind w:left="200"/>
              <w:spacing w:after="0"/>
              <w:rPr>
                <w:sz w:val="20"/>
                <w:szCs w:val="20"/>
                <w:color w:val="auto"/>
              </w:rPr>
            </w:pPr>
            <w:r>
              <w:rPr>
                <w:rFonts w:ascii="Arial" w:cs="Arial" w:eastAsia="Arial" w:hAnsi="Arial"/>
                <w:sz w:val="16"/>
                <w:szCs w:val="16"/>
                <w:color w:val="auto"/>
              </w:rPr>
              <w:t>Other comprehensive income (loss) before reclassifications</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4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1"/>
              </w:rPr>
              <w:t>(10)</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8"/>
        </w:trPr>
        <w:tc>
          <w:tcPr>
            <w:tcW w:w="496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Income tax</w:t>
            </w:r>
          </w:p>
        </w:tc>
        <w:tc>
          <w:tcPr>
            <w:tcW w:w="1000" w:type="dxa"/>
            <w:vAlign w:val="bottom"/>
            <w:tcBorders>
              <w:bottom w:val="single" w:sz="8" w:color="CFF0FC"/>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9"/>
        </w:trPr>
        <w:tc>
          <w:tcPr>
            <w:tcW w:w="49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current period other comprehensive (loss) income</w:t>
            </w:r>
          </w:p>
        </w:tc>
        <w:tc>
          <w:tcPr>
            <w:tcW w:w="1920" w:type="dxa"/>
            <w:vAlign w:val="bottom"/>
            <w:gridSpan w:val="2"/>
            <w:shd w:val="clear" w:color="auto" w:fill="CFF0FC"/>
          </w:tcPr>
          <w:p>
            <w:pPr>
              <w:jc w:val="right"/>
              <w:ind w:right="774"/>
              <w:spacing w:after="0" w:line="180"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(8)</w:t>
            </w:r>
          </w:p>
        </w:tc>
        <w:tc>
          <w:tcPr>
            <w:tcW w:w="280" w:type="dxa"/>
            <w:vAlign w:val="bottom"/>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2"/>
              <w:spacing w:after="0" w:line="180"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960" w:type="dxa"/>
            <w:vAlign w:val="bottom"/>
          </w:tcPr>
          <w:p>
            <w:pPr>
              <w:spacing w:after="0" w:line="180" w:lineRule="exact"/>
              <w:rPr>
                <w:sz w:val="20"/>
                <w:szCs w:val="20"/>
                <w:color w:val="auto"/>
              </w:rPr>
            </w:pPr>
            <w:r>
              <w:rPr>
                <w:rFonts w:ascii="Arial" w:cs="Arial" w:eastAsia="Arial" w:hAnsi="Arial"/>
                <w:sz w:val="16"/>
                <w:szCs w:val="16"/>
                <w:color w:val="auto"/>
              </w:rPr>
              <w:t>AOCL as of September 30, 2018</w:t>
            </w:r>
          </w:p>
        </w:tc>
        <w:tc>
          <w:tcPr>
            <w:tcW w:w="1920" w:type="dxa"/>
            <w:vAlign w:val="bottom"/>
            <w:gridSpan w:val="2"/>
          </w:tcPr>
          <w:p>
            <w:pPr>
              <w:jc w:val="right"/>
              <w:ind w:right="774"/>
              <w:spacing w:after="0" w:line="180" w:lineRule="exact"/>
              <w:rPr>
                <w:sz w:val="20"/>
                <w:szCs w:val="20"/>
                <w:color w:val="auto"/>
              </w:rPr>
            </w:pPr>
            <w:r>
              <w:rPr>
                <w:rFonts w:ascii="Arial" w:cs="Arial" w:eastAsia="Arial" w:hAnsi="Arial"/>
                <w:sz w:val="16"/>
                <w:szCs w:val="16"/>
                <w:color w:val="auto"/>
              </w:rPr>
              <w:t>$</w:t>
            </w:r>
          </w:p>
        </w:tc>
        <w:tc>
          <w:tcPr>
            <w:tcW w:w="340" w:type="dxa"/>
            <w:vAlign w:val="bottom"/>
          </w:tcPr>
          <w:p>
            <w:pPr>
              <w:jc w:val="right"/>
              <w:ind w:right="42"/>
              <w:spacing w:after="0" w:line="180" w:lineRule="exact"/>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line="180" w:lineRule="exact"/>
              <w:rPr>
                <w:sz w:val="20"/>
                <w:szCs w:val="20"/>
                <w:color w:val="auto"/>
              </w:rPr>
            </w:pPr>
            <w:r>
              <w:rPr>
                <w:rFonts w:ascii="Arial" w:cs="Arial" w:eastAsia="Arial" w:hAnsi="Arial"/>
                <w:sz w:val="16"/>
                <w:szCs w:val="16"/>
                <w:color w:val="auto"/>
              </w:rPr>
              <w:t>$</w:t>
            </w:r>
          </w:p>
        </w:tc>
        <w:tc>
          <w:tcPr>
            <w:tcW w:w="1120" w:type="dxa"/>
            <w:vAlign w:val="bottom"/>
          </w:tcPr>
          <w:p>
            <w:pPr>
              <w:jc w:val="right"/>
              <w:ind w:right="47"/>
              <w:spacing w:after="0" w:line="180" w:lineRule="exact"/>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200" w:type="dxa"/>
            <w:vAlign w:val="bottom"/>
          </w:tcPr>
          <w:p>
            <w:pPr>
              <w:jc w:val="right"/>
              <w:ind w:right="22"/>
              <w:spacing w:after="0" w:line="180"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line="180" w:lineRule="exact"/>
              <w:rPr>
                <w:sz w:val="20"/>
                <w:szCs w:val="20"/>
                <w:color w:val="auto"/>
              </w:rPr>
            </w:pPr>
            <w:r>
              <w:rPr>
                <w:rFonts w:ascii="Arial" w:cs="Arial" w:eastAsia="Arial" w:hAnsi="Arial"/>
                <w:sz w:val="16"/>
                <w:szCs w:val="16"/>
                <w:color w:val="auto"/>
              </w:rPr>
              <w:t>(28)</w:t>
            </w:r>
          </w:p>
        </w:tc>
        <w:tc>
          <w:tcPr>
            <w:tcW w:w="14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6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AOCL as of December 31, 2018</w:t>
            </w:r>
          </w:p>
        </w:tc>
        <w:tc>
          <w:tcPr>
            <w:tcW w:w="1920" w:type="dxa"/>
            <w:vAlign w:val="bottom"/>
            <w:gridSpan w:val="2"/>
            <w:shd w:val="clear" w:color="auto" w:fill="CFF0FC"/>
          </w:tcPr>
          <w:p>
            <w:pPr>
              <w:jc w:val="right"/>
              <w:ind w:right="774"/>
              <w:spacing w:after="0" w:line="16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ind w:right="42"/>
              <w:spacing w:after="0" w:line="163" w:lineRule="exact"/>
              <w:rPr>
                <w:sz w:val="20"/>
                <w:szCs w:val="20"/>
                <w:color w:val="auto"/>
              </w:rPr>
            </w:pPr>
            <w:r>
              <w:rPr>
                <w:rFonts w:ascii="Arial" w:cs="Arial" w:eastAsia="Arial" w:hAnsi="Arial"/>
                <w:sz w:val="16"/>
                <w:szCs w:val="16"/>
                <w:color w:val="auto"/>
              </w:rPr>
              <w:t>9</w:t>
            </w:r>
          </w:p>
        </w:tc>
        <w:tc>
          <w:tcPr>
            <w:tcW w:w="280" w:type="dxa"/>
            <w:vAlign w:val="bottom"/>
            <w:gridSpan w:val="2"/>
            <w:shd w:val="clear" w:color="auto" w:fill="CFF0FC"/>
          </w:tcPr>
          <w:p>
            <w:pPr>
              <w:jc w:val="right"/>
              <w:spacing w:after="0" w:line="163" w:lineRule="exact"/>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22"/>
              <w:spacing w:after="0" w:line="163" w:lineRule="exact"/>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(32)</w:t>
            </w:r>
          </w:p>
        </w:tc>
        <w:tc>
          <w:tcPr>
            <w:tcW w:w="1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7"/>
              <w:spacing w:after="0" w:line="163" w:lineRule="exact"/>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163" w:lineRule="exact"/>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8"/>
        </w:trPr>
        <w:tc>
          <w:tcPr>
            <w:tcW w:w="4960" w:type="dxa"/>
            <w:vAlign w:val="bottom"/>
          </w:tcPr>
          <w:p>
            <w:pPr>
              <w:ind w:left="200"/>
              <w:spacing w:after="0"/>
              <w:rPr>
                <w:sz w:val="20"/>
                <w:szCs w:val="20"/>
                <w:color w:val="auto"/>
              </w:rPr>
            </w:pPr>
            <w:r>
              <w:rPr>
                <w:rFonts w:ascii="Arial" w:cs="Arial" w:eastAsia="Arial" w:hAnsi="Arial"/>
                <w:sz w:val="16"/>
                <w:szCs w:val="16"/>
                <w:color w:val="auto"/>
              </w:rPr>
              <w:t>Other comprehensive loss before reclassifications</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0" w:type="dxa"/>
            <w:vAlign w:val="bottom"/>
          </w:tcPr>
          <w:p>
            <w:pPr>
              <w:spacing w:after="0"/>
              <w:rPr>
                <w:sz w:val="1"/>
                <w:szCs w:val="1"/>
                <w:color w:val="auto"/>
              </w:rPr>
            </w:pPr>
          </w:p>
        </w:tc>
      </w:tr>
      <w:tr>
        <w:trPr>
          <w:trHeight w:val="188"/>
        </w:trPr>
        <w:tc>
          <w:tcPr>
            <w:tcW w:w="4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Amounts reclassified from AOCL</w:t>
            </w: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1"/>
              </w:rPr>
              <w:t>(10)</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188"/>
        </w:trPr>
        <w:tc>
          <w:tcPr>
            <w:tcW w:w="4960" w:type="dxa"/>
            <w:vAlign w:val="bottom"/>
          </w:tcPr>
          <w:p>
            <w:pPr>
              <w:ind w:left="200"/>
              <w:spacing w:after="0"/>
              <w:rPr>
                <w:sz w:val="20"/>
                <w:szCs w:val="20"/>
                <w:color w:val="auto"/>
              </w:rPr>
            </w:pPr>
            <w:r>
              <w:rPr>
                <w:rFonts w:ascii="Arial" w:cs="Arial" w:eastAsia="Arial" w:hAnsi="Arial"/>
                <w:sz w:val="16"/>
                <w:szCs w:val="16"/>
                <w:color w:val="auto"/>
              </w:rPr>
              <w:t>Income tax</w:t>
            </w: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020" w:type="dxa"/>
            <w:vAlign w:val="bottom"/>
          </w:tcPr>
          <w:p>
            <w:pPr>
              <w:jc w:val="right"/>
              <w:ind w:right="43"/>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188"/>
        </w:trPr>
        <w:tc>
          <w:tcPr>
            <w:tcW w:w="49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Reclassification of stranded tax effects</w:t>
            </w:r>
          </w:p>
        </w:tc>
        <w:tc>
          <w:tcPr>
            <w:tcW w:w="10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179"/>
        </w:trPr>
        <w:tc>
          <w:tcPr>
            <w:tcW w:w="4960" w:type="dxa"/>
            <w:vAlign w:val="bottom"/>
            <w:tcBorders>
              <w:bottom w:val="single" w:sz="8" w:color="CFF0FC"/>
            </w:tcBorders>
          </w:tcPr>
          <w:p>
            <w:pPr>
              <w:spacing w:after="0" w:line="180" w:lineRule="exact"/>
              <w:rPr>
                <w:sz w:val="20"/>
                <w:szCs w:val="20"/>
                <w:color w:val="auto"/>
              </w:rPr>
            </w:pPr>
            <w:r>
              <w:rPr>
                <w:rFonts w:ascii="Arial" w:cs="Arial" w:eastAsia="Arial" w:hAnsi="Arial"/>
                <w:sz w:val="16"/>
                <w:szCs w:val="16"/>
                <w:color w:val="auto"/>
              </w:rPr>
              <w:t>Net current period other comprehensive income (loss)</w:t>
            </w:r>
          </w:p>
        </w:tc>
        <w:tc>
          <w:tcPr>
            <w:tcW w:w="1000" w:type="dxa"/>
            <w:vAlign w:val="bottom"/>
            <w:tcBorders>
              <w:bottom w:val="single" w:sz="8" w:color="CFF0FC"/>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774"/>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ind w:right="42"/>
              <w:spacing w:after="0" w:line="180" w:lineRule="exact"/>
              <w:rPr>
                <w:sz w:val="20"/>
                <w:szCs w:val="20"/>
                <w:color w:val="auto"/>
              </w:rPr>
            </w:pPr>
            <w:r>
              <w:rPr>
                <w:rFonts w:ascii="Arial" w:cs="Arial" w:eastAsia="Arial" w:hAnsi="Arial"/>
                <w:sz w:val="16"/>
                <w:szCs w:val="16"/>
                <w:b w:val="1"/>
                <w:bCs w:val="1"/>
                <w:color w:val="auto"/>
              </w:rPr>
              <w:t>1</w:t>
            </w:r>
          </w:p>
        </w:tc>
        <w:tc>
          <w:tcPr>
            <w:tcW w:w="140" w:type="dxa"/>
            <w:vAlign w:val="bottom"/>
            <w:tcBorders>
              <w:bottom w:val="single" w:sz="8" w:color="CFF0FC"/>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(26)</w:t>
            </w:r>
          </w:p>
        </w:tc>
        <w:tc>
          <w:tcPr>
            <w:tcW w:w="12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(5)</w:t>
            </w:r>
          </w:p>
        </w:tc>
        <w:tc>
          <w:tcPr>
            <w:tcW w:w="14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179"/>
        </w:trPr>
        <w:tc>
          <w:tcPr>
            <w:tcW w:w="49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AOCL as of September 30, 2019</w:t>
            </w:r>
          </w:p>
        </w:tc>
        <w:tc>
          <w:tcPr>
            <w:tcW w:w="10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ind w:right="774"/>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10</w:t>
            </w:r>
          </w:p>
        </w:tc>
        <w:tc>
          <w:tcPr>
            <w:tcW w:w="1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(33)</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22"/>
              <w:spacing w:after="0" w:line="180" w:lineRule="exact"/>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(37)</w:t>
            </w:r>
          </w:p>
        </w:tc>
        <w:tc>
          <w:tcPr>
            <w:tcW w:w="1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0" w:type="dxa"/>
            <w:vAlign w:val="bottom"/>
            <w:vMerge w:val="restart"/>
          </w:tcPr>
          <w:p>
            <w:pPr>
              <w:jc w:val="right"/>
              <w:ind w:right="82"/>
              <w:spacing w:after="0"/>
              <w:rPr>
                <w:sz w:val="20"/>
                <w:szCs w:val="20"/>
                <w:color w:val="auto"/>
              </w:rPr>
            </w:pPr>
            <w:r>
              <w:rPr>
                <w:rFonts w:ascii="Arial" w:cs="Arial" w:eastAsia="Arial" w:hAnsi="Arial"/>
                <w:sz w:val="16"/>
                <w:szCs w:val="16"/>
                <w:color w:val="auto"/>
              </w:rPr>
              <w:t>21</w:t>
            </w: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9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9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ind w:right="40" w:firstLine="537"/>
        <w:spacing w:after="0" w:line="233" w:lineRule="auto"/>
        <w:rPr>
          <w:sz w:val="20"/>
          <w:szCs w:val="20"/>
          <w:color w:val="auto"/>
        </w:rPr>
      </w:pPr>
      <w:r>
        <w:rPr>
          <w:rFonts w:ascii="Arial" w:cs="Arial" w:eastAsia="Arial" w:hAnsi="Arial"/>
          <w:sz w:val="16"/>
          <w:szCs w:val="16"/>
          <w:color w:val="auto"/>
        </w:rPr>
        <w:t>In accordance with the FASB's new authoritative guidance regarding the reclassification of certain tax effects from accumulated other comprehensive income, the Company reclassified approximately $7 million, as of January 1, 2019, from accumulated other comprehensive loss to retained earnings for the stranded tax effects resulting from the U.S. Tax Cuts and Jobs Act. This reclassification had zero net effect on total stockholders' equity. The Company utilizes the portfolio securities approach when releasing income tax effects from accumulated other comprehensive loss for its investment securities.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7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3"/>
                <w:szCs w:val="13"/>
                <w:b w:val="1"/>
                <w:bCs w:val="1"/>
                <w:color w:val="auto"/>
              </w:rPr>
              <w:t>Amounts reclassified from AOCL</w:t>
            </w:r>
          </w:p>
        </w:tc>
        <w:tc>
          <w:tcPr>
            <w:tcW w:w="360" w:type="dxa"/>
            <w:vAlign w:val="bottom"/>
            <w:tcBorders>
              <w:bottom w:val="single" w:sz="8" w:color="auto"/>
            </w:tcBorders>
          </w:tcPr>
          <w:p>
            <w:pPr>
              <w:spacing w:after="0"/>
              <w:rPr>
                <w:sz w:val="13"/>
                <w:szCs w:val="13"/>
                <w:color w:val="auto"/>
              </w:rPr>
            </w:pPr>
          </w:p>
        </w:tc>
        <w:tc>
          <w:tcPr>
            <w:tcW w:w="3420" w:type="dxa"/>
            <w:vAlign w:val="bottom"/>
            <w:vMerge w:val="restart"/>
          </w:tcPr>
          <w:p>
            <w:pPr>
              <w:jc w:val="center"/>
              <w:ind w:left="89"/>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Three months ended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spacing w:after="0" w:line="141" w:lineRule="exact"/>
              <w:rPr>
                <w:sz w:val="20"/>
                <w:szCs w:val="20"/>
                <w:color w:val="auto"/>
              </w:rPr>
            </w:pPr>
            <w:r>
              <w:rPr>
                <w:rFonts w:ascii="Arial" w:cs="Arial" w:eastAsia="Arial" w:hAnsi="Arial"/>
                <w:sz w:val="13"/>
                <w:szCs w:val="13"/>
                <w:b w:val="1"/>
                <w:bCs w:val="1"/>
                <w:color w:val="auto"/>
              </w:rPr>
              <w:t>Three months ended</w:t>
            </w:r>
          </w:p>
        </w:tc>
        <w:tc>
          <w:tcPr>
            <w:tcW w:w="360" w:type="dxa"/>
            <w:vAlign w:val="bottom"/>
          </w:tcPr>
          <w:p>
            <w:pPr>
              <w:spacing w:after="0"/>
              <w:rPr>
                <w:sz w:val="12"/>
                <w:szCs w:val="12"/>
                <w:color w:val="auto"/>
              </w:rPr>
            </w:pPr>
          </w:p>
        </w:tc>
        <w:tc>
          <w:tcPr>
            <w:tcW w:w="3420" w:type="dxa"/>
            <w:vAlign w:val="bottom"/>
          </w:tcPr>
          <w:p>
            <w:pPr>
              <w:jc w:val="center"/>
              <w:ind w:left="89"/>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10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840" w:type="dxa"/>
            <w:vAlign w:val="bottom"/>
            <w:tcBorders>
              <w:bottom w:val="single" w:sz="8" w:color="CFF0FC"/>
            </w:tcBorders>
          </w:tcPr>
          <w:p>
            <w:pPr>
              <w:spacing w:after="0"/>
              <w:rPr>
                <w:sz w:val="13"/>
                <w:szCs w:val="1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September 30, 2019</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September 30, 2018</w:t>
            </w:r>
          </w:p>
        </w:tc>
        <w:tc>
          <w:tcPr>
            <w:tcW w:w="360" w:type="dxa"/>
            <w:vAlign w:val="bottom"/>
            <w:tcBorders>
              <w:bottom w:val="single" w:sz="8" w:color="auto"/>
            </w:tcBorders>
          </w:tcPr>
          <w:p>
            <w:pPr>
              <w:spacing w:after="0"/>
              <w:rPr>
                <w:sz w:val="13"/>
                <w:szCs w:val="13"/>
                <w:color w:val="auto"/>
              </w:rPr>
            </w:pPr>
          </w:p>
        </w:tc>
        <w:tc>
          <w:tcPr>
            <w:tcW w:w="3420" w:type="dxa"/>
            <w:vAlign w:val="bottom"/>
            <w:tcBorders>
              <w:bottom w:val="single" w:sz="8" w:color="CFF0FC"/>
            </w:tcBorders>
          </w:tcPr>
          <w:p>
            <w:pPr>
              <w:jc w:val="center"/>
              <w:ind w:left="89"/>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79"/>
        </w:trPr>
        <w:tc>
          <w:tcPr>
            <w:tcW w:w="3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benefit items:</w:t>
            </w:r>
          </w:p>
        </w:tc>
        <w:tc>
          <w:tcPr>
            <w:tcW w:w="8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840" w:type="dxa"/>
            <w:vAlign w:val="bottom"/>
          </w:tcPr>
          <w:p>
            <w:pPr>
              <w:spacing w:after="0"/>
              <w:rPr>
                <w:sz w:val="16"/>
                <w:szCs w:val="16"/>
                <w:color w:val="auto"/>
              </w:rPr>
            </w:pPr>
          </w:p>
        </w:tc>
        <w:tc>
          <w:tcPr>
            <w:tcW w:w="1600" w:type="dxa"/>
            <w:vAlign w:val="bottom"/>
          </w:tcPr>
          <w:p>
            <w:pPr>
              <w:jc w:val="right"/>
              <w:ind w:right="1430"/>
              <w:spacing w:after="0"/>
              <w:rPr>
                <w:sz w:val="20"/>
                <w:szCs w:val="20"/>
                <w:color w:val="auto"/>
              </w:rPr>
            </w:pPr>
            <w:r>
              <w:rPr>
                <w:rFonts w:ascii="Arial" w:cs="Arial" w:eastAsia="Arial" w:hAnsi="Arial"/>
                <w:sz w:val="16"/>
                <w:szCs w:val="16"/>
                <w:b w:val="1"/>
                <w:bCs w:val="1"/>
                <w:color w:val="auto"/>
                <w:w w:val="89"/>
              </w:rPr>
              <w:t>$</w:t>
            </w:r>
          </w:p>
        </w:tc>
        <w:tc>
          <w:tcPr>
            <w:tcW w:w="360" w:type="dxa"/>
            <w:vAlign w:val="bottom"/>
          </w:tcPr>
          <w:p>
            <w:pPr>
              <w:jc w:val="right"/>
              <w:ind w:right="42"/>
              <w:spacing w:after="0"/>
              <w:rPr>
                <w:sz w:val="20"/>
                <w:szCs w:val="20"/>
                <w:color w:val="auto"/>
              </w:rPr>
            </w:pPr>
            <w:r>
              <w:rPr>
                <w:rFonts w:ascii="Arial" w:cs="Arial" w:eastAsia="Arial" w:hAnsi="Arial"/>
                <w:sz w:val="16"/>
                <w:szCs w:val="16"/>
                <w:b w:val="1"/>
                <w:bCs w:val="1"/>
                <w:color w:val="auto"/>
              </w:rPr>
              <w:t>3</w:t>
            </w:r>
          </w:p>
        </w:tc>
        <w:tc>
          <w:tcPr>
            <w:tcW w:w="1760" w:type="dxa"/>
            <w:vAlign w:val="bottom"/>
            <w:gridSpan w:val="2"/>
          </w:tcPr>
          <w:p>
            <w:pPr>
              <w:jc w:val="right"/>
              <w:ind w:right="1437"/>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3</w:t>
            </w:r>
          </w:p>
        </w:tc>
        <w:tc>
          <w:tcPr>
            <w:tcW w:w="3420" w:type="dxa"/>
            <w:vAlign w:val="bottom"/>
          </w:tcPr>
          <w:p>
            <w:pPr>
              <w:ind w:left="18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20"/>
        </w:trPr>
        <w:tc>
          <w:tcPr>
            <w:tcW w:w="3100" w:type="dxa"/>
            <w:vAlign w:val="bottom"/>
            <w:shd w:val="clear" w:color="auto" w:fill="CFF0FC"/>
          </w:tcPr>
          <w:p>
            <w:pPr>
              <w:spacing w:after="0" w:line="20" w:lineRule="exact"/>
              <w:rPr>
                <w:sz w:val="1"/>
                <w:szCs w:val="1"/>
                <w:color w:val="auto"/>
              </w:rPr>
            </w:pPr>
          </w:p>
        </w:tc>
        <w:tc>
          <w:tcPr>
            <w:tcW w:w="840" w:type="dxa"/>
            <w:vAlign w:val="bottom"/>
            <w:vMerge w:val="restart"/>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840" w:type="dxa"/>
            <w:vAlign w:val="bottom"/>
            <w:vMerge w:val="continue"/>
            <w:shd w:val="clear" w:color="auto" w:fill="CFF0FC"/>
          </w:tcPr>
          <w:p>
            <w:pPr>
              <w:spacing w:after="0"/>
              <w:rPr>
                <w:sz w:val="15"/>
                <w:szCs w:val="15"/>
                <w:color w:val="auto"/>
              </w:rPr>
            </w:pPr>
          </w:p>
        </w:tc>
        <w:tc>
          <w:tcPr>
            <w:tcW w:w="1600" w:type="dxa"/>
            <w:vAlign w:val="bottom"/>
            <w:shd w:val="clear" w:color="auto" w:fill="CFF0FC"/>
          </w:tcPr>
          <w:p>
            <w:pPr>
              <w:jc w:val="right"/>
              <w:ind w:right="1430"/>
              <w:spacing w:after="0" w:line="180" w:lineRule="exact"/>
              <w:rPr>
                <w:sz w:val="20"/>
                <w:szCs w:val="20"/>
                <w:color w:val="auto"/>
              </w:rPr>
            </w:pPr>
            <w:r>
              <w:rPr>
                <w:rFonts w:ascii="Arial" w:cs="Arial" w:eastAsia="Arial" w:hAnsi="Arial"/>
                <w:sz w:val="16"/>
                <w:szCs w:val="16"/>
                <w:b w:val="1"/>
                <w:bCs w:val="1"/>
                <w:color w:val="auto"/>
                <w:w w:val="89"/>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w:t>
            </w:r>
          </w:p>
        </w:tc>
        <w:tc>
          <w:tcPr>
            <w:tcW w:w="1760" w:type="dxa"/>
            <w:vAlign w:val="bottom"/>
            <w:gridSpan w:val="2"/>
            <w:shd w:val="clear" w:color="auto" w:fill="CFF0FC"/>
          </w:tcPr>
          <w:p>
            <w:pPr>
              <w:jc w:val="right"/>
              <w:ind w:right="1437"/>
              <w:spacing w:after="0" w:line="180"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3420" w:type="dxa"/>
            <w:vAlign w:val="bottom"/>
            <w:shd w:val="clear" w:color="auto" w:fill="CFF0FC"/>
          </w:tcPr>
          <w:p>
            <w:pPr>
              <w:ind w:left="18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1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84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342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79"/>
        </w:trPr>
        <w:tc>
          <w:tcPr>
            <w:tcW w:w="3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8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1430"/>
              <w:spacing w:after="0" w:line="180" w:lineRule="exact"/>
              <w:rPr>
                <w:sz w:val="20"/>
                <w:szCs w:val="20"/>
                <w:color w:val="auto"/>
              </w:rPr>
            </w:pPr>
            <w:r>
              <w:rPr>
                <w:rFonts w:ascii="Arial" w:cs="Arial" w:eastAsia="Arial" w:hAnsi="Arial"/>
                <w:sz w:val="16"/>
                <w:szCs w:val="16"/>
                <w:b w:val="1"/>
                <w:bCs w:val="1"/>
                <w:color w:val="auto"/>
                <w:w w:val="89"/>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2</w:t>
            </w:r>
          </w:p>
        </w:tc>
        <w:tc>
          <w:tcPr>
            <w:tcW w:w="1760" w:type="dxa"/>
            <w:vAlign w:val="bottom"/>
            <w:gridSpan w:val="2"/>
            <w:shd w:val="clear" w:color="auto" w:fill="CFF0FC"/>
          </w:tcPr>
          <w:p>
            <w:pPr>
              <w:jc w:val="right"/>
              <w:ind w:right="1437"/>
              <w:spacing w:after="0" w:line="180"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3</w:t>
            </w:r>
          </w:p>
        </w:tc>
        <w:tc>
          <w:tcPr>
            <w:tcW w:w="3420" w:type="dxa"/>
            <w:vAlign w:val="bottom"/>
            <w:shd w:val="clear" w:color="auto" w:fill="CFF0FC"/>
          </w:tcPr>
          <w:p>
            <w:pPr>
              <w:ind w:left="180"/>
              <w:spacing w:after="0" w:line="180" w:lineRule="exact"/>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3"/>
                <w:szCs w:val="13"/>
                <w:b w:val="1"/>
                <w:bCs w:val="1"/>
                <w:color w:val="auto"/>
              </w:rPr>
              <w:t>Amounts reclassified from AOCL</w:t>
            </w:r>
          </w:p>
        </w:tc>
        <w:tc>
          <w:tcPr>
            <w:tcW w:w="360" w:type="dxa"/>
            <w:vAlign w:val="bottom"/>
            <w:tcBorders>
              <w:bottom w:val="single" w:sz="8" w:color="auto"/>
            </w:tcBorders>
          </w:tcPr>
          <w:p>
            <w:pPr>
              <w:spacing w:after="0"/>
              <w:rPr>
                <w:sz w:val="24"/>
                <w:szCs w:val="24"/>
                <w:color w:val="auto"/>
              </w:rPr>
            </w:pPr>
          </w:p>
        </w:tc>
        <w:tc>
          <w:tcPr>
            <w:tcW w:w="3420" w:type="dxa"/>
            <w:vAlign w:val="bottom"/>
            <w:vMerge w:val="restart"/>
          </w:tcPr>
          <w:p>
            <w:pPr>
              <w:jc w:val="center"/>
              <w:ind w:left="89"/>
              <w:spacing w:after="0"/>
              <w:rPr>
                <w:sz w:val="20"/>
                <w:szCs w:val="20"/>
                <w:color w:val="auto"/>
              </w:rPr>
            </w:pPr>
            <w:r>
              <w:rPr>
                <w:rFonts w:ascii="Arial" w:cs="Arial" w:eastAsia="Arial" w:hAnsi="Arial"/>
                <w:sz w:val="13"/>
                <w:szCs w:val="13"/>
                <w:b w:val="1"/>
                <w:bCs w:val="1"/>
                <w:color w:val="auto"/>
                <w:w w:val="96"/>
              </w:rPr>
              <w:t>Affected line item in the Condensed</w:t>
            </w:r>
          </w:p>
        </w:tc>
        <w:tc>
          <w:tcPr>
            <w:tcW w:w="0" w:type="dxa"/>
            <w:vAlign w:val="bottom"/>
          </w:tcPr>
          <w:p>
            <w:pPr>
              <w:spacing w:after="0"/>
              <w:rPr>
                <w:sz w:val="1"/>
                <w:szCs w:val="1"/>
                <w:color w:val="auto"/>
              </w:rPr>
            </w:pPr>
          </w:p>
        </w:tc>
      </w:tr>
      <w:tr>
        <w:trPr>
          <w:trHeight w:val="121"/>
        </w:trPr>
        <w:tc>
          <w:tcPr>
            <w:tcW w:w="3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3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0" w:type="dxa"/>
            <w:vAlign w:val="bottom"/>
          </w:tcPr>
          <w:p>
            <w:pPr>
              <w:jc w:val="right"/>
              <w:ind w:right="30"/>
              <w:spacing w:after="0" w:line="141" w:lineRule="exact"/>
              <w:rPr>
                <w:sz w:val="20"/>
                <w:szCs w:val="20"/>
                <w:color w:val="auto"/>
              </w:rPr>
            </w:pPr>
            <w:r>
              <w:rPr>
                <w:rFonts w:ascii="Arial" w:cs="Arial" w:eastAsia="Arial" w:hAnsi="Arial"/>
                <w:sz w:val="13"/>
                <w:szCs w:val="13"/>
                <w:b w:val="1"/>
                <w:bCs w:val="1"/>
                <w:color w:val="auto"/>
              </w:rPr>
              <w:t>Nine months ended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right"/>
              <w:ind w:right="37"/>
              <w:spacing w:after="0" w:line="141" w:lineRule="exact"/>
              <w:rPr>
                <w:sz w:val="20"/>
                <w:szCs w:val="20"/>
                <w:color w:val="auto"/>
              </w:rPr>
            </w:pPr>
            <w:r>
              <w:rPr>
                <w:rFonts w:ascii="Arial" w:cs="Arial" w:eastAsia="Arial" w:hAnsi="Arial"/>
                <w:sz w:val="13"/>
                <w:szCs w:val="13"/>
                <w:b w:val="1"/>
                <w:bCs w:val="1"/>
                <w:color w:val="auto"/>
              </w:rPr>
              <w:t>Nine months ended</w:t>
            </w:r>
          </w:p>
        </w:tc>
        <w:tc>
          <w:tcPr>
            <w:tcW w:w="360" w:type="dxa"/>
            <w:vAlign w:val="bottom"/>
          </w:tcPr>
          <w:p>
            <w:pPr>
              <w:spacing w:after="0"/>
              <w:rPr>
                <w:sz w:val="12"/>
                <w:szCs w:val="12"/>
                <w:color w:val="auto"/>
              </w:rPr>
            </w:pPr>
          </w:p>
        </w:tc>
        <w:tc>
          <w:tcPr>
            <w:tcW w:w="3420" w:type="dxa"/>
            <w:vAlign w:val="bottom"/>
          </w:tcPr>
          <w:p>
            <w:pPr>
              <w:jc w:val="center"/>
              <w:ind w:left="89"/>
              <w:spacing w:after="0" w:line="141" w:lineRule="exact"/>
              <w:rPr>
                <w:sz w:val="20"/>
                <w:szCs w:val="20"/>
                <w:color w:val="auto"/>
              </w:rPr>
            </w:pPr>
            <w:r>
              <w:rPr>
                <w:rFonts w:ascii="Arial" w:cs="Arial" w:eastAsia="Arial" w:hAnsi="Arial"/>
                <w:sz w:val="13"/>
                <w:szCs w:val="13"/>
                <w:b w:val="1"/>
                <w:bCs w:val="1"/>
                <w:color w:val="auto"/>
                <w:w w:val="96"/>
              </w:rPr>
              <w:t>Consolidated Statements of</w:t>
            </w:r>
          </w:p>
        </w:tc>
        <w:tc>
          <w:tcPr>
            <w:tcW w:w="0" w:type="dxa"/>
            <w:vAlign w:val="bottom"/>
          </w:tcPr>
          <w:p>
            <w:pPr>
              <w:spacing w:after="0"/>
              <w:rPr>
                <w:sz w:val="1"/>
                <w:szCs w:val="1"/>
                <w:color w:val="auto"/>
              </w:rPr>
            </w:pPr>
          </w:p>
        </w:tc>
      </w:tr>
      <w:tr>
        <w:trPr>
          <w:trHeight w:val="153"/>
        </w:trPr>
        <w:tc>
          <w:tcPr>
            <w:tcW w:w="310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AOCL Components</w:t>
            </w:r>
          </w:p>
        </w:tc>
        <w:tc>
          <w:tcPr>
            <w:tcW w:w="840" w:type="dxa"/>
            <w:vAlign w:val="bottom"/>
            <w:tcBorders>
              <w:bottom w:val="single" w:sz="8" w:color="CFF0FC"/>
            </w:tcBorders>
          </w:tcPr>
          <w:p>
            <w:pPr>
              <w:spacing w:after="0"/>
              <w:rPr>
                <w:sz w:val="13"/>
                <w:szCs w:val="13"/>
                <w:color w:val="auto"/>
              </w:rPr>
            </w:pPr>
          </w:p>
        </w:tc>
        <w:tc>
          <w:tcPr>
            <w:tcW w:w="160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September 30, 2019</w:t>
            </w:r>
          </w:p>
        </w:tc>
        <w:tc>
          <w:tcPr>
            <w:tcW w:w="3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September 30, 2018</w:t>
            </w:r>
          </w:p>
        </w:tc>
        <w:tc>
          <w:tcPr>
            <w:tcW w:w="360" w:type="dxa"/>
            <w:vAlign w:val="bottom"/>
            <w:tcBorders>
              <w:bottom w:val="single" w:sz="8" w:color="auto"/>
            </w:tcBorders>
          </w:tcPr>
          <w:p>
            <w:pPr>
              <w:spacing w:after="0"/>
              <w:rPr>
                <w:sz w:val="13"/>
                <w:szCs w:val="13"/>
                <w:color w:val="auto"/>
              </w:rPr>
            </w:pPr>
          </w:p>
        </w:tc>
        <w:tc>
          <w:tcPr>
            <w:tcW w:w="3420" w:type="dxa"/>
            <w:vAlign w:val="bottom"/>
            <w:tcBorders>
              <w:bottom w:val="single" w:sz="8" w:color="CFF0FC"/>
            </w:tcBorders>
          </w:tcPr>
          <w:p>
            <w:pPr>
              <w:jc w:val="center"/>
              <w:ind w:left="89"/>
              <w:spacing w:after="0"/>
              <w:rPr>
                <w:sz w:val="20"/>
                <w:szCs w:val="20"/>
                <w:color w:val="auto"/>
              </w:rPr>
            </w:pPr>
            <w:r>
              <w:rPr>
                <w:rFonts w:ascii="Arial" w:cs="Arial" w:eastAsia="Arial" w:hAnsi="Arial"/>
                <w:sz w:val="13"/>
                <w:szCs w:val="13"/>
                <w:b w:val="1"/>
                <w:bCs w:val="1"/>
                <w:color w:val="auto"/>
                <w:w w:val="96"/>
              </w:rPr>
              <w:t>Comprehensive Income</w:t>
            </w:r>
          </w:p>
        </w:tc>
        <w:tc>
          <w:tcPr>
            <w:tcW w:w="0" w:type="dxa"/>
            <w:vAlign w:val="bottom"/>
          </w:tcPr>
          <w:p>
            <w:pPr>
              <w:spacing w:after="0"/>
              <w:rPr>
                <w:sz w:val="1"/>
                <w:szCs w:val="1"/>
                <w:color w:val="auto"/>
              </w:rPr>
            </w:pPr>
          </w:p>
        </w:tc>
      </w:tr>
      <w:tr>
        <w:trPr>
          <w:trHeight w:val="179"/>
        </w:trPr>
        <w:tc>
          <w:tcPr>
            <w:tcW w:w="3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Amortization of benefit items:</w:t>
            </w:r>
          </w:p>
        </w:tc>
        <w:tc>
          <w:tcPr>
            <w:tcW w:w="84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34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100" w:type="dxa"/>
            <w:vAlign w:val="bottom"/>
          </w:tcPr>
          <w:p>
            <w:pPr>
              <w:ind w:left="200"/>
              <w:spacing w:after="0"/>
              <w:rPr>
                <w:sz w:val="20"/>
                <w:szCs w:val="20"/>
                <w:color w:val="auto"/>
              </w:rPr>
            </w:pPr>
            <w:r>
              <w:rPr>
                <w:rFonts w:ascii="Arial" w:cs="Arial" w:eastAsia="Arial" w:hAnsi="Arial"/>
                <w:sz w:val="16"/>
                <w:szCs w:val="16"/>
                <w:color w:val="auto"/>
              </w:rPr>
              <w:t>Prior service cost</w:t>
            </w:r>
          </w:p>
        </w:tc>
        <w:tc>
          <w:tcPr>
            <w:tcW w:w="840" w:type="dxa"/>
            <w:vAlign w:val="bottom"/>
          </w:tcPr>
          <w:p>
            <w:pPr>
              <w:spacing w:after="0"/>
              <w:rPr>
                <w:sz w:val="16"/>
                <w:szCs w:val="16"/>
                <w:color w:val="auto"/>
              </w:rPr>
            </w:pPr>
          </w:p>
        </w:tc>
        <w:tc>
          <w:tcPr>
            <w:tcW w:w="1600" w:type="dxa"/>
            <w:vAlign w:val="bottom"/>
          </w:tcPr>
          <w:p>
            <w:pPr>
              <w:jc w:val="right"/>
              <w:ind w:right="1430"/>
              <w:spacing w:after="0"/>
              <w:rPr>
                <w:sz w:val="20"/>
                <w:szCs w:val="20"/>
                <w:color w:val="auto"/>
              </w:rPr>
            </w:pPr>
            <w:r>
              <w:rPr>
                <w:rFonts w:ascii="Arial" w:cs="Arial" w:eastAsia="Arial" w:hAnsi="Arial"/>
                <w:sz w:val="16"/>
                <w:szCs w:val="16"/>
                <w:b w:val="1"/>
                <w:bCs w:val="1"/>
                <w:color w:val="auto"/>
                <w:w w:val="89"/>
              </w:rPr>
              <w:t>$</w:t>
            </w:r>
          </w:p>
        </w:tc>
        <w:tc>
          <w:tcPr>
            <w:tcW w:w="360" w:type="dxa"/>
            <w:vAlign w:val="bottom"/>
          </w:tcPr>
          <w:p>
            <w:pPr>
              <w:jc w:val="right"/>
              <w:ind w:right="42"/>
              <w:spacing w:after="0"/>
              <w:rPr>
                <w:sz w:val="20"/>
                <w:szCs w:val="20"/>
                <w:color w:val="auto"/>
              </w:rPr>
            </w:pPr>
            <w:r>
              <w:rPr>
                <w:rFonts w:ascii="Arial" w:cs="Arial" w:eastAsia="Arial" w:hAnsi="Arial"/>
                <w:sz w:val="16"/>
                <w:szCs w:val="16"/>
                <w:b w:val="1"/>
                <w:bCs w:val="1"/>
                <w:color w:val="auto"/>
              </w:rPr>
              <w:t>10</w:t>
            </w:r>
          </w:p>
        </w:tc>
        <w:tc>
          <w:tcPr>
            <w:tcW w:w="1760" w:type="dxa"/>
            <w:vAlign w:val="bottom"/>
            <w:gridSpan w:val="2"/>
          </w:tcPr>
          <w:p>
            <w:pPr>
              <w:jc w:val="right"/>
              <w:ind w:right="1437"/>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42"/>
              <w:spacing w:after="0"/>
              <w:rPr>
                <w:sz w:val="20"/>
                <w:szCs w:val="20"/>
                <w:color w:val="auto"/>
              </w:rPr>
            </w:pPr>
            <w:r>
              <w:rPr>
                <w:rFonts w:ascii="Arial" w:cs="Arial" w:eastAsia="Arial" w:hAnsi="Arial"/>
                <w:sz w:val="16"/>
                <w:szCs w:val="16"/>
                <w:color w:val="auto"/>
              </w:rPr>
              <w:t>10</w:t>
            </w:r>
          </w:p>
        </w:tc>
        <w:tc>
          <w:tcPr>
            <w:tcW w:w="3420" w:type="dxa"/>
            <w:vAlign w:val="bottom"/>
          </w:tcPr>
          <w:p>
            <w:pPr>
              <w:ind w:left="180"/>
              <w:spacing w:after="0"/>
              <w:rPr>
                <w:sz w:val="20"/>
                <w:szCs w:val="20"/>
                <w:color w:val="auto"/>
              </w:rPr>
            </w:pPr>
            <w:r>
              <w:rPr>
                <w:rFonts w:ascii="Arial" w:cs="Arial" w:eastAsia="Arial" w:hAnsi="Arial"/>
                <w:sz w:val="16"/>
                <w:szCs w:val="16"/>
                <w:color w:val="auto"/>
              </w:rPr>
              <w:t>Other income, net</w:t>
            </w:r>
          </w:p>
        </w:tc>
        <w:tc>
          <w:tcPr>
            <w:tcW w:w="0" w:type="dxa"/>
            <w:vAlign w:val="bottom"/>
          </w:tcPr>
          <w:p>
            <w:pPr>
              <w:spacing w:after="0"/>
              <w:rPr>
                <w:sz w:val="1"/>
                <w:szCs w:val="1"/>
                <w:color w:val="auto"/>
              </w:rPr>
            </w:pPr>
          </w:p>
        </w:tc>
      </w:tr>
      <w:tr>
        <w:trPr>
          <w:trHeight w:val="20"/>
        </w:trPr>
        <w:tc>
          <w:tcPr>
            <w:tcW w:w="3100" w:type="dxa"/>
            <w:vAlign w:val="bottom"/>
            <w:shd w:val="clear" w:color="auto" w:fill="CFF0FC"/>
          </w:tcPr>
          <w:p>
            <w:pPr>
              <w:spacing w:after="0" w:line="20" w:lineRule="exact"/>
              <w:rPr>
                <w:sz w:val="1"/>
                <w:szCs w:val="1"/>
                <w:color w:val="auto"/>
              </w:rPr>
            </w:pPr>
          </w:p>
        </w:tc>
        <w:tc>
          <w:tcPr>
            <w:tcW w:w="840" w:type="dxa"/>
            <w:vAlign w:val="bottom"/>
            <w:vMerge w:val="restart"/>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 before tax</w:t>
            </w:r>
          </w:p>
        </w:tc>
        <w:tc>
          <w:tcPr>
            <w:tcW w:w="840" w:type="dxa"/>
            <w:vAlign w:val="bottom"/>
            <w:vMerge w:val="continue"/>
            <w:shd w:val="clear" w:color="auto" w:fill="CFF0FC"/>
          </w:tcPr>
          <w:p>
            <w:pPr>
              <w:spacing w:after="0"/>
              <w:rPr>
                <w:sz w:val="15"/>
                <w:szCs w:val="15"/>
                <w:color w:val="auto"/>
              </w:rPr>
            </w:pPr>
          </w:p>
        </w:tc>
        <w:tc>
          <w:tcPr>
            <w:tcW w:w="1600" w:type="dxa"/>
            <w:vAlign w:val="bottom"/>
            <w:shd w:val="clear" w:color="auto" w:fill="CFF0FC"/>
          </w:tcPr>
          <w:p>
            <w:pPr>
              <w:jc w:val="right"/>
              <w:ind w:right="1430"/>
              <w:spacing w:after="0" w:line="180" w:lineRule="exact"/>
              <w:rPr>
                <w:sz w:val="20"/>
                <w:szCs w:val="20"/>
                <w:color w:val="auto"/>
              </w:rPr>
            </w:pPr>
            <w:r>
              <w:rPr>
                <w:rFonts w:ascii="Arial" w:cs="Arial" w:eastAsia="Arial" w:hAnsi="Arial"/>
                <w:sz w:val="16"/>
                <w:szCs w:val="16"/>
                <w:b w:val="1"/>
                <w:bCs w:val="1"/>
                <w:color w:val="auto"/>
                <w:w w:val="89"/>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10</w:t>
            </w:r>
          </w:p>
        </w:tc>
        <w:tc>
          <w:tcPr>
            <w:tcW w:w="1760" w:type="dxa"/>
            <w:vAlign w:val="bottom"/>
            <w:gridSpan w:val="2"/>
            <w:shd w:val="clear" w:color="auto" w:fill="CFF0FC"/>
          </w:tcPr>
          <w:p>
            <w:pPr>
              <w:jc w:val="right"/>
              <w:ind w:right="1437"/>
              <w:spacing w:after="0" w:line="180"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10</w:t>
            </w:r>
          </w:p>
        </w:tc>
        <w:tc>
          <w:tcPr>
            <w:tcW w:w="3420" w:type="dxa"/>
            <w:vAlign w:val="bottom"/>
            <w:shd w:val="clear" w:color="auto" w:fill="CFF0FC"/>
          </w:tcPr>
          <w:p>
            <w:pPr>
              <w:ind w:left="180"/>
              <w:spacing w:after="0" w:line="180" w:lineRule="exact"/>
              <w:rPr>
                <w:sz w:val="20"/>
                <w:szCs w:val="20"/>
                <w:color w:val="auto"/>
              </w:rPr>
            </w:pPr>
            <w:r>
              <w:rPr>
                <w:rFonts w:ascii="Arial" w:cs="Arial" w:eastAsia="Arial" w:hAnsi="Arial"/>
                <w:sz w:val="16"/>
                <w:szCs w:val="16"/>
                <w:color w:val="auto"/>
              </w:rPr>
              <w:t>Income before income taxes</w:t>
            </w:r>
          </w:p>
        </w:tc>
        <w:tc>
          <w:tcPr>
            <w:tcW w:w="0" w:type="dxa"/>
            <w:vAlign w:val="bottom"/>
          </w:tcPr>
          <w:p>
            <w:pPr>
              <w:spacing w:after="0"/>
              <w:rPr>
                <w:sz w:val="1"/>
                <w:szCs w:val="1"/>
                <w:color w:val="auto"/>
              </w:rPr>
            </w:pPr>
          </w:p>
        </w:tc>
      </w:tr>
      <w:tr>
        <w:trPr>
          <w:trHeight w:val="188"/>
        </w:trPr>
        <w:tc>
          <w:tcPr>
            <w:tcW w:w="31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840" w:type="dxa"/>
            <w:vAlign w:val="bottom"/>
            <w:tcBorders>
              <w:bottom w:val="single" w:sz="8" w:color="CFF0FC"/>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80" w:type="dxa"/>
            <w:vAlign w:val="bottom"/>
            <w:tcBorders>
              <w:bottom w:val="single" w:sz="8" w:color="CFF0FC"/>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420" w:type="dxa"/>
            <w:vAlign w:val="bottom"/>
            <w:tcBorders>
              <w:bottom w:val="single" w:sz="8" w:color="CFF0FC"/>
            </w:tcBorders>
          </w:tcPr>
          <w:p>
            <w:pPr>
              <w:ind w:left="180"/>
              <w:spacing w:after="0"/>
              <w:rPr>
                <w:sz w:val="20"/>
                <w:szCs w:val="20"/>
                <w:color w:val="auto"/>
              </w:rPr>
            </w:pPr>
            <w:r>
              <w:rPr>
                <w:rFonts w:ascii="Arial" w:cs="Arial" w:eastAsia="Arial" w:hAnsi="Arial"/>
                <w:sz w:val="16"/>
                <w:szCs w:val="16"/>
                <w:color w:val="auto"/>
              </w:rPr>
              <w:t>Income tax expense</w:t>
            </w:r>
          </w:p>
        </w:tc>
        <w:tc>
          <w:tcPr>
            <w:tcW w:w="0" w:type="dxa"/>
            <w:vAlign w:val="bottom"/>
          </w:tcPr>
          <w:p>
            <w:pPr>
              <w:spacing w:after="0"/>
              <w:rPr>
                <w:sz w:val="1"/>
                <w:szCs w:val="1"/>
                <w:color w:val="auto"/>
              </w:rPr>
            </w:pPr>
          </w:p>
        </w:tc>
      </w:tr>
      <w:tr>
        <w:trPr>
          <w:trHeight w:val="179"/>
        </w:trPr>
        <w:tc>
          <w:tcPr>
            <w:tcW w:w="310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Total reclassifications</w:t>
            </w:r>
          </w:p>
        </w:tc>
        <w:tc>
          <w:tcPr>
            <w:tcW w:w="840" w:type="dxa"/>
            <w:vAlign w:val="bottom"/>
            <w:shd w:val="clear" w:color="auto" w:fill="CFF0FC"/>
          </w:tcPr>
          <w:p>
            <w:pPr>
              <w:spacing w:after="0"/>
              <w:rPr>
                <w:sz w:val="15"/>
                <w:szCs w:val="15"/>
                <w:color w:val="auto"/>
              </w:rPr>
            </w:pPr>
          </w:p>
        </w:tc>
        <w:tc>
          <w:tcPr>
            <w:tcW w:w="1600" w:type="dxa"/>
            <w:vAlign w:val="bottom"/>
            <w:shd w:val="clear" w:color="auto" w:fill="CFF0FC"/>
          </w:tcPr>
          <w:p>
            <w:pPr>
              <w:jc w:val="right"/>
              <w:ind w:right="1430"/>
              <w:spacing w:after="0" w:line="180" w:lineRule="exact"/>
              <w:rPr>
                <w:sz w:val="20"/>
                <w:szCs w:val="20"/>
                <w:color w:val="auto"/>
              </w:rPr>
            </w:pPr>
            <w:r>
              <w:rPr>
                <w:rFonts w:ascii="Arial" w:cs="Arial" w:eastAsia="Arial" w:hAnsi="Arial"/>
                <w:sz w:val="16"/>
                <w:szCs w:val="16"/>
                <w:b w:val="1"/>
                <w:bCs w:val="1"/>
                <w:color w:val="auto"/>
                <w:w w:val="89"/>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7</w:t>
            </w:r>
          </w:p>
        </w:tc>
        <w:tc>
          <w:tcPr>
            <w:tcW w:w="1760" w:type="dxa"/>
            <w:vAlign w:val="bottom"/>
            <w:gridSpan w:val="2"/>
            <w:shd w:val="clear" w:color="auto" w:fill="CFF0FC"/>
          </w:tcPr>
          <w:p>
            <w:pPr>
              <w:jc w:val="right"/>
              <w:ind w:right="1437"/>
              <w:spacing w:after="0" w:line="180"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8</w:t>
            </w:r>
          </w:p>
        </w:tc>
        <w:tc>
          <w:tcPr>
            <w:tcW w:w="3420" w:type="dxa"/>
            <w:vAlign w:val="bottom"/>
            <w:shd w:val="clear" w:color="auto" w:fill="CFF0FC"/>
          </w:tcPr>
          <w:p>
            <w:pPr>
              <w:ind w:left="180"/>
              <w:spacing w:after="0" w:line="180" w:lineRule="exact"/>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1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right="180" w:firstLine="537"/>
        <w:spacing w:after="0" w:line="237" w:lineRule="auto"/>
        <w:rPr>
          <w:sz w:val="20"/>
          <w:szCs w:val="20"/>
          <w:color w:val="auto"/>
        </w:rPr>
      </w:pPr>
      <w:r>
        <w:rPr>
          <w:rFonts w:ascii="Arial" w:cs="Arial" w:eastAsia="Arial" w:hAnsi="Arial"/>
          <w:sz w:val="16"/>
          <w:szCs w:val="16"/>
          <w:color w:val="auto"/>
        </w:rPr>
        <w:t>Prior service cost and actuarial loss are included in the computation of the Company’s net periodic benefit cost. See NOTE M, “Employee Benefit Plans” for additional details.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P. COMMITMENTS AND CONTINGENCIES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Environmental Matters</w:t>
      </w:r>
    </w:p>
    <w:p>
      <w:pPr>
        <w:spacing w:after="0" w:line="104" w:lineRule="exact"/>
        <w:rPr>
          <w:sz w:val="20"/>
          <w:szCs w:val="20"/>
          <w:color w:val="auto"/>
        </w:rPr>
      </w:pPr>
    </w:p>
    <w:p>
      <w:pPr>
        <w:jc w:val="both"/>
        <w:ind w:right="300" w:firstLine="537"/>
        <w:spacing w:after="0" w:line="234" w:lineRule="auto"/>
        <w:rPr>
          <w:sz w:val="20"/>
          <w:szCs w:val="20"/>
          <w:color w:val="auto"/>
        </w:rPr>
      </w:pPr>
      <w:r>
        <w:rPr>
          <w:rFonts w:ascii="Arial" w:cs="Arial" w:eastAsia="Arial" w:hAnsi="Arial"/>
          <w:sz w:val="16"/>
          <w:szCs w:val="16"/>
          <w:color w:val="auto"/>
        </w:rPr>
        <w:t>The Company has an agreement with the Environmental Protection Agency (“EPA”) to perform remedial activities at the Company’s Indianapolis, Indiana manufacturing facilities related to historical soil and groundwater contamination. As of September 30, 2019, the Company had a liability recorded in the amount of $12 million. As the Company successfully remediates certain activities, it will continue to review its remaining obligation with the EPA.</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Claims, Disputes, and Litigation</w:t>
      </w:r>
    </w:p>
    <w:p>
      <w:pPr>
        <w:spacing w:after="0" w:line="104" w:lineRule="exact"/>
        <w:rPr>
          <w:sz w:val="20"/>
          <w:szCs w:val="20"/>
          <w:color w:val="auto"/>
        </w:rPr>
      </w:pPr>
    </w:p>
    <w:p>
      <w:pPr>
        <w:ind w:right="80" w:firstLine="537"/>
        <w:spacing w:after="0" w:line="233"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Q. EARNINGS PER SHARE</w:t>
      </w:r>
    </w:p>
    <w:p>
      <w:pPr>
        <w:spacing w:after="0" w:line="106" w:lineRule="exact"/>
        <w:rPr>
          <w:sz w:val="20"/>
          <w:szCs w:val="20"/>
          <w:color w:val="auto"/>
        </w:rPr>
      </w:pPr>
    </w:p>
    <w:p>
      <w:pPr>
        <w:ind w:right="100" w:firstLine="537"/>
        <w:spacing w:after="0" w:line="231" w:lineRule="auto"/>
        <w:rPr>
          <w:sz w:val="20"/>
          <w:szCs w:val="20"/>
          <w:color w:val="auto"/>
        </w:rPr>
      </w:pPr>
      <w:r>
        <w:rPr>
          <w:rFonts w:ascii="Arial" w:cs="Arial" w:eastAsia="Arial" w:hAnsi="Arial"/>
          <w:sz w:val="16"/>
          <w:szCs w:val="16"/>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and compensation cost for future service that the Company has not yet recognized. For the three and nine months ended both September 30, 2019 and September 30, 2018, there were no outstanding stock options excluded from the diluted EPS calculation because they were anti-dilutive.</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2180" w:type="dxa"/>
            <w:vAlign w:val="bottom"/>
            <w:gridSpan w:val="4"/>
          </w:tcPr>
          <w:p>
            <w:pPr>
              <w:jc w:val="right"/>
              <w:ind w:right="237"/>
              <w:spacing w:after="0"/>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4"/>
          </w:tcPr>
          <w:p>
            <w:pPr>
              <w:jc w:val="right"/>
              <w:ind w:right="744"/>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5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0" w:type="dxa"/>
            <w:vAlign w:val="bottom"/>
            <w:gridSpan w:val="3"/>
          </w:tcPr>
          <w:p>
            <w:pPr>
              <w:jc w:val="right"/>
              <w:ind w:right="417"/>
              <w:spacing w:after="0"/>
              <w:rPr>
                <w:sz w:val="20"/>
                <w:szCs w:val="20"/>
                <w:color w:val="auto"/>
              </w:rPr>
            </w:pPr>
            <w:r>
              <w:rPr>
                <w:rFonts w:ascii="Arial" w:cs="Arial" w:eastAsia="Arial" w:hAnsi="Arial"/>
                <w:sz w:val="13"/>
                <w:szCs w:val="13"/>
                <w:b w:val="1"/>
                <w:bCs w:val="1"/>
                <w:color w:val="auto"/>
              </w:rPr>
              <w:t>September 30,</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20" w:type="dxa"/>
            <w:vAlign w:val="bottom"/>
          </w:tcPr>
          <w:p>
            <w:pPr>
              <w:spacing w:after="0"/>
              <w:rPr>
                <w:sz w:val="13"/>
                <w:szCs w:val="13"/>
                <w:color w:val="auto"/>
              </w:rPr>
            </w:pPr>
          </w:p>
        </w:tc>
      </w:tr>
      <w:tr>
        <w:trPr>
          <w:trHeight w:val="153"/>
        </w:trPr>
        <w:tc>
          <w:tcPr>
            <w:tcW w:w="596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2018</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4"/>
              <w:spacing w:after="0"/>
              <w:rPr>
                <w:sz w:val="20"/>
                <w:szCs w:val="20"/>
                <w:color w:val="auto"/>
              </w:rPr>
            </w:pPr>
            <w:r>
              <w:rPr>
                <w:rFonts w:ascii="Arial" w:cs="Arial" w:eastAsia="Arial" w:hAnsi="Arial"/>
                <w:sz w:val="13"/>
                <w:szCs w:val="13"/>
                <w:b w:val="1"/>
                <w:bCs w:val="1"/>
                <w:color w:val="auto"/>
              </w:rPr>
              <w:t>2018</w:t>
            </w:r>
          </w:p>
        </w:tc>
      </w:tr>
      <w:tr>
        <w:trPr>
          <w:trHeight w:val="179"/>
        </w:trPr>
        <w:tc>
          <w:tcPr>
            <w:tcW w:w="59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780" w:type="dxa"/>
            <w:vAlign w:val="bottom"/>
            <w:shd w:val="clear" w:color="auto" w:fill="CFF0FC"/>
          </w:tcPr>
          <w:p>
            <w:pPr>
              <w:jc w:val="right"/>
              <w:ind w:right="631"/>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b w:val="1"/>
                <w:bCs w:val="1"/>
                <w:color w:val="auto"/>
              </w:rPr>
              <w:t>149</w:t>
            </w:r>
          </w:p>
        </w:tc>
        <w:tc>
          <w:tcPr>
            <w:tcW w:w="920" w:type="dxa"/>
            <w:vAlign w:val="bottom"/>
            <w:gridSpan w:val="2"/>
            <w:shd w:val="clear" w:color="auto" w:fill="CFF0FC"/>
          </w:tcPr>
          <w:p>
            <w:pPr>
              <w:jc w:val="right"/>
              <w:ind w:right="637"/>
              <w:spacing w:after="0" w:line="180" w:lineRule="exact"/>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color w:val="auto"/>
              </w:rPr>
              <w:t>167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0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7"/>
              <w:spacing w:after="0" w:line="180" w:lineRule="exact"/>
              <w:rPr>
                <w:sz w:val="20"/>
                <w:szCs w:val="20"/>
                <w:color w:val="auto"/>
              </w:rPr>
            </w:pPr>
            <w:r>
              <w:rPr>
                <w:rFonts w:ascii="Arial" w:cs="Arial" w:eastAsia="Arial" w:hAnsi="Arial"/>
                <w:sz w:val="16"/>
                <w:szCs w:val="16"/>
                <w:b w:val="1"/>
                <w:bCs w:val="1"/>
                <w:color w:val="auto"/>
              </w:rPr>
              <w:t>497</w:t>
            </w: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44"/>
              <w:spacing w:after="0" w:line="180" w:lineRule="exact"/>
              <w:rPr>
                <w:sz w:val="20"/>
                <w:szCs w:val="20"/>
                <w:color w:val="auto"/>
              </w:rPr>
            </w:pPr>
            <w:r>
              <w:rPr>
                <w:rFonts w:ascii="Arial" w:cs="Arial" w:eastAsia="Arial" w:hAnsi="Arial"/>
                <w:sz w:val="16"/>
                <w:szCs w:val="16"/>
                <w:color w:val="auto"/>
              </w:rPr>
              <w:t>492</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960" w:type="dxa"/>
            <w:vAlign w:val="bottom"/>
          </w:tcPr>
          <w:p>
            <w:pPr>
              <w:spacing w:after="0" w:line="163" w:lineRule="exact"/>
              <w:rPr>
                <w:sz w:val="20"/>
                <w:szCs w:val="20"/>
                <w:color w:val="auto"/>
              </w:rPr>
            </w:pPr>
            <w:r>
              <w:rPr>
                <w:rFonts w:ascii="Arial" w:cs="Arial" w:eastAsia="Arial" w:hAnsi="Arial"/>
                <w:sz w:val="16"/>
                <w:szCs w:val="16"/>
                <w:color w:val="auto"/>
              </w:rPr>
              <w:t>Weighted average shares of common stock outstanding</w:t>
            </w:r>
          </w:p>
        </w:tc>
        <w:tc>
          <w:tcPr>
            <w:tcW w:w="780" w:type="dxa"/>
            <w:vAlign w:val="bottom"/>
          </w:tcPr>
          <w:p>
            <w:pPr>
              <w:spacing w:after="0"/>
              <w:rPr>
                <w:sz w:val="14"/>
                <w:szCs w:val="14"/>
                <w:color w:val="auto"/>
              </w:rPr>
            </w:pPr>
          </w:p>
        </w:tc>
        <w:tc>
          <w:tcPr>
            <w:tcW w:w="480" w:type="dxa"/>
            <w:vAlign w:val="bottom"/>
          </w:tcPr>
          <w:p>
            <w:pPr>
              <w:jc w:val="right"/>
              <w:ind w:right="44"/>
              <w:spacing w:after="0" w:line="163" w:lineRule="exact"/>
              <w:rPr>
                <w:sz w:val="20"/>
                <w:szCs w:val="20"/>
                <w:color w:val="auto"/>
              </w:rPr>
            </w:pPr>
            <w:r>
              <w:rPr>
                <w:rFonts w:ascii="Arial" w:cs="Arial" w:eastAsia="Arial" w:hAnsi="Arial"/>
                <w:sz w:val="16"/>
                <w:szCs w:val="16"/>
                <w:b w:val="1"/>
                <w:bCs w:val="1"/>
                <w:color w:val="auto"/>
              </w:rPr>
              <w:t>120</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jc w:val="right"/>
              <w:ind w:right="42"/>
              <w:spacing w:after="0" w:line="163" w:lineRule="exact"/>
              <w:rPr>
                <w:sz w:val="20"/>
                <w:szCs w:val="20"/>
                <w:color w:val="auto"/>
              </w:rPr>
            </w:pPr>
            <w:r>
              <w:rPr>
                <w:rFonts w:ascii="Arial" w:cs="Arial" w:eastAsia="Arial" w:hAnsi="Arial"/>
                <w:sz w:val="16"/>
                <w:szCs w:val="16"/>
                <w:color w:val="auto"/>
              </w:rPr>
              <w:t>130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7"/>
              <w:spacing w:after="0" w:line="163" w:lineRule="exact"/>
              <w:rPr>
                <w:sz w:val="20"/>
                <w:szCs w:val="20"/>
                <w:color w:val="auto"/>
              </w:rPr>
            </w:pPr>
            <w:r>
              <w:rPr>
                <w:rFonts w:ascii="Arial" w:cs="Arial" w:eastAsia="Arial" w:hAnsi="Arial"/>
                <w:sz w:val="16"/>
                <w:szCs w:val="16"/>
                <w:b w:val="1"/>
                <w:bCs w:val="1"/>
                <w:color w:val="auto"/>
              </w:rPr>
              <w:t>123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4"/>
              <w:spacing w:after="0" w:line="163" w:lineRule="exact"/>
              <w:rPr>
                <w:sz w:val="20"/>
                <w:szCs w:val="20"/>
                <w:color w:val="auto"/>
              </w:rPr>
            </w:pPr>
            <w:r>
              <w:rPr>
                <w:rFonts w:ascii="Arial" w:cs="Arial" w:eastAsia="Arial" w:hAnsi="Arial"/>
                <w:sz w:val="16"/>
                <w:szCs w:val="16"/>
                <w:color w:val="auto"/>
              </w:rPr>
              <w:t>135</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Dilutive effect of stock-based awards</w:t>
            </w:r>
          </w:p>
        </w:tc>
        <w:tc>
          <w:tcPr>
            <w:tcW w:w="7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8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0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w:t>
            </w:r>
          </w:p>
        </w:tc>
      </w:tr>
      <w:tr>
        <w:trPr>
          <w:trHeight w:val="219"/>
        </w:trPr>
        <w:tc>
          <w:tcPr>
            <w:tcW w:w="5960" w:type="dxa"/>
            <w:vAlign w:val="bottom"/>
            <w:tcBorders>
              <w:bottom w:val="single" w:sz="8" w:color="CFF0FC"/>
            </w:tcBorders>
          </w:tcPr>
          <w:p>
            <w:pPr>
              <w:ind w:left="200"/>
              <w:spacing w:after="0" w:line="180" w:lineRule="exact"/>
              <w:rPr>
                <w:sz w:val="20"/>
                <w:szCs w:val="20"/>
                <w:color w:val="auto"/>
              </w:rPr>
            </w:pPr>
            <w:r>
              <w:rPr>
                <w:rFonts w:ascii="Arial" w:cs="Arial" w:eastAsia="Arial" w:hAnsi="Arial"/>
                <w:sz w:val="16"/>
                <w:szCs w:val="16"/>
                <w:color w:val="auto"/>
              </w:rPr>
              <w:t>Diluted weighted average shares of common stock outstanding</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b w:val="1"/>
                <w:bCs w:val="1"/>
                <w:color w:val="auto"/>
              </w:rPr>
              <w:t>121</w:t>
            </w:r>
          </w:p>
        </w:tc>
        <w:tc>
          <w:tcPr>
            <w:tcW w:w="1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42"/>
              <w:spacing w:after="0" w:line="180" w:lineRule="exact"/>
              <w:rPr>
                <w:sz w:val="20"/>
                <w:szCs w:val="20"/>
                <w:color w:val="auto"/>
              </w:rPr>
            </w:pPr>
            <w:r>
              <w:rPr>
                <w:rFonts w:ascii="Arial" w:cs="Arial" w:eastAsia="Arial" w:hAnsi="Arial"/>
                <w:sz w:val="16"/>
                <w:szCs w:val="16"/>
                <w:color w:val="auto"/>
              </w:rPr>
              <w:t>131</w:t>
            </w:r>
          </w:p>
        </w:tc>
        <w:tc>
          <w:tcPr>
            <w:tcW w:w="1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
              <w:spacing w:after="0" w:line="180" w:lineRule="exact"/>
              <w:rPr>
                <w:sz w:val="20"/>
                <w:szCs w:val="20"/>
                <w:color w:val="auto"/>
              </w:rPr>
            </w:pPr>
            <w:r>
              <w:rPr>
                <w:rFonts w:ascii="Arial" w:cs="Arial" w:eastAsia="Arial" w:hAnsi="Arial"/>
                <w:sz w:val="16"/>
                <w:szCs w:val="16"/>
                <w:b w:val="1"/>
                <w:bCs w:val="1"/>
                <w:color w:val="auto"/>
              </w:rPr>
              <w:t>124</w:t>
            </w:r>
          </w:p>
        </w:tc>
        <w:tc>
          <w:tcPr>
            <w:tcW w:w="1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4"/>
              <w:spacing w:after="0" w:line="180" w:lineRule="exact"/>
              <w:rPr>
                <w:sz w:val="20"/>
                <w:szCs w:val="20"/>
                <w:color w:val="auto"/>
              </w:rPr>
            </w:pPr>
            <w:r>
              <w:rPr>
                <w:rFonts w:ascii="Arial" w:cs="Arial" w:eastAsia="Arial" w:hAnsi="Arial"/>
                <w:sz w:val="16"/>
                <w:szCs w:val="16"/>
                <w:color w:val="auto"/>
              </w:rPr>
              <w:t>135</w:t>
            </w:r>
          </w:p>
        </w:tc>
      </w:tr>
      <w:tr>
        <w:trPr>
          <w:trHeight w:val="163"/>
        </w:trPr>
        <w:tc>
          <w:tcPr>
            <w:tcW w:w="5960" w:type="dxa"/>
            <w:vAlign w:val="bottom"/>
            <w:shd w:val="clear" w:color="auto" w:fill="CFF0FC"/>
          </w:tcPr>
          <w:p>
            <w:pPr>
              <w:spacing w:after="0" w:line="163" w:lineRule="exact"/>
              <w:rPr>
                <w:sz w:val="20"/>
                <w:szCs w:val="20"/>
                <w:color w:val="auto"/>
              </w:rPr>
            </w:pPr>
            <w:r>
              <w:rPr>
                <w:rFonts w:ascii="Arial" w:cs="Arial" w:eastAsia="Arial" w:hAnsi="Arial"/>
                <w:sz w:val="16"/>
                <w:szCs w:val="16"/>
                <w:color w:val="auto"/>
              </w:rPr>
              <w:t>Basic earnings per share attributable to common stockholders</w:t>
            </w:r>
          </w:p>
        </w:tc>
        <w:tc>
          <w:tcPr>
            <w:tcW w:w="780" w:type="dxa"/>
            <w:vAlign w:val="bottom"/>
            <w:shd w:val="clear" w:color="auto" w:fill="CFF0FC"/>
          </w:tcPr>
          <w:p>
            <w:pPr>
              <w:jc w:val="right"/>
              <w:ind w:right="631"/>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FF0FC"/>
          </w:tcPr>
          <w:p>
            <w:pPr>
              <w:jc w:val="right"/>
              <w:ind w:right="44"/>
              <w:spacing w:after="0" w:line="163" w:lineRule="exact"/>
              <w:rPr>
                <w:sz w:val="20"/>
                <w:szCs w:val="20"/>
                <w:color w:val="auto"/>
              </w:rPr>
            </w:pPr>
            <w:r>
              <w:rPr>
                <w:rFonts w:ascii="Arial" w:cs="Arial" w:eastAsia="Arial" w:hAnsi="Arial"/>
                <w:sz w:val="16"/>
                <w:szCs w:val="16"/>
                <w:b w:val="1"/>
                <w:bCs w:val="1"/>
                <w:color w:val="auto"/>
              </w:rPr>
              <w:t>1.24</w:t>
            </w:r>
          </w:p>
        </w:tc>
        <w:tc>
          <w:tcPr>
            <w:tcW w:w="920" w:type="dxa"/>
            <w:vAlign w:val="bottom"/>
            <w:gridSpan w:val="2"/>
            <w:shd w:val="clear" w:color="auto" w:fill="CFF0FC"/>
          </w:tcPr>
          <w:p>
            <w:pPr>
              <w:jc w:val="right"/>
              <w:ind w:right="637"/>
              <w:spacing w:after="0" w:line="163" w:lineRule="exact"/>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42"/>
              <w:spacing w:after="0" w:line="163" w:lineRule="exact"/>
              <w:rPr>
                <w:sz w:val="20"/>
                <w:szCs w:val="20"/>
                <w:color w:val="auto"/>
              </w:rPr>
            </w:pPr>
            <w:r>
              <w:rPr>
                <w:rFonts w:ascii="Arial" w:cs="Arial" w:eastAsia="Arial" w:hAnsi="Arial"/>
                <w:sz w:val="16"/>
                <w:szCs w:val="16"/>
                <w:color w:val="auto"/>
              </w:rPr>
              <w:t>1.28</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02"/>
              <w:spacing w:after="0" w:line="163"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7"/>
              <w:spacing w:after="0" w:line="163" w:lineRule="exact"/>
              <w:rPr>
                <w:sz w:val="20"/>
                <w:szCs w:val="20"/>
                <w:color w:val="auto"/>
              </w:rPr>
            </w:pPr>
            <w:r>
              <w:rPr>
                <w:rFonts w:ascii="Arial" w:cs="Arial" w:eastAsia="Arial" w:hAnsi="Arial"/>
                <w:sz w:val="16"/>
                <w:szCs w:val="16"/>
                <w:b w:val="1"/>
                <w:bCs w:val="1"/>
                <w:color w:val="auto"/>
              </w:rPr>
              <w:t>4.04</w:t>
            </w:r>
          </w:p>
        </w:tc>
        <w:tc>
          <w:tcPr>
            <w:tcW w:w="14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207"/>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44"/>
              <w:spacing w:after="0" w:line="163" w:lineRule="exact"/>
              <w:rPr>
                <w:sz w:val="20"/>
                <w:szCs w:val="20"/>
                <w:color w:val="auto"/>
              </w:rPr>
            </w:pPr>
            <w:r>
              <w:rPr>
                <w:rFonts w:ascii="Arial" w:cs="Arial" w:eastAsia="Arial" w:hAnsi="Arial"/>
                <w:sz w:val="16"/>
                <w:szCs w:val="16"/>
                <w:color w:val="auto"/>
              </w:rPr>
              <w:t>3.66</w:t>
            </w:r>
          </w:p>
        </w:tc>
      </w:tr>
      <w:tr>
        <w:trPr>
          <w:trHeight w:val="20"/>
        </w:trPr>
        <w:tc>
          <w:tcPr>
            <w:tcW w:w="596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5960" w:type="dxa"/>
            <w:vAlign w:val="bottom"/>
          </w:tcPr>
          <w:p>
            <w:pPr>
              <w:ind w:left="200"/>
              <w:spacing w:after="0" w:line="163" w:lineRule="exact"/>
              <w:rPr>
                <w:sz w:val="20"/>
                <w:szCs w:val="20"/>
                <w:color w:val="auto"/>
              </w:rPr>
            </w:pPr>
            <w:r>
              <w:rPr>
                <w:rFonts w:ascii="Arial" w:cs="Arial" w:eastAsia="Arial" w:hAnsi="Arial"/>
                <w:sz w:val="16"/>
                <w:szCs w:val="16"/>
                <w:color w:val="auto"/>
              </w:rPr>
              <w:t>Diluted earnings per share attributable to common stockholders</w:t>
            </w:r>
          </w:p>
        </w:tc>
        <w:tc>
          <w:tcPr>
            <w:tcW w:w="780" w:type="dxa"/>
            <w:vAlign w:val="bottom"/>
          </w:tcPr>
          <w:p>
            <w:pPr>
              <w:jc w:val="right"/>
              <w:ind w:right="631"/>
              <w:spacing w:after="0" w:line="163" w:lineRule="exact"/>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ind w:right="44"/>
              <w:spacing w:after="0" w:line="163" w:lineRule="exact"/>
              <w:rPr>
                <w:sz w:val="20"/>
                <w:szCs w:val="20"/>
                <w:color w:val="auto"/>
              </w:rPr>
            </w:pPr>
            <w:r>
              <w:rPr>
                <w:rFonts w:ascii="Arial" w:cs="Arial" w:eastAsia="Arial" w:hAnsi="Arial"/>
                <w:sz w:val="16"/>
                <w:szCs w:val="16"/>
                <w:b w:val="1"/>
                <w:bCs w:val="1"/>
                <w:color w:val="auto"/>
              </w:rPr>
              <w:t>1.23</w:t>
            </w:r>
          </w:p>
        </w:tc>
        <w:tc>
          <w:tcPr>
            <w:tcW w:w="920" w:type="dxa"/>
            <w:vAlign w:val="bottom"/>
            <w:gridSpan w:val="2"/>
          </w:tcPr>
          <w:p>
            <w:pPr>
              <w:jc w:val="right"/>
              <w:ind w:right="637"/>
              <w:spacing w:after="0" w:line="163" w:lineRule="exact"/>
              <w:rPr>
                <w:sz w:val="20"/>
                <w:szCs w:val="20"/>
                <w:color w:val="auto"/>
              </w:rPr>
            </w:pPr>
            <w:r>
              <w:rPr>
                <w:rFonts w:ascii="Arial" w:cs="Arial" w:eastAsia="Arial" w:hAnsi="Arial"/>
                <w:sz w:val="16"/>
                <w:szCs w:val="16"/>
                <w:color w:val="auto"/>
              </w:rPr>
              <w:t>$</w:t>
            </w:r>
          </w:p>
        </w:tc>
        <w:tc>
          <w:tcPr>
            <w:tcW w:w="480" w:type="dxa"/>
            <w:vAlign w:val="bottom"/>
          </w:tcPr>
          <w:p>
            <w:pPr>
              <w:jc w:val="right"/>
              <w:ind w:right="42"/>
              <w:spacing w:after="0" w:line="163" w:lineRule="exact"/>
              <w:rPr>
                <w:sz w:val="20"/>
                <w:szCs w:val="20"/>
                <w:color w:val="auto"/>
              </w:rPr>
            </w:pPr>
            <w:r>
              <w:rPr>
                <w:rFonts w:ascii="Arial" w:cs="Arial" w:eastAsia="Arial" w:hAnsi="Arial"/>
                <w:sz w:val="16"/>
                <w:szCs w:val="16"/>
                <w:color w:val="auto"/>
              </w:rPr>
              <w:t>1.27</w:t>
            </w:r>
          </w:p>
        </w:tc>
        <w:tc>
          <w:tcPr>
            <w:tcW w:w="120" w:type="dxa"/>
            <w:vAlign w:val="bottom"/>
          </w:tcPr>
          <w:p>
            <w:pPr>
              <w:spacing w:after="0"/>
              <w:rPr>
                <w:sz w:val="14"/>
                <w:szCs w:val="14"/>
                <w:color w:val="auto"/>
              </w:rPr>
            </w:pPr>
          </w:p>
        </w:tc>
        <w:tc>
          <w:tcPr>
            <w:tcW w:w="280" w:type="dxa"/>
            <w:vAlign w:val="bottom"/>
          </w:tcPr>
          <w:p>
            <w:pPr>
              <w:jc w:val="right"/>
              <w:ind w:right="102"/>
              <w:spacing w:after="0" w:line="163" w:lineRule="exact"/>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ind w:right="47"/>
              <w:spacing w:after="0" w:line="163" w:lineRule="exact"/>
              <w:rPr>
                <w:sz w:val="20"/>
                <w:szCs w:val="20"/>
                <w:color w:val="auto"/>
              </w:rPr>
            </w:pPr>
            <w:r>
              <w:rPr>
                <w:rFonts w:ascii="Arial" w:cs="Arial" w:eastAsia="Arial" w:hAnsi="Arial"/>
                <w:sz w:val="16"/>
                <w:szCs w:val="16"/>
                <w:b w:val="1"/>
                <w:bCs w:val="1"/>
                <w:color w:val="auto"/>
              </w:rPr>
              <w:t>4.01</w:t>
            </w:r>
          </w:p>
        </w:tc>
        <w:tc>
          <w:tcPr>
            <w:tcW w:w="140" w:type="dxa"/>
            <w:vAlign w:val="bottom"/>
          </w:tcPr>
          <w:p>
            <w:pPr>
              <w:spacing w:after="0"/>
              <w:rPr>
                <w:sz w:val="14"/>
                <w:szCs w:val="14"/>
                <w:color w:val="auto"/>
              </w:rPr>
            </w:pPr>
          </w:p>
        </w:tc>
        <w:tc>
          <w:tcPr>
            <w:tcW w:w="360" w:type="dxa"/>
            <w:vAlign w:val="bottom"/>
          </w:tcPr>
          <w:p>
            <w:pPr>
              <w:jc w:val="right"/>
              <w:ind w:right="207"/>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Pr>
          <w:p>
            <w:pPr>
              <w:jc w:val="right"/>
              <w:ind w:right="44"/>
              <w:spacing w:after="0" w:line="163" w:lineRule="exact"/>
              <w:rPr>
                <w:sz w:val="20"/>
                <w:szCs w:val="20"/>
                <w:color w:val="auto"/>
              </w:rPr>
            </w:pPr>
            <w:r>
              <w:rPr>
                <w:rFonts w:ascii="Arial" w:cs="Arial" w:eastAsia="Arial" w:hAnsi="Arial"/>
                <w:sz w:val="16"/>
                <w:szCs w:val="16"/>
                <w:color w:val="auto"/>
              </w:rPr>
              <w:t>3.64</w:t>
            </w:r>
          </w:p>
        </w:tc>
      </w:tr>
      <w:tr>
        <w:trPr>
          <w:trHeight w:val="20"/>
        </w:trPr>
        <w:tc>
          <w:tcPr>
            <w:tcW w:w="59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R. COMMON STOCK</w:t>
      </w:r>
    </w:p>
    <w:p>
      <w:pPr>
        <w:spacing w:after="0" w:line="106" w:lineRule="exact"/>
        <w:rPr>
          <w:sz w:val="20"/>
          <w:szCs w:val="20"/>
          <w:color w:val="auto"/>
        </w:rPr>
      </w:pPr>
    </w:p>
    <w:p>
      <w:pPr>
        <w:ind w:right="160" w:firstLine="537"/>
        <w:spacing w:after="0" w:line="231" w:lineRule="auto"/>
        <w:rPr>
          <w:sz w:val="20"/>
          <w:szCs w:val="20"/>
          <w:color w:val="auto"/>
        </w:rPr>
      </w:pPr>
      <w:r>
        <w:rPr>
          <w:rFonts w:ascii="Arial" w:cs="Arial" w:eastAsia="Arial" w:hAnsi="Arial"/>
          <w:sz w:val="16"/>
          <w:szCs w:val="16"/>
          <w:color w:val="auto"/>
        </w:rPr>
        <w:t>The Company’s current stock repurchase program ("Repurchase Program") was announced on November 14, 2016 when the Board of Directors authorized the Company to repurchase up to $1,000 million of its common stock on the open market or through privately negotiated transactions. On November 8, 2017, the Board of Directors authorized the Company to repurchase an additional $500 million of its common stock, on July 30, 2018, the Board of Directors authorized the Company to repurchase an additional $ 500 million of its common stock and on May 9, 2019, the Board of Directors authorized the Company to repurchase an additional $1,000 million of its common stock, bringing the total amount authorized under the Repurchase Program to $3,000 million. The Repurchase Program has no termination date. The timing and amount of stock purchases are subject to market conditions and corporate needs. The Repurchase Program may be modified, suspended or discontinued at any time at the Company’s discretion.</w:t>
      </w:r>
    </w:p>
    <w:p>
      <w:pPr>
        <w:spacing w:after="0" w:line="86" w:lineRule="exact"/>
        <w:rPr>
          <w:sz w:val="20"/>
          <w:szCs w:val="20"/>
          <w:color w:val="auto"/>
        </w:rPr>
      </w:pPr>
    </w:p>
    <w:p>
      <w:pPr>
        <w:jc w:val="both"/>
        <w:ind w:right="340" w:firstLine="537"/>
        <w:spacing w:after="0" w:line="234" w:lineRule="auto"/>
        <w:rPr>
          <w:sz w:val="20"/>
          <w:szCs w:val="20"/>
          <w:color w:val="auto"/>
        </w:rPr>
      </w:pPr>
      <w:r>
        <w:rPr>
          <w:rFonts w:ascii="Arial" w:cs="Arial" w:eastAsia="Arial" w:hAnsi="Arial"/>
          <w:sz w:val="16"/>
          <w:szCs w:val="16"/>
          <w:color w:val="auto"/>
        </w:rPr>
        <w:t>During the three and nine months ended September 30, 2019, the Company repurchased approximately $ 46 million and $331 million, respectively, of its common stock under the Repurchase Program, leaving $1,114 million of authorized repurchases remaining under the Repurchase Program as of September 30, 2019.</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S. CERTAIN RELATIONSHIPS AND RELATED PARTY TRANSACTIONS</w:t>
      </w:r>
    </w:p>
    <w:p>
      <w:pPr>
        <w:spacing w:after="0" w:line="106" w:lineRule="exact"/>
        <w:rPr>
          <w:sz w:val="20"/>
          <w:szCs w:val="20"/>
          <w:color w:val="auto"/>
        </w:rPr>
      </w:pPr>
    </w:p>
    <w:p>
      <w:pPr>
        <w:ind w:right="60" w:firstLine="537"/>
        <w:spacing w:after="0" w:line="233" w:lineRule="auto"/>
        <w:rPr>
          <w:sz w:val="20"/>
          <w:szCs w:val="20"/>
          <w:color w:val="auto"/>
        </w:rPr>
      </w:pPr>
      <w:r>
        <w:rPr>
          <w:rFonts w:ascii="Arial" w:cs="Arial" w:eastAsia="Arial" w:hAnsi="Arial"/>
          <w:sz w:val="16"/>
          <w:szCs w:val="16"/>
          <w:color w:val="auto"/>
        </w:rPr>
        <w:t>On May 7, 2019, the Company entered into a stock repurchase agreement with Ashe Capital Management, LP to repurchase 4,977,043 shares of the Company's common stock for approximately $232 million. William Harker, a member of the Company's Board of Directors until May 9, 2019, is the President and Co-Founder of Ashe Capital Management, LP. The shares were repurchased under the Repurchase Program. The purchase was funded with cash on hand and borrowings under the New Revolving Credit Facility. The shares were subsequently retired.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T. ACQUISITIONS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Walker Die Casting Acquisition</w:t>
      </w:r>
    </w:p>
    <w:p>
      <w:pPr>
        <w:spacing w:after="0" w:line="104" w:lineRule="exact"/>
        <w:rPr>
          <w:sz w:val="20"/>
          <w:szCs w:val="20"/>
          <w:color w:val="auto"/>
        </w:rPr>
      </w:pPr>
    </w:p>
    <w:p>
      <w:pPr>
        <w:jc w:val="both"/>
        <w:ind w:firstLine="537"/>
        <w:spacing w:after="0" w:line="233" w:lineRule="auto"/>
        <w:rPr>
          <w:sz w:val="20"/>
          <w:szCs w:val="20"/>
          <w:color w:val="auto"/>
        </w:rPr>
      </w:pPr>
      <w:r>
        <w:rPr>
          <w:rFonts w:ascii="Arial" w:cs="Arial" w:eastAsia="Arial" w:hAnsi="Arial"/>
          <w:sz w:val="16"/>
          <w:szCs w:val="16"/>
          <w:color w:val="auto"/>
        </w:rPr>
        <w:t>On September 9, 2019, the Company acquired the assets of Walker Die Casting, Inc. (“Walker Die Casting”), an aluminum castings company, and C&amp;R Tool and Engineering, Inc. (“C&amp;R Tool and Engineering”), a supplier of metal-working tools, for approximately $103 million in cash, which included the effective settlement of pre-existing accounts payable of approximately $4 million. Walker Die Casting is an essential component supplier for the Company’s core on-highway transmission products. The acquired business was integrated into the Company's single operating segment.</w:t>
      </w:r>
    </w:p>
    <w:p>
      <w:pPr>
        <w:spacing w:after="0" w:line="83" w:lineRule="exact"/>
        <w:rPr>
          <w:sz w:val="20"/>
          <w:szCs w:val="20"/>
          <w:color w:val="auto"/>
        </w:rPr>
      </w:pPr>
    </w:p>
    <w:p>
      <w:pPr>
        <w:ind w:right="40" w:firstLine="268"/>
        <w:spacing w:after="0" w:line="247" w:lineRule="auto"/>
        <w:rPr>
          <w:sz w:val="20"/>
          <w:szCs w:val="20"/>
          <w:color w:val="auto"/>
        </w:rPr>
      </w:pPr>
      <w:r>
        <w:rPr>
          <w:rFonts w:ascii="Arial" w:cs="Arial" w:eastAsia="Arial" w:hAnsi="Arial"/>
          <w:sz w:val="15"/>
          <w:szCs w:val="15"/>
          <w:color w:val="auto"/>
        </w:rPr>
        <w:t>The preliminary purchase price of $99 million resulted in the recognition of property, plant and equipment, goodwill, inventory, intangible assets and other net assets of $ 53 million, $21 million, $ 18 million, $4 million and $3 million, respectively. The intangible assets consist of customer relationships and tradename of $3 million and $1 million, respectively. The amount allocated to goodwill is deductible for income tax purposes. Goodwill represents the excess of the consideration transferred over the preliminary estimate of fair values of the assets acquired and liabilities assumed and is primarily attributable to intangible assets, such as the assembled workforce, which are not separately recognizable. The Company is currently completing its fair value assessment of the acquired assets and liabilities with the assistance of third-party valuation specialists and any adjustments identified in the measurement period, which will not exceed one year from the acquisition date, will be accounted for prospectively. For the period ended September 30, 2019, the results of Walker Die Casting and C&amp;R Tool and Engineering as of and after the date of acquisition have been included in the Company’s condensed consolidated financial statements as of and for the three and nine months ended September 30, 2019, and net sales have been included in the Company’s Service Parts, Support Equipment and Other end market.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AxleTech Electric Vehicle Systems Division Acquisition</w:t>
      </w:r>
    </w:p>
    <w:p>
      <w:pPr>
        <w:spacing w:after="0" w:line="104" w:lineRule="exact"/>
        <w:rPr>
          <w:sz w:val="20"/>
          <w:szCs w:val="20"/>
          <w:color w:val="auto"/>
        </w:rPr>
      </w:pPr>
    </w:p>
    <w:p>
      <w:pPr>
        <w:ind w:right="180" w:firstLine="537"/>
        <w:spacing w:after="0" w:line="232" w:lineRule="auto"/>
        <w:rPr>
          <w:sz w:val="20"/>
          <w:szCs w:val="20"/>
          <w:color w:val="auto"/>
        </w:rPr>
      </w:pPr>
      <w:r>
        <w:rPr>
          <w:rFonts w:ascii="Arial" w:cs="Arial" w:eastAsia="Arial" w:hAnsi="Arial"/>
          <w:sz w:val="16"/>
          <w:szCs w:val="16"/>
          <w:color w:val="auto"/>
        </w:rPr>
        <w:t>On April 16, 2019, the Company acquired, from AxleTech, a technology company that engineers, designs, manufactures, sells and services powertrain solutions for on-highway and off-highway heavy-duty vehicles, all of the assets related to its electric vehicle systems division, which designs and manufactures fully integrated electrified-axle propulsion solutions for medium- and heavy-duty trucks and transit buses, for approximately $124 million in cash. The acquisition aligns with the Company's strategy to advance its position in propulsion solutions. The Company has accounted for this acquisition in accordance with authoritative accounting guidance on business combinations. The acquired business was integrated into the Company's single operating segment.</w:t>
      </w:r>
    </w:p>
    <w:p>
      <w:pPr>
        <w:spacing w:after="0" w:line="85" w:lineRule="exact"/>
        <w:rPr>
          <w:sz w:val="20"/>
          <w:szCs w:val="20"/>
          <w:color w:val="auto"/>
        </w:rPr>
      </w:pPr>
    </w:p>
    <w:p>
      <w:pPr>
        <w:ind w:right="260" w:firstLine="537"/>
        <w:spacing w:after="0" w:line="231" w:lineRule="auto"/>
        <w:rPr>
          <w:sz w:val="20"/>
          <w:szCs w:val="20"/>
          <w:color w:val="auto"/>
        </w:rPr>
      </w:pPr>
      <w:r>
        <w:rPr>
          <w:rFonts w:ascii="Arial" w:cs="Arial" w:eastAsia="Arial" w:hAnsi="Arial"/>
          <w:sz w:val="16"/>
          <w:szCs w:val="16"/>
          <w:color w:val="auto"/>
        </w:rPr>
        <w:t>The preliminary purchase price allocation for this transaction resulted in the recognition of goodwill, intangible assets, inventory and property, plant and equipment of $66 million, $56 million, $1 million and $1 million, respectively. The intangible assets consist of in-process research and development, customer relationships and developed technology of $50 million, $3 million and $3 million. The amount allocated to goodwill is deductible for income tax purposes. Goodwill represents the excess of the consideration transferred over the preliminary estimate of fair values of the assets acquired and liabilities assumed and is primarily attributable to intangible assets, such as the assembled workforce, which are not separately recognizable. The Company is currently completing its fair value assessment of the acquired assets and liabilities with the assistance of third-party valuation specialists and any adjustments identified in the measurement period, which will not exceed one year from the acquisition date, will be accounted for prospectively.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Vantage Power Limited Acquisition</w:t>
      </w:r>
    </w:p>
    <w:p>
      <w:pPr>
        <w:spacing w:after="0" w:line="104" w:lineRule="exact"/>
        <w:rPr>
          <w:sz w:val="20"/>
          <w:szCs w:val="20"/>
          <w:color w:val="auto"/>
        </w:rPr>
      </w:pPr>
    </w:p>
    <w:p>
      <w:pPr>
        <w:ind w:right="100" w:firstLine="537"/>
        <w:spacing w:after="0" w:line="232" w:lineRule="auto"/>
        <w:rPr>
          <w:sz w:val="20"/>
          <w:szCs w:val="20"/>
          <w:color w:val="auto"/>
        </w:rPr>
      </w:pPr>
      <w:r>
        <w:rPr>
          <w:rFonts w:ascii="Arial" w:cs="Arial" w:eastAsia="Arial" w:hAnsi="Arial"/>
          <w:sz w:val="16"/>
          <w:szCs w:val="16"/>
          <w:color w:val="auto"/>
        </w:rPr>
        <w:t>On April 12, 2019, the Company acquired all of the outstanding shares of Vantage Power Limited, a privately owned company based in the United Kingdom which designs and manufactures powertrain electrification and connectivity technologies applicable to a broad range of commercial vehicle end markets. The Company paid approximately $9 million in cash on April 12, 2019 and may pay up to an additional $8 million over the next three years based on specified conditions being met. The Company has accounted for this acquisition in accordance with authoritative accounting guidance on business combinations. The acquired business was integrated into the Company's single operating segment as a wholly-owned subsidiary.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U. SUBSEQUENT EVENTS</w:t>
      </w:r>
    </w:p>
    <w:p>
      <w:pPr>
        <w:spacing w:after="0" w:line="106" w:lineRule="exact"/>
        <w:rPr>
          <w:sz w:val="20"/>
          <w:szCs w:val="20"/>
          <w:color w:val="auto"/>
        </w:rPr>
      </w:pPr>
    </w:p>
    <w:p>
      <w:pPr>
        <w:ind w:firstLine="537"/>
        <w:spacing w:after="0" w:line="237" w:lineRule="auto"/>
        <w:rPr>
          <w:sz w:val="20"/>
          <w:szCs w:val="20"/>
          <w:color w:val="auto"/>
        </w:rPr>
      </w:pPr>
      <w:r>
        <w:rPr>
          <w:rFonts w:ascii="Arial" w:cs="Arial" w:eastAsia="Arial" w:hAnsi="Arial"/>
          <w:sz w:val="16"/>
          <w:szCs w:val="16"/>
          <w:color w:val="auto"/>
        </w:rPr>
        <w:t>On October 11, 2019, the Company and ATI entered into an amendment with the term loan lenders under the New Senior Secured Credit Facility to lower the applicable interest rate margins on the New Term Loan by 25 basis points.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128905</wp:posOffset>
            </wp:positionV>
            <wp:extent cx="489521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895215" cy="7620"/>
                    </a:xfrm>
                    <a:prstGeom prst="rect">
                      <a:avLst/>
                    </a:prstGeom>
                    <a:noFill/>
                  </pic:spPr>
                </pic:pic>
              </a:graphicData>
            </a:graphic>
          </wp:anchor>
        </w:drawing>
      </w:r>
    </w:p>
    <w:p>
      <w:pPr>
        <w:spacing w:after="0" w:line="315"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1181100</wp:posOffset>
            </wp:positionH>
            <wp:positionV relativeFrom="paragraph">
              <wp:posOffset>97790</wp:posOffset>
            </wp:positionV>
            <wp:extent cx="489521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95215" cy="7620"/>
                    </a:xfrm>
                    <a:prstGeom prst="rect">
                      <a:avLst/>
                    </a:prstGeom>
                    <a:noFill/>
                  </pic:spPr>
                </pic:pic>
              </a:graphicData>
            </a:graphic>
          </wp:anchor>
        </w:drawing>
      </w:r>
    </w:p>
    <w:p>
      <w:pPr>
        <w:spacing w:after="0" w:line="222" w:lineRule="exact"/>
        <w:rPr>
          <w:sz w:val="20"/>
          <w:szCs w:val="20"/>
          <w:color w:val="auto"/>
        </w:rPr>
      </w:pPr>
    </w:p>
    <w:p>
      <w:pPr>
        <w:ind w:right="60" w:firstLine="537"/>
        <w:spacing w:after="0" w:line="242" w:lineRule="auto"/>
        <w:rPr>
          <w:sz w:val="20"/>
          <w:szCs w:val="20"/>
          <w:color w:val="auto"/>
        </w:rPr>
      </w:pPr>
      <w:r>
        <w:rPr>
          <w:rFonts w:ascii="Arial" w:cs="Arial" w:eastAsia="Arial" w:hAnsi="Arial"/>
          <w:sz w:val="16"/>
          <w:szCs w:val="16"/>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65" w:lineRule="exact"/>
        <w:rPr>
          <w:sz w:val="20"/>
          <w:szCs w:val="20"/>
          <w:color w:val="auto"/>
        </w:rPr>
      </w:pPr>
    </w:p>
    <w:p>
      <w:pPr>
        <w:ind w:right="60" w:firstLine="537"/>
        <w:spacing w:after="0" w:line="236"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and in Part I, Item 1A "Risk Factors" in our Annual Report on Form 10-K for the year ended December 31, 2018 as filed with the Securities and Exchange Commission ("SEC") on February 26, 2019. Our actual results may differ materially from those contained in or implied by any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6" w:lineRule="exact"/>
        <w:rPr>
          <w:sz w:val="20"/>
          <w:szCs w:val="20"/>
          <w:color w:val="auto"/>
        </w:rPr>
      </w:pPr>
    </w:p>
    <w:p>
      <w:pPr>
        <w:ind w:right="360" w:firstLine="537"/>
        <w:spacing w:after="0" w:line="233" w:lineRule="auto"/>
        <w:rPr>
          <w:sz w:val="20"/>
          <w:szCs w:val="20"/>
          <w:color w:val="auto"/>
        </w:rPr>
      </w:pPr>
      <w:r>
        <w:rPr>
          <w:rFonts w:ascii="Arial" w:cs="Arial" w:eastAsia="Arial" w:hAnsi="Arial"/>
          <w:sz w:val="16"/>
          <w:szCs w:val="16"/>
          <w:color w:val="auto"/>
        </w:rPr>
        <w:t>Allison Transmission Holdings, Inc. and its subsidiaries (“Allison”, “our”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83" w:lineRule="exact"/>
        <w:rPr>
          <w:sz w:val="20"/>
          <w:szCs w:val="20"/>
          <w:color w:val="auto"/>
        </w:rPr>
      </w:pPr>
    </w:p>
    <w:p>
      <w:pPr>
        <w:ind w:right="160" w:firstLine="537"/>
        <w:spacing w:after="0" w:line="234" w:lineRule="auto"/>
        <w:rPr>
          <w:sz w:val="20"/>
          <w:szCs w:val="20"/>
          <w:color w:val="auto"/>
        </w:rPr>
      </w:pPr>
      <w:r>
        <w:rPr>
          <w:rFonts w:ascii="Arial" w:cs="Arial" w:eastAsia="Arial" w:hAnsi="Arial"/>
          <w:sz w:val="16"/>
          <w:szCs w:val="16"/>
          <w:color w:val="auto"/>
        </w:rPr>
        <w:t>We have 12 different product lines. Although approximately 77% of revenues were generated in North America in 2018, we have a global presence by serving customers in Europe, Asia, South America and Africa. We serve customers through an independent network of approximately 1,400 independent distributor and dealer locations worldwide.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106" w:lineRule="exact"/>
        <w:rPr>
          <w:sz w:val="20"/>
          <w:szCs w:val="20"/>
          <w:color w:val="auto"/>
        </w:rPr>
      </w:pPr>
    </w:p>
    <w:p>
      <w:pPr>
        <w:jc w:val="both"/>
        <w:ind w:right="180" w:firstLine="537"/>
        <w:spacing w:after="0" w:line="234" w:lineRule="auto"/>
        <w:rPr>
          <w:sz w:val="20"/>
          <w:szCs w:val="20"/>
          <w:color w:val="auto"/>
        </w:rPr>
      </w:pPr>
      <w:r>
        <w:rPr>
          <w:rFonts w:ascii="Arial" w:cs="Arial" w:eastAsia="Arial" w:hAnsi="Arial"/>
          <w:sz w:val="16"/>
          <w:szCs w:val="16"/>
          <w:color w:val="auto"/>
        </w:rPr>
        <w:t>On October 11, 2019, we entered into an amendment with the term loan lenders under Allison Transmission, Inc.’s (“ATI”) Second Amended and Restated Credit Agreement dated as of March 29, 2019 (“Credit Agreement”) to lower the applicable interest rate margins on the new term loan facility in the amount of $646 million due March 2026 (“New Term Loan”) by 25 basis points.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Trends Impacting Our Business</w:t>
      </w:r>
    </w:p>
    <w:p>
      <w:pPr>
        <w:spacing w:after="0" w:line="106" w:lineRule="exact"/>
        <w:rPr>
          <w:sz w:val="20"/>
          <w:szCs w:val="20"/>
          <w:color w:val="auto"/>
        </w:rPr>
      </w:pPr>
    </w:p>
    <w:p>
      <w:pPr>
        <w:ind w:right="220" w:firstLine="537"/>
        <w:spacing w:after="0" w:line="234"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For the full year 2019, we expect lower demand in the Service Parts, Support Equipment and Other and North America Off-Highway end markets, partially offset by increased demand in the North America On-Highway end market, price increases on certain products and continued execution of our growth initiatives.</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Third Quarter Net Sales by End Market (dollars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00" w:type="dxa"/>
            <w:vAlign w:val="bottom"/>
          </w:tcPr>
          <w:p>
            <w:pPr>
              <w:jc w:val="right"/>
              <w:ind w:right="32"/>
              <w:spacing w:after="0"/>
              <w:rPr>
                <w:sz w:val="20"/>
                <w:szCs w:val="20"/>
                <w:color w:val="auto"/>
              </w:rPr>
            </w:pPr>
            <w:r>
              <w:rPr>
                <w:rFonts w:ascii="Arial" w:cs="Arial" w:eastAsia="Arial" w:hAnsi="Arial"/>
                <w:sz w:val="13"/>
                <w:szCs w:val="13"/>
                <w:b w:val="1"/>
                <w:bCs w:val="1"/>
                <w:color w:val="auto"/>
              </w:rPr>
              <w:t>Q3 2019</w:t>
            </w: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Pr>
          <w:p>
            <w:pPr>
              <w:jc w:val="right"/>
              <w:ind w:right="445"/>
              <w:spacing w:after="0"/>
              <w:rPr>
                <w:sz w:val="20"/>
                <w:szCs w:val="20"/>
                <w:color w:val="auto"/>
              </w:rPr>
            </w:pPr>
            <w:r>
              <w:rPr>
                <w:rFonts w:ascii="Arial" w:cs="Arial" w:eastAsia="Arial" w:hAnsi="Arial"/>
                <w:sz w:val="13"/>
                <w:szCs w:val="13"/>
                <w:b w:val="1"/>
                <w:bCs w:val="1"/>
                <w:color w:val="auto"/>
              </w:rPr>
              <w:t>Q3 2018</w:t>
            </w:r>
          </w:p>
        </w:tc>
        <w:tc>
          <w:tcPr>
            <w:tcW w:w="1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End Market</w:t>
            </w:r>
          </w:p>
        </w:tc>
        <w:tc>
          <w:tcPr>
            <w:tcW w:w="2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Net Sales</w:t>
            </w:r>
          </w:p>
        </w:tc>
        <w:tc>
          <w:tcPr>
            <w:tcW w:w="4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Net Sales</w:t>
            </w:r>
          </w:p>
        </w:tc>
        <w:tc>
          <w:tcPr>
            <w:tcW w:w="16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 Variance</w:t>
            </w:r>
          </w:p>
        </w:tc>
        <w:tc>
          <w:tcPr>
            <w:tcW w:w="0" w:type="dxa"/>
            <w:vAlign w:val="bottom"/>
          </w:tcPr>
          <w:p>
            <w:pPr>
              <w:spacing w:after="0"/>
              <w:rPr>
                <w:sz w:val="1"/>
                <w:szCs w:val="1"/>
                <w:color w:val="auto"/>
              </w:rPr>
            </w:pPr>
          </w:p>
        </w:tc>
      </w:tr>
      <w:tr>
        <w:trPr>
          <w:trHeight w:val="179"/>
        </w:trPr>
        <w:tc>
          <w:tcPr>
            <w:tcW w:w="43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North America On-Highway</w:t>
            </w:r>
          </w:p>
        </w:tc>
        <w:tc>
          <w:tcPr>
            <w:tcW w:w="3360" w:type="dxa"/>
            <w:vAlign w:val="bottom"/>
            <w:gridSpan w:val="2"/>
            <w:shd w:val="clear" w:color="auto" w:fill="CFF0FC"/>
          </w:tcPr>
          <w:p>
            <w:pPr>
              <w:jc w:val="right"/>
              <w:ind w:right="832"/>
              <w:spacing w:after="0" w:line="180" w:lineRule="exact"/>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369</w:t>
            </w: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332</w:t>
            </w:r>
          </w:p>
        </w:tc>
        <w:tc>
          <w:tcPr>
            <w:tcW w:w="1700" w:type="dxa"/>
            <w:vAlign w:val="bottom"/>
            <w:gridSpan w:val="2"/>
            <w:shd w:val="clear" w:color="auto" w:fill="CFF0FC"/>
          </w:tcPr>
          <w:p>
            <w:pPr>
              <w:jc w:val="right"/>
              <w:ind w:right="17"/>
              <w:spacing w:after="0" w:line="180"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20"/>
                <w:szCs w:val="20"/>
                <w:color w:val="auto"/>
              </w:rPr>
            </w:pPr>
            <w:r>
              <w:rPr>
                <w:rFonts w:ascii="Arial" w:cs="Arial" w:eastAsia="Arial" w:hAnsi="Arial"/>
                <w:sz w:val="16"/>
                <w:szCs w:val="16"/>
                <w:color w:val="auto"/>
              </w:rPr>
              <w:t>North America Off-Highway</w:t>
            </w:r>
          </w:p>
        </w:tc>
        <w:tc>
          <w:tcPr>
            <w:tcW w:w="2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6</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12</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8"/>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Defense</w:t>
            </w:r>
          </w:p>
        </w:tc>
        <w:tc>
          <w:tcPr>
            <w:tcW w:w="2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40</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88"/>
        </w:trPr>
        <w:tc>
          <w:tcPr>
            <w:tcW w:w="4360" w:type="dxa"/>
            <w:vAlign w:val="bottom"/>
          </w:tcPr>
          <w:p>
            <w:pPr>
              <w:spacing w:after="0"/>
              <w:rPr>
                <w:sz w:val="20"/>
                <w:szCs w:val="20"/>
                <w:color w:val="auto"/>
              </w:rPr>
            </w:pPr>
            <w:r>
              <w:rPr>
                <w:rFonts w:ascii="Arial" w:cs="Arial" w:eastAsia="Arial" w:hAnsi="Arial"/>
                <w:sz w:val="16"/>
                <w:szCs w:val="16"/>
                <w:color w:val="auto"/>
              </w:rPr>
              <w:t>Outside North America On-Highway</w:t>
            </w:r>
          </w:p>
        </w:tc>
        <w:tc>
          <w:tcPr>
            <w:tcW w:w="2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jc w:val="right"/>
              <w:ind w:right="42"/>
              <w:spacing w:after="0"/>
              <w:rPr>
                <w:sz w:val="20"/>
                <w:szCs w:val="20"/>
                <w:color w:val="auto"/>
              </w:rPr>
            </w:pPr>
            <w:r>
              <w:rPr>
                <w:rFonts w:ascii="Arial" w:cs="Arial" w:eastAsia="Arial" w:hAnsi="Arial"/>
                <w:sz w:val="16"/>
                <w:szCs w:val="16"/>
                <w:b w:val="1"/>
                <w:bCs w:val="1"/>
                <w:color w:val="auto"/>
              </w:rPr>
              <w:t>99</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45"/>
              <w:spacing w:after="0"/>
              <w:rPr>
                <w:sz w:val="20"/>
                <w:szCs w:val="20"/>
                <w:color w:val="auto"/>
              </w:rPr>
            </w:pPr>
            <w:r>
              <w:rPr>
                <w:rFonts w:ascii="Arial" w:cs="Arial" w:eastAsia="Arial" w:hAnsi="Arial"/>
                <w:sz w:val="16"/>
                <w:szCs w:val="16"/>
                <w:color w:val="auto"/>
              </w:rPr>
              <w:t>96</w:t>
            </w:r>
          </w:p>
        </w:tc>
        <w:tc>
          <w:tcPr>
            <w:tcW w:w="1700" w:type="dxa"/>
            <w:vAlign w:val="bottom"/>
            <w:gridSpan w:val="2"/>
          </w:tcPr>
          <w:p>
            <w:pPr>
              <w:jc w:val="right"/>
              <w:ind w:right="17"/>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8"/>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Outside North America Off-Highway</w:t>
            </w:r>
          </w:p>
        </w:tc>
        <w:tc>
          <w:tcPr>
            <w:tcW w:w="23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440" w:type="dxa"/>
            <w:vAlign w:val="bottom"/>
            <w:shd w:val="clear" w:color="auto" w:fill="CFF0FC"/>
          </w:tcPr>
          <w:p>
            <w:pPr>
              <w:jc w:val="right"/>
              <w:ind w:right="42"/>
              <w:spacing w:after="0"/>
              <w:rPr>
                <w:sz w:val="20"/>
                <w:szCs w:val="20"/>
                <w:color w:val="auto"/>
              </w:rPr>
            </w:pPr>
            <w:r>
              <w:rPr>
                <w:rFonts w:ascii="Arial" w:cs="Arial" w:eastAsia="Arial" w:hAnsi="Arial"/>
                <w:sz w:val="16"/>
                <w:szCs w:val="16"/>
                <w:b w:val="1"/>
                <w:bCs w:val="1"/>
                <w:color w:val="auto"/>
              </w:rPr>
              <w:t>24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46</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88"/>
        </w:trPr>
        <w:tc>
          <w:tcPr>
            <w:tcW w:w="4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Service Parts, Support Equipment and Other</w:t>
            </w:r>
          </w:p>
        </w:tc>
        <w:tc>
          <w:tcPr>
            <w:tcW w:w="2360" w:type="dxa"/>
            <w:vAlign w:val="bottom"/>
            <w:tcBorders>
              <w:bottom w:val="single" w:sz="8" w:color="CFF0FC"/>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131</w:t>
            </w: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164</w:t>
            </w:r>
          </w:p>
        </w:tc>
        <w:tc>
          <w:tcPr>
            <w:tcW w:w="170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79"/>
        </w:trPr>
        <w:tc>
          <w:tcPr>
            <w:tcW w:w="4360" w:type="dxa"/>
            <w:vAlign w:val="bottom"/>
            <w:tcBorders>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color w:val="auto"/>
              </w:rPr>
              <w:t>Total Net Sales</w:t>
            </w:r>
          </w:p>
        </w:tc>
        <w:tc>
          <w:tcPr>
            <w:tcW w:w="236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832"/>
              <w:spacing w:after="0" w:line="180" w:lineRule="exact"/>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FF0FC"/>
          </w:tcPr>
          <w:p>
            <w:pPr>
              <w:jc w:val="right"/>
              <w:ind w:right="42"/>
              <w:spacing w:after="0" w:line="180" w:lineRule="exact"/>
              <w:rPr>
                <w:sz w:val="20"/>
                <w:szCs w:val="20"/>
                <w:color w:val="auto"/>
              </w:rPr>
            </w:pPr>
            <w:r>
              <w:rPr>
                <w:rFonts w:ascii="Arial" w:cs="Arial" w:eastAsia="Arial" w:hAnsi="Arial"/>
                <w:sz w:val="16"/>
                <w:szCs w:val="16"/>
                <w:b w:val="1"/>
                <w:bCs w:val="1"/>
                <w:color w:val="auto"/>
              </w:rPr>
              <w:t>669</w:t>
            </w: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ind w:right="45"/>
              <w:spacing w:after="0" w:line="180" w:lineRule="exact"/>
              <w:rPr>
                <w:sz w:val="20"/>
                <w:szCs w:val="20"/>
                <w:color w:val="auto"/>
              </w:rPr>
            </w:pPr>
            <w:r>
              <w:rPr>
                <w:rFonts w:ascii="Arial" w:cs="Arial" w:eastAsia="Arial" w:hAnsi="Arial"/>
                <w:sz w:val="16"/>
                <w:szCs w:val="16"/>
                <w:color w:val="auto"/>
              </w:rPr>
              <w:t>692</w:t>
            </w:r>
          </w:p>
        </w:tc>
        <w:tc>
          <w:tcPr>
            <w:tcW w:w="1700" w:type="dxa"/>
            <w:vAlign w:val="bottom"/>
            <w:tcBorders>
              <w:bottom w:val="single" w:sz="8" w:color="CFF0FC"/>
            </w:tcBorders>
            <w:gridSpan w:val="2"/>
            <w:shd w:val="clear" w:color="auto" w:fill="CFF0FC"/>
          </w:tcPr>
          <w:p>
            <w:pPr>
              <w:jc w:val="right"/>
              <w:spacing w:after="0" w:line="180"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360" w:type="dxa"/>
            <w:vAlign w:val="bottom"/>
            <w:vMerge w:val="restart"/>
          </w:tcPr>
          <w:p>
            <w:pPr>
              <w:jc w:val="right"/>
              <w:ind w:right="842"/>
              <w:spacing w:after="0"/>
              <w:rPr>
                <w:sz w:val="20"/>
                <w:szCs w:val="20"/>
                <w:color w:val="auto"/>
              </w:rPr>
            </w:pPr>
            <w:r>
              <w:rPr>
                <w:rFonts w:ascii="Arial" w:cs="Arial" w:eastAsia="Arial" w:hAnsi="Arial"/>
                <w:sz w:val="16"/>
                <w:szCs w:val="16"/>
                <w:color w:val="auto"/>
              </w:rPr>
              <w:t>26</w:t>
            </w: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36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60" w:type="dxa"/>
            <w:vAlign w:val="bottom"/>
            <w:tcBorders>
              <w:bottom w:val="single" w:sz="8" w:color="9A9A9A"/>
            </w:tcBorders>
          </w:tcPr>
          <w:p>
            <w:pPr>
              <w:spacing w:after="0"/>
              <w:rPr>
                <w:sz w:val="7"/>
                <w:szCs w:val="7"/>
                <w:color w:val="auto"/>
              </w:rPr>
            </w:pPr>
          </w:p>
        </w:tc>
        <w:tc>
          <w:tcPr>
            <w:tcW w:w="23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7240270</wp:posOffset>
            </wp:positionH>
            <wp:positionV relativeFrom="paragraph">
              <wp:posOffset>-26670</wp:posOffset>
            </wp:positionV>
            <wp:extent cx="3302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2" w:lineRule="exact"/>
        <w:rPr>
          <w:sz w:val="20"/>
          <w:szCs w:val="20"/>
          <w:color w:val="auto"/>
        </w:rPr>
      </w:pPr>
    </w:p>
    <w:p>
      <w:pPr>
        <w:jc w:val="both"/>
        <w:ind w:right="380" w:firstLine="537"/>
        <w:spacing w:after="0" w:line="265" w:lineRule="auto"/>
        <w:rPr>
          <w:sz w:val="20"/>
          <w:szCs w:val="20"/>
          <w:color w:val="auto"/>
        </w:rPr>
      </w:pPr>
      <w:r>
        <w:rPr>
          <w:rFonts w:ascii="Arial" w:cs="Arial" w:eastAsia="Arial" w:hAnsi="Arial"/>
          <w:sz w:val="15"/>
          <w:szCs w:val="15"/>
          <w:color w:val="auto"/>
        </w:rPr>
        <w:t>North America On-Highway end market net sales were up 11% for the third quarter 2019 compared to the third quarter 2018, principally driven by higher demand for Rugged Duty Series and Highway Series models, led by the continued execution of our growth initiatives and market share gains in Class 4/5 truck.</w:t>
      </w:r>
    </w:p>
    <w:p>
      <w:pPr>
        <w:spacing w:after="0" w:line="65" w:lineRule="exact"/>
        <w:rPr>
          <w:sz w:val="20"/>
          <w:szCs w:val="20"/>
          <w:color w:val="auto"/>
        </w:rPr>
      </w:pPr>
    </w:p>
    <w:p>
      <w:pPr>
        <w:ind w:right="320" w:firstLine="537"/>
        <w:spacing w:after="0" w:line="237" w:lineRule="auto"/>
        <w:rPr>
          <w:sz w:val="20"/>
          <w:szCs w:val="20"/>
          <w:color w:val="auto"/>
        </w:rPr>
      </w:pPr>
      <w:r>
        <w:rPr>
          <w:rFonts w:ascii="Arial" w:cs="Arial" w:eastAsia="Arial" w:hAnsi="Arial"/>
          <w:sz w:val="16"/>
          <w:szCs w:val="16"/>
          <w:color w:val="auto"/>
        </w:rPr>
        <w:t>North America Off-Highway end market net sales were down $6 million for the third quarter 2019 compared to the third quarter 2018, principally driven by lower demand from hydraulic fracturing applications.</w:t>
      </w:r>
    </w:p>
    <w:p>
      <w:pPr>
        <w:spacing w:after="0" w:line="83" w:lineRule="exact"/>
        <w:rPr>
          <w:sz w:val="20"/>
          <w:szCs w:val="20"/>
          <w:color w:val="auto"/>
        </w:rPr>
      </w:pPr>
    </w:p>
    <w:p>
      <w:pPr>
        <w:ind w:right="460" w:firstLine="537"/>
        <w:spacing w:after="0" w:line="237" w:lineRule="auto"/>
        <w:rPr>
          <w:sz w:val="20"/>
          <w:szCs w:val="20"/>
          <w:color w:val="auto"/>
        </w:rPr>
      </w:pPr>
      <w:r>
        <w:rPr>
          <w:rFonts w:ascii="Arial" w:cs="Arial" w:eastAsia="Arial" w:hAnsi="Arial"/>
          <w:sz w:val="16"/>
          <w:szCs w:val="16"/>
          <w:color w:val="auto"/>
        </w:rPr>
        <w:t>Defense end market net sales were down 5% for the third quarter 2019 compared to the third quarter 2018, principally driven by lower Wheeled vehicle demand.</w:t>
      </w:r>
    </w:p>
    <w:p>
      <w:pPr>
        <w:spacing w:after="0" w:line="83" w:lineRule="exact"/>
        <w:rPr>
          <w:sz w:val="20"/>
          <w:szCs w:val="20"/>
          <w:color w:val="auto"/>
        </w:rPr>
      </w:pPr>
    </w:p>
    <w:p>
      <w:pPr>
        <w:ind w:right="360" w:firstLine="537"/>
        <w:spacing w:after="0" w:line="237" w:lineRule="auto"/>
        <w:rPr>
          <w:sz w:val="20"/>
          <w:szCs w:val="20"/>
          <w:color w:val="auto"/>
        </w:rPr>
      </w:pPr>
      <w:r>
        <w:rPr>
          <w:rFonts w:ascii="Arial" w:cs="Arial" w:eastAsia="Arial" w:hAnsi="Arial"/>
          <w:sz w:val="16"/>
          <w:szCs w:val="16"/>
          <w:color w:val="auto"/>
        </w:rPr>
        <w:t>Outside North America On-Highway end market net sales were up 3% for the third quarter 2019 compared to the third quarter 2018, principally driven by higher demand in Europe and South America, partially offset by lower demand in Asia.</w:t>
      </w:r>
    </w:p>
    <w:p>
      <w:pPr>
        <w:spacing w:after="0" w:line="83" w:lineRule="exact"/>
        <w:rPr>
          <w:sz w:val="20"/>
          <w:szCs w:val="20"/>
          <w:color w:val="auto"/>
        </w:rPr>
      </w:pPr>
    </w:p>
    <w:p>
      <w:pPr>
        <w:ind w:right="320" w:firstLine="537"/>
        <w:spacing w:after="0" w:line="237" w:lineRule="auto"/>
        <w:rPr>
          <w:sz w:val="20"/>
          <w:szCs w:val="20"/>
          <w:color w:val="auto"/>
        </w:rPr>
      </w:pPr>
      <w:r>
        <w:rPr>
          <w:rFonts w:ascii="Arial" w:cs="Arial" w:eastAsia="Arial" w:hAnsi="Arial"/>
          <w:sz w:val="16"/>
          <w:szCs w:val="16"/>
          <w:color w:val="auto"/>
        </w:rPr>
        <w:t>Outside North America Off-Highway end market net sales were down $22 million for the third quarter 2019 compared to the third quarter 2018, principally driven by lower demand in the mining and energy sectors.</w:t>
      </w:r>
    </w:p>
    <w:p>
      <w:pPr>
        <w:spacing w:after="0" w:line="83" w:lineRule="exact"/>
        <w:rPr>
          <w:sz w:val="20"/>
          <w:szCs w:val="20"/>
          <w:color w:val="auto"/>
        </w:rPr>
      </w:pPr>
    </w:p>
    <w:p>
      <w:pPr>
        <w:ind w:right="140" w:firstLine="537"/>
        <w:spacing w:after="0" w:line="237" w:lineRule="auto"/>
        <w:rPr>
          <w:sz w:val="20"/>
          <w:szCs w:val="20"/>
          <w:color w:val="auto"/>
        </w:rPr>
      </w:pPr>
      <w:r>
        <w:rPr>
          <w:rFonts w:ascii="Arial" w:cs="Arial" w:eastAsia="Arial" w:hAnsi="Arial"/>
          <w:sz w:val="16"/>
          <w:szCs w:val="16"/>
          <w:color w:val="auto"/>
        </w:rPr>
        <w:t>Service Parts, Support Equipment and Other end market net sales were down 20% for the third quarter 2019 compared to the third quarter 2018, principally driven by lower demand for North America service parts.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Components of our 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160" w:firstLine="537"/>
        <w:spacing w:after="0" w:line="232"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other parts, defense kits, engineering services, royalties and extended transmission coverage to a wide array of original equipment manufacturers,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firstLine="537"/>
        <w:spacing w:after="0" w:line="232"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nine months ended September 30, 2019, direct material costs were approximately 70%, overhead costs were approximately 23%, and direct labor costs were approximately 7% of total cost of sales. We are subject to changes in our cost of sales caused by movements in underlying commodity prices. We seek to hedge against this risk by using long-term agreements (“LTAs”), as appropriate. See Part I, Item 3 “Quantitative and Qualitative Disclosures about Market Risk—Commodity Price Risk” included below.</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140" w:firstLine="537"/>
        <w:spacing w:after="0" w:line="237"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520" w:firstLine="537"/>
        <w:spacing w:after="0" w:line="237"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Non-GAAP Financial Measures</w:t>
      </w:r>
    </w:p>
    <w:p>
      <w:pPr>
        <w:spacing w:after="0" w:line="104" w:lineRule="exact"/>
        <w:rPr>
          <w:sz w:val="20"/>
          <w:szCs w:val="20"/>
          <w:color w:val="auto"/>
        </w:rPr>
      </w:pPr>
    </w:p>
    <w:p>
      <w:pPr>
        <w:ind w:right="40" w:firstLine="268"/>
        <w:spacing w:after="0" w:line="231" w:lineRule="auto"/>
        <w:rPr>
          <w:sz w:val="20"/>
          <w:szCs w:val="20"/>
          <w:color w:val="auto"/>
        </w:rPr>
      </w:pPr>
      <w:r>
        <w:rPr>
          <w:rFonts w:ascii="Arial" w:cs="Arial" w:eastAsia="Arial" w:hAnsi="Arial"/>
          <w:sz w:val="16"/>
          <w:szCs w:val="16"/>
          <w:color w:val="auto"/>
        </w:rPr>
        <w:t>We use Adjusted Earnings before Interest, Taxes, Depreciation, and Amortization (“EBITDA”) and Adjusted EBITDA as a percent of net sales to measure our operating profitability. We believe that Adjusted EBITDA and Adjusted EBITDA as a percent of net sales provide management, investors and creditors with useful measures of the operational results of our business and increase the period-to-period comparability of our operating profitability and comparability with other companies. Adjusted EBITDA as a percent of net sales is also used in the calculation of management’s incentive compensation program. The most directly comparable U.S. generally accepted accounting principles (“GAAP”) measure to Adjusted EBITDA and Adjusted EBITDA as a percent of net sales is Net income and Net income as a percent of net sales, respectively. Adjusted EBITDA is calculated as earnings before interest expense, income tax expense, amortization of intangible assets, depreciation of property, plant and equipment and other adjustments as defined by the Credit Agreement governing ATI’s, our wholly-owned subsidiary, New Term Loan (together with ATI’s new revolving credit facility with commitments in the amount of $600 million due September 2024 ("New Revolving Credit Facility") defined as the “New Senior Secured Credit Facility”). Adjusted EBITDA as a percent of net sales is calculated as Adjusted EBITDA divided by net sales.</w:t>
      </w:r>
    </w:p>
    <w:p>
      <w:pPr>
        <w:spacing w:after="0" w:line="83" w:lineRule="exact"/>
        <w:rPr>
          <w:sz w:val="20"/>
          <w:szCs w:val="20"/>
          <w:color w:val="auto"/>
        </w:rPr>
      </w:pPr>
    </w:p>
    <w:p>
      <w:pPr>
        <w:ind w:right="60" w:firstLine="537"/>
        <w:spacing w:after="0" w:line="232"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 Adjusted free cash flow is calculated as Net cash provided by operating activities after additions of long-lived assets.</w:t>
      </w:r>
    </w:p>
    <w:p>
      <w:pPr>
        <w:spacing w:after="0" w:line="83" w:lineRule="exact"/>
        <w:rPr>
          <w:sz w:val="20"/>
          <w:szCs w:val="20"/>
          <w:color w:val="auto"/>
        </w:rPr>
      </w:pPr>
    </w:p>
    <w:p>
      <w:pPr>
        <w:ind w:right="100" w:firstLine="537"/>
        <w:spacing w:after="0" w:line="237" w:lineRule="auto"/>
        <w:rPr>
          <w:sz w:val="20"/>
          <w:szCs w:val="20"/>
          <w:color w:val="auto"/>
        </w:rPr>
      </w:pPr>
      <w:r>
        <w:rPr>
          <w:rFonts w:ascii="Arial" w:cs="Arial" w:eastAsia="Arial" w:hAnsi="Arial"/>
          <w:sz w:val="16"/>
          <w:szCs w:val="16"/>
          <w:color w:val="auto"/>
        </w:rPr>
        <w:t>The following is a reconciliation of Net income and Net income as a percent of net sales to Adjusted EBITDA and Adjusted EBITDA as a percent of net sales and a reconciliation of Net cash provided by operating activities to Adjusted free cash flow: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gridSpan w:val="5"/>
          </w:tcPr>
          <w:p>
            <w:pPr>
              <w:ind w:left="400"/>
              <w:spacing w:after="0"/>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3"/>
                <w:szCs w:val="13"/>
                <w:color w:val="auto"/>
              </w:rPr>
            </w:pPr>
          </w:p>
        </w:tc>
        <w:tc>
          <w:tcPr>
            <w:tcW w:w="2480" w:type="dxa"/>
            <w:vAlign w:val="bottom"/>
            <w:gridSpan w:val="4"/>
          </w:tcPr>
          <w:p>
            <w:pPr>
              <w:jc w:val="right"/>
              <w:ind w:right="803"/>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53"/>
        </w:trPr>
        <w:tc>
          <w:tcPr>
            <w:tcW w:w="4980" w:type="dxa"/>
            <w:vAlign w:val="bottom"/>
            <w:vMerge w:val="restart"/>
          </w:tcPr>
          <w:p>
            <w:pPr>
              <w:spacing w:after="0"/>
              <w:rPr>
                <w:sz w:val="20"/>
                <w:szCs w:val="20"/>
                <w:color w:val="auto"/>
              </w:rPr>
            </w:pPr>
            <w:r>
              <w:rPr>
                <w:rFonts w:ascii="Arial" w:cs="Arial" w:eastAsia="Arial" w:hAnsi="Arial"/>
                <w:sz w:val="13"/>
                <w:szCs w:val="13"/>
                <w:b w:val="1"/>
                <w:bCs w:val="1"/>
                <w:color w:val="auto"/>
              </w:rPr>
              <w:t>(unaudited, dollars in millions)</w:t>
            </w:r>
          </w:p>
        </w:tc>
        <w:tc>
          <w:tcPr>
            <w:tcW w:w="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3"/>
                <w:szCs w:val="13"/>
                <w:b w:val="1"/>
                <w:bCs w:val="1"/>
                <w:color w:val="auto"/>
              </w:rPr>
              <w:t>September 30,</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980" w:type="dxa"/>
            <w:vAlign w:val="bottom"/>
            <w:tcBorders>
              <w:bottom w:val="single" w:sz="8" w:color="CFF0FC"/>
            </w:tcBorders>
            <w:vMerge w:val="continue"/>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4"/>
              <w:spacing w:after="0" w:line="144"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23"/>
              <w:spacing w:after="0" w:line="144"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24"/>
              <w:spacing w:after="0" w:line="144"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523"/>
              <w:spacing w:after="0" w:line="144" w:lineRule="exact"/>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179"/>
        </w:trPr>
        <w:tc>
          <w:tcPr>
            <w:tcW w:w="4980" w:type="dxa"/>
            <w:vAlign w:val="bottom"/>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Net income (GAAP)</w:t>
            </w:r>
          </w:p>
        </w:tc>
        <w:tc>
          <w:tcPr>
            <w:tcW w:w="8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b w:val="1"/>
                <w:bCs w:val="1"/>
                <w:color w:val="auto"/>
              </w:rPr>
              <w:t>149</w:t>
            </w:r>
          </w:p>
        </w:tc>
        <w:tc>
          <w:tcPr>
            <w:tcW w:w="12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2"/>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167</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b w:val="1"/>
                <w:bCs w:val="1"/>
                <w:color w:val="auto"/>
              </w:rPr>
              <w:t>497</w:t>
            </w: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plus:</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Income tax expense</w:t>
            </w: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45</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137</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88"/>
        </w:trPr>
        <w:tc>
          <w:tcPr>
            <w:tcW w:w="4980" w:type="dxa"/>
            <w:vAlign w:val="bottom"/>
          </w:tcPr>
          <w:p>
            <w:pPr>
              <w:ind w:left="200"/>
              <w:spacing w:after="0"/>
              <w:rPr>
                <w:sz w:val="20"/>
                <w:szCs w:val="20"/>
                <w:color w:val="auto"/>
              </w:rPr>
            </w:pPr>
            <w:r>
              <w:rPr>
                <w:rFonts w:ascii="Arial" w:cs="Arial" w:eastAsia="Arial" w:hAnsi="Arial"/>
                <w:sz w:val="16"/>
                <w:szCs w:val="16"/>
                <w:color w:val="auto"/>
              </w:rPr>
              <w:t>Interest expense, net</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b w:val="1"/>
                <w:bCs w:val="1"/>
                <w:color w:val="auto"/>
              </w:rPr>
              <w:t>32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b w:val="1"/>
                <w:bCs w:val="1"/>
                <w:color w:val="auto"/>
              </w:rPr>
              <w:t>101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of intangible assets</w:t>
            </w: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22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65</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88"/>
        </w:trPr>
        <w:tc>
          <w:tcPr>
            <w:tcW w:w="4980" w:type="dxa"/>
            <w:vAlign w:val="bottom"/>
          </w:tcPr>
          <w:p>
            <w:pPr>
              <w:ind w:left="200"/>
              <w:spacing w:after="0"/>
              <w:rPr>
                <w:sz w:val="20"/>
                <w:szCs w:val="20"/>
                <w:color w:val="auto"/>
              </w:rPr>
            </w:pPr>
            <w:r>
              <w:rPr>
                <w:rFonts w:ascii="Arial" w:cs="Arial" w:eastAsia="Arial" w:hAnsi="Arial"/>
                <w:sz w:val="16"/>
                <w:szCs w:val="16"/>
                <w:color w:val="auto"/>
              </w:rPr>
              <w:t>Depreciation of property, plant and equipment</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84"/>
              <w:spacing w:after="0"/>
              <w:rPr>
                <w:sz w:val="20"/>
                <w:szCs w:val="20"/>
                <w:color w:val="auto"/>
              </w:rPr>
            </w:pPr>
            <w:r>
              <w:rPr>
                <w:rFonts w:ascii="Arial" w:cs="Arial" w:eastAsia="Arial" w:hAnsi="Arial"/>
                <w:sz w:val="16"/>
                <w:szCs w:val="16"/>
                <w:b w:val="1"/>
                <w:bCs w:val="1"/>
                <w:color w:val="auto"/>
              </w:rPr>
              <w:t>57</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Stock-based compensation expense (a)</w:t>
            </w: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10</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83"/>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8"/>
        </w:trPr>
        <w:tc>
          <w:tcPr>
            <w:tcW w:w="4980" w:type="dxa"/>
            <w:vAlign w:val="bottom"/>
          </w:tcPr>
          <w:p>
            <w:pPr>
              <w:ind w:left="200"/>
              <w:spacing w:after="0"/>
              <w:rPr>
                <w:sz w:val="20"/>
                <w:szCs w:val="20"/>
                <w:color w:val="auto"/>
              </w:rPr>
            </w:pPr>
            <w:r>
              <w:rPr>
                <w:rFonts w:ascii="Arial" w:cs="Arial" w:eastAsia="Arial" w:hAnsi="Arial"/>
                <w:sz w:val="16"/>
                <w:szCs w:val="16"/>
                <w:color w:val="auto"/>
              </w:rPr>
              <w:t>UAW Local 933 retirement incentive (b)</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Arial" w:cs="Arial" w:eastAsia="Arial" w:hAnsi="Arial"/>
                <w:sz w:val="16"/>
                <w:szCs w:val="16"/>
                <w:b w:val="1"/>
                <w:bCs w:val="1"/>
                <w:color w:val="auto"/>
              </w:rPr>
              <w:t>(1)</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Expenses related to long-term debt refinancing (c)</w:t>
            </w: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8"/>
        </w:trPr>
        <w:tc>
          <w:tcPr>
            <w:tcW w:w="4980" w:type="dxa"/>
            <w:vAlign w:val="bottom"/>
          </w:tcPr>
          <w:p>
            <w:pPr>
              <w:ind w:left="200"/>
              <w:spacing w:after="0"/>
              <w:rPr>
                <w:sz w:val="20"/>
                <w:szCs w:val="20"/>
                <w:color w:val="auto"/>
              </w:rPr>
            </w:pPr>
            <w:r>
              <w:rPr>
                <w:rFonts w:ascii="Arial" w:cs="Arial" w:eastAsia="Arial" w:hAnsi="Arial"/>
                <w:sz w:val="16"/>
                <w:szCs w:val="16"/>
                <w:color w:val="auto"/>
              </w:rPr>
              <w:t>Unrealized loss on foreign exchange (d)</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w:t>
            </w:r>
          </w:p>
        </w:tc>
        <w:tc>
          <w:tcPr>
            <w:tcW w:w="36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6"/>
                <w:szCs w:val="16"/>
                <w:color w:val="auto"/>
              </w:rPr>
            </w:pPr>
          </w:p>
        </w:tc>
        <w:tc>
          <w:tcPr>
            <w:tcW w:w="960" w:type="dxa"/>
            <w:vAlign w:val="bottom"/>
          </w:tcPr>
          <w:p>
            <w:pPr>
              <w:jc w:val="right"/>
              <w:ind w:right="83"/>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9"/>
        </w:trPr>
        <w:tc>
          <w:tcPr>
            <w:tcW w:w="4980" w:type="dxa"/>
            <w:vAlign w:val="bottom"/>
            <w:tcBorders>
              <w:top w:val="single" w:sz="8" w:color="CFF0FC"/>
              <w:bottom w:val="single" w:sz="8" w:color="CFF0FC"/>
            </w:tcBorders>
            <w:shd w:val="clear" w:color="auto" w:fill="CFF0FC"/>
          </w:tcPr>
          <w:p>
            <w:pPr>
              <w:spacing w:after="0" w:line="180" w:lineRule="exact"/>
              <w:rPr>
                <w:sz w:val="20"/>
                <w:szCs w:val="20"/>
                <w:color w:val="auto"/>
              </w:rPr>
            </w:pPr>
            <w:r>
              <w:rPr>
                <w:rFonts w:ascii="Arial" w:cs="Arial" w:eastAsia="Arial" w:hAnsi="Arial"/>
                <w:sz w:val="16"/>
                <w:szCs w:val="16"/>
                <w:b w:val="1"/>
                <w:bCs w:val="1"/>
                <w:color w:val="auto"/>
              </w:rPr>
              <w:t>Adjusted EBITDA (Non-GAAP)</w:t>
            </w:r>
          </w:p>
        </w:tc>
        <w:tc>
          <w:tcPr>
            <w:tcW w:w="86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ind w:right="84"/>
              <w:spacing w:after="0" w:line="180" w:lineRule="exact"/>
              <w:rPr>
                <w:sz w:val="20"/>
                <w:szCs w:val="20"/>
                <w:color w:val="auto"/>
              </w:rPr>
            </w:pPr>
            <w:r>
              <w:rPr>
                <w:rFonts w:ascii="Arial" w:cs="Arial" w:eastAsia="Arial" w:hAnsi="Arial"/>
                <w:sz w:val="16"/>
                <w:szCs w:val="16"/>
                <w:b w:val="1"/>
                <w:bCs w:val="1"/>
                <w:color w:val="auto"/>
              </w:rPr>
              <w:t>269</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360" w:type="dxa"/>
            <w:vAlign w:val="bottom"/>
            <w:tcBorders>
              <w:top w:val="single" w:sz="8" w:color="auto"/>
              <w:bottom w:val="single" w:sz="8" w:color="auto"/>
            </w:tcBorders>
            <w:shd w:val="clear" w:color="auto" w:fill="CFF0FC"/>
          </w:tcPr>
          <w:p>
            <w:pPr>
              <w:jc w:val="right"/>
              <w:ind w:right="182"/>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295</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bottom w:val="single" w:sz="8" w:color="auto"/>
            </w:tcBorders>
            <w:shd w:val="clear" w:color="auto" w:fill="CFF0FC"/>
          </w:tcPr>
          <w:p>
            <w:pPr>
              <w:jc w:val="right"/>
              <w:ind w:right="84"/>
              <w:spacing w:after="0" w:line="180" w:lineRule="exact"/>
              <w:rPr>
                <w:sz w:val="20"/>
                <w:szCs w:val="20"/>
                <w:color w:val="auto"/>
              </w:rPr>
            </w:pPr>
            <w:r>
              <w:rPr>
                <w:rFonts w:ascii="Arial" w:cs="Arial" w:eastAsia="Arial" w:hAnsi="Arial"/>
                <w:sz w:val="16"/>
                <w:szCs w:val="16"/>
                <w:b w:val="1"/>
                <w:bCs w:val="1"/>
                <w:color w:val="auto"/>
              </w:rPr>
              <w:t>867</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ind w:right="103"/>
              <w:spacing w:after="0" w:line="180" w:lineRule="exact"/>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b w:val="1"/>
                <w:bCs w:val="1"/>
                <w:color w:val="auto"/>
              </w:rPr>
              <w:t>Net sales (GAAP)</w:t>
            </w:r>
          </w:p>
        </w:tc>
        <w:tc>
          <w:tcPr>
            <w:tcW w:w="11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8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Borders>
              <w:top w:val="single" w:sz="8" w:color="auto"/>
            </w:tcBorders>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ind w:right="84"/>
              <w:spacing w:after="0" w:line="163" w:lineRule="exact"/>
              <w:rPr>
                <w:sz w:val="20"/>
                <w:szCs w:val="20"/>
                <w:color w:val="auto"/>
              </w:rPr>
            </w:pPr>
            <w:r>
              <w:rPr>
                <w:rFonts w:ascii="Arial" w:cs="Arial" w:eastAsia="Arial" w:hAnsi="Arial"/>
                <w:sz w:val="16"/>
                <w:szCs w:val="16"/>
                <w:b w:val="1"/>
                <w:bCs w:val="1"/>
                <w:color w:val="auto"/>
              </w:rPr>
              <w:t>669</w:t>
            </w:r>
          </w:p>
        </w:tc>
        <w:tc>
          <w:tcPr>
            <w:tcW w:w="120" w:type="dxa"/>
            <w:vAlign w:val="bottom"/>
          </w:tcPr>
          <w:p>
            <w:pPr>
              <w:spacing w:after="0"/>
              <w:rPr>
                <w:sz w:val="14"/>
                <w:szCs w:val="14"/>
                <w:color w:val="auto"/>
              </w:rPr>
            </w:pPr>
          </w:p>
        </w:tc>
        <w:tc>
          <w:tcPr>
            <w:tcW w:w="360" w:type="dxa"/>
            <w:vAlign w:val="bottom"/>
            <w:tcBorders>
              <w:top w:val="single" w:sz="8" w:color="auto"/>
            </w:tcBorders>
          </w:tcPr>
          <w:p>
            <w:pPr>
              <w:jc w:val="right"/>
              <w:ind w:right="182"/>
              <w:spacing w:after="0" w:line="16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03"/>
              <w:spacing w:after="0" w:line="163" w:lineRule="exact"/>
              <w:rPr>
                <w:sz w:val="20"/>
                <w:szCs w:val="20"/>
                <w:color w:val="auto"/>
              </w:rPr>
            </w:pPr>
            <w:r>
              <w:rPr>
                <w:rFonts w:ascii="Arial" w:cs="Arial" w:eastAsia="Arial" w:hAnsi="Arial"/>
                <w:sz w:val="16"/>
                <w:szCs w:val="16"/>
                <w:color w:val="auto"/>
              </w:rPr>
              <w:t>692</w:t>
            </w:r>
          </w:p>
        </w:tc>
        <w:tc>
          <w:tcPr>
            <w:tcW w:w="120" w:type="dxa"/>
            <w:vAlign w:val="bottom"/>
          </w:tcPr>
          <w:p>
            <w:pPr>
              <w:spacing w:after="0"/>
              <w:rPr>
                <w:sz w:val="14"/>
                <w:szCs w:val="14"/>
                <w:color w:val="auto"/>
              </w:rPr>
            </w:pPr>
          </w:p>
        </w:tc>
        <w:tc>
          <w:tcPr>
            <w:tcW w:w="260" w:type="dxa"/>
            <w:vAlign w:val="bottom"/>
            <w:tcBorders>
              <w:top w:val="single" w:sz="8" w:color="auto"/>
            </w:tcBorders>
          </w:tcPr>
          <w:p>
            <w:pPr>
              <w:jc w:val="right"/>
              <w:ind w:right="107"/>
              <w:spacing w:after="0" w:line="163" w:lineRule="exact"/>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jc w:val="right"/>
              <w:ind w:right="84"/>
              <w:spacing w:after="0" w:line="163" w:lineRule="exact"/>
              <w:rPr>
                <w:sz w:val="20"/>
                <w:szCs w:val="20"/>
                <w:color w:val="auto"/>
              </w:rPr>
            </w:pPr>
            <w:r>
              <w:rPr>
                <w:rFonts w:ascii="Arial" w:cs="Arial" w:eastAsia="Arial" w:hAnsi="Arial"/>
                <w:sz w:val="16"/>
                <w:szCs w:val="16"/>
                <w:b w:val="1"/>
                <w:bCs w:val="1"/>
                <w:color w:val="auto"/>
              </w:rPr>
              <w:t>2,081</w:t>
            </w:r>
          </w:p>
        </w:tc>
        <w:tc>
          <w:tcPr>
            <w:tcW w:w="140" w:type="dxa"/>
            <w:vAlign w:val="bottom"/>
          </w:tcPr>
          <w:p>
            <w:pPr>
              <w:spacing w:after="0"/>
              <w:rPr>
                <w:sz w:val="14"/>
                <w:szCs w:val="14"/>
                <w:color w:val="auto"/>
              </w:rPr>
            </w:pPr>
          </w:p>
        </w:tc>
        <w:tc>
          <w:tcPr>
            <w:tcW w:w="340" w:type="dxa"/>
            <w:vAlign w:val="bottom"/>
            <w:tcBorders>
              <w:top w:val="single" w:sz="8" w:color="auto"/>
            </w:tcBorders>
          </w:tcPr>
          <w:p>
            <w:pPr>
              <w:jc w:val="right"/>
              <w:ind w:right="187"/>
              <w:spacing w:after="0" w:line="163" w:lineRule="exact"/>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ind w:right="83"/>
              <w:spacing w:after="0" w:line="163" w:lineRule="exact"/>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income as a percent of net sales (GAAP)</w:t>
            </w:r>
          </w:p>
        </w:tc>
        <w:tc>
          <w:tcPr>
            <w:tcW w:w="8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22.3%</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23.9%</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20"/>
                <w:szCs w:val="20"/>
                <w:color w:val="auto"/>
              </w:rPr>
            </w:pPr>
            <w:r>
              <w:rPr>
                <w:rFonts w:ascii="Arial" w:cs="Arial" w:eastAsia="Arial" w:hAnsi="Arial"/>
                <w:sz w:val="16"/>
                <w:szCs w:val="16"/>
                <w:b w:val="1"/>
                <w:bCs w:val="1"/>
                <w:color w:val="auto"/>
              </w:rPr>
              <w:t>Adjusted EBITDA as a percent of net sales (Non-GAAP)</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41.7%</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Net cash provided by operating activities (GAAP)</w:t>
            </w:r>
          </w:p>
        </w:tc>
        <w:tc>
          <w:tcPr>
            <w:tcW w:w="1120" w:type="dxa"/>
            <w:vAlign w:val="bottom"/>
            <w:gridSpan w:val="2"/>
            <w:shd w:val="clear" w:color="auto" w:fill="CFF0FC"/>
          </w:tcPr>
          <w:p>
            <w:pPr>
              <w:jc w:val="right"/>
              <w:ind w:right="107"/>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212</w:t>
            </w:r>
          </w:p>
        </w:tc>
        <w:tc>
          <w:tcPr>
            <w:tcW w:w="12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239</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FF0FC"/>
          </w:tcPr>
          <w:p>
            <w:pPr>
              <w:jc w:val="right"/>
              <w:ind w:right="84"/>
              <w:spacing w:after="0"/>
              <w:rPr>
                <w:sz w:val="20"/>
                <w:szCs w:val="20"/>
                <w:color w:val="auto"/>
              </w:rPr>
            </w:pPr>
            <w:r>
              <w:rPr>
                <w:rFonts w:ascii="Arial" w:cs="Arial" w:eastAsia="Arial" w:hAnsi="Arial"/>
                <w:sz w:val="16"/>
                <w:szCs w:val="16"/>
                <w:b w:val="1"/>
                <w:bCs w:val="1"/>
                <w:color w:val="auto"/>
              </w:rPr>
              <w:t>645</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ind w:right="103"/>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188"/>
        </w:trPr>
        <w:tc>
          <w:tcPr>
            <w:tcW w:w="4980" w:type="dxa"/>
            <w:vAlign w:val="bottom"/>
          </w:tcPr>
          <w:p>
            <w:pPr>
              <w:spacing w:after="0"/>
              <w:rPr>
                <w:sz w:val="20"/>
                <w:szCs w:val="20"/>
                <w:color w:val="auto"/>
              </w:rPr>
            </w:pPr>
            <w:r>
              <w:rPr>
                <w:rFonts w:ascii="Arial" w:cs="Arial" w:eastAsia="Arial" w:hAnsi="Arial"/>
                <w:sz w:val="16"/>
                <w:szCs w:val="16"/>
                <w:color w:val="auto"/>
              </w:rPr>
              <w:t>Deductions to reconcile to Adjusted free cash flow:</w:t>
            </w: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Additions of long-lived assets</w:t>
            </w:r>
          </w:p>
        </w:tc>
        <w:tc>
          <w:tcPr>
            <w:tcW w:w="8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(47)</w:t>
            </w:r>
          </w:p>
        </w:tc>
        <w:tc>
          <w:tcPr>
            <w:tcW w:w="120" w:type="dxa"/>
            <w:vAlign w:val="bottom"/>
            <w:shd w:val="clear" w:color="auto" w:fill="CFF0FC"/>
          </w:tcPr>
          <w:p>
            <w:pPr>
              <w:spacing w:after="0"/>
              <w:rPr>
                <w:sz w:val="16"/>
                <w:szCs w:val="16"/>
                <w:color w:val="auto"/>
              </w:rPr>
            </w:pPr>
          </w:p>
        </w:tc>
        <w:tc>
          <w:tcPr>
            <w:tcW w:w="3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b w:val="1"/>
                <w:bCs w:val="1"/>
                <w:color w:val="auto"/>
              </w:rPr>
              <w:t>(91)</w:t>
            </w:r>
          </w:p>
        </w:tc>
        <w:tc>
          <w:tcPr>
            <w:tcW w:w="140" w:type="dxa"/>
            <w:vAlign w:val="bottom"/>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79"/>
        </w:trPr>
        <w:tc>
          <w:tcPr>
            <w:tcW w:w="4980" w:type="dxa"/>
            <w:vAlign w:val="bottom"/>
          </w:tcPr>
          <w:p>
            <w:pPr>
              <w:spacing w:after="0" w:line="180" w:lineRule="exact"/>
              <w:rPr>
                <w:sz w:val="20"/>
                <w:szCs w:val="20"/>
                <w:color w:val="auto"/>
              </w:rPr>
            </w:pPr>
            <w:r>
              <w:rPr>
                <w:rFonts w:ascii="Arial" w:cs="Arial" w:eastAsia="Arial" w:hAnsi="Arial"/>
                <w:sz w:val="16"/>
                <w:szCs w:val="16"/>
                <w:b w:val="1"/>
                <w:bCs w:val="1"/>
                <w:color w:val="auto"/>
              </w:rPr>
              <w:t>Adjusted free cash flow (Non-GAAP)</w:t>
            </w:r>
          </w:p>
        </w:tc>
        <w:tc>
          <w:tcPr>
            <w:tcW w:w="86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84"/>
              <w:spacing w:after="0" w:line="180" w:lineRule="exact"/>
              <w:rPr>
                <w:sz w:val="20"/>
                <w:szCs w:val="20"/>
                <w:color w:val="auto"/>
              </w:rPr>
            </w:pPr>
            <w:r>
              <w:rPr>
                <w:rFonts w:ascii="Arial" w:cs="Arial" w:eastAsia="Arial" w:hAnsi="Arial"/>
                <w:sz w:val="16"/>
                <w:szCs w:val="16"/>
                <w:b w:val="1"/>
                <w:bCs w:val="1"/>
                <w:color w:val="auto"/>
              </w:rPr>
              <w:t>165</w:t>
            </w:r>
          </w:p>
        </w:tc>
        <w:tc>
          <w:tcPr>
            <w:tcW w:w="120" w:type="dxa"/>
            <w:vAlign w:val="bottom"/>
          </w:tcPr>
          <w:p>
            <w:pPr>
              <w:spacing w:after="0"/>
              <w:rPr>
                <w:sz w:val="15"/>
                <w:szCs w:val="15"/>
                <w:color w:val="auto"/>
              </w:rPr>
            </w:pPr>
          </w:p>
        </w:tc>
        <w:tc>
          <w:tcPr>
            <w:tcW w:w="360" w:type="dxa"/>
            <w:vAlign w:val="bottom"/>
            <w:tcBorders>
              <w:bottom w:val="single" w:sz="8" w:color="auto"/>
            </w:tcBorders>
          </w:tcPr>
          <w:p>
            <w:pPr>
              <w:jc w:val="right"/>
              <w:ind w:right="182"/>
              <w:spacing w:after="0" w:line="180"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03"/>
              <w:spacing w:after="0" w:line="180" w:lineRule="exact"/>
              <w:rPr>
                <w:sz w:val="20"/>
                <w:szCs w:val="20"/>
                <w:color w:val="auto"/>
              </w:rPr>
            </w:pPr>
            <w:r>
              <w:rPr>
                <w:rFonts w:ascii="Arial" w:cs="Arial" w:eastAsia="Arial" w:hAnsi="Arial"/>
                <w:sz w:val="16"/>
                <w:szCs w:val="16"/>
                <w:color w:val="auto"/>
              </w:rPr>
              <w:t>216</w:t>
            </w:r>
          </w:p>
        </w:tc>
        <w:tc>
          <w:tcPr>
            <w:tcW w:w="12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auto"/>
            </w:tcBorders>
          </w:tcPr>
          <w:p>
            <w:pPr>
              <w:jc w:val="right"/>
              <w:ind w:right="84"/>
              <w:spacing w:after="0" w:line="180" w:lineRule="exact"/>
              <w:rPr>
                <w:sz w:val="20"/>
                <w:szCs w:val="20"/>
                <w:color w:val="auto"/>
              </w:rPr>
            </w:pPr>
            <w:r>
              <w:rPr>
                <w:rFonts w:ascii="Arial" w:cs="Arial" w:eastAsia="Arial" w:hAnsi="Arial"/>
                <w:sz w:val="16"/>
                <w:szCs w:val="16"/>
                <w:b w:val="1"/>
                <w:bCs w:val="1"/>
                <w:color w:val="auto"/>
              </w:rPr>
              <w:t>554</w:t>
            </w:r>
          </w:p>
        </w:tc>
        <w:tc>
          <w:tcPr>
            <w:tcW w:w="140" w:type="dxa"/>
            <w:vAlign w:val="bottom"/>
          </w:tcPr>
          <w:p>
            <w:pPr>
              <w:spacing w:after="0"/>
              <w:rPr>
                <w:sz w:val="15"/>
                <w:szCs w:val="15"/>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03"/>
              <w:spacing w:after="0" w:line="180" w:lineRule="exact"/>
              <w:rPr>
                <w:sz w:val="20"/>
                <w:szCs w:val="20"/>
                <w:color w:val="auto"/>
              </w:rPr>
            </w:pPr>
            <w:r>
              <w:rPr>
                <w:rFonts w:ascii="Arial" w:cs="Arial" w:eastAsia="Arial" w:hAnsi="Arial"/>
                <w:sz w:val="16"/>
                <w:szCs w:val="16"/>
                <w:color w:val="auto"/>
              </w:rPr>
              <w:t>553</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660" w:right="860" w:hanging="396"/>
        <w:spacing w:after="0" w:line="229"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stock-based compensation expense (recorded in Cost of sales, Selling, general and administrative, and Engineering - research and development).</w:t>
      </w:r>
    </w:p>
    <w:p>
      <w:pPr>
        <w:ind w:left="660" w:right="300" w:hanging="396"/>
        <w:spacing w:after="0" w:line="23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 charge (recorded in Cost of sales) related to a retirement incentive program for certain employees represented by the International Union, United Automobile, Aerospace and Agricultural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Implement Workers of America ("UAW") pursuant to the UAW Local 933 collective bargaining agreement effective through November 2023.</w:t>
      </w:r>
    </w:p>
    <w:p>
      <w:pPr>
        <w:ind w:left="660" w:hanging="396"/>
        <w:spacing w:after="0" w:line="229"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expenses (recorded in Other income, net) related to the refinancing of the prior term loan due 2022 and prior revolving credit facility due 2021 (together, the "Prior Senior Secured Credit Facility") in the first quarter of 2019.</w:t>
      </w:r>
    </w:p>
    <w:p>
      <w:pPr>
        <w:ind w:left="660" w:hanging="39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losses (recorded in Other income, net) on intercompany financing transactions related to investments in plant assets for our India facility.</w:t>
      </w: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260"/>
          </w:cols>
          <w:pgMar w:left="240" w:top="140" w:right="39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8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three months ended September 30, 2019 and 2018</w:t>
      </w:r>
    </w:p>
    <w:p>
      <w:pPr>
        <w:spacing w:after="0" w:line="104" w:lineRule="exact"/>
        <w:rPr>
          <w:sz w:val="20"/>
          <w:szCs w:val="20"/>
          <w:color w:val="auto"/>
        </w:rPr>
      </w:pPr>
    </w:p>
    <w:p>
      <w:pPr>
        <w:ind w:right="280" w:firstLine="537"/>
        <w:spacing w:after="0" w:line="234" w:lineRule="auto"/>
        <w:rPr>
          <w:sz w:val="20"/>
          <w:szCs w:val="20"/>
          <w:color w:val="auto"/>
        </w:rPr>
      </w:pPr>
      <w:r>
        <w:rPr>
          <w:rFonts w:ascii="Arial" w:cs="Arial" w:eastAsia="Arial" w:hAnsi="Arial"/>
          <w:sz w:val="16"/>
          <w:szCs w:val="16"/>
          <w:color w:val="auto"/>
        </w:rPr>
        <w:t>The following table sets forth certain financial information for the three months ended September 30, 2019 and 2018. The following table and discussion should be read in conjunction with the information contained in our condensed consolidated financial statements and the notes thereto included in Part I, Item 1 of this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rPr>
              <w:t>Three months ended September 30,</w:t>
            </w:r>
          </w:p>
        </w:tc>
        <w:tc>
          <w:tcPr>
            <w:tcW w:w="1320" w:type="dxa"/>
            <w:vAlign w:val="bottom"/>
            <w:tcBorders>
              <w:bottom w:val="single" w:sz="8" w:color="auto"/>
            </w:tcBorders>
          </w:tcPr>
          <w:p>
            <w:pPr>
              <w:spacing w:after="0"/>
              <w:rPr>
                <w:sz w:val="13"/>
                <w:szCs w:val="13"/>
                <w:color w:val="auto"/>
              </w:rPr>
            </w:pPr>
          </w:p>
        </w:tc>
      </w:tr>
      <w:tr>
        <w:trPr>
          <w:trHeight w:val="132"/>
        </w:trPr>
        <w:tc>
          <w:tcPr>
            <w:tcW w:w="4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52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of net sales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of net sales</w:t>
            </w:r>
          </w:p>
        </w:tc>
      </w:tr>
      <w:tr>
        <w:trPr>
          <w:trHeight w:val="179"/>
        </w:trPr>
        <w:tc>
          <w:tcPr>
            <w:tcW w:w="45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669</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38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692</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321</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324</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47</w:t>
            </w:r>
          </w:p>
        </w:tc>
      </w:tr>
      <w:tr>
        <w:trPr>
          <w:trHeight w:val="179"/>
        </w:trPr>
        <w:tc>
          <w:tcPr>
            <w:tcW w:w="45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348</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52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368</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color w:val="auto"/>
              </w:rPr>
              <w:t>53</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Operating expenses:</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85</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13</w:t>
            </w:r>
          </w:p>
        </w:tc>
      </w:tr>
      <w:tr>
        <w:trPr>
          <w:trHeight w:val="188"/>
        </w:trPr>
        <w:tc>
          <w:tcPr>
            <w:tcW w:w="45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39</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5</w:t>
            </w:r>
          </w:p>
        </w:tc>
      </w:tr>
      <w:tr>
        <w:trPr>
          <w:trHeight w:val="179"/>
        </w:trPr>
        <w:tc>
          <w:tcPr>
            <w:tcW w:w="452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8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124</w:t>
            </w:r>
          </w:p>
        </w:tc>
        <w:tc>
          <w:tcPr>
            <w:tcW w:w="14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19</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122</w:t>
            </w:r>
          </w:p>
        </w:tc>
        <w:tc>
          <w:tcPr>
            <w:tcW w:w="120" w:type="dxa"/>
            <w:vAlign w:val="bottom"/>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84"/>
              <w:spacing w:after="0" w:line="180" w:lineRule="exact"/>
              <w:rPr>
                <w:sz w:val="20"/>
                <w:szCs w:val="20"/>
                <w:color w:val="auto"/>
              </w:rPr>
            </w:pPr>
            <w:r>
              <w:rPr>
                <w:rFonts w:ascii="Arial" w:cs="Arial" w:eastAsia="Arial" w:hAnsi="Arial"/>
                <w:sz w:val="16"/>
                <w:szCs w:val="16"/>
                <w:color w:val="auto"/>
              </w:rPr>
              <w:t>18</w:t>
            </w:r>
          </w:p>
        </w:tc>
      </w:tr>
      <w:tr>
        <w:trPr>
          <w:trHeight w:val="179"/>
        </w:trPr>
        <w:tc>
          <w:tcPr>
            <w:tcW w:w="452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224</w:t>
            </w:r>
          </w:p>
        </w:tc>
        <w:tc>
          <w:tcPr>
            <w:tcW w:w="14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33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3"/>
              <w:spacing w:after="0" w:line="180" w:lineRule="exact"/>
              <w:rPr>
                <w:sz w:val="20"/>
                <w:szCs w:val="20"/>
                <w:color w:val="auto"/>
              </w:rPr>
            </w:pPr>
            <w:r>
              <w:rPr>
                <w:rFonts w:ascii="Arial" w:cs="Arial" w:eastAsia="Arial" w:hAnsi="Arial"/>
                <w:sz w:val="16"/>
                <w:szCs w:val="16"/>
                <w:color w:val="auto"/>
              </w:rPr>
              <w:t>246</w:t>
            </w:r>
          </w:p>
        </w:tc>
        <w:tc>
          <w:tcPr>
            <w:tcW w:w="120" w:type="dxa"/>
            <w:vAlign w:val="bottom"/>
          </w:tcPr>
          <w:p>
            <w:pPr>
              <w:spacing w:after="0"/>
              <w:rPr>
                <w:sz w:val="15"/>
                <w:szCs w:val="15"/>
                <w:color w:val="auto"/>
              </w:rPr>
            </w:pPr>
          </w:p>
        </w:tc>
        <w:tc>
          <w:tcPr>
            <w:tcW w:w="1320" w:type="dxa"/>
            <w:vAlign w:val="bottom"/>
          </w:tcPr>
          <w:p>
            <w:pPr>
              <w:jc w:val="right"/>
              <w:ind w:right="84"/>
              <w:spacing w:after="0" w:line="180" w:lineRule="exact"/>
              <w:rPr>
                <w:sz w:val="20"/>
                <w:szCs w:val="20"/>
                <w:color w:val="auto"/>
              </w:rPr>
            </w:pPr>
            <w:r>
              <w:rPr>
                <w:rFonts w:ascii="Arial" w:cs="Arial" w:eastAsia="Arial" w:hAnsi="Arial"/>
                <w:sz w:val="16"/>
                <w:szCs w:val="16"/>
                <w:color w:val="auto"/>
              </w:rPr>
              <w:t>35</w:t>
            </w:r>
          </w:p>
        </w:tc>
      </w:tr>
      <w:tr>
        <w:trPr>
          <w:trHeight w:val="188"/>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(4)</w:t>
            </w:r>
          </w:p>
        </w:tc>
      </w:tr>
      <w:tr>
        <w:trPr>
          <w:trHeight w:val="188"/>
        </w:trPr>
        <w:tc>
          <w:tcPr>
            <w:tcW w:w="4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net</w:t>
            </w:r>
          </w:p>
        </w:tc>
        <w:tc>
          <w:tcPr>
            <w:tcW w:w="13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w:t>
            </w:r>
          </w:p>
        </w:tc>
      </w:tr>
      <w:tr>
        <w:trPr>
          <w:trHeight w:val="179"/>
        </w:trPr>
        <w:tc>
          <w:tcPr>
            <w:tcW w:w="45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194</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29</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218</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color w:val="auto"/>
              </w:rPr>
              <w:t>31</w:t>
            </w:r>
          </w:p>
        </w:tc>
      </w:tr>
      <w:tr>
        <w:trPr>
          <w:trHeight w:val="188"/>
        </w:trPr>
        <w:tc>
          <w:tcPr>
            <w:tcW w:w="4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w:t>
            </w:r>
          </w:p>
        </w:tc>
      </w:tr>
      <w:tr>
        <w:trPr>
          <w:trHeight w:val="179"/>
        </w:trPr>
        <w:tc>
          <w:tcPr>
            <w:tcW w:w="45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149</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22%</w:t>
            </w:r>
          </w:p>
        </w:tc>
        <w:tc>
          <w:tcPr>
            <w:tcW w:w="38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167</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24%</w:t>
            </w: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right="160" w:firstLine="537"/>
        <w:spacing w:after="0" w:line="231" w:lineRule="auto"/>
        <w:rPr>
          <w:sz w:val="20"/>
          <w:szCs w:val="20"/>
          <w:color w:val="auto"/>
        </w:rPr>
      </w:pPr>
      <w:r>
        <w:rPr>
          <w:rFonts w:ascii="Arial" w:cs="Arial" w:eastAsia="Arial" w:hAnsi="Arial"/>
          <w:sz w:val="16"/>
          <w:szCs w:val="16"/>
          <w:color w:val="auto"/>
        </w:rPr>
        <w:t>Net sales for the quarter ended September 30, 2019 were $669 million compared to $692 million for the quarter ended September 30, 2018, a decrease of 3%. The decrease was principally driven by a $33 million, or 20%, decrease in net sales in the Service Parts, Support Equipment and Other end market principally driven by lower demand for North America service parts, a $ 22 million, or 48%, decrease in net sales in the Outside North America Off-Highway end market principally driven by lower demand in the mining and energy sectors, a $ 6 million, or 50%, decrease in net sales in the North America Off-Highway end market principally driven by lower demand from hydraulic fracturing applications and a $2 million, or 5%, decrease in net sales in the Defense end market principally driven by lower Wheeled vehicle demand, partially offset by a $37 million, or 11%, increase in net sales in the North America On-Highway end market principally driven by higher demand for Rugged Duty Series and Highway Series models, led by the continued execution of our growth initiatives and market share gains in Class 4/5 truck, and a $3 million, or 3%, increase in net sales in the Outside North America On-Highway end market principally driven by higher demand in Europe and South America, partially offset by lower demand in Asia.</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60" w:firstLine="537"/>
        <w:spacing w:after="0" w:line="234" w:lineRule="auto"/>
        <w:rPr>
          <w:sz w:val="20"/>
          <w:szCs w:val="20"/>
          <w:color w:val="auto"/>
        </w:rPr>
      </w:pPr>
      <w:r>
        <w:rPr>
          <w:rFonts w:ascii="Arial" w:cs="Arial" w:eastAsia="Arial" w:hAnsi="Arial"/>
          <w:sz w:val="16"/>
          <w:szCs w:val="16"/>
          <w:color w:val="auto"/>
        </w:rPr>
        <w:t>Cost of sales for the quarter ended September 30, 2019 was $321 million compared to $324 million for the quarter ended September 30, 2018, a decrease of 1%. The decrease was principally driven by decreased direct material expense commensurate with decreased net sales, partially offset by higher manufacturing expenses commensurate with increased on-highway volume.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ind w:right="100" w:firstLine="537"/>
        <w:spacing w:after="0" w:line="250" w:lineRule="auto"/>
        <w:rPr>
          <w:sz w:val="20"/>
          <w:szCs w:val="20"/>
          <w:color w:val="auto"/>
        </w:rPr>
      </w:pPr>
      <w:r>
        <w:rPr>
          <w:rFonts w:ascii="Arial" w:cs="Arial" w:eastAsia="Arial" w:hAnsi="Arial"/>
          <w:sz w:val="15"/>
          <w:szCs w:val="15"/>
          <w:color w:val="auto"/>
        </w:rPr>
        <w:t>Gross profit for the quarter ended September 30, 2019 was $348 million compared to $368 million for the quarter ended September 30, 2018, a decrease of 5%. The decrease was principally driven by $ 20 million related to decreased net sales and $8 million of higher manufacturing expenses commensurate with increased on-highway volume, partially offset by $5 million of price increases on certain products and $3 million of lower material costs. Gross profit as a percent of net sales for the three months ended September 30, 2019 decreased 120 basis points compared to the same period in 2018 principally driven by decreased net sales and higher manufacturing expenses, partially offset by price increases on certain products and favorable material costs.</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120" w:firstLine="537"/>
        <w:spacing w:after="0" w:line="234" w:lineRule="auto"/>
        <w:rPr>
          <w:sz w:val="20"/>
          <w:szCs w:val="20"/>
          <w:color w:val="auto"/>
        </w:rPr>
      </w:pPr>
      <w:r>
        <w:rPr>
          <w:rFonts w:ascii="Arial" w:cs="Arial" w:eastAsia="Arial" w:hAnsi="Arial"/>
          <w:sz w:val="16"/>
          <w:szCs w:val="16"/>
          <w:color w:val="auto"/>
        </w:rPr>
        <w:t>Selling, general and administrative expenses for the quarter ended September 30, 2019 were $85 million compared to $89 million for the quarter ended September 30, 2018, a decrease of 4%. The decrease was principally driven by $4 million of lower 2019 product warranty expense and $3 million of favorable 2019 product warranty adjustments, partially offset by increased commercial activities spending.</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260" w:firstLine="537"/>
        <w:spacing w:after="0" w:line="237" w:lineRule="auto"/>
        <w:rPr>
          <w:sz w:val="20"/>
          <w:szCs w:val="20"/>
          <w:color w:val="auto"/>
        </w:rPr>
      </w:pPr>
      <w:r>
        <w:rPr>
          <w:rFonts w:ascii="Arial" w:cs="Arial" w:eastAsia="Arial" w:hAnsi="Arial"/>
          <w:sz w:val="16"/>
          <w:szCs w:val="16"/>
          <w:color w:val="auto"/>
        </w:rPr>
        <w:t>Engineering expenses for the quarter ended September 30, 2019 were $39 million compared to $33 million for the quarter ended September 30, 2018, an increase of 18%. The increase was principally driven by increased product initiatives spending.</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ind w:firstLine="537"/>
        <w:spacing w:after="0" w:line="232" w:lineRule="auto"/>
        <w:rPr>
          <w:sz w:val="20"/>
          <w:szCs w:val="20"/>
          <w:color w:val="auto"/>
        </w:rPr>
      </w:pPr>
      <w:r>
        <w:rPr>
          <w:rFonts w:ascii="Arial" w:cs="Arial" w:eastAsia="Arial" w:hAnsi="Arial"/>
          <w:sz w:val="16"/>
          <w:szCs w:val="16"/>
          <w:color w:val="auto"/>
        </w:rPr>
        <w:t>Interest expense, net for the quarter ended September 30, 2019 was $32 million compared to $30 million for the quarter ended September 30, 2018, an increase of 7%. The increase was principally driven by higher interest rates related to long-term debt refinancing that extended maturities at fixed interest rates, including $7 million of interest expense on ATI's 5.875% Senior Notes due June 2029 (“5.875% Senior Notes”) issued in the first quarter of 2019, partially offset by $4 million of lower interest expense on ATI’s New Term Loan due primarily to the repayment of $500 million of principal in the first quarter of 2019 in connection with entering into the New Senior Secured Credit Facility.</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Other income, net for the quarter ended both September 30, 2019 and September 30, 2018 was $2 million.</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ind w:right="20" w:firstLine="537"/>
        <w:spacing w:after="0" w:line="234" w:lineRule="auto"/>
        <w:rPr>
          <w:sz w:val="20"/>
          <w:szCs w:val="20"/>
          <w:color w:val="auto"/>
        </w:rPr>
      </w:pPr>
      <w:r>
        <w:rPr>
          <w:rFonts w:ascii="Arial" w:cs="Arial" w:eastAsia="Arial" w:hAnsi="Arial"/>
          <w:sz w:val="16"/>
          <w:szCs w:val="16"/>
          <w:color w:val="auto"/>
        </w:rPr>
        <w:t>Income tax expense for the three months ended September 30, 2019 was $45 million, resulting in an effective tax rate of 23%, compared to $51 million of income tax expense and an effective tax rate of 23% for the three months ended September 30, 2018. The decrease in income tax expense was principally driven by decreased taxable income.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Comparison of nine months ended September 30, 2019 and 2018</w:t>
      </w:r>
    </w:p>
    <w:p>
      <w:pPr>
        <w:spacing w:after="0" w:line="104" w:lineRule="exact"/>
        <w:rPr>
          <w:sz w:val="20"/>
          <w:szCs w:val="20"/>
          <w:color w:val="auto"/>
        </w:rPr>
      </w:pPr>
    </w:p>
    <w:p>
      <w:pPr>
        <w:ind w:right="280" w:firstLine="537"/>
        <w:spacing w:after="0" w:line="234" w:lineRule="auto"/>
        <w:rPr>
          <w:sz w:val="20"/>
          <w:szCs w:val="20"/>
          <w:color w:val="auto"/>
        </w:rPr>
      </w:pPr>
      <w:r>
        <w:rPr>
          <w:rFonts w:ascii="Arial" w:cs="Arial" w:eastAsia="Arial" w:hAnsi="Arial"/>
          <w:sz w:val="16"/>
          <w:szCs w:val="16"/>
          <w:color w:val="auto"/>
        </w:rPr>
        <w:t>The following table sets forth certain financial information for the nine months ended September 30, 2019 and 2018. The following table and discussion should be read in conjunction with the information contained in our condensed consolidated financial statements and the notes thereto included in Part I, Item 1 of this Quarterly Report on Form 10-Q.</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20" w:type="dxa"/>
            <w:vAlign w:val="bottom"/>
            <w:tcBorders>
              <w:bottom w:val="single" w:sz="8" w:color="auto"/>
            </w:tcBorders>
            <w:gridSpan w:val="5"/>
          </w:tcPr>
          <w:p>
            <w:pPr>
              <w:ind w:left="260"/>
              <w:spacing w:after="0"/>
              <w:rPr>
                <w:sz w:val="20"/>
                <w:szCs w:val="20"/>
                <w:color w:val="auto"/>
              </w:rPr>
            </w:pPr>
            <w:r>
              <w:rPr>
                <w:rFonts w:ascii="Arial" w:cs="Arial" w:eastAsia="Arial" w:hAnsi="Arial"/>
                <w:sz w:val="13"/>
                <w:szCs w:val="13"/>
                <w:b w:val="1"/>
                <w:bCs w:val="1"/>
                <w:color w:val="auto"/>
              </w:rPr>
              <w:t>Nine months ended September 30,</w:t>
            </w:r>
          </w:p>
        </w:tc>
        <w:tc>
          <w:tcPr>
            <w:tcW w:w="1320" w:type="dxa"/>
            <w:vAlign w:val="bottom"/>
            <w:tcBorders>
              <w:bottom w:val="single" w:sz="8" w:color="auto"/>
            </w:tcBorders>
          </w:tcPr>
          <w:p>
            <w:pPr>
              <w:spacing w:after="0"/>
              <w:rPr>
                <w:sz w:val="13"/>
                <w:szCs w:val="13"/>
                <w:color w:val="auto"/>
              </w:rPr>
            </w:pPr>
          </w:p>
        </w:tc>
      </w:tr>
      <w:tr>
        <w:trPr>
          <w:trHeight w:val="132"/>
        </w:trPr>
        <w:tc>
          <w:tcPr>
            <w:tcW w:w="45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tcPr>
          <w:p>
            <w:pPr>
              <w:jc w:val="right"/>
              <w:ind w:right="605"/>
              <w:spacing w:after="0" w:line="133"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jc w:val="right"/>
              <w:ind w:right="604"/>
              <w:spacing w:after="0" w:line="133" w:lineRule="exact"/>
              <w:rPr>
                <w:sz w:val="20"/>
                <w:szCs w:val="20"/>
                <w:color w:val="auto"/>
              </w:rPr>
            </w:pPr>
            <w:r>
              <w:rPr>
                <w:rFonts w:ascii="Arial" w:cs="Arial" w:eastAsia="Arial" w:hAnsi="Arial"/>
                <w:sz w:val="13"/>
                <w:szCs w:val="13"/>
                <w:b w:val="1"/>
                <w:bCs w:val="1"/>
                <w:color w:val="auto"/>
              </w:rPr>
              <w:t>%</w:t>
            </w:r>
          </w:p>
        </w:tc>
      </w:tr>
      <w:tr>
        <w:trPr>
          <w:trHeight w:val="153"/>
        </w:trPr>
        <w:tc>
          <w:tcPr>
            <w:tcW w:w="452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i w:val="1"/>
                <w:iCs w:val="1"/>
                <w:color w:val="auto"/>
              </w:rPr>
              <w:t>(unaudited, dollars in millions)</w:t>
            </w:r>
          </w:p>
        </w:tc>
        <w:tc>
          <w:tcPr>
            <w:tcW w:w="138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jc w:val="right"/>
              <w:ind w:right="325"/>
              <w:spacing w:after="0"/>
              <w:rPr>
                <w:sz w:val="20"/>
                <w:szCs w:val="20"/>
                <w:color w:val="auto"/>
              </w:rPr>
            </w:pPr>
            <w:r>
              <w:rPr>
                <w:rFonts w:ascii="Arial" w:cs="Arial" w:eastAsia="Arial" w:hAnsi="Arial"/>
                <w:sz w:val="13"/>
                <w:szCs w:val="13"/>
                <w:b w:val="1"/>
                <w:bCs w:val="1"/>
                <w:color w:val="auto"/>
              </w:rPr>
              <w:t>of net sales</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83"/>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of net sales</w:t>
            </w:r>
          </w:p>
        </w:tc>
      </w:tr>
      <w:tr>
        <w:trPr>
          <w:trHeight w:val="179"/>
        </w:trPr>
        <w:tc>
          <w:tcPr>
            <w:tcW w:w="45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sales</w:t>
            </w: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2,081</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100%</w:t>
            </w:r>
          </w:p>
        </w:tc>
        <w:tc>
          <w:tcPr>
            <w:tcW w:w="38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2,066</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100%</w:t>
            </w:r>
          </w:p>
        </w:tc>
      </w:tr>
      <w:tr>
        <w:trPr>
          <w:trHeight w:val="188"/>
        </w:trPr>
        <w:tc>
          <w:tcPr>
            <w:tcW w:w="4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sales</w:t>
            </w:r>
          </w:p>
        </w:tc>
        <w:tc>
          <w:tcPr>
            <w:tcW w:w="13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985</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47</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48</w:t>
            </w:r>
          </w:p>
        </w:tc>
      </w:tr>
      <w:tr>
        <w:trPr>
          <w:trHeight w:val="179"/>
        </w:trPr>
        <w:tc>
          <w:tcPr>
            <w:tcW w:w="45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Gross profit</w:t>
            </w: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1,096</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53</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1,084</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color w:val="auto"/>
              </w:rPr>
              <w:t>52</w:t>
            </w:r>
          </w:p>
        </w:tc>
      </w:tr>
      <w:tr>
        <w:trPr>
          <w:trHeight w:val="188"/>
        </w:trPr>
        <w:tc>
          <w:tcPr>
            <w:tcW w:w="4520" w:type="dxa"/>
            <w:vAlign w:val="bottom"/>
          </w:tcPr>
          <w:p>
            <w:pPr>
              <w:spacing w:after="0"/>
              <w:rPr>
                <w:sz w:val="20"/>
                <w:szCs w:val="20"/>
                <w:color w:val="auto"/>
              </w:rPr>
            </w:pPr>
            <w:r>
              <w:rPr>
                <w:rFonts w:ascii="Arial" w:cs="Arial" w:eastAsia="Arial" w:hAnsi="Arial"/>
                <w:sz w:val="16"/>
                <w:szCs w:val="16"/>
                <w:color w:val="auto"/>
              </w:rPr>
              <w:t>Operating expenses:</w:t>
            </w: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8"/>
        </w:trPr>
        <w:tc>
          <w:tcPr>
            <w:tcW w:w="45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Selling, general and administrative</w:t>
            </w: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b w:val="1"/>
                <w:bCs w:val="1"/>
                <w:color w:val="auto"/>
              </w:rPr>
              <w:t>262</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85"/>
              <w:spacing w:after="0"/>
              <w:rPr>
                <w:sz w:val="20"/>
                <w:szCs w:val="20"/>
                <w:color w:val="auto"/>
              </w:rPr>
            </w:pPr>
            <w:r>
              <w:rPr>
                <w:rFonts w:ascii="Arial" w:cs="Arial" w:eastAsia="Arial" w:hAnsi="Arial"/>
                <w:sz w:val="16"/>
                <w:szCs w:val="16"/>
                <w:b w:val="1"/>
                <w:bCs w:val="1"/>
                <w:color w:val="auto"/>
              </w:rPr>
              <w:t>13</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274</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84"/>
              <w:spacing w:after="0"/>
              <w:rPr>
                <w:sz w:val="20"/>
                <w:szCs w:val="20"/>
                <w:color w:val="auto"/>
              </w:rPr>
            </w:pPr>
            <w:r>
              <w:rPr>
                <w:rFonts w:ascii="Arial" w:cs="Arial" w:eastAsia="Arial" w:hAnsi="Arial"/>
                <w:sz w:val="16"/>
                <w:szCs w:val="16"/>
                <w:color w:val="auto"/>
              </w:rPr>
              <w:t>13</w:t>
            </w:r>
          </w:p>
        </w:tc>
      </w:tr>
      <w:tr>
        <w:trPr>
          <w:trHeight w:val="188"/>
        </w:trPr>
        <w:tc>
          <w:tcPr>
            <w:tcW w:w="452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Engineering — research and development</w:t>
            </w:r>
          </w:p>
        </w:tc>
        <w:tc>
          <w:tcPr>
            <w:tcW w:w="13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107</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94</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84"/>
              <w:spacing w:after="0"/>
              <w:rPr>
                <w:sz w:val="20"/>
                <w:szCs w:val="20"/>
                <w:color w:val="auto"/>
              </w:rPr>
            </w:pPr>
            <w:r>
              <w:rPr>
                <w:rFonts w:ascii="Arial" w:cs="Arial" w:eastAsia="Arial" w:hAnsi="Arial"/>
                <w:sz w:val="16"/>
                <w:szCs w:val="16"/>
                <w:color w:val="auto"/>
              </w:rPr>
              <w:t>4</w:t>
            </w:r>
          </w:p>
        </w:tc>
      </w:tr>
      <w:tr>
        <w:trPr>
          <w:trHeight w:val="179"/>
        </w:trPr>
        <w:tc>
          <w:tcPr>
            <w:tcW w:w="4520" w:type="dxa"/>
            <w:vAlign w:val="bottom"/>
            <w:shd w:val="clear" w:color="auto" w:fill="CFF0FC"/>
          </w:tcPr>
          <w:p>
            <w:pPr>
              <w:ind w:left="420"/>
              <w:spacing w:after="0" w:line="180" w:lineRule="exact"/>
              <w:rPr>
                <w:sz w:val="20"/>
                <w:szCs w:val="20"/>
                <w:color w:val="auto"/>
              </w:rPr>
            </w:pPr>
            <w:r>
              <w:rPr>
                <w:rFonts w:ascii="Arial" w:cs="Arial" w:eastAsia="Arial" w:hAnsi="Arial"/>
                <w:sz w:val="16"/>
                <w:szCs w:val="16"/>
                <w:color w:val="auto"/>
              </w:rPr>
              <w:t>Total operating expenses</w:t>
            </w:r>
          </w:p>
        </w:tc>
        <w:tc>
          <w:tcPr>
            <w:tcW w:w="138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369</w:t>
            </w:r>
          </w:p>
        </w:tc>
        <w:tc>
          <w:tcPr>
            <w:tcW w:w="140" w:type="dxa"/>
            <w:vAlign w:val="bottom"/>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368</w:t>
            </w:r>
          </w:p>
        </w:tc>
        <w:tc>
          <w:tcPr>
            <w:tcW w:w="120" w:type="dxa"/>
            <w:vAlign w:val="bottom"/>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84"/>
              <w:spacing w:after="0" w:line="180" w:lineRule="exact"/>
              <w:rPr>
                <w:sz w:val="20"/>
                <w:szCs w:val="20"/>
                <w:color w:val="auto"/>
              </w:rPr>
            </w:pPr>
            <w:r>
              <w:rPr>
                <w:rFonts w:ascii="Arial" w:cs="Arial" w:eastAsia="Arial" w:hAnsi="Arial"/>
                <w:sz w:val="16"/>
                <w:szCs w:val="16"/>
                <w:color w:val="auto"/>
              </w:rPr>
              <w:t>17</w:t>
            </w:r>
          </w:p>
        </w:tc>
      </w:tr>
      <w:tr>
        <w:trPr>
          <w:trHeight w:val="179"/>
        </w:trPr>
        <w:tc>
          <w:tcPr>
            <w:tcW w:w="4520" w:type="dxa"/>
            <w:vAlign w:val="bottom"/>
          </w:tcPr>
          <w:p>
            <w:pPr>
              <w:spacing w:after="0" w:line="180" w:lineRule="exact"/>
              <w:rPr>
                <w:sz w:val="20"/>
                <w:szCs w:val="20"/>
                <w:color w:val="auto"/>
              </w:rPr>
            </w:pPr>
            <w:r>
              <w:rPr>
                <w:rFonts w:ascii="Arial" w:cs="Arial" w:eastAsia="Arial" w:hAnsi="Arial"/>
                <w:sz w:val="16"/>
                <w:szCs w:val="16"/>
                <w:color w:val="auto"/>
              </w:rPr>
              <w:t>Operating income</w:t>
            </w: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3"/>
              <w:spacing w:after="0" w:line="180" w:lineRule="exact"/>
              <w:rPr>
                <w:sz w:val="20"/>
                <w:szCs w:val="20"/>
                <w:color w:val="auto"/>
              </w:rPr>
            </w:pPr>
            <w:r>
              <w:rPr>
                <w:rFonts w:ascii="Arial" w:cs="Arial" w:eastAsia="Arial" w:hAnsi="Arial"/>
                <w:sz w:val="16"/>
                <w:szCs w:val="16"/>
                <w:b w:val="1"/>
                <w:bCs w:val="1"/>
                <w:color w:val="auto"/>
              </w:rPr>
              <w:t>727</w:t>
            </w:r>
          </w:p>
        </w:tc>
        <w:tc>
          <w:tcPr>
            <w:tcW w:w="140" w:type="dxa"/>
            <w:vAlign w:val="bottom"/>
          </w:tcPr>
          <w:p>
            <w:pPr>
              <w:spacing w:after="0"/>
              <w:rPr>
                <w:sz w:val="15"/>
                <w:szCs w:val="15"/>
                <w:color w:val="auto"/>
              </w:rPr>
            </w:pPr>
          </w:p>
        </w:tc>
        <w:tc>
          <w:tcPr>
            <w:tcW w:w="1300" w:type="dxa"/>
            <w:vAlign w:val="bottom"/>
          </w:tcPr>
          <w:p>
            <w:pPr>
              <w:jc w:val="right"/>
              <w:ind w:right="85"/>
              <w:spacing w:after="0" w:line="180" w:lineRule="exact"/>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43"/>
              <w:spacing w:after="0" w:line="180" w:lineRule="exact"/>
              <w:rPr>
                <w:sz w:val="20"/>
                <w:szCs w:val="20"/>
                <w:color w:val="auto"/>
              </w:rPr>
            </w:pPr>
            <w:r>
              <w:rPr>
                <w:rFonts w:ascii="Arial" w:cs="Arial" w:eastAsia="Arial" w:hAnsi="Arial"/>
                <w:sz w:val="16"/>
                <w:szCs w:val="16"/>
                <w:color w:val="auto"/>
              </w:rPr>
              <w:t>716</w:t>
            </w:r>
          </w:p>
        </w:tc>
        <w:tc>
          <w:tcPr>
            <w:tcW w:w="120" w:type="dxa"/>
            <w:vAlign w:val="bottom"/>
          </w:tcPr>
          <w:p>
            <w:pPr>
              <w:spacing w:after="0"/>
              <w:rPr>
                <w:sz w:val="15"/>
                <w:szCs w:val="15"/>
                <w:color w:val="auto"/>
              </w:rPr>
            </w:pPr>
          </w:p>
        </w:tc>
        <w:tc>
          <w:tcPr>
            <w:tcW w:w="1320" w:type="dxa"/>
            <w:vAlign w:val="bottom"/>
          </w:tcPr>
          <w:p>
            <w:pPr>
              <w:jc w:val="right"/>
              <w:ind w:right="84"/>
              <w:spacing w:after="0" w:line="180" w:lineRule="exact"/>
              <w:rPr>
                <w:sz w:val="20"/>
                <w:szCs w:val="20"/>
                <w:color w:val="auto"/>
              </w:rPr>
            </w:pPr>
            <w:r>
              <w:rPr>
                <w:rFonts w:ascii="Arial" w:cs="Arial" w:eastAsia="Arial" w:hAnsi="Arial"/>
                <w:sz w:val="16"/>
                <w:szCs w:val="16"/>
                <w:color w:val="auto"/>
              </w:rPr>
              <w:t>35</w:t>
            </w:r>
          </w:p>
        </w:tc>
      </w:tr>
      <w:tr>
        <w:trPr>
          <w:trHeight w:val="188"/>
        </w:trPr>
        <w:tc>
          <w:tcPr>
            <w:tcW w:w="452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13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(101)</w:t>
            </w:r>
          </w:p>
        </w:tc>
        <w:tc>
          <w:tcPr>
            <w:tcW w:w="140" w:type="dxa"/>
            <w:vAlign w:val="bottom"/>
            <w:shd w:val="clear" w:color="auto" w:fill="CFF0FC"/>
          </w:tcPr>
          <w:p>
            <w:pPr>
              <w:spacing w:after="0"/>
              <w:rPr>
                <w:sz w:val="16"/>
                <w:szCs w:val="16"/>
                <w:color w:val="auto"/>
              </w:rPr>
            </w:pPr>
          </w:p>
        </w:tc>
        <w:tc>
          <w:tcPr>
            <w:tcW w:w="1300" w:type="dxa"/>
            <w:vAlign w:val="bottom"/>
            <w:shd w:val="clear" w:color="auto" w:fill="CFF0FC"/>
          </w:tcPr>
          <w:p>
            <w:pPr>
              <w:jc w:val="right"/>
              <w:ind w:right="25"/>
              <w:spacing w:after="0"/>
              <w:rPr>
                <w:sz w:val="20"/>
                <w:szCs w:val="20"/>
                <w:color w:val="auto"/>
              </w:rPr>
            </w:pPr>
            <w:r>
              <w:rPr>
                <w:rFonts w:ascii="Arial" w:cs="Arial" w:eastAsia="Arial" w:hAnsi="Arial"/>
                <w:sz w:val="16"/>
                <w:szCs w:val="16"/>
                <w:b w:val="1"/>
                <w:bCs w:val="1"/>
                <w:color w:val="auto"/>
              </w:rPr>
              <w:t>(5)</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(4)</w:t>
            </w:r>
          </w:p>
        </w:tc>
      </w:tr>
      <w:tr>
        <w:trPr>
          <w:trHeight w:val="188"/>
        </w:trPr>
        <w:tc>
          <w:tcPr>
            <w:tcW w:w="4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net</w:t>
            </w:r>
          </w:p>
        </w:tc>
        <w:tc>
          <w:tcPr>
            <w:tcW w:w="13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8</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104"/>
              <w:spacing w:after="0"/>
              <w:rPr>
                <w:sz w:val="20"/>
                <w:szCs w:val="20"/>
                <w:color w:val="auto"/>
              </w:rPr>
            </w:pPr>
            <w:r>
              <w:rPr>
                <w:rFonts w:ascii="Arial" w:cs="Arial" w:eastAsia="Arial" w:hAnsi="Arial"/>
                <w:sz w:val="16"/>
                <w:szCs w:val="16"/>
                <w:color w:val="auto"/>
              </w:rPr>
              <w:t>—</w:t>
            </w:r>
          </w:p>
        </w:tc>
      </w:tr>
      <w:tr>
        <w:trPr>
          <w:trHeight w:val="179"/>
        </w:trPr>
        <w:tc>
          <w:tcPr>
            <w:tcW w:w="45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Income before income taxes</w:t>
            </w: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634</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ind w:right="85"/>
              <w:spacing w:after="0" w:line="180" w:lineRule="exact"/>
              <w:rPr>
                <w:sz w:val="20"/>
                <w:szCs w:val="20"/>
                <w:color w:val="auto"/>
              </w:rPr>
            </w:pPr>
            <w:r>
              <w:rPr>
                <w:rFonts w:ascii="Arial" w:cs="Arial" w:eastAsia="Arial" w:hAnsi="Arial"/>
                <w:sz w:val="16"/>
                <w:szCs w:val="16"/>
                <w:b w:val="1"/>
                <w:bCs w:val="1"/>
                <w:color w:val="auto"/>
              </w:rPr>
              <w:t>30</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631</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84"/>
              <w:spacing w:after="0" w:line="180" w:lineRule="exact"/>
              <w:rPr>
                <w:sz w:val="20"/>
                <w:szCs w:val="20"/>
                <w:color w:val="auto"/>
              </w:rPr>
            </w:pPr>
            <w:r>
              <w:rPr>
                <w:rFonts w:ascii="Arial" w:cs="Arial" w:eastAsia="Arial" w:hAnsi="Arial"/>
                <w:sz w:val="16"/>
                <w:szCs w:val="16"/>
                <w:color w:val="auto"/>
              </w:rPr>
              <w:t>31</w:t>
            </w:r>
          </w:p>
        </w:tc>
      </w:tr>
      <w:tr>
        <w:trPr>
          <w:trHeight w:val="188"/>
        </w:trPr>
        <w:tc>
          <w:tcPr>
            <w:tcW w:w="45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38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(137)</w:t>
            </w:r>
          </w:p>
        </w:tc>
        <w:tc>
          <w:tcPr>
            <w:tcW w:w="140" w:type="dxa"/>
            <w:vAlign w:val="bottom"/>
            <w:tcBorders>
              <w:bottom w:val="single" w:sz="8" w:color="CFF0FC"/>
            </w:tcBorders>
          </w:tcPr>
          <w:p>
            <w:pPr>
              <w:spacing w:after="0"/>
              <w:rPr>
                <w:sz w:val="16"/>
                <w:szCs w:val="16"/>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FF0FC"/>
            </w:tcBorders>
          </w:tcPr>
          <w:p>
            <w:pPr>
              <w:spacing w:after="0"/>
              <w:rPr>
                <w:sz w:val="16"/>
                <w:szCs w:val="16"/>
                <w:color w:val="auto"/>
              </w:rPr>
            </w:pPr>
          </w:p>
        </w:tc>
        <w:tc>
          <w:tcPr>
            <w:tcW w:w="13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(7)</w:t>
            </w:r>
          </w:p>
        </w:tc>
      </w:tr>
      <w:tr>
        <w:trPr>
          <w:trHeight w:val="179"/>
        </w:trPr>
        <w:tc>
          <w:tcPr>
            <w:tcW w:w="45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Net income</w:t>
            </w: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2"/>
              <w:spacing w:after="0" w:line="180" w:lineRule="exact"/>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b w:val="1"/>
                <w:bCs w:val="1"/>
                <w:color w:val="auto"/>
              </w:rPr>
              <w:t>497</w:t>
            </w:r>
          </w:p>
        </w:tc>
        <w:tc>
          <w:tcPr>
            <w:tcW w:w="14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b w:val="1"/>
                <w:bCs w:val="1"/>
                <w:color w:val="auto"/>
              </w:rPr>
              <w:t>24%</w:t>
            </w:r>
          </w:p>
        </w:tc>
        <w:tc>
          <w:tcPr>
            <w:tcW w:w="380" w:type="dxa"/>
            <w:vAlign w:val="bottom"/>
            <w:gridSpan w:val="2"/>
            <w:shd w:val="clear" w:color="auto" w:fill="CFF0FC"/>
          </w:tcPr>
          <w:p>
            <w:pPr>
              <w:jc w:val="right"/>
              <w:ind w:right="160"/>
              <w:spacing w:after="0" w:line="180"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43"/>
              <w:spacing w:after="0" w:line="180" w:lineRule="exact"/>
              <w:rPr>
                <w:sz w:val="20"/>
                <w:szCs w:val="20"/>
                <w:color w:val="auto"/>
              </w:rPr>
            </w:pPr>
            <w:r>
              <w:rPr>
                <w:rFonts w:ascii="Arial" w:cs="Arial" w:eastAsia="Arial" w:hAnsi="Arial"/>
                <w:sz w:val="16"/>
                <w:szCs w:val="16"/>
                <w:color w:val="auto"/>
              </w:rPr>
              <w:t>492</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line="180" w:lineRule="exact"/>
              <w:rPr>
                <w:sz w:val="20"/>
                <w:szCs w:val="20"/>
                <w:color w:val="auto"/>
              </w:rPr>
            </w:pPr>
            <w:r>
              <w:rPr>
                <w:rFonts w:ascii="Arial" w:cs="Arial" w:eastAsia="Arial" w:hAnsi="Arial"/>
                <w:sz w:val="16"/>
                <w:szCs w:val="16"/>
                <w:color w:val="auto"/>
              </w:rPr>
              <w:t>24%</w:t>
            </w:r>
          </w:p>
        </w:tc>
      </w:tr>
      <w:tr>
        <w:trPr>
          <w:trHeight w:val="20"/>
        </w:trPr>
        <w:tc>
          <w:tcPr>
            <w:tcW w:w="4520" w:type="dxa"/>
            <w:vAlign w:val="bottom"/>
            <w:tcBorders>
              <w:top w:val="single" w:sz="8" w:color="CFF0FC"/>
            </w:tcBorders>
          </w:tcPr>
          <w:p>
            <w:pPr>
              <w:spacing w:after="0" w:line="20" w:lineRule="exact"/>
              <w:rPr>
                <w:sz w:val="1"/>
                <w:szCs w:val="1"/>
                <w:color w:val="auto"/>
              </w:rPr>
            </w:pPr>
          </w:p>
        </w:tc>
        <w:tc>
          <w:tcPr>
            <w:tcW w:w="13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Net sales</w:t>
      </w:r>
    </w:p>
    <w:p>
      <w:pPr>
        <w:spacing w:after="0" w:line="104" w:lineRule="exact"/>
        <w:rPr>
          <w:sz w:val="20"/>
          <w:szCs w:val="20"/>
          <w:color w:val="auto"/>
        </w:rPr>
      </w:pPr>
    </w:p>
    <w:p>
      <w:pPr>
        <w:ind w:firstLine="537"/>
        <w:spacing w:after="0" w:line="231" w:lineRule="auto"/>
        <w:rPr>
          <w:sz w:val="20"/>
          <w:szCs w:val="20"/>
          <w:color w:val="auto"/>
        </w:rPr>
      </w:pPr>
      <w:r>
        <w:rPr>
          <w:rFonts w:ascii="Arial" w:cs="Arial" w:eastAsia="Arial" w:hAnsi="Arial"/>
          <w:sz w:val="16"/>
          <w:szCs w:val="16"/>
          <w:color w:val="auto"/>
        </w:rPr>
        <w:t>Net sales for the nine months ended September 30, 2019 were $ 2,081 million compared to $2,066 million for the nine months ended September 30, 2018, an increase of 1%. The increase was principally driven by a $130 million, or 13%, increase in net sales in the North America On-Highway end market principally driven by higher demand led by the continued execution of our growth initiatives and market share gains in Class 4/5 truck, an $11 million, or 4%, increase in net sales in the Outside North America On-Highway end market principally driven by higher demand in Europe and South America, partially offset by lower demand in Asia, and a $9 million, or 11%, increase in net sales in the Outside North America Off-Highway end market principally driven by higher demand in the energy sector partially offset by lower demand in the mining and construction sectors, partially offset by a $ 75 million, or 15%, decrease in net sales in the Service Parts, Support Equipment and Other end market principally driven by lower demand for North America service parts, a $ 47 million, or 62%, decrease in net sales in the North America Off-Highway end market principally driven by lower demand from hydraulic fracturing applications and an $13 million, or 11%, decrease in net sales in the Defense end market principally driven by lower Tracked and Wheeled vehicle demand.</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Cost of sales</w:t>
      </w:r>
    </w:p>
    <w:p>
      <w:pPr>
        <w:spacing w:after="0" w:line="104" w:lineRule="exact"/>
        <w:rPr>
          <w:sz w:val="20"/>
          <w:szCs w:val="20"/>
          <w:color w:val="auto"/>
        </w:rPr>
      </w:pPr>
    </w:p>
    <w:p>
      <w:pPr>
        <w:ind w:right="20" w:firstLine="537"/>
        <w:spacing w:after="0" w:line="234" w:lineRule="auto"/>
        <w:rPr>
          <w:sz w:val="20"/>
          <w:szCs w:val="20"/>
          <w:color w:val="auto"/>
        </w:rPr>
      </w:pPr>
      <w:r>
        <w:rPr>
          <w:rFonts w:ascii="Arial" w:cs="Arial" w:eastAsia="Arial" w:hAnsi="Arial"/>
          <w:sz w:val="16"/>
          <w:szCs w:val="16"/>
          <w:color w:val="auto"/>
        </w:rPr>
        <w:t>Cost of sales for the nine months ended September 30, 2019 was $ 985 million compared to $982 million for the nine months ended September 30, 2018. The increase was principally driven by higher manufacturing expenses, partially offset by a $7 million reduction in expenses related to a retirement incentive program for certain UAW Local 933 employees.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Gross profit</w:t>
      </w:r>
    </w:p>
    <w:p>
      <w:pPr>
        <w:spacing w:after="0" w:line="104" w:lineRule="exact"/>
        <w:rPr>
          <w:sz w:val="20"/>
          <w:szCs w:val="20"/>
          <w:color w:val="auto"/>
        </w:rPr>
      </w:pPr>
    </w:p>
    <w:p>
      <w:pPr>
        <w:ind w:right="20" w:firstLine="537"/>
        <w:spacing w:after="0" w:line="232" w:lineRule="auto"/>
        <w:rPr>
          <w:sz w:val="20"/>
          <w:szCs w:val="20"/>
          <w:color w:val="auto"/>
        </w:rPr>
      </w:pPr>
      <w:r>
        <w:rPr>
          <w:rFonts w:ascii="Arial" w:cs="Arial" w:eastAsia="Arial" w:hAnsi="Arial"/>
          <w:sz w:val="16"/>
          <w:szCs w:val="16"/>
          <w:color w:val="auto"/>
        </w:rPr>
        <w:t>Gross profit for the nine months ended September 30, 2019 was $1,096 million compared to $1,084 million for the nine months ended September 30, 2018, an increase of 1%. The increase was principally driven by $12 million of price increases and on certain products and a $7 million reduction in expenses related to a retirement incentive program for certain UAW Local 933 employees, partially offset by higher manufacturing expenses. Gross profit as a percent of net sales for the nine months ended September 30, 2019 increased 20 basis points compared to the same period in 2018 principally driven by price increases on certain products and a reduction in expenses related to the retirement incentive program.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Selling, general and administrative</w:t>
      </w:r>
    </w:p>
    <w:p>
      <w:pPr>
        <w:spacing w:after="0" w:line="104" w:lineRule="exact"/>
        <w:rPr>
          <w:sz w:val="20"/>
          <w:szCs w:val="20"/>
          <w:color w:val="auto"/>
        </w:rPr>
      </w:pPr>
    </w:p>
    <w:p>
      <w:pPr>
        <w:ind w:right="40" w:firstLine="537"/>
        <w:spacing w:after="0" w:line="233" w:lineRule="auto"/>
        <w:rPr>
          <w:sz w:val="20"/>
          <w:szCs w:val="20"/>
          <w:color w:val="auto"/>
        </w:rPr>
      </w:pPr>
      <w:r>
        <w:rPr>
          <w:rFonts w:ascii="Arial" w:cs="Arial" w:eastAsia="Arial" w:hAnsi="Arial"/>
          <w:sz w:val="16"/>
          <w:szCs w:val="16"/>
          <w:color w:val="auto"/>
        </w:rPr>
        <w:t>Selling, general and administrative expenses for the nine months ended September 30, 2019 were $262 million compared to $274 million for the nine months ended September 30, 2018, a decrease of 4%. The decrease was principally driven by $ 15 million of lower 2019 product warranty expense, $9 million of favorable 2019 product warranty adjustments and $7 million of unfavorable 2018 product warranty adjustments that did not recur in 2019, partially offset by increased commercial activities spending and $4 million of higher incentive compensation expense.</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Engineering — research and development</w:t>
      </w:r>
    </w:p>
    <w:p>
      <w:pPr>
        <w:spacing w:after="0" w:line="104" w:lineRule="exact"/>
        <w:rPr>
          <w:sz w:val="20"/>
          <w:szCs w:val="20"/>
          <w:color w:val="auto"/>
        </w:rPr>
      </w:pPr>
    </w:p>
    <w:p>
      <w:pPr>
        <w:ind w:right="120" w:firstLine="537"/>
        <w:spacing w:after="0" w:line="237" w:lineRule="auto"/>
        <w:rPr>
          <w:sz w:val="20"/>
          <w:szCs w:val="20"/>
          <w:color w:val="auto"/>
        </w:rPr>
      </w:pPr>
      <w:r>
        <w:rPr>
          <w:rFonts w:ascii="Arial" w:cs="Arial" w:eastAsia="Arial" w:hAnsi="Arial"/>
          <w:sz w:val="16"/>
          <w:szCs w:val="16"/>
          <w:color w:val="auto"/>
        </w:rPr>
        <w:t>Engineering expenses for the nine months ended September 30, 2019 were $107 million compared to $94 million for the nine months ended September 30, 2018, an increase of 14%. The increase was principally driven by increased product initiatives spending.</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expense, net</w:t>
      </w:r>
    </w:p>
    <w:p>
      <w:pPr>
        <w:spacing w:after="0" w:line="104" w:lineRule="exact"/>
        <w:rPr>
          <w:sz w:val="20"/>
          <w:szCs w:val="20"/>
          <w:color w:val="auto"/>
        </w:rPr>
      </w:pPr>
    </w:p>
    <w:p>
      <w:pPr>
        <w:ind w:right="120" w:firstLine="537"/>
        <w:spacing w:after="0" w:line="232" w:lineRule="auto"/>
        <w:rPr>
          <w:sz w:val="20"/>
          <w:szCs w:val="20"/>
          <w:color w:val="auto"/>
        </w:rPr>
      </w:pPr>
      <w:r>
        <w:rPr>
          <w:rFonts w:ascii="Arial" w:cs="Arial" w:eastAsia="Arial" w:hAnsi="Arial"/>
          <w:sz w:val="16"/>
          <w:szCs w:val="16"/>
          <w:color w:val="auto"/>
        </w:rPr>
        <w:t>Interest expense, net for the nine months ended September 30, 2019 was $101 million compared to $90 million for the nine months ended September 30, 2018, an increase of 12%. The increase was principally driven by higher interest rates related to long-term debt refinancing that extended maturities at fixed interest rates, including $15 million of interest expense on ATI's 5.875% Senior Notes issued in the first quarter of 2019 and $5 million of expenses related to long-term debt refinancing, partially offset by $6 million of lower interest expense on ATI’s New Term Loan due primarily to the repayment of $500 million of principal in the first quarter of 2019 in connection with entering into the New Senior Secured Credit Facility.</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04" w:lineRule="exact"/>
        <w:rPr>
          <w:sz w:val="20"/>
          <w:szCs w:val="20"/>
          <w:color w:val="auto"/>
        </w:rPr>
      </w:pPr>
    </w:p>
    <w:p>
      <w:pPr>
        <w:ind w:firstLine="537"/>
        <w:spacing w:after="0" w:line="237" w:lineRule="auto"/>
        <w:rPr>
          <w:sz w:val="20"/>
          <w:szCs w:val="20"/>
          <w:color w:val="auto"/>
        </w:rPr>
      </w:pPr>
      <w:r>
        <w:rPr>
          <w:rFonts w:ascii="Arial" w:cs="Arial" w:eastAsia="Arial" w:hAnsi="Arial"/>
          <w:sz w:val="16"/>
          <w:szCs w:val="16"/>
          <w:color w:val="auto"/>
        </w:rPr>
        <w:t>Other income, net for the nine months ended September 30, 2019 was $8 million compared to $5 million for the nine months ended September 30, 2018. The change was principally driven by a favorable change in foreign exchange.</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04" w:lineRule="exact"/>
        <w:rPr>
          <w:sz w:val="20"/>
          <w:szCs w:val="20"/>
          <w:color w:val="auto"/>
        </w:rPr>
      </w:pPr>
    </w:p>
    <w:p>
      <w:pPr>
        <w:ind w:right="180" w:firstLine="537"/>
        <w:spacing w:after="0" w:line="237" w:lineRule="auto"/>
        <w:rPr>
          <w:sz w:val="20"/>
          <w:szCs w:val="20"/>
          <w:color w:val="auto"/>
        </w:rPr>
      </w:pPr>
      <w:r>
        <w:rPr>
          <w:rFonts w:ascii="Arial" w:cs="Arial" w:eastAsia="Arial" w:hAnsi="Arial"/>
          <w:sz w:val="16"/>
          <w:szCs w:val="16"/>
          <w:color w:val="auto"/>
        </w:rPr>
        <w:t>Income tax expense for the nine months ended September 30, 2019 was $137 million, resulting in an effective tax rate of 22%, compared to $139 million of income tax expense and an effective tax rate of 22% for the nine months ended September 30, 2018.</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5"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04" w:lineRule="exact"/>
        <w:rPr>
          <w:sz w:val="20"/>
          <w:szCs w:val="20"/>
          <w:color w:val="auto"/>
        </w:rPr>
      </w:pPr>
    </w:p>
    <w:p>
      <w:pPr>
        <w:ind w:right="40" w:firstLine="537"/>
        <w:spacing w:after="0" w:line="250" w:lineRule="auto"/>
        <w:rPr>
          <w:sz w:val="20"/>
          <w:szCs w:val="20"/>
          <w:color w:val="auto"/>
        </w:rPr>
      </w:pPr>
      <w:r>
        <w:rPr>
          <w:rFonts w:ascii="Arial" w:cs="Arial" w:eastAsia="Arial" w:hAnsi="Arial"/>
          <w:sz w:val="15"/>
          <w:szCs w:val="15"/>
          <w:color w:val="auto"/>
        </w:rPr>
        <w:t>We generate cash primarily from our operations to fund our operating, investing and financing activities. Our principal uses of cash are operating expenses, capital expenditures, debt service, stock repurchases, dividends on common stock, strategic growth initiatives, including acquisitions, and working capital needs. We had total available cash and cash equivalents of $152 million and $ 231 million as of September 30, 2019 and December 31, 2018, respectively. Of the available cash and cash equivalents, $142 million and $120 million was deposited in operating accounts as of September 30, 2019 and December 31, 2018, respectively, while $10 million and $111 million was invested in U.S. government backed securities as of September 30, 2019 and December 31, 2018, respectively.</w:t>
      </w:r>
    </w:p>
    <w:p>
      <w:pPr>
        <w:spacing w:after="0" w:line="76" w:lineRule="exact"/>
        <w:rPr>
          <w:sz w:val="20"/>
          <w:szCs w:val="20"/>
          <w:color w:val="auto"/>
        </w:rPr>
      </w:pPr>
    </w:p>
    <w:p>
      <w:pPr>
        <w:ind w:right="20" w:firstLine="537"/>
        <w:spacing w:after="0" w:line="233" w:lineRule="auto"/>
        <w:rPr>
          <w:sz w:val="20"/>
          <w:szCs w:val="20"/>
          <w:color w:val="auto"/>
        </w:rPr>
      </w:pPr>
      <w:r>
        <w:rPr>
          <w:rFonts w:ascii="Arial" w:cs="Arial" w:eastAsia="Arial" w:hAnsi="Arial"/>
          <w:sz w:val="16"/>
          <w:szCs w:val="16"/>
          <w:color w:val="auto"/>
        </w:rPr>
        <w:t>As of September 30, 2019, the total of cash and cash equivalents held by foreign subsidiaries was $67 million, the majority of which was located in China and Europe. We manage our worldwide cash requirements considering available funds among the subsidiaries through which we conduct our business and the cost effectiveness with which those funds can be accessed. As a result, we do not currently anticipate any local liquidity restrictions will preclude us from funding our targeted expectations or operating needs with local resources.</w:t>
      </w:r>
    </w:p>
    <w:p>
      <w:pPr>
        <w:spacing w:after="0" w:line="130" w:lineRule="exact"/>
        <w:rPr>
          <w:sz w:val="20"/>
          <w:szCs w:val="20"/>
          <w:color w:val="auto"/>
        </w:rPr>
      </w:pPr>
    </w:p>
    <w:p>
      <w:pPr>
        <w:ind w:firstLine="537"/>
        <w:spacing w:after="0" w:line="231" w:lineRule="auto"/>
        <w:rPr>
          <w:sz w:val="20"/>
          <w:szCs w:val="20"/>
          <w:color w:val="auto"/>
        </w:rPr>
      </w:pPr>
      <w:r>
        <w:rPr>
          <w:rFonts w:ascii="Arial" w:cs="Arial" w:eastAsia="Arial" w:hAnsi="Arial"/>
          <w:sz w:val="16"/>
          <w:szCs w:val="16"/>
          <w:color w:val="auto"/>
        </w:rPr>
        <w:t>We have not recognized any deferred tax liabilities associated with earnings in foreign subsidiaries, except for our subsidiaries located in China and Hong Kong, as they are intended to be permanently reinvested and used to support foreign operations. We have a deferred tax liability of $2 million for the tax liability associated with the remittance of previously taxed income and unremitted earnings for our subsidiaries located in China and Hong Kong. The U.S. Tax Cuts and Jobs Act requirement of a one-time repatriation tax on foreign earnings and profits resulted in us recording a $6 million liability for the deemed repatriation to be paid to the U.S. Government in 2017. In the future, the U.S. Tax Cuts and Jobs Act provides for tax free repatriations of earnings and profits generated by foreign subsidiaries through a 100% dividends received deduction. The remaining deferred tax liabilities, if recorded, related to unremitted earnings that are indefinitely reinvested and are not material.</w:t>
      </w:r>
    </w:p>
    <w:p>
      <w:pPr>
        <w:spacing w:after="0" w:line="86" w:lineRule="exact"/>
        <w:rPr>
          <w:sz w:val="20"/>
          <w:szCs w:val="20"/>
          <w:color w:val="auto"/>
        </w:rPr>
      </w:pPr>
    </w:p>
    <w:p>
      <w:pPr>
        <w:ind w:right="320" w:firstLine="537"/>
        <w:spacing w:after="0" w:line="250" w:lineRule="auto"/>
        <w:rPr>
          <w:sz w:val="20"/>
          <w:szCs w:val="20"/>
          <w:color w:val="auto"/>
        </w:rPr>
      </w:pPr>
      <w:r>
        <w:rPr>
          <w:rFonts w:ascii="Arial" w:cs="Arial" w:eastAsia="Arial" w:hAnsi="Arial"/>
          <w:sz w:val="15"/>
          <w:szCs w:val="15"/>
          <w:color w:val="auto"/>
        </w:rPr>
        <w:t>Our liquidity requirements are significant, primarily due to our debt service requirements. As of September 30, 2019, we had $646 million of indebtedness associated with ATI’s New Term Loan, $1,000 million of indebtedness associated with ATI’s 5.0% Senior Notes due 2024 (“5.0% Senior Notes”), $ 400 million of indebtedness associated with ATI’s 4.75% Senior Notes due 2027 ("4.75% Senior Notes") and $500 million of indebtedness associated with ATI's 5.875% Senior Notes (together with the 5.0% Senior Notes and 4.75% Senior Notes, the "Senior Notes"). The minimum required quarterly principal payment on ATI’s New Term Loan through its maturity date of March 2026 is $2 million. There are no required quarterly principal payments on ATI’s Senior Notes.</w:t>
      </w:r>
    </w:p>
    <w:p>
      <w:pPr>
        <w:spacing w:after="0" w:line="76" w:lineRule="exact"/>
        <w:rPr>
          <w:sz w:val="20"/>
          <w:szCs w:val="20"/>
          <w:color w:val="auto"/>
        </w:rPr>
      </w:pPr>
    </w:p>
    <w:p>
      <w:pPr>
        <w:ind w:firstLine="537"/>
        <w:spacing w:after="0" w:line="232" w:lineRule="auto"/>
        <w:rPr>
          <w:sz w:val="20"/>
          <w:szCs w:val="20"/>
          <w:color w:val="auto"/>
        </w:rPr>
      </w:pPr>
      <w:r>
        <w:rPr>
          <w:rFonts w:ascii="Arial" w:cs="Arial" w:eastAsia="Arial" w:hAnsi="Arial"/>
          <w:sz w:val="16"/>
          <w:szCs w:val="16"/>
          <w:color w:val="auto"/>
        </w:rPr>
        <w:t>Our ability to make payments on and refinance our indebtedness and to fund planned capital expenditures and growth initiatives will depend on our ability to generate cash in the future. This is subject to general economic, financial, competitive, legislative, regulatory and other factors that may be beyond our control. We made $2 million and $92 million of principal payments on the New Senior Secured Credit Facility during the three and nine months ended September 30, 2019. We made no principal payments and $28 million of principal payments on the Prior Senior Secured Credit Facility during the three and nine months ended September 30, 2018.</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3" w:lineRule="exact"/>
        <w:rPr>
          <w:sz w:val="20"/>
          <w:szCs w:val="20"/>
          <w:color w:val="auto"/>
        </w:rPr>
      </w:pPr>
    </w:p>
    <w:p>
      <w:pPr>
        <w:ind w:right="40" w:firstLine="537"/>
        <w:spacing w:after="0" w:line="230" w:lineRule="auto"/>
        <w:rPr>
          <w:sz w:val="20"/>
          <w:szCs w:val="20"/>
          <w:color w:val="auto"/>
        </w:rPr>
      </w:pPr>
      <w:r>
        <w:rPr>
          <w:rFonts w:ascii="Arial" w:cs="Arial" w:eastAsia="Arial" w:hAnsi="Arial"/>
          <w:sz w:val="16"/>
          <w:szCs w:val="16"/>
          <w:color w:val="auto"/>
        </w:rPr>
        <w:t>The New Senior Secured Credit Facility provides for a $600 million New Revolving Credit Facility, net of an allowance for up to $75 million in outstanding letters of credit commitments. Throughout the nine months ended September 30, 2019, the Company made periodic withdrawals and payments on the New Revolving Credit Facility as part of the Company's debt management plans. The maximum amount outstanding at any time during the nine months ended September 30, 2019 was $90 million. As of September 30, 2019, we had $583 million available under the New Revolving Credit Facility, net of $17 million in letters of credit. As of September 30, 2019, we had no amounts outstanding under the New Revolving Credit Facility. If we have commitments outstanding on the New Revolving Credit Facility at the end of a fiscal quarter, the New Senior Secured Credit Facility requires us to maintain a specified maximum first lien net leverage ratio of 5.50x. Additionally, within the terms of the New Senior Secured Credit Facility, a first lien net leverage ratio at or below 4.00x results in the elimination of excess cash flow payments on the New Senior Secured Credit Facility for the applicable year. As of September 30, 2019, our first lien net leverage ratio was 0.44x. The New Senior Secured Credit Facility also provides certain financial incentives based on our first lien net leverage ratio. A first lien net leverage ratio at or below 4.00x and above 3.50x results in a 25 basis point reduction to the applicable margin on the New Revolving Credit Facility. A first lien net leverage ratio at or below 3.50x results in an additional 25 basis point reduction to the applicable margin on the New Revolving Credit Facility. These reductions remain in effect as long as we achieve a first lien net leverage ratio at or below the related threshold.</w:t>
      </w:r>
    </w:p>
    <w:p>
      <w:pPr>
        <w:spacing w:after="0" w:line="90" w:lineRule="exact"/>
        <w:rPr>
          <w:sz w:val="20"/>
          <w:szCs w:val="20"/>
          <w:color w:val="auto"/>
        </w:rPr>
      </w:pPr>
    </w:p>
    <w:p>
      <w:pPr>
        <w:ind w:right="20" w:firstLine="537"/>
        <w:spacing w:after="0" w:line="249" w:lineRule="auto"/>
        <w:rPr>
          <w:sz w:val="20"/>
          <w:szCs w:val="20"/>
          <w:color w:val="auto"/>
        </w:rPr>
      </w:pPr>
      <w:r>
        <w:rPr>
          <w:rFonts w:ascii="Arial" w:cs="Arial" w:eastAsia="Arial" w:hAnsi="Arial"/>
          <w:sz w:val="15"/>
          <w:szCs w:val="15"/>
          <w:color w:val="auto"/>
        </w:rPr>
        <w:t>In addition, the Credit Agreement includes, among other things, customary restrictions (subject to certain exceptions) on our ability to incur certain indebtedness, grant certain liens, make certain investments, engage in acquisitions, consolidations and mergers, declare or pay certain dividends, and repurchase shares of our common stock. The indentures governing the Senior Notes contain negative covenants restricting or limiting our ability to, among other things, incur or guarantee additional indebtedness, incur liens, pay dividends on, redeem or repurchase our capital stock, make certain investments, permit payment or dividend restrictions on certain of our subsidiaries, sell assets, engage in certain transactions with affiliates, and consolidate or merge or sell all or substantially all of our assets. As of September 30, 2019, we are in compliance with all covenants under the New Senior Secured Credit Facility and indentures governing the Senior Notes.</w:t>
      </w:r>
    </w:p>
    <w:p>
      <w:pPr>
        <w:spacing w:after="0" w:line="76" w:lineRule="exact"/>
        <w:rPr>
          <w:sz w:val="20"/>
          <w:szCs w:val="20"/>
          <w:color w:val="auto"/>
        </w:rPr>
      </w:pPr>
    </w:p>
    <w:p>
      <w:pPr>
        <w:jc w:val="both"/>
        <w:ind w:right="180" w:firstLine="537"/>
        <w:spacing w:after="0" w:line="234" w:lineRule="auto"/>
        <w:rPr>
          <w:sz w:val="20"/>
          <w:szCs w:val="20"/>
          <w:color w:val="auto"/>
        </w:rPr>
      </w:pPr>
      <w:r>
        <w:rPr>
          <w:rFonts w:ascii="Arial" w:cs="Arial" w:eastAsia="Arial" w:hAnsi="Arial"/>
          <w:sz w:val="16"/>
          <w:szCs w:val="16"/>
          <w:color w:val="auto"/>
        </w:rPr>
        <w:t>Our credit ratings are reviewed by Moody’s Investors Service (“Moody’s”) and Fitch Ratings (“Fitch”). Moody’s rates our corporate credit at ‘Ba2’, New Term Loan at ‘Baa3’, 5.0% Senior Notes at ‘Ba3’, 4.75% Senior Notes at ‘Ba3’ and 5.875% Senior Notes at 'Ba3'. Fitch rates our corporate credit at ‘BB’, New Term Loan at ‘BB+’, 5.0% Senior Notes at ‘BB’, 4.75% Senior Notes at ‘BB’ and 5.875% Senior Notes at 'BB'.</w:t>
      </w:r>
    </w:p>
    <w:p>
      <w:pPr>
        <w:spacing w:after="0" w:line="84" w:lineRule="exact"/>
        <w:rPr>
          <w:sz w:val="20"/>
          <w:szCs w:val="20"/>
          <w:color w:val="auto"/>
        </w:rPr>
      </w:pPr>
    </w:p>
    <w:p>
      <w:pPr>
        <w:ind w:firstLine="537"/>
        <w:spacing w:after="0" w:line="234" w:lineRule="auto"/>
        <w:rPr>
          <w:sz w:val="20"/>
          <w:szCs w:val="20"/>
          <w:color w:val="auto"/>
        </w:rPr>
      </w:pPr>
      <w:r>
        <w:rPr>
          <w:rFonts w:ascii="Arial" w:cs="Arial" w:eastAsia="Arial" w:hAnsi="Arial"/>
          <w:sz w:val="16"/>
          <w:szCs w:val="16"/>
          <w:color w:val="auto"/>
        </w:rPr>
        <w:t>On November 14, 2016, our Board of Directors authorized us to purchase up to $1,000 million of our common stock under a stock repurchase program ("Repurchase Program"). On November 8, 2017 our Board of Directors increased the authorization by $500 million, on July 30, 2018 our Board of Directors increased the authorization by an additional $500 million and on May 9, 2019, the Board of Directors authorized the Company to repurchase an additional $1,000 million, bringing the total amount authorized under the Repurchase Program to $3,000 million. For the three and nine months ended September 30, 2019, we repurchased approximately $46 million and $331 million, respectively, of our common stock under the Repurchase Program. As of September 30, 2019, we had $1,114 million available under the Repurchase Program.</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shows our sources and uses of funds for the nine months ended September 30, 2019 and 2018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gridSpan w:val="3"/>
          </w:tcPr>
          <w:p>
            <w:pPr>
              <w:jc w:val="right"/>
              <w:ind w:right="27"/>
              <w:spacing w:after="0"/>
              <w:rPr>
                <w:sz w:val="20"/>
                <w:szCs w:val="20"/>
                <w:color w:val="auto"/>
              </w:rPr>
            </w:pPr>
            <w:r>
              <w:rPr>
                <w:rFonts w:ascii="Arial" w:cs="Arial" w:eastAsia="Arial" w:hAnsi="Arial"/>
                <w:sz w:val="13"/>
                <w:szCs w:val="13"/>
                <w:b w:val="1"/>
                <w:bCs w:val="1"/>
                <w:color w:val="auto"/>
              </w:rPr>
              <w:t>Nine months ended</w:t>
            </w:r>
          </w:p>
        </w:tc>
        <w:tc>
          <w:tcPr>
            <w:tcW w:w="1160" w:type="dxa"/>
            <w:vAlign w:val="bottom"/>
          </w:tcPr>
          <w:p>
            <w:pPr>
              <w:spacing w:after="0"/>
              <w:rPr>
                <w:sz w:val="13"/>
                <w:szCs w:val="13"/>
                <w:color w:val="auto"/>
              </w:rPr>
            </w:pPr>
          </w:p>
        </w:tc>
      </w:tr>
      <w:tr>
        <w:trPr>
          <w:trHeight w:val="153"/>
        </w:trPr>
        <w:tc>
          <w:tcPr>
            <w:tcW w:w="54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87"/>
              <w:spacing w:after="0"/>
              <w:rPr>
                <w:sz w:val="20"/>
                <w:szCs w:val="20"/>
                <w:color w:val="auto"/>
              </w:rPr>
            </w:pPr>
            <w:r>
              <w:rPr>
                <w:rFonts w:ascii="Arial" w:cs="Arial" w:eastAsia="Arial" w:hAnsi="Arial"/>
                <w:sz w:val="13"/>
                <w:szCs w:val="13"/>
                <w:b w:val="1"/>
                <w:bCs w:val="1"/>
                <w:color w:val="auto"/>
              </w:rPr>
              <w:t>September 30,</w:t>
            </w:r>
          </w:p>
        </w:tc>
        <w:tc>
          <w:tcPr>
            <w:tcW w:w="1160" w:type="dxa"/>
            <w:vAlign w:val="bottom"/>
            <w:tcBorders>
              <w:bottom w:val="single" w:sz="8" w:color="auto"/>
            </w:tcBorders>
          </w:tcPr>
          <w:p>
            <w:pPr>
              <w:spacing w:after="0"/>
              <w:rPr>
                <w:sz w:val="13"/>
                <w:szCs w:val="13"/>
                <w:color w:val="auto"/>
              </w:rPr>
            </w:pPr>
          </w:p>
        </w:tc>
      </w:tr>
      <w:tr>
        <w:trPr>
          <w:trHeight w:val="144"/>
        </w:trPr>
        <w:tc>
          <w:tcPr>
            <w:tcW w:w="5420" w:type="dxa"/>
            <w:vAlign w:val="bottom"/>
            <w:tcBorders>
              <w:bottom w:val="single" w:sz="8" w:color="CFF0FC"/>
            </w:tcBorders>
          </w:tcPr>
          <w:p>
            <w:pPr>
              <w:spacing w:after="0" w:line="144" w:lineRule="exact"/>
              <w:rPr>
                <w:sz w:val="20"/>
                <w:szCs w:val="20"/>
                <w:color w:val="auto"/>
              </w:rPr>
            </w:pPr>
            <w:r>
              <w:rPr>
                <w:rFonts w:ascii="Arial" w:cs="Arial" w:eastAsia="Arial" w:hAnsi="Arial"/>
                <w:sz w:val="13"/>
                <w:szCs w:val="13"/>
                <w:b w:val="1"/>
                <w:bCs w:val="1"/>
                <w:i w:val="1"/>
                <w:iCs w:val="1"/>
                <w:color w:val="auto"/>
              </w:rPr>
              <w:t>Statements of Cash Flows Data</w:t>
            </w:r>
          </w:p>
        </w:tc>
        <w:tc>
          <w:tcPr>
            <w:tcW w:w="246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2"/>
              <w:spacing w:after="0" w:line="144" w:lineRule="exact"/>
              <w:rPr>
                <w:sz w:val="20"/>
                <w:szCs w:val="20"/>
                <w:color w:val="auto"/>
              </w:rPr>
            </w:pPr>
            <w:r>
              <w:rPr>
                <w:rFonts w:ascii="Arial" w:cs="Arial" w:eastAsia="Arial" w:hAnsi="Arial"/>
                <w:sz w:val="13"/>
                <w:szCs w:val="13"/>
                <w:b w:val="1"/>
                <w:bCs w:val="1"/>
                <w:color w:val="auto"/>
              </w:rPr>
              <w:t>2019</w:t>
            </w: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06"/>
              <w:spacing w:after="0" w:line="144" w:lineRule="exact"/>
              <w:rPr>
                <w:sz w:val="20"/>
                <w:szCs w:val="20"/>
                <w:color w:val="auto"/>
              </w:rPr>
            </w:pPr>
            <w:r>
              <w:rPr>
                <w:rFonts w:ascii="Arial" w:cs="Arial" w:eastAsia="Arial" w:hAnsi="Arial"/>
                <w:sz w:val="13"/>
                <w:szCs w:val="13"/>
                <w:b w:val="1"/>
                <w:bCs w:val="1"/>
                <w:color w:val="auto"/>
              </w:rPr>
              <w:t>2018</w:t>
            </w:r>
          </w:p>
        </w:tc>
      </w:tr>
      <w:tr>
        <w:trPr>
          <w:trHeight w:val="179"/>
        </w:trPr>
        <w:tc>
          <w:tcPr>
            <w:tcW w:w="542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Cash flows provided by operating activities</w:t>
            </w:r>
          </w:p>
        </w:tc>
        <w:tc>
          <w:tcPr>
            <w:tcW w:w="24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872"/>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ind w:right="48"/>
              <w:spacing w:after="0" w:line="180" w:lineRule="exact"/>
              <w:rPr>
                <w:sz w:val="20"/>
                <w:szCs w:val="20"/>
                <w:color w:val="auto"/>
              </w:rPr>
            </w:pPr>
            <w:r>
              <w:rPr>
                <w:rFonts w:ascii="Arial" w:cs="Arial" w:eastAsia="Arial" w:hAnsi="Arial"/>
                <w:sz w:val="16"/>
                <w:szCs w:val="16"/>
                <w:b w:val="1"/>
                <w:bCs w:val="1"/>
                <w:color w:val="auto"/>
              </w:rPr>
              <w:t>645</w:t>
            </w:r>
          </w:p>
        </w:tc>
        <w:tc>
          <w:tcPr>
            <w:tcW w:w="18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66"/>
              <w:spacing w:after="0" w:line="180" w:lineRule="exact"/>
              <w:rPr>
                <w:sz w:val="20"/>
                <w:szCs w:val="20"/>
                <w:color w:val="auto"/>
              </w:rPr>
            </w:pPr>
            <w:r>
              <w:rPr>
                <w:rFonts w:ascii="Arial" w:cs="Arial" w:eastAsia="Arial" w:hAnsi="Arial"/>
                <w:sz w:val="16"/>
                <w:szCs w:val="16"/>
                <w:color w:val="auto"/>
              </w:rPr>
              <w:t>605</w:t>
            </w:r>
          </w:p>
        </w:tc>
      </w:tr>
      <w:tr>
        <w:trPr>
          <w:trHeight w:val="188"/>
        </w:trPr>
        <w:tc>
          <w:tcPr>
            <w:tcW w:w="5420" w:type="dxa"/>
            <w:vAlign w:val="bottom"/>
          </w:tcPr>
          <w:p>
            <w:pPr>
              <w:spacing w:after="0"/>
              <w:rPr>
                <w:sz w:val="20"/>
                <w:szCs w:val="20"/>
                <w:color w:val="auto"/>
              </w:rPr>
            </w:pPr>
            <w:r>
              <w:rPr>
                <w:rFonts w:ascii="Arial" w:cs="Arial" w:eastAsia="Arial" w:hAnsi="Arial"/>
                <w:sz w:val="16"/>
                <w:szCs w:val="16"/>
                <w:color w:val="auto"/>
              </w:rPr>
              <w:t>Cash flows used for investing activities</w:t>
            </w:r>
          </w:p>
        </w:tc>
        <w:tc>
          <w:tcPr>
            <w:tcW w:w="3480" w:type="dxa"/>
            <w:vAlign w:val="bottom"/>
            <w:gridSpan w:val="2"/>
          </w:tcPr>
          <w:p>
            <w:pPr>
              <w:jc w:val="right"/>
              <w:ind w:right="872"/>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(323)</w:t>
            </w:r>
          </w:p>
        </w:tc>
        <w:tc>
          <w:tcPr>
            <w:tcW w:w="180" w:type="dxa"/>
            <w:vAlign w:val="bottom"/>
          </w:tcPr>
          <w:p>
            <w:pPr>
              <w:spacing w:after="0"/>
              <w:rPr>
                <w:sz w:val="16"/>
                <w:szCs w:val="16"/>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6"/>
              <w:spacing w:after="0"/>
              <w:rPr>
                <w:sz w:val="20"/>
                <w:szCs w:val="20"/>
                <w:color w:val="auto"/>
              </w:rPr>
            </w:pPr>
            <w:r>
              <w:rPr>
                <w:rFonts w:ascii="Arial" w:cs="Arial" w:eastAsia="Arial" w:hAnsi="Arial"/>
                <w:sz w:val="16"/>
                <w:szCs w:val="16"/>
                <w:color w:val="auto"/>
              </w:rPr>
              <w:t>(52)</w:t>
            </w:r>
          </w:p>
        </w:tc>
      </w:tr>
      <w:tr>
        <w:trPr>
          <w:trHeight w:val="188"/>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Cash flows used for financing activities</w:t>
            </w:r>
          </w:p>
        </w:tc>
        <w:tc>
          <w:tcPr>
            <w:tcW w:w="3480" w:type="dxa"/>
            <w:vAlign w:val="bottom"/>
            <w:gridSpan w:val="2"/>
            <w:shd w:val="clear" w:color="auto" w:fill="CFF0FC"/>
          </w:tcPr>
          <w:p>
            <w:pPr>
              <w:jc w:val="right"/>
              <w:ind w:right="872"/>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(399)</w:t>
            </w:r>
          </w:p>
        </w:tc>
        <w:tc>
          <w:tcPr>
            <w:tcW w:w="18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(529)</w:t>
            </w:r>
          </w:p>
        </w:tc>
      </w:tr>
    </w:tbl>
    <w:p>
      <w:pPr>
        <w:spacing w:after="0" w:line="210" w:lineRule="exact"/>
        <w:rPr>
          <w:sz w:val="20"/>
          <w:szCs w:val="20"/>
          <w:color w:val="auto"/>
        </w:rPr>
      </w:pPr>
    </w:p>
    <w:p>
      <w:pPr>
        <w:ind w:right="200" w:firstLine="537"/>
        <w:spacing w:after="0" w:line="233" w:lineRule="auto"/>
        <w:rPr>
          <w:sz w:val="20"/>
          <w:szCs w:val="20"/>
          <w:color w:val="auto"/>
        </w:rPr>
      </w:pPr>
      <w:r>
        <w:rPr>
          <w:rFonts w:ascii="Arial" w:cs="Arial" w:eastAsia="Arial" w:hAnsi="Arial"/>
          <w:sz w:val="16"/>
          <w:szCs w:val="16"/>
          <w:color w:val="auto"/>
        </w:rPr>
        <w:t>Generally, cash provided by operating activities has been adequate to fund our operations. Due to fluctuations in our cash flows and the growth in our operations, it may be necessary from time to time in the future to borrow under the New Senior Secured Credit Facility to meet cash demands. We anticipate cash provided by operating activities, cash and cash equivalents and borrowing capacity under the New Senior Secured Credit Facility will be sufficient to meet our cash requirements for the next twelve months.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provided by operating activities</w:t>
      </w:r>
    </w:p>
    <w:p>
      <w:pPr>
        <w:spacing w:after="0" w:line="104" w:lineRule="exact"/>
        <w:rPr>
          <w:sz w:val="20"/>
          <w:szCs w:val="20"/>
          <w:color w:val="auto"/>
        </w:rPr>
      </w:pPr>
    </w:p>
    <w:p>
      <w:pPr>
        <w:ind w:right="440" w:firstLine="537"/>
        <w:spacing w:after="0" w:line="234" w:lineRule="auto"/>
        <w:rPr>
          <w:sz w:val="20"/>
          <w:szCs w:val="20"/>
          <w:color w:val="auto"/>
        </w:rPr>
      </w:pPr>
      <w:r>
        <w:rPr>
          <w:rFonts w:ascii="Arial" w:cs="Arial" w:eastAsia="Arial" w:hAnsi="Arial"/>
          <w:sz w:val="16"/>
          <w:szCs w:val="16"/>
          <w:color w:val="auto"/>
        </w:rPr>
        <w:t>Operating activities for the nine months ended September 30, 2019 generated $645 million of cash compared to $605 million for the nine months ended September 30, 2018. The increase was principally driven by lower operating working capital requirements, increased gross profit and decreased cash interest expense, partially offset by increased cash income taxes.</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investing activities</w:t>
      </w:r>
    </w:p>
    <w:p>
      <w:pPr>
        <w:spacing w:after="0" w:line="104" w:lineRule="exact"/>
        <w:rPr>
          <w:sz w:val="20"/>
          <w:szCs w:val="20"/>
          <w:color w:val="auto"/>
        </w:rPr>
      </w:pPr>
    </w:p>
    <w:p>
      <w:pPr>
        <w:ind w:right="160" w:firstLine="537"/>
        <w:spacing w:after="0" w:line="233" w:lineRule="auto"/>
        <w:rPr>
          <w:sz w:val="20"/>
          <w:szCs w:val="20"/>
          <w:color w:val="auto"/>
        </w:rPr>
      </w:pPr>
      <w:r>
        <w:rPr>
          <w:rFonts w:ascii="Arial" w:cs="Arial" w:eastAsia="Arial" w:hAnsi="Arial"/>
          <w:sz w:val="16"/>
          <w:szCs w:val="16"/>
          <w:color w:val="auto"/>
        </w:rPr>
        <w:t>Investing activities for the nine months ended September 30, 2019 used $323 million of cash compared to $ 52 million for the nine months ended September 30, 2018. The increase was principally driven by $ 232 million in cash paid for business acquisitions and a $ 39 million increase in capital expenditures. The increase in capital expenditures was principally driven by increased spending related to investments in productivity and replacement programs and engineering and testing capabilities.</w:t>
      </w:r>
    </w:p>
    <w:p>
      <w:pPr>
        <w:spacing w:after="0" w:line="11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Cash used for financing activities</w:t>
      </w:r>
    </w:p>
    <w:p>
      <w:pPr>
        <w:spacing w:after="0" w:line="104" w:lineRule="exact"/>
        <w:rPr>
          <w:sz w:val="20"/>
          <w:szCs w:val="20"/>
          <w:color w:val="auto"/>
        </w:rPr>
      </w:pPr>
    </w:p>
    <w:p>
      <w:pPr>
        <w:ind w:right="120" w:firstLine="537"/>
        <w:spacing w:after="0" w:line="234" w:lineRule="auto"/>
        <w:rPr>
          <w:sz w:val="20"/>
          <w:szCs w:val="20"/>
          <w:color w:val="auto"/>
        </w:rPr>
      </w:pPr>
      <w:r>
        <w:rPr>
          <w:rFonts w:ascii="Arial" w:cs="Arial" w:eastAsia="Arial" w:hAnsi="Arial"/>
          <w:sz w:val="16"/>
          <w:szCs w:val="16"/>
          <w:color w:val="auto"/>
        </w:rPr>
        <w:t>Financing activities for the nine months ended September 30, 2019 used $399 million of cash compared to $529 million for the nine months ended September 30, 2018. The decrease was principally driven by $ 125 million of decreased stock repurchases, $27 million of lower net payments on long-term debt and $6 million less of dividends paid, partially offset by an increase of $11 million in long-term debt restructuring payments.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106" w:lineRule="exact"/>
        <w:rPr>
          <w:sz w:val="20"/>
          <w:szCs w:val="20"/>
          <w:color w:val="auto"/>
        </w:rPr>
      </w:pPr>
    </w:p>
    <w:p>
      <w:pPr>
        <w:jc w:val="both"/>
        <w:ind w:right="320" w:firstLine="537"/>
        <w:spacing w:after="0" w:line="233"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P, “Commitments and Contingencies” of our condensed consolidated financial statements included in Part I, Item 1 of this Quarterly Report on Form 10-Q.</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Accounting Estimates</w:t>
      </w:r>
    </w:p>
    <w:p>
      <w:pPr>
        <w:spacing w:after="0" w:line="106" w:lineRule="exact"/>
        <w:rPr>
          <w:sz w:val="20"/>
          <w:szCs w:val="20"/>
          <w:color w:val="auto"/>
        </w:rPr>
      </w:pPr>
    </w:p>
    <w:p>
      <w:pPr>
        <w:ind w:right="120" w:firstLine="537"/>
        <w:spacing w:after="0" w:line="248" w:lineRule="auto"/>
        <w:rPr>
          <w:sz w:val="20"/>
          <w:szCs w:val="20"/>
          <w:color w:val="auto"/>
        </w:rPr>
      </w:pPr>
      <w:r>
        <w:rPr>
          <w:rFonts w:ascii="Arial" w:cs="Arial" w:eastAsia="Arial" w:hAnsi="Arial"/>
          <w:sz w:val="15"/>
          <w:szCs w:val="15"/>
          <w:color w:val="auto"/>
        </w:rPr>
        <w:t>A discussion of our critical accounting policies and significant accounting estimates is included in Part II, Item 7 “Management’s Discussion and Analysis” in our Annual Report on Form 10-K for the year ended December 31, 2018 as filed with the Securities and Exchange Commission on February 26, 2019.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for the three and nine months ended September 30, 2019.</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We are not a party to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See NOTE B, “Summary of Significant Accounting Policies” in Part I, Item 1, of this Quarterly Report on Form 10-Q.</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06" w:lineRule="exact"/>
        <w:rPr>
          <w:sz w:val="20"/>
          <w:szCs w:val="20"/>
          <w:color w:val="auto"/>
        </w:rPr>
      </w:pPr>
    </w:p>
    <w:p>
      <w:pPr>
        <w:ind w:firstLine="537"/>
        <w:spacing w:after="0" w:line="230"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uncertainty in the global regulatory and business environments in which we operate; our ability to prepare for, respond to and successfully achieve our objectives relating to technological and market developments, competitive threats and changing customer needs; the concentration of our net sales in our top five customers and the loss of any one of these; the failure of markets outside North America to increase adoption of fully-automatic transmissions; the success of our research and development efforts, the outcome of which is uncertain; our failure to identify, consummate or effectively integrate acquisitions; U.S. and foreign defense spending; general economic and industry conditions; increases in cost, disruption of supply or shortage of raw materials or components used in our products; the discovery of defects in our products, resulting in delays in new model launches, recall campaigns and/or increased warranty costs and reduction in future sales or damage to our brand and reputation; risks associated with our international operations, including increased trade protectionism; labor strikes, work stoppages or similar labor disputes, which could significantly disrupt our operations or those of our principal customers; and our intention to pay dividends and repurchase shares of our common stock.</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6" w:lineRule="exact"/>
        <w:rPr>
          <w:sz w:val="20"/>
          <w:szCs w:val="20"/>
          <w:color w:val="auto"/>
        </w:rPr>
      </w:pPr>
    </w:p>
    <w:p>
      <w:pPr>
        <w:ind w:firstLine="537"/>
        <w:spacing w:after="0" w:line="232" w:lineRule="auto"/>
        <w:rPr>
          <w:sz w:val="20"/>
          <w:szCs w:val="20"/>
          <w:color w:val="auto"/>
        </w:rPr>
      </w:pPr>
      <w:r>
        <w:rPr>
          <w:rFonts w:ascii="Arial" w:cs="Arial" w:eastAsia="Arial" w:hAnsi="Arial"/>
          <w:sz w:val="16"/>
          <w:szCs w:val="16"/>
          <w:color w:val="auto"/>
        </w:rPr>
        <w:t>Important factors that could cause actual results to differ materially from our expectations are disclosed in Part I, Item 1A of our Annual Report on Form 10-K for the year ended December 31, 2018 as filed with the Securities and Exchange Commission on February 26, 2019. All written and oral forward-looking statements attributable to us, or persons acting on our behalf, are expressly qualified in their entirety by these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340"/>
          </w:cols>
          <w:pgMar w:left="240" w:top="140" w:right="31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136525</wp:posOffset>
            </wp:positionV>
            <wp:extent cx="3270885"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70885" cy="7620"/>
                    </a:xfrm>
                    <a:prstGeom prst="rect">
                      <a:avLst/>
                    </a:prstGeom>
                    <a:noFill/>
                  </pic:spPr>
                </pic:pic>
              </a:graphicData>
            </a:graphic>
          </wp:anchor>
        </w:drawing>
      </w:r>
    </w:p>
    <w:p>
      <w:pPr>
        <w:spacing w:after="0" w:line="163" w:lineRule="exact"/>
        <w:rPr>
          <w:sz w:val="20"/>
          <w:szCs w:val="20"/>
          <w:color w:val="auto"/>
        </w:rPr>
      </w:pPr>
    </w:p>
    <w:p>
      <w:pPr>
        <w:ind w:left="3860"/>
        <w:spacing w:after="0"/>
        <w:rPr>
          <w:sz w:val="20"/>
          <w:szCs w:val="20"/>
          <w:color w:val="auto"/>
        </w:rPr>
      </w:pPr>
      <w:r>
        <w:rPr>
          <w:rFonts w:ascii="Arial" w:cs="Arial" w:eastAsia="Arial" w:hAnsi="Arial"/>
          <w:sz w:val="16"/>
          <w:szCs w:val="16"/>
          <w:b w:val="1"/>
          <w:bCs w:val="1"/>
          <w:color w:val="auto"/>
        </w:rPr>
        <w:t>Quantitative and Qualitative Disclosures About Market</w:t>
      </w:r>
    </w:p>
    <w:p>
      <w:pPr>
        <w:ind w:left="3180"/>
        <w:spacing w:after="0" w:line="181" w:lineRule="auto"/>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31"/>
          <w:szCs w:val="31"/>
          <w:b w:val="1"/>
          <w:bCs w:val="1"/>
          <w:color w:val="auto"/>
          <w:vertAlign w:val="subscript"/>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31115</wp:posOffset>
            </wp:positionV>
            <wp:extent cx="3270885"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70885" cy="7620"/>
                    </a:xfrm>
                    <a:prstGeom prst="rect">
                      <a:avLst/>
                    </a:prstGeom>
                    <a:noFill/>
                  </pic:spPr>
                </pic:pic>
              </a:graphicData>
            </a:graphic>
          </wp:anchor>
        </w:drawing>
      </w:r>
    </w:p>
    <w:p>
      <w:pPr>
        <w:spacing w:after="0" w:line="134" w:lineRule="exact"/>
        <w:rPr>
          <w:sz w:val="20"/>
          <w:szCs w:val="20"/>
          <w:color w:val="auto"/>
        </w:rPr>
      </w:pPr>
    </w:p>
    <w:p>
      <w:pPr>
        <w:ind w:left="260" w:right="1440" w:firstLine="269"/>
        <w:spacing w:after="0" w:line="382" w:lineRule="auto"/>
        <w:rPr>
          <w:sz w:val="20"/>
          <w:szCs w:val="20"/>
          <w:color w:val="auto"/>
        </w:rPr>
      </w:pPr>
      <w:r>
        <w:rPr>
          <w:rFonts w:ascii="Arial" w:cs="Arial" w:eastAsia="Arial" w:hAnsi="Arial"/>
          <w:sz w:val="16"/>
          <w:szCs w:val="16"/>
          <w:color w:val="auto"/>
        </w:rPr>
        <w:t xml:space="preserve">Our exposure to market risk consists of changes in interest rates, foreign currency rate fluctuations and movements in commodity prices. </w:t>
      </w:r>
      <w:r>
        <w:rPr>
          <w:rFonts w:ascii="Arial" w:cs="Arial" w:eastAsia="Arial" w:hAnsi="Arial"/>
          <w:sz w:val="16"/>
          <w:szCs w:val="16"/>
          <w:b w:val="1"/>
          <w:bCs w:val="1"/>
          <w:i w:val="1"/>
          <w:iCs w:val="1"/>
          <w:color w:val="auto"/>
        </w:rPr>
        <w:t>Interest Rate Risk</w:t>
      </w:r>
    </w:p>
    <w:p>
      <w:pPr>
        <w:spacing w:after="0" w:line="1" w:lineRule="exact"/>
        <w:rPr>
          <w:sz w:val="20"/>
          <w:szCs w:val="20"/>
          <w:color w:val="auto"/>
        </w:rPr>
      </w:pPr>
    </w:p>
    <w:p>
      <w:pPr>
        <w:ind w:right="20" w:firstLine="537"/>
        <w:spacing w:after="0" w:line="232"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New Senior Secured Credit Facility. Our New Senior Secured Credit Facility provides for variable rate borrowings of up to $1,229 million including $583 million under our New Revolving Credit Facility, net of $17 million of letters of credit. A one-eighth percent increase or decrease in assumed interest rates for the New Senior Secured Credit Facility, if fully drawn, as of September 30, 2019 would have an impact of approximately $1 million on interest expense. As of September 30, 2019, we had no outstanding borrowings against the New Revolving Credit Facility.</w:t>
      </w:r>
    </w:p>
    <w:p>
      <w:pPr>
        <w:spacing w:after="0" w:line="85" w:lineRule="exact"/>
        <w:rPr>
          <w:sz w:val="20"/>
          <w:szCs w:val="20"/>
          <w:color w:val="auto"/>
        </w:rPr>
      </w:pPr>
    </w:p>
    <w:p>
      <w:pPr>
        <w:ind w:right="40" w:firstLine="537"/>
        <w:spacing w:after="0" w:line="250" w:lineRule="auto"/>
        <w:rPr>
          <w:sz w:val="20"/>
          <w:szCs w:val="20"/>
          <w:color w:val="auto"/>
        </w:rPr>
      </w:pPr>
      <w:r>
        <w:rPr>
          <w:rFonts w:ascii="Arial" w:cs="Arial" w:eastAsia="Arial" w:hAnsi="Arial"/>
          <w:sz w:val="15"/>
          <w:szCs w:val="15"/>
          <w:color w:val="auto"/>
        </w:rPr>
        <w:t>From time to time, we enter into interest rate swap agreements to hedge our variable interest rate debt. During the first quarter of 2019, we entered into $250 million of interest rate swaps and designated them as cash flow hedges under the hypothetical derivative method. As of September 30, 2019, we held interest rate swaps effective from September 2019 to September 2022 with notional values totaling $250 million and a weighted average LIBOR fixed rate of 3.01%, interest rate swaps effective from September 2019 to September 2025 with notional values totaling $250 million and a weighted average LIBOR fixed rate of 3.04% and interest rate swaps effective from September 2022 to September 2025 with notional values totaling $250 million and a weighted average LIBOR fixed rate of 2.82%.</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Exchange Rate Risk</w:t>
      </w:r>
    </w:p>
    <w:p>
      <w:pPr>
        <w:spacing w:after="0" w:line="104" w:lineRule="exact"/>
        <w:rPr>
          <w:sz w:val="20"/>
          <w:szCs w:val="20"/>
          <w:color w:val="auto"/>
        </w:rPr>
      </w:pPr>
    </w:p>
    <w:p>
      <w:pPr>
        <w:jc w:val="both"/>
        <w:ind w:right="260" w:firstLine="537"/>
        <w:spacing w:after="0" w:line="255" w:lineRule="auto"/>
        <w:rPr>
          <w:sz w:val="20"/>
          <w:szCs w:val="20"/>
          <w:color w:val="auto"/>
        </w:rPr>
      </w:pPr>
      <w:r>
        <w:rPr>
          <w:rFonts w:ascii="Arial" w:cs="Arial" w:eastAsia="Arial" w:hAnsi="Arial"/>
          <w:sz w:val="15"/>
          <w:szCs w:val="15"/>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72" w:lineRule="exact"/>
        <w:rPr>
          <w:sz w:val="20"/>
          <w:szCs w:val="20"/>
          <w:color w:val="auto"/>
        </w:rPr>
      </w:pPr>
    </w:p>
    <w:p>
      <w:pPr>
        <w:ind w:firstLine="537"/>
        <w:spacing w:after="0" w:line="234" w:lineRule="auto"/>
        <w:rPr>
          <w:sz w:val="20"/>
          <w:szCs w:val="20"/>
          <w:color w:val="auto"/>
        </w:rPr>
      </w:pPr>
      <w:r>
        <w:rPr>
          <w:rFonts w:ascii="Arial" w:cs="Arial" w:eastAsia="Arial" w:hAnsi="Arial"/>
          <w:sz w:val="16"/>
          <w:szCs w:val="16"/>
          <w:color w:val="auto"/>
        </w:rPr>
        <w:t>Assuming current levels of foreign currency transactions, a 10% aggregate increase or decrease in the Japanese Yen, Euro, Indian Rupee and Chinese Yuan Renminbi would correspondingly change our earnings, net of tax, by an estimated $6 million per year. We believe our other exposure to foreign currencies is immaterial.</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Commodity Price Risk</w:t>
      </w:r>
    </w:p>
    <w:p>
      <w:pPr>
        <w:spacing w:after="0" w:line="104" w:lineRule="exact"/>
        <w:rPr>
          <w:sz w:val="20"/>
          <w:szCs w:val="20"/>
          <w:color w:val="auto"/>
        </w:rPr>
      </w:pPr>
    </w:p>
    <w:p>
      <w:pPr>
        <w:ind w:right="140" w:firstLine="537"/>
        <w:spacing w:after="0" w:line="250" w:lineRule="auto"/>
        <w:rPr>
          <w:sz w:val="20"/>
          <w:szCs w:val="20"/>
          <w:color w:val="auto"/>
        </w:rPr>
      </w:pPr>
      <w:r>
        <w:rPr>
          <w:rFonts w:ascii="Arial" w:cs="Arial" w:eastAsia="Arial" w:hAnsi="Arial"/>
          <w:sz w:val="15"/>
          <w:szCs w:val="15"/>
          <w:color w:val="auto"/>
        </w:rPr>
        <w:t>We are subject to changes in our cost of sales caused by movements in underlying commodity prices. Approximately 70% of our cost of sales consists of purchased components with significant raw material content. A substantial portion of the purchased parts are made of aluminum and steel. The cost of aluminum parts includes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LTAs. We historically have not entered into long-term purchase contracts related to the purchase of aluminum and steel.</w:t>
      </w:r>
    </w:p>
    <w:p>
      <w:pPr>
        <w:spacing w:after="0" w:line="76" w:lineRule="exact"/>
        <w:rPr>
          <w:sz w:val="20"/>
          <w:szCs w:val="20"/>
          <w:color w:val="auto"/>
        </w:rPr>
      </w:pPr>
    </w:p>
    <w:p>
      <w:pPr>
        <w:ind w:right="640" w:firstLine="537"/>
        <w:spacing w:after="0" w:line="237" w:lineRule="auto"/>
        <w:rPr>
          <w:sz w:val="20"/>
          <w:szCs w:val="20"/>
          <w:color w:val="auto"/>
        </w:rPr>
      </w:pPr>
      <w:r>
        <w:rPr>
          <w:rFonts w:ascii="Arial" w:cs="Arial" w:eastAsia="Arial" w:hAnsi="Arial"/>
          <w:sz w:val="16"/>
          <w:szCs w:val="16"/>
          <w:color w:val="auto"/>
        </w:rPr>
        <w:t>Assuming current levels of commodity purchases, a 10% variation in the price of aluminum and steel would correspondingly change our earnings by approximately $6 million and $7 million per year, respectively.</w:t>
      </w:r>
    </w:p>
    <w:p>
      <w:pPr>
        <w:spacing w:after="0" w:line="83" w:lineRule="exact"/>
        <w:rPr>
          <w:sz w:val="20"/>
          <w:szCs w:val="20"/>
          <w:color w:val="auto"/>
        </w:rPr>
      </w:pPr>
    </w:p>
    <w:p>
      <w:pPr>
        <w:ind w:right="460" w:firstLine="537"/>
        <w:spacing w:after="0" w:line="237" w:lineRule="auto"/>
        <w:rPr>
          <w:sz w:val="20"/>
          <w:szCs w:val="20"/>
          <w:color w:val="auto"/>
        </w:rPr>
      </w:pPr>
      <w:r>
        <w:rPr>
          <w:rFonts w:ascii="Arial" w:cs="Arial" w:eastAsia="Arial" w:hAnsi="Arial"/>
          <w:sz w:val="16"/>
          <w:szCs w:val="16"/>
          <w:color w:val="auto"/>
        </w:rPr>
        <w:t>Many of our LTAs have incorporated a cost-sharing arrangement related to potential future commodity price fluctuations. For purposes of the sensitivity analysis above, the impact of these cost sharing arrangements has not been included.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128905</wp:posOffset>
            </wp:positionV>
            <wp:extent cx="31369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36900" cy="7620"/>
                    </a:xfrm>
                    <a:prstGeom prst="rect">
                      <a:avLst/>
                    </a:prstGeom>
                    <a:noFill/>
                  </pic:spPr>
                </pic:pic>
              </a:graphicData>
            </a:graphic>
          </wp:anchor>
        </w:drawing>
      </w:r>
    </w:p>
    <w:p>
      <w:pPr>
        <w:spacing w:after="0" w:line="315" w:lineRule="exact"/>
        <w:rPr>
          <w:sz w:val="20"/>
          <w:szCs w:val="20"/>
          <w:color w:val="auto"/>
        </w:rPr>
      </w:pPr>
    </w:p>
    <w:p>
      <w:pPr>
        <w:ind w:left="3300"/>
        <w:spacing w:after="0"/>
        <w:rPr>
          <w:sz w:val="20"/>
          <w:szCs w:val="20"/>
          <w:color w:val="auto"/>
        </w:rPr>
      </w:pPr>
      <w:r>
        <w:rPr>
          <w:rFonts w:ascii="Arial" w:cs="Arial" w:eastAsia="Arial" w:hAnsi="Arial"/>
          <w:sz w:val="16"/>
          <w:szCs w:val="16"/>
          <w:b w:val="1"/>
          <w:bCs w:val="1"/>
          <w:color w:val="auto"/>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2059940</wp:posOffset>
            </wp:positionH>
            <wp:positionV relativeFrom="paragraph">
              <wp:posOffset>97790</wp:posOffset>
            </wp:positionV>
            <wp:extent cx="31369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36900" cy="762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06" w:lineRule="exact"/>
        <w:rPr>
          <w:sz w:val="20"/>
          <w:szCs w:val="20"/>
          <w:color w:val="auto"/>
        </w:rPr>
      </w:pPr>
    </w:p>
    <w:p>
      <w:pPr>
        <w:ind w:firstLine="537"/>
        <w:spacing w:after="0" w:line="23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83" w:lineRule="exact"/>
        <w:rPr>
          <w:sz w:val="20"/>
          <w:szCs w:val="20"/>
          <w:color w:val="auto"/>
        </w:rPr>
      </w:pPr>
    </w:p>
    <w:p>
      <w:pPr>
        <w:ind w:right="80" w:firstLine="537"/>
        <w:spacing w:after="0" w:line="232"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6" w:lineRule="exact"/>
        <w:rPr>
          <w:sz w:val="20"/>
          <w:szCs w:val="20"/>
          <w:color w:val="auto"/>
        </w:rPr>
      </w:pPr>
    </w:p>
    <w:p>
      <w:pPr>
        <w:jc w:val="both"/>
        <w:ind w:right="40" w:firstLine="537"/>
        <w:spacing w:after="0" w:line="265" w:lineRule="auto"/>
        <w:rPr>
          <w:sz w:val="20"/>
          <w:szCs w:val="20"/>
          <w:color w:val="auto"/>
        </w:rPr>
      </w:pPr>
      <w:r>
        <w:rPr>
          <w:rFonts w:ascii="Arial" w:cs="Arial" w:eastAsia="Arial" w:hAnsi="Arial"/>
          <w:sz w:val="15"/>
          <w:szCs w:val="15"/>
          <w:color w:val="auto"/>
        </w:rPr>
        <w:t>There were no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44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97790</wp:posOffset>
            </wp:positionV>
            <wp:extent cx="72644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6" w:lineRule="exact"/>
        <w:rPr>
          <w:sz w:val="20"/>
          <w:szCs w:val="20"/>
          <w:color w:val="auto"/>
        </w:rPr>
      </w:pPr>
    </w:p>
    <w:p>
      <w:pPr>
        <w:jc w:val="both"/>
        <w:ind w:right="240" w:firstLine="537"/>
        <w:spacing w:after="0" w:line="234" w:lineRule="auto"/>
        <w:rPr>
          <w:sz w:val="20"/>
          <w:szCs w:val="20"/>
          <w:color w:val="auto"/>
        </w:rPr>
      </w:pPr>
      <w:r>
        <w:rPr>
          <w:rFonts w:ascii="Arial" w:cs="Arial" w:eastAsia="Arial" w:hAnsi="Arial"/>
          <w:sz w:val="16"/>
          <w:szCs w:val="16"/>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P, “Commitments and Contingencies” in the notes to the condensed consolidated financial statements included in Part I, Item 1 of this Quarterly Report on Form 10-Q.</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06" w:lineRule="exact"/>
        <w:rPr>
          <w:sz w:val="20"/>
          <w:szCs w:val="20"/>
          <w:color w:val="auto"/>
        </w:rPr>
      </w:pPr>
    </w:p>
    <w:p>
      <w:pPr>
        <w:jc w:val="both"/>
        <w:ind w:right="260" w:firstLine="537"/>
        <w:spacing w:after="0" w:line="237" w:lineRule="auto"/>
        <w:rPr>
          <w:sz w:val="20"/>
          <w:szCs w:val="20"/>
          <w:color w:val="auto"/>
        </w:rPr>
      </w:pPr>
      <w:r>
        <w:rPr>
          <w:rFonts w:ascii="Arial" w:cs="Arial" w:eastAsia="Arial" w:hAnsi="Arial"/>
          <w:sz w:val="16"/>
          <w:szCs w:val="16"/>
          <w:color w:val="auto"/>
        </w:rPr>
        <w:t>There have been no material changes from our risk factors as previously reported in Part I, Item 1A of our Annual Report on Form 10-K for the year ended December 31, 2018 as filed with the Securities and Exchange Commission on February 26, 2019.</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information related to our repurchases of our common stock on a monthly basis in the three months ended September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ind w:right="52"/>
              <w:spacing w:after="0"/>
              <w:rPr>
                <w:sz w:val="20"/>
                <w:szCs w:val="20"/>
                <w:color w:val="auto"/>
              </w:rPr>
            </w:pPr>
            <w:r>
              <w:rPr>
                <w:rFonts w:ascii="Arial" w:cs="Arial" w:eastAsia="Arial" w:hAnsi="Arial"/>
                <w:sz w:val="13"/>
                <w:szCs w:val="13"/>
                <w:b w:val="1"/>
                <w:bCs w:val="1"/>
                <w:color w:val="auto"/>
                <w:w w:val="95"/>
              </w:rPr>
              <w:t>Total Number</w:t>
            </w:r>
          </w:p>
        </w:tc>
        <w:tc>
          <w:tcPr>
            <w:tcW w:w="1420" w:type="dxa"/>
            <w:vAlign w:val="bottom"/>
          </w:tcPr>
          <w:p>
            <w:pPr>
              <w:spacing w:after="0"/>
              <w:rPr>
                <w:sz w:val="13"/>
                <w:szCs w:val="13"/>
                <w:color w:val="auto"/>
              </w:rPr>
            </w:pPr>
          </w:p>
        </w:tc>
      </w:tr>
      <w:tr>
        <w:trPr>
          <w:trHeight w:val="141"/>
        </w:trPr>
        <w:tc>
          <w:tcPr>
            <w:tcW w:w="5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2"/>
              <w:spacing w:after="0" w:line="141" w:lineRule="exact"/>
              <w:rPr>
                <w:sz w:val="20"/>
                <w:szCs w:val="20"/>
                <w:color w:val="auto"/>
              </w:rPr>
            </w:pPr>
            <w:r>
              <w:rPr>
                <w:rFonts w:ascii="Arial" w:cs="Arial" w:eastAsia="Arial" w:hAnsi="Arial"/>
                <w:sz w:val="13"/>
                <w:szCs w:val="13"/>
                <w:b w:val="1"/>
                <w:bCs w:val="1"/>
                <w:color w:val="auto"/>
                <w:w w:val="97"/>
              </w:rPr>
              <w:t>of Shares</w:t>
            </w:r>
          </w:p>
        </w:tc>
        <w:tc>
          <w:tcPr>
            <w:tcW w:w="1420" w:type="dxa"/>
            <w:vAlign w:val="bottom"/>
          </w:tcPr>
          <w:p>
            <w:pPr>
              <w:spacing w:after="0"/>
              <w:rPr>
                <w:sz w:val="12"/>
                <w:szCs w:val="12"/>
                <w:color w:val="auto"/>
              </w:rPr>
            </w:pPr>
          </w:p>
        </w:tc>
      </w:tr>
      <w:tr>
        <w:trPr>
          <w:trHeight w:val="141"/>
        </w:trPr>
        <w:tc>
          <w:tcPr>
            <w:tcW w:w="5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6"/>
              </w:rPr>
              <w:t>Purchased</w:t>
            </w:r>
          </w:p>
        </w:tc>
        <w:tc>
          <w:tcPr>
            <w:tcW w:w="1420" w:type="dxa"/>
            <w:vAlign w:val="bottom"/>
          </w:tcPr>
          <w:p>
            <w:pPr>
              <w:spacing w:after="0"/>
              <w:rPr>
                <w:sz w:val="12"/>
                <w:szCs w:val="12"/>
                <w:color w:val="auto"/>
              </w:rPr>
            </w:pPr>
          </w:p>
        </w:tc>
      </w:tr>
      <w:tr>
        <w:trPr>
          <w:trHeight w:val="141"/>
        </w:trPr>
        <w:tc>
          <w:tcPr>
            <w:tcW w:w="5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32"/>
              <w:spacing w:after="0" w:line="141" w:lineRule="exact"/>
              <w:rPr>
                <w:sz w:val="20"/>
                <w:szCs w:val="20"/>
                <w:color w:val="auto"/>
              </w:rPr>
            </w:pPr>
            <w:r>
              <w:rPr>
                <w:rFonts w:ascii="Arial" w:cs="Arial" w:eastAsia="Arial" w:hAnsi="Arial"/>
                <w:sz w:val="13"/>
                <w:szCs w:val="13"/>
                <w:b w:val="1"/>
                <w:bCs w:val="1"/>
                <w:color w:val="auto"/>
                <w:w w:val="97"/>
              </w:rPr>
              <w:t>as Part of</w:t>
            </w:r>
          </w:p>
        </w:tc>
        <w:tc>
          <w:tcPr>
            <w:tcW w:w="14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Approximate</w:t>
            </w:r>
          </w:p>
        </w:tc>
      </w:tr>
      <w:tr>
        <w:trPr>
          <w:trHeight w:val="141"/>
        </w:trPr>
        <w:tc>
          <w:tcPr>
            <w:tcW w:w="59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right="52"/>
              <w:spacing w:after="0" w:line="141" w:lineRule="exact"/>
              <w:rPr>
                <w:sz w:val="20"/>
                <w:szCs w:val="20"/>
                <w:color w:val="auto"/>
              </w:rPr>
            </w:pPr>
            <w:r>
              <w:rPr>
                <w:rFonts w:ascii="Arial" w:cs="Arial" w:eastAsia="Arial" w:hAnsi="Arial"/>
                <w:sz w:val="13"/>
                <w:szCs w:val="13"/>
                <w:b w:val="1"/>
                <w:bCs w:val="1"/>
                <w:color w:val="auto"/>
                <w:w w:val="96"/>
              </w:rPr>
              <w:t>Publicly</w:t>
            </w:r>
          </w:p>
        </w:tc>
        <w:tc>
          <w:tcPr>
            <w:tcW w:w="14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Dollar Value of</w:t>
            </w:r>
          </w:p>
        </w:tc>
      </w:tr>
      <w:tr>
        <w:trPr>
          <w:trHeight w:val="141"/>
        </w:trPr>
        <w:tc>
          <w:tcPr>
            <w:tcW w:w="5960" w:type="dxa"/>
            <w:vAlign w:val="bottom"/>
          </w:tcPr>
          <w:p>
            <w:pPr>
              <w:spacing w:after="0"/>
              <w:rPr>
                <w:sz w:val="12"/>
                <w:szCs w:val="12"/>
                <w:color w:val="auto"/>
              </w:rPr>
            </w:pPr>
          </w:p>
        </w:tc>
        <w:tc>
          <w:tcPr>
            <w:tcW w:w="1260" w:type="dxa"/>
            <w:vAlign w:val="bottom"/>
          </w:tcPr>
          <w:p>
            <w:pPr>
              <w:jc w:val="center"/>
              <w:ind w:right="49"/>
              <w:spacing w:after="0" w:line="141" w:lineRule="exact"/>
              <w:rPr>
                <w:sz w:val="20"/>
                <w:szCs w:val="20"/>
                <w:color w:val="auto"/>
              </w:rPr>
            </w:pPr>
            <w:r>
              <w:rPr>
                <w:rFonts w:ascii="Arial" w:cs="Arial" w:eastAsia="Arial" w:hAnsi="Arial"/>
                <w:sz w:val="13"/>
                <w:szCs w:val="13"/>
                <w:b w:val="1"/>
                <w:bCs w:val="1"/>
                <w:color w:val="auto"/>
                <w:w w:val="93"/>
              </w:rPr>
              <w:t>Total Number</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1" w:lineRule="exact"/>
              <w:rPr>
                <w:sz w:val="20"/>
                <w:szCs w:val="20"/>
                <w:color w:val="auto"/>
              </w:rPr>
            </w:pPr>
            <w:r>
              <w:rPr>
                <w:rFonts w:ascii="Arial" w:cs="Arial" w:eastAsia="Arial" w:hAnsi="Arial"/>
                <w:sz w:val="13"/>
                <w:szCs w:val="13"/>
                <w:b w:val="1"/>
                <w:bCs w:val="1"/>
                <w:color w:val="auto"/>
                <w:w w:val="97"/>
              </w:rPr>
              <w:t>Average</w:t>
            </w:r>
          </w:p>
        </w:tc>
        <w:tc>
          <w:tcPr>
            <w:tcW w:w="1280" w:type="dxa"/>
            <w:vAlign w:val="bottom"/>
          </w:tcPr>
          <w:p>
            <w:pPr>
              <w:jc w:val="center"/>
              <w:ind w:right="32"/>
              <w:spacing w:after="0" w:line="141" w:lineRule="exact"/>
              <w:rPr>
                <w:sz w:val="20"/>
                <w:szCs w:val="20"/>
                <w:color w:val="auto"/>
              </w:rPr>
            </w:pPr>
            <w:r>
              <w:rPr>
                <w:rFonts w:ascii="Arial" w:cs="Arial" w:eastAsia="Arial" w:hAnsi="Arial"/>
                <w:sz w:val="13"/>
                <w:szCs w:val="13"/>
                <w:b w:val="1"/>
                <w:bCs w:val="1"/>
                <w:color w:val="auto"/>
                <w:w w:val="97"/>
              </w:rPr>
              <w:t>Announced</w:t>
            </w:r>
          </w:p>
        </w:tc>
        <w:tc>
          <w:tcPr>
            <w:tcW w:w="14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6"/>
              </w:rPr>
              <w:t>Shares that May</w:t>
            </w:r>
          </w:p>
        </w:tc>
      </w:tr>
      <w:tr>
        <w:trPr>
          <w:trHeight w:val="141"/>
        </w:trPr>
        <w:tc>
          <w:tcPr>
            <w:tcW w:w="5960" w:type="dxa"/>
            <w:vAlign w:val="bottom"/>
          </w:tcPr>
          <w:p>
            <w:pPr>
              <w:spacing w:after="0"/>
              <w:rPr>
                <w:sz w:val="12"/>
                <w:szCs w:val="12"/>
                <w:color w:val="auto"/>
              </w:rPr>
            </w:pPr>
          </w:p>
        </w:tc>
        <w:tc>
          <w:tcPr>
            <w:tcW w:w="1260" w:type="dxa"/>
            <w:vAlign w:val="bottom"/>
          </w:tcPr>
          <w:p>
            <w:pPr>
              <w:jc w:val="center"/>
              <w:ind w:right="49"/>
              <w:spacing w:after="0" w:line="141" w:lineRule="exact"/>
              <w:rPr>
                <w:sz w:val="20"/>
                <w:szCs w:val="20"/>
                <w:color w:val="auto"/>
              </w:rPr>
            </w:pPr>
            <w:r>
              <w:rPr>
                <w:rFonts w:ascii="Arial" w:cs="Arial" w:eastAsia="Arial" w:hAnsi="Arial"/>
                <w:sz w:val="13"/>
                <w:szCs w:val="13"/>
                <w:b w:val="1"/>
                <w:bCs w:val="1"/>
                <w:color w:val="auto"/>
                <w:w w:val="97"/>
              </w:rPr>
              <w:t>of Shares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1" w:lineRule="exact"/>
              <w:rPr>
                <w:sz w:val="20"/>
                <w:szCs w:val="20"/>
                <w:color w:val="auto"/>
              </w:rPr>
            </w:pPr>
            <w:r>
              <w:rPr>
                <w:rFonts w:ascii="Arial" w:cs="Arial" w:eastAsia="Arial" w:hAnsi="Arial"/>
                <w:sz w:val="13"/>
                <w:szCs w:val="13"/>
                <w:b w:val="1"/>
                <w:bCs w:val="1"/>
                <w:color w:val="auto"/>
                <w:w w:val="95"/>
              </w:rPr>
              <w:t>Price Paid</w:t>
            </w:r>
          </w:p>
        </w:tc>
        <w:tc>
          <w:tcPr>
            <w:tcW w:w="1280" w:type="dxa"/>
            <w:vAlign w:val="bottom"/>
          </w:tcPr>
          <w:p>
            <w:pPr>
              <w:jc w:val="center"/>
              <w:ind w:right="32"/>
              <w:spacing w:after="0" w:line="141" w:lineRule="exact"/>
              <w:rPr>
                <w:sz w:val="20"/>
                <w:szCs w:val="20"/>
                <w:color w:val="auto"/>
              </w:rPr>
            </w:pPr>
            <w:r>
              <w:rPr>
                <w:rFonts w:ascii="Arial" w:cs="Arial" w:eastAsia="Arial" w:hAnsi="Arial"/>
                <w:sz w:val="13"/>
                <w:szCs w:val="13"/>
                <w:b w:val="1"/>
                <w:bCs w:val="1"/>
                <w:color w:val="auto"/>
                <w:w w:val="97"/>
              </w:rPr>
              <w:t>Plans or</w:t>
            </w:r>
          </w:p>
        </w:tc>
        <w:tc>
          <w:tcPr>
            <w:tcW w:w="142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Yet Be Purchased</w:t>
            </w:r>
          </w:p>
        </w:tc>
      </w:tr>
      <w:tr>
        <w:trPr>
          <w:trHeight w:val="153"/>
        </w:trPr>
        <w:tc>
          <w:tcPr>
            <w:tcW w:w="596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6"/>
              </w:rPr>
              <w:t>Purchased</w:t>
            </w:r>
          </w:p>
        </w:tc>
        <w:tc>
          <w:tcPr>
            <w:tcW w:w="14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229"/>
              <w:spacing w:after="0"/>
              <w:rPr>
                <w:sz w:val="20"/>
                <w:szCs w:val="20"/>
                <w:color w:val="auto"/>
              </w:rPr>
            </w:pPr>
            <w:r>
              <w:rPr>
                <w:rFonts w:ascii="Arial" w:cs="Arial" w:eastAsia="Arial" w:hAnsi="Arial"/>
                <w:sz w:val="13"/>
                <w:szCs w:val="13"/>
                <w:b w:val="1"/>
                <w:bCs w:val="1"/>
                <w:color w:val="auto"/>
                <w:w w:val="96"/>
              </w:rPr>
              <w:t>per Share</w:t>
            </w:r>
          </w:p>
        </w:tc>
        <w:tc>
          <w:tcPr>
            <w:tcW w:w="12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6"/>
              </w:rPr>
              <w:t>Programs(1)</w:t>
            </w:r>
          </w:p>
        </w:tc>
        <w:tc>
          <w:tcPr>
            <w:tcW w:w="1420" w:type="dxa"/>
            <w:vAlign w:val="bottom"/>
            <w:tcBorders>
              <w:bottom w:val="single" w:sz="8" w:color="CFF0FC"/>
            </w:tcBorders>
          </w:tcPr>
          <w:p>
            <w:pPr>
              <w:jc w:val="center"/>
              <w:spacing w:after="0"/>
              <w:rPr>
                <w:sz w:val="20"/>
                <w:szCs w:val="20"/>
                <w:color w:val="auto"/>
              </w:rPr>
            </w:pPr>
            <w:r>
              <w:rPr>
                <w:rFonts w:ascii="Arial" w:cs="Arial" w:eastAsia="Arial" w:hAnsi="Arial"/>
                <w:sz w:val="13"/>
                <w:szCs w:val="13"/>
                <w:b w:val="1"/>
                <w:bCs w:val="1"/>
                <w:color w:val="auto"/>
                <w:w w:val="95"/>
              </w:rPr>
              <w:t>Under Plans(1)</w:t>
            </w:r>
          </w:p>
        </w:tc>
      </w:tr>
      <w:tr>
        <w:trPr>
          <w:trHeight w:val="179"/>
        </w:trPr>
        <w:tc>
          <w:tcPr>
            <w:tcW w:w="5960" w:type="dxa"/>
            <w:vAlign w:val="bottom"/>
            <w:shd w:val="clear" w:color="auto" w:fill="CFF0FC"/>
          </w:tcPr>
          <w:p>
            <w:pPr>
              <w:spacing w:after="0" w:line="180" w:lineRule="exact"/>
              <w:rPr>
                <w:sz w:val="20"/>
                <w:szCs w:val="20"/>
                <w:color w:val="auto"/>
              </w:rPr>
            </w:pPr>
            <w:r>
              <w:rPr>
                <w:rFonts w:ascii="Arial" w:cs="Arial" w:eastAsia="Arial" w:hAnsi="Arial"/>
                <w:sz w:val="16"/>
                <w:szCs w:val="16"/>
                <w:color w:val="auto"/>
              </w:rPr>
              <w:t>July 1– July 31, 2019</w:t>
            </w:r>
          </w:p>
        </w:tc>
        <w:tc>
          <w:tcPr>
            <w:tcW w:w="1260" w:type="dxa"/>
            <w:vAlign w:val="bottom"/>
            <w:shd w:val="clear" w:color="auto" w:fill="CFF0FC"/>
          </w:tcPr>
          <w:p>
            <w:pPr>
              <w:jc w:val="right"/>
              <w:ind w:right="49"/>
              <w:spacing w:after="0" w:line="180" w:lineRule="exact"/>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52"/>
              <w:spacing w:after="0" w:line="180" w:lineRule="exact"/>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center"/>
              <w:spacing w:after="0" w:line="180" w:lineRule="exact"/>
              <w:rPr>
                <w:sz w:val="20"/>
                <w:szCs w:val="20"/>
                <w:color w:val="auto"/>
              </w:rPr>
            </w:pPr>
            <w:r>
              <w:rPr>
                <w:rFonts w:ascii="Arial" w:cs="Arial" w:eastAsia="Arial" w:hAnsi="Arial"/>
                <w:sz w:val="16"/>
                <w:szCs w:val="16"/>
                <w:color w:val="auto"/>
              </w:rPr>
              <w:t>$ 1,159,713,801</w:t>
            </w:r>
          </w:p>
        </w:tc>
      </w:tr>
      <w:tr>
        <w:trPr>
          <w:trHeight w:val="188"/>
        </w:trPr>
        <w:tc>
          <w:tcPr>
            <w:tcW w:w="5960" w:type="dxa"/>
            <w:vAlign w:val="bottom"/>
          </w:tcPr>
          <w:p>
            <w:pPr>
              <w:spacing w:after="0"/>
              <w:rPr>
                <w:sz w:val="20"/>
                <w:szCs w:val="20"/>
                <w:color w:val="auto"/>
              </w:rPr>
            </w:pPr>
            <w:r>
              <w:rPr>
                <w:rFonts w:ascii="Arial" w:cs="Arial" w:eastAsia="Arial" w:hAnsi="Arial"/>
                <w:sz w:val="16"/>
                <w:szCs w:val="16"/>
                <w:color w:val="auto"/>
              </w:rPr>
              <w:t>August 1 – August 31, 2019</w:t>
            </w:r>
          </w:p>
        </w:tc>
        <w:tc>
          <w:tcPr>
            <w:tcW w:w="1260" w:type="dxa"/>
            <w:vAlign w:val="bottom"/>
          </w:tcPr>
          <w:p>
            <w:pPr>
              <w:jc w:val="right"/>
              <w:ind w:right="49"/>
              <w:spacing w:after="0"/>
              <w:rPr>
                <w:sz w:val="20"/>
                <w:szCs w:val="20"/>
                <w:color w:val="auto"/>
              </w:rPr>
            </w:pPr>
            <w:r>
              <w:rPr>
                <w:rFonts w:ascii="Arial" w:cs="Arial" w:eastAsia="Arial" w:hAnsi="Arial"/>
                <w:sz w:val="16"/>
                <w:szCs w:val="16"/>
                <w:color w:val="auto"/>
              </w:rPr>
              <w:t>584,371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9"/>
              <w:spacing w:after="0"/>
              <w:rPr>
                <w:sz w:val="20"/>
                <w:szCs w:val="20"/>
                <w:color w:val="auto"/>
              </w:rPr>
            </w:pPr>
            <w:r>
              <w:rPr>
                <w:rFonts w:ascii="Arial" w:cs="Arial" w:eastAsia="Arial" w:hAnsi="Arial"/>
                <w:sz w:val="16"/>
                <w:szCs w:val="16"/>
                <w:color w:val="auto"/>
              </w:rPr>
              <w:t>43.26</w:t>
            </w:r>
          </w:p>
        </w:tc>
        <w:tc>
          <w:tcPr>
            <w:tcW w:w="120" w:type="dxa"/>
            <w:vAlign w:val="bottom"/>
          </w:tcPr>
          <w:p>
            <w:pPr>
              <w:spacing w:after="0"/>
              <w:rPr>
                <w:sz w:val="16"/>
                <w:szCs w:val="16"/>
                <w:color w:val="auto"/>
              </w:rPr>
            </w:pPr>
          </w:p>
        </w:tc>
        <w:tc>
          <w:tcPr>
            <w:tcW w:w="1280" w:type="dxa"/>
            <w:vAlign w:val="bottom"/>
          </w:tcPr>
          <w:p>
            <w:pPr>
              <w:jc w:val="right"/>
              <w:ind w:right="52"/>
              <w:spacing w:after="0"/>
              <w:rPr>
                <w:sz w:val="20"/>
                <w:szCs w:val="20"/>
                <w:color w:val="auto"/>
              </w:rPr>
            </w:pPr>
            <w:r>
              <w:rPr>
                <w:rFonts w:ascii="Arial" w:cs="Arial" w:eastAsia="Arial" w:hAnsi="Arial"/>
                <w:sz w:val="16"/>
                <w:szCs w:val="16"/>
                <w:color w:val="auto"/>
              </w:rPr>
              <w:t>584,371</w:t>
            </w:r>
          </w:p>
        </w:tc>
        <w:tc>
          <w:tcPr>
            <w:tcW w:w="1420" w:type="dxa"/>
            <w:vAlign w:val="bottom"/>
          </w:tcPr>
          <w:p>
            <w:pPr>
              <w:jc w:val="center"/>
              <w:spacing w:after="0"/>
              <w:rPr>
                <w:sz w:val="20"/>
                <w:szCs w:val="20"/>
                <w:color w:val="auto"/>
              </w:rPr>
            </w:pPr>
            <w:r>
              <w:rPr>
                <w:rFonts w:ascii="Arial" w:cs="Arial" w:eastAsia="Arial" w:hAnsi="Arial"/>
                <w:sz w:val="16"/>
                <w:szCs w:val="16"/>
                <w:color w:val="auto"/>
              </w:rPr>
              <w:t>$ 1,134,435,810</w:t>
            </w:r>
          </w:p>
        </w:tc>
      </w:tr>
      <w:tr>
        <w:trPr>
          <w:trHeight w:val="188"/>
        </w:trPr>
        <w:tc>
          <w:tcPr>
            <w:tcW w:w="5960" w:type="dxa"/>
            <w:vAlign w:val="bottom"/>
            <w:shd w:val="clear" w:color="auto" w:fill="CFF0FC"/>
          </w:tcPr>
          <w:p>
            <w:pPr>
              <w:spacing w:after="0"/>
              <w:rPr>
                <w:sz w:val="20"/>
                <w:szCs w:val="20"/>
                <w:color w:val="auto"/>
              </w:rPr>
            </w:pPr>
            <w:r>
              <w:rPr>
                <w:rFonts w:ascii="Arial" w:cs="Arial" w:eastAsia="Arial" w:hAnsi="Arial"/>
                <w:sz w:val="16"/>
                <w:szCs w:val="16"/>
                <w:color w:val="auto"/>
              </w:rPr>
              <w:t>September 1 – September 30, 2019</w:t>
            </w:r>
          </w:p>
        </w:tc>
        <w:tc>
          <w:tcPr>
            <w:tcW w:w="12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6"/>
                <w:szCs w:val="16"/>
                <w:color w:val="auto"/>
              </w:rPr>
              <w:t>444,731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9"/>
              <w:spacing w:after="0"/>
              <w:rPr>
                <w:sz w:val="20"/>
                <w:szCs w:val="20"/>
                <w:color w:val="auto"/>
              </w:rPr>
            </w:pPr>
            <w:r>
              <w:rPr>
                <w:rFonts w:ascii="Arial" w:cs="Arial" w:eastAsia="Arial" w:hAnsi="Arial"/>
                <w:sz w:val="16"/>
                <w:szCs w:val="16"/>
                <w:color w:val="auto"/>
              </w:rPr>
              <w:t>46.17</w:t>
            </w:r>
          </w:p>
        </w:tc>
        <w:tc>
          <w:tcPr>
            <w:tcW w:w="120" w:type="dxa"/>
            <w:vAlign w:val="bottom"/>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6"/>
                <w:szCs w:val="16"/>
                <w:color w:val="auto"/>
              </w:rPr>
              <w:t>444,731</w:t>
            </w:r>
          </w:p>
        </w:tc>
        <w:tc>
          <w:tcPr>
            <w:tcW w:w="14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$ 1,113,900,620</w:t>
            </w:r>
          </w:p>
        </w:tc>
      </w:tr>
      <w:tr>
        <w:trPr>
          <w:trHeight w:val="179"/>
        </w:trPr>
        <w:tc>
          <w:tcPr>
            <w:tcW w:w="5960" w:type="dxa"/>
            <w:vAlign w:val="bottom"/>
          </w:tcPr>
          <w:p>
            <w:pPr>
              <w:ind w:left="200"/>
              <w:spacing w:after="0" w:line="180" w:lineRule="exact"/>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tcPr>
          <w:p>
            <w:pPr>
              <w:jc w:val="right"/>
              <w:ind w:right="49"/>
              <w:spacing w:after="0" w:line="180" w:lineRule="exact"/>
              <w:rPr>
                <w:sz w:val="20"/>
                <w:szCs w:val="20"/>
                <w:color w:val="auto"/>
              </w:rPr>
            </w:pPr>
            <w:r>
              <w:rPr>
                <w:rFonts w:ascii="Arial" w:cs="Arial" w:eastAsia="Arial" w:hAnsi="Arial"/>
                <w:sz w:val="16"/>
                <w:szCs w:val="16"/>
                <w:color w:val="auto"/>
              </w:rPr>
              <w:t>1,029,102</w:t>
            </w:r>
          </w:p>
        </w:tc>
        <w:tc>
          <w:tcPr>
            <w:tcW w:w="320" w:type="dxa"/>
            <w:vAlign w:val="bottom"/>
            <w:gridSpan w:val="2"/>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49"/>
              <w:spacing w:after="0" w:line="180" w:lineRule="exact"/>
              <w:rPr>
                <w:sz w:val="20"/>
                <w:szCs w:val="20"/>
                <w:color w:val="auto"/>
              </w:rPr>
            </w:pPr>
            <w:r>
              <w:rPr>
                <w:rFonts w:ascii="Arial" w:cs="Arial" w:eastAsia="Arial" w:hAnsi="Arial"/>
                <w:sz w:val="16"/>
                <w:szCs w:val="16"/>
                <w:color w:val="auto"/>
              </w:rPr>
              <w:t>44.52</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right"/>
              <w:ind w:right="52"/>
              <w:spacing w:after="0" w:line="180" w:lineRule="exact"/>
              <w:rPr>
                <w:sz w:val="20"/>
                <w:szCs w:val="20"/>
                <w:color w:val="auto"/>
              </w:rPr>
            </w:pPr>
            <w:r>
              <w:rPr>
                <w:rFonts w:ascii="Arial" w:cs="Arial" w:eastAsia="Arial" w:hAnsi="Arial"/>
                <w:sz w:val="16"/>
                <w:szCs w:val="16"/>
                <w:color w:val="auto"/>
              </w:rPr>
              <w:t>1,029,102</w:t>
            </w:r>
          </w:p>
        </w:tc>
        <w:tc>
          <w:tcPr>
            <w:tcW w:w="1420" w:type="dxa"/>
            <w:vAlign w:val="bottom"/>
          </w:tcPr>
          <w:p>
            <w:pPr>
              <w:spacing w:after="0"/>
              <w:rPr>
                <w:sz w:val="15"/>
                <w:szCs w:val="15"/>
                <w:color w:val="auto"/>
              </w:rPr>
            </w:pPr>
          </w:p>
        </w:tc>
      </w:tr>
      <w:tr>
        <w:trPr>
          <w:trHeight w:val="20"/>
        </w:trPr>
        <w:tc>
          <w:tcPr>
            <w:tcW w:w="59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10" w:lineRule="exact"/>
        <w:rPr>
          <w:sz w:val="20"/>
          <w:szCs w:val="20"/>
          <w:color w:val="auto"/>
        </w:rPr>
      </w:pPr>
    </w:p>
    <w:p>
      <w:pPr>
        <w:ind w:left="660" w:right="420" w:hanging="396"/>
        <w:spacing w:after="0" w:line="234"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These values reflect repurchases made under the Repurchase Program approved by the Board of Directors on November 14, 2016 and the increases approved by the Board of Directors on November 8, 2017, July 30, 2018 and May 9, 2019 which, in the aggregate, authorized total repurchases of $3,000 million. The Repurchase Program has no termination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644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4400" cy="762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500" w:type="dxa"/>
            <w:vAlign w:val="bottom"/>
          </w:tcPr>
          <w:p>
            <w:pPr>
              <w:spacing w:after="0"/>
              <w:rPr>
                <w:sz w:val="18"/>
                <w:szCs w:val="18"/>
                <w:color w:val="auto"/>
              </w:rPr>
            </w:pPr>
          </w:p>
        </w:tc>
        <w:tc>
          <w:tcPr>
            <w:tcW w:w="7480" w:type="dxa"/>
            <w:vAlign w:val="bottom"/>
            <w:gridSpan w:val="5"/>
          </w:tcPr>
          <w:p>
            <w:pPr>
              <w:ind w:left="20"/>
              <w:spacing w:after="0"/>
              <w:rPr>
                <w:sz w:val="20"/>
                <w:szCs w:val="20"/>
                <w:color w:val="auto"/>
              </w:rPr>
            </w:pPr>
            <w:r>
              <w:rPr>
                <w:rFonts w:ascii="Arial" w:cs="Arial" w:eastAsia="Arial" w:hAnsi="Arial"/>
                <w:sz w:val="16"/>
                <w:szCs w:val="16"/>
                <w:b w:val="1"/>
                <w:bCs w:val="1"/>
                <w:color w:val="auto"/>
              </w:rPr>
              <w:t>Exhibits</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920" w:type="dxa"/>
            <w:vAlign w:val="bottom"/>
            <w:gridSpan w:val="2"/>
          </w:tcPr>
          <w:p>
            <w:pPr>
              <w:spacing w:after="0"/>
              <w:rPr>
                <w:sz w:val="20"/>
                <w:szCs w:val="20"/>
                <w:color w:val="auto"/>
              </w:rPr>
            </w:pPr>
            <w:r>
              <w:rPr>
                <w:rFonts w:ascii="Arial" w:cs="Arial" w:eastAsia="Arial" w:hAnsi="Arial"/>
                <w:sz w:val="16"/>
                <w:szCs w:val="16"/>
                <w:color w:val="auto"/>
              </w:rPr>
              <w:t>(a) Exhibits</w:t>
            </w: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48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3"/>
                <w:szCs w:val="13"/>
                <w:b w:val="1"/>
                <w:bCs w:val="1"/>
                <w:color w:val="auto"/>
                <w:w w:val="92"/>
              </w:rPr>
              <w:t>Exhibit</w:t>
            </w: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9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rPr>
              <w:t>Description</w:t>
            </w: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80" w:type="dxa"/>
            <w:vAlign w:val="bottom"/>
          </w:tcPr>
          <w:p>
            <w:pPr>
              <w:spacing w:after="0"/>
              <w:rPr>
                <w:sz w:val="10"/>
                <w:szCs w:val="10"/>
                <w:color w:val="auto"/>
              </w:rPr>
            </w:pPr>
          </w:p>
        </w:tc>
        <w:tc>
          <w:tcPr>
            <w:tcW w:w="440" w:type="dxa"/>
            <w:vAlign w:val="bottom"/>
            <w:tcBorders>
              <w:top w:val="single" w:sz="8" w:color="auto"/>
            </w:tcBorders>
          </w:tcPr>
          <w:p>
            <w:pPr>
              <w:spacing w:after="0" w:line="121" w:lineRule="exact"/>
              <w:rPr>
                <w:sz w:val="20"/>
                <w:szCs w:val="20"/>
                <w:color w:val="auto"/>
              </w:rPr>
            </w:pPr>
            <w:r>
              <w:rPr>
                <w:rFonts w:ascii="Arial" w:cs="Arial" w:eastAsia="Arial" w:hAnsi="Arial"/>
                <w:sz w:val="13"/>
                <w:szCs w:val="13"/>
                <w:b w:val="1"/>
                <w:bCs w:val="1"/>
                <w:color w:val="auto"/>
                <w:w w:val="81"/>
              </w:rPr>
              <w:t>Number</w:t>
            </w:r>
          </w:p>
        </w:tc>
        <w:tc>
          <w:tcPr>
            <w:tcW w:w="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94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80" w:type="dxa"/>
            <w:vAlign w:val="bottom"/>
            <w:tcBorders>
              <w:right w:val="single" w:sz="8" w:color="auto"/>
            </w:tcBorders>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10.1</w:t>
            </w: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20" w:type="dxa"/>
            <w:vAlign w:val="bottom"/>
            <w:gridSpan w:val="12"/>
          </w:tcPr>
          <w:p>
            <w:pPr>
              <w:spacing w:after="0"/>
              <w:rPr>
                <w:rFonts w:ascii="Arial" w:cs="Arial" w:eastAsia="Arial" w:hAnsi="Arial"/>
                <w:sz w:val="16"/>
                <w:szCs w:val="16"/>
                <w:color w:val="0000EE"/>
              </w:rPr>
            </w:pPr>
            <w:hyperlink r:id="rId68">
              <w:r>
                <w:rPr>
                  <w:rFonts w:ascii="Arial" w:cs="Arial" w:eastAsia="Arial" w:hAnsi="Arial"/>
                  <w:sz w:val="16"/>
                  <w:szCs w:val="16"/>
                  <w:color w:val="0000EE"/>
                </w:rPr>
                <w:t>Amendment No. 1, dated October 11, 2019, to the Second Amended and Restated Credit Agreement, dated as of March 29, 2019, among</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500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20" w:type="dxa"/>
            <w:vAlign w:val="bottom"/>
            <w:gridSpan w:val="12"/>
          </w:tcPr>
          <w:p>
            <w:pPr>
              <w:spacing w:after="0" w:line="156" w:lineRule="exact"/>
              <w:rPr>
                <w:rFonts w:ascii="Arial" w:cs="Arial" w:eastAsia="Arial" w:hAnsi="Arial"/>
                <w:sz w:val="16"/>
                <w:szCs w:val="16"/>
                <w:color w:val="0000EE"/>
              </w:rPr>
            </w:pPr>
            <w:hyperlink r:id="rId68">
              <w:r>
                <w:rPr>
                  <w:rFonts w:ascii="Arial" w:cs="Arial" w:eastAsia="Arial" w:hAnsi="Arial"/>
                  <w:sz w:val="16"/>
                  <w:szCs w:val="16"/>
                  <w:color w:val="0000EE"/>
                </w:rPr>
                <w:t>Allison Transmission Holdings, Inc., Allison Transmission, Inc., as Borrower, the several banks and other financial institutions or entities from</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51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20" w:type="dxa"/>
            <w:vAlign w:val="bottom"/>
            <w:gridSpan w:val="12"/>
          </w:tcPr>
          <w:p>
            <w:pPr>
              <w:spacing w:after="0" w:line="156" w:lineRule="exact"/>
              <w:rPr>
                <w:rFonts w:ascii="Arial" w:cs="Arial" w:eastAsia="Arial" w:hAnsi="Arial"/>
                <w:sz w:val="16"/>
                <w:szCs w:val="16"/>
                <w:color w:val="0000EE"/>
                <w:w w:val="98"/>
              </w:rPr>
            </w:pPr>
            <w:hyperlink r:id="rId68">
              <w:r>
                <w:rPr>
                  <w:rFonts w:ascii="Arial" w:cs="Arial" w:eastAsia="Arial" w:hAnsi="Arial"/>
                  <w:sz w:val="16"/>
                  <w:szCs w:val="16"/>
                  <w:color w:val="0000EE"/>
                  <w:w w:val="98"/>
                </w:rPr>
                <w:t>time to time parties thereto as Lenders, Citibank, N.A., as Administrative Agent and as of the 2019 refinancing term Lender and the other agents</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940" w:type="dxa"/>
            <w:vAlign w:val="bottom"/>
            <w:tcBorders>
              <w:top w:val="single" w:sz="8" w:color="0000EE"/>
            </w:tcBorders>
            <w:gridSpan w:val="11"/>
          </w:tcPr>
          <w:p>
            <w:pPr>
              <w:spacing w:after="0" w:line="156" w:lineRule="exact"/>
              <w:rPr>
                <w:rFonts w:ascii="Arial" w:cs="Arial" w:eastAsia="Arial" w:hAnsi="Arial"/>
                <w:sz w:val="16"/>
                <w:szCs w:val="16"/>
                <w:color w:val="0000EE"/>
                <w:w w:val="99"/>
              </w:rPr>
            </w:pPr>
            <w:hyperlink r:id="rId68">
              <w:r>
                <w:rPr>
                  <w:rFonts w:ascii="Arial" w:cs="Arial" w:eastAsia="Arial" w:hAnsi="Arial"/>
                  <w:sz w:val="16"/>
                  <w:szCs w:val="16"/>
                  <w:color w:val="0000EE"/>
                  <w:w w:val="99"/>
                </w:rPr>
                <w:t>and arrangers party thereto (incorporated by reference to Exhibit 10.1 to the Registrant’s Current Report on Form 8-K filed October 15, 2019)</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31.1</w:t>
            </w: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80" w:type="dxa"/>
            <w:vAlign w:val="bottom"/>
            <w:gridSpan w:val="5"/>
          </w:tcPr>
          <w:p>
            <w:pPr>
              <w:spacing w:after="0"/>
              <w:rPr>
                <w:rFonts w:ascii="Arial" w:cs="Arial" w:eastAsia="Arial" w:hAnsi="Arial"/>
                <w:sz w:val="16"/>
                <w:szCs w:val="16"/>
                <w:color w:val="0000EE"/>
                <w:w w:val="97"/>
              </w:rPr>
            </w:pPr>
            <w:hyperlink w:anchor="page44">
              <w:r>
                <w:rPr>
                  <w:rFonts w:ascii="Arial" w:cs="Arial" w:eastAsia="Arial" w:hAnsi="Arial"/>
                  <w:sz w:val="16"/>
                  <w:szCs w:val="16"/>
                  <w:color w:val="0000EE"/>
                  <w:w w:val="97"/>
                </w:rPr>
                <w:t>Certification of Chief Executive Officer pursuant to Rule 13a-14(a)/15d-14(a) as adopted pursuant to Section</w:t>
              </w:r>
            </w:hyperlink>
          </w:p>
        </w:tc>
        <w:tc>
          <w:tcPr>
            <w:tcW w:w="2540" w:type="dxa"/>
            <w:vAlign w:val="bottom"/>
            <w:gridSpan w:val="7"/>
          </w:tcPr>
          <w:p>
            <w:pPr>
              <w:ind w:left="80"/>
              <w:spacing w:after="0"/>
              <w:rPr>
                <w:rFonts w:ascii="Arial" w:cs="Arial" w:eastAsia="Arial" w:hAnsi="Arial"/>
                <w:sz w:val="16"/>
                <w:szCs w:val="16"/>
                <w:color w:val="0000EE"/>
              </w:rPr>
            </w:pPr>
            <w:hyperlink w:anchor="page44">
              <w:r>
                <w:rPr>
                  <w:rFonts w:ascii="Arial" w:cs="Arial" w:eastAsia="Arial" w:hAnsi="Arial"/>
                  <w:sz w:val="16"/>
                  <w:szCs w:val="16"/>
                  <w:color w:val="0000EE"/>
                </w:rPr>
                <w:t>302 of the Sarbanes-Oxley Act of</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Borders>
              <w:top w:val="single" w:sz="8" w:color="0000EE"/>
              <w:bottom w:val="single" w:sz="8" w:color="0000EE"/>
            </w:tcBorders>
          </w:tcPr>
          <w:p>
            <w:pPr>
              <w:spacing w:after="0" w:line="156" w:lineRule="exact"/>
              <w:rPr>
                <w:rFonts w:ascii="Arial" w:cs="Arial" w:eastAsia="Arial" w:hAnsi="Arial"/>
                <w:sz w:val="16"/>
                <w:szCs w:val="16"/>
                <w:color w:val="0000EE"/>
                <w:w w:val="96"/>
              </w:rPr>
            </w:pPr>
            <w:hyperlink w:anchor="page44">
              <w:r>
                <w:rPr>
                  <w:rFonts w:ascii="Arial" w:cs="Arial" w:eastAsia="Arial" w:hAnsi="Arial"/>
                  <w:sz w:val="16"/>
                  <w:szCs w:val="16"/>
                  <w:color w:val="0000EE"/>
                  <w:w w:val="96"/>
                </w:rPr>
                <w:t>2002 (filed herewith)</w:t>
              </w:r>
            </w:hyperlink>
          </w:p>
        </w:tc>
        <w:tc>
          <w:tcPr>
            <w:tcW w:w="6060" w:type="dxa"/>
            <w:vAlign w:val="bottom"/>
            <w:tcBorders>
              <w:top w:val="single" w:sz="8" w:color="0000EE"/>
            </w:tcBorders>
            <w:gridSpan w:val="4"/>
          </w:tcPr>
          <w:p>
            <w:pPr>
              <w:spacing w:after="0"/>
              <w:rPr>
                <w:sz w:val="13"/>
                <w:szCs w:val="13"/>
                <w:color w:val="auto"/>
              </w:rPr>
            </w:pPr>
          </w:p>
        </w:tc>
        <w:tc>
          <w:tcPr>
            <w:tcW w:w="20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31.2</w:t>
            </w: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80" w:type="dxa"/>
            <w:vAlign w:val="bottom"/>
            <w:gridSpan w:val="5"/>
          </w:tcPr>
          <w:p>
            <w:pPr>
              <w:spacing w:after="0"/>
              <w:rPr>
                <w:rFonts w:ascii="Arial" w:cs="Arial" w:eastAsia="Arial" w:hAnsi="Arial"/>
                <w:sz w:val="16"/>
                <w:szCs w:val="16"/>
                <w:color w:val="0000EE"/>
                <w:w w:val="98"/>
              </w:rPr>
            </w:pPr>
            <w:hyperlink w:anchor="page46">
              <w:r>
                <w:rPr>
                  <w:rFonts w:ascii="Arial" w:cs="Arial" w:eastAsia="Arial" w:hAnsi="Arial"/>
                  <w:sz w:val="16"/>
                  <w:szCs w:val="16"/>
                  <w:color w:val="0000EE"/>
                  <w:w w:val="98"/>
                </w:rPr>
                <w:t>Certification of Chief Financial Officer pursuant to Rule 13a-14(a)/15d-14(a) as adopted pursuant to Section</w:t>
              </w:r>
            </w:hyperlink>
          </w:p>
        </w:tc>
        <w:tc>
          <w:tcPr>
            <w:tcW w:w="2540" w:type="dxa"/>
            <w:vAlign w:val="bottom"/>
            <w:gridSpan w:val="7"/>
          </w:tcPr>
          <w:p>
            <w:pPr>
              <w:ind w:left="20"/>
              <w:spacing w:after="0"/>
              <w:rPr>
                <w:rFonts w:ascii="Arial" w:cs="Arial" w:eastAsia="Arial" w:hAnsi="Arial"/>
                <w:sz w:val="16"/>
                <w:szCs w:val="16"/>
                <w:color w:val="0000EE"/>
              </w:rPr>
            </w:pPr>
            <w:hyperlink w:anchor="page46">
              <w:r>
                <w:rPr>
                  <w:rFonts w:ascii="Arial" w:cs="Arial" w:eastAsia="Arial" w:hAnsi="Arial"/>
                  <w:sz w:val="16"/>
                  <w:szCs w:val="16"/>
                  <w:color w:val="0000EE"/>
                </w:rPr>
                <w:t>302 of the Sarbanes-Oxley Act of</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20" w:type="dxa"/>
            <w:vAlign w:val="bottom"/>
            <w:tcBorders>
              <w:top w:val="single" w:sz="8" w:color="0000EE"/>
              <w:bottom w:val="single" w:sz="8" w:color="0000EE"/>
            </w:tcBorders>
          </w:tcPr>
          <w:p>
            <w:pPr>
              <w:spacing w:after="0" w:line="156" w:lineRule="exact"/>
              <w:rPr>
                <w:rFonts w:ascii="Arial" w:cs="Arial" w:eastAsia="Arial" w:hAnsi="Arial"/>
                <w:sz w:val="16"/>
                <w:szCs w:val="16"/>
                <w:color w:val="0000EE"/>
                <w:w w:val="96"/>
              </w:rPr>
            </w:pPr>
            <w:hyperlink w:anchor="page46">
              <w:r>
                <w:rPr>
                  <w:rFonts w:ascii="Arial" w:cs="Arial" w:eastAsia="Arial" w:hAnsi="Arial"/>
                  <w:sz w:val="16"/>
                  <w:szCs w:val="16"/>
                  <w:color w:val="0000EE"/>
                  <w:w w:val="96"/>
                </w:rPr>
                <w:t>2002 (filed herewith)</w:t>
              </w:r>
            </w:hyperlink>
          </w:p>
        </w:tc>
        <w:tc>
          <w:tcPr>
            <w:tcW w:w="6060" w:type="dxa"/>
            <w:vAlign w:val="bottom"/>
            <w:tcBorders>
              <w:top w:val="single" w:sz="8" w:color="0000EE"/>
            </w:tcBorders>
            <w:gridSpan w:val="4"/>
          </w:tcPr>
          <w:p>
            <w:pPr>
              <w:spacing w:after="0"/>
              <w:rPr>
                <w:sz w:val="13"/>
                <w:szCs w:val="13"/>
                <w:color w:val="auto"/>
              </w:rPr>
            </w:pPr>
          </w:p>
        </w:tc>
        <w:tc>
          <w:tcPr>
            <w:tcW w:w="20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480" w:type="dxa"/>
            <w:vAlign w:val="bottom"/>
          </w:tcPr>
          <w:p>
            <w:pPr>
              <w:jc w:val="right"/>
              <w:ind w:right="62"/>
              <w:spacing w:after="0"/>
              <w:rPr>
                <w:sz w:val="20"/>
                <w:szCs w:val="20"/>
                <w:color w:val="auto"/>
              </w:rPr>
            </w:pPr>
            <w:r>
              <w:rPr>
                <w:rFonts w:ascii="Arial" w:cs="Arial" w:eastAsia="Arial" w:hAnsi="Arial"/>
                <w:sz w:val="16"/>
                <w:szCs w:val="16"/>
                <w:color w:val="auto"/>
              </w:rPr>
              <w:t>32.1</w:t>
            </w:r>
          </w:p>
        </w:tc>
        <w:tc>
          <w:tcPr>
            <w:tcW w:w="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20" w:type="dxa"/>
            <w:vAlign w:val="bottom"/>
            <w:gridSpan w:val="12"/>
          </w:tcPr>
          <w:p>
            <w:pPr>
              <w:spacing w:after="0"/>
              <w:rPr>
                <w:rFonts w:ascii="Arial" w:cs="Arial" w:eastAsia="Arial" w:hAnsi="Arial"/>
                <w:sz w:val="16"/>
                <w:szCs w:val="16"/>
                <w:color w:val="0000EE"/>
                <w:w w:val="99"/>
              </w:rPr>
            </w:pPr>
            <w:hyperlink w:anchor="page47">
              <w:r>
                <w:rPr>
                  <w:rFonts w:ascii="Arial" w:cs="Arial" w:eastAsia="Arial" w:hAnsi="Arial"/>
                  <w:sz w:val="16"/>
                  <w:szCs w:val="16"/>
                  <w:color w:val="0000EE"/>
                  <w:w w:val="99"/>
                </w:rPr>
                <w:t>Certification of Periodic Report by Chief Executive Officer and Chief Financial Officer pursuant to 18 U.S.C. Section 1350, as adopted pursuant</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540" w:type="dxa"/>
            <w:vAlign w:val="bottom"/>
            <w:tcBorders>
              <w:top w:val="single" w:sz="8" w:color="0000EE"/>
              <w:bottom w:val="single" w:sz="8" w:color="0000EE"/>
            </w:tcBorders>
            <w:gridSpan w:val="2"/>
          </w:tcPr>
          <w:p>
            <w:pPr>
              <w:spacing w:after="0" w:line="156" w:lineRule="exact"/>
              <w:rPr>
                <w:rFonts w:ascii="Arial" w:cs="Arial" w:eastAsia="Arial" w:hAnsi="Arial"/>
                <w:sz w:val="16"/>
                <w:szCs w:val="16"/>
                <w:color w:val="0000EE"/>
                <w:w w:val="98"/>
              </w:rPr>
            </w:pPr>
            <w:hyperlink w:anchor="page47">
              <w:r>
                <w:rPr>
                  <w:rFonts w:ascii="Arial" w:cs="Arial" w:eastAsia="Arial" w:hAnsi="Arial"/>
                  <w:sz w:val="16"/>
                  <w:szCs w:val="16"/>
                  <w:color w:val="0000EE"/>
                  <w:w w:val="98"/>
                </w:rPr>
                <w:t>to Section 906 of the Sarbanes-Oxley Act of 2002 (filed herewith)</w:t>
              </w:r>
            </w:hyperlink>
          </w:p>
        </w:tc>
        <w:tc>
          <w:tcPr>
            <w:tcW w:w="2940" w:type="dxa"/>
            <w:vAlign w:val="bottom"/>
            <w:tcBorders>
              <w:top w:val="single" w:sz="8" w:color="0000EE"/>
            </w:tcBorders>
            <w:gridSpan w:val="3"/>
          </w:tcPr>
          <w:p>
            <w:pPr>
              <w:spacing w:after="0"/>
              <w:rPr>
                <w:sz w:val="13"/>
                <w:szCs w:val="13"/>
                <w:color w:val="auto"/>
              </w:rPr>
            </w:pPr>
          </w:p>
        </w:tc>
        <w:tc>
          <w:tcPr>
            <w:tcW w:w="20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420" w:right="220" w:hanging="1379"/>
        <w:spacing w:after="0" w:line="233" w:lineRule="auto"/>
        <w:tabs>
          <w:tab w:leader="none" w:pos="14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financial information from the Registrant’s Quarterly Report on Form 10-Q for the quarter ended September 30, 2019, formatted in Inline XBRL (eXtensible Business Reporting Language): (i) the Condensed Consolidated Balance Sheets; (ii) the Condensed Consolidated Statements of Comprehensive Income; (iii) the Condensed Consolidated Statements of Cash Flows; and (iv) the Notes to Condensed Consolidated Financial Statements</w:t>
      </w:r>
    </w:p>
    <w:p>
      <w:pPr>
        <w:spacing w:after="0" w:line="95" w:lineRule="exact"/>
        <w:rPr>
          <w:sz w:val="20"/>
          <w:szCs w:val="20"/>
          <w:color w:val="auto"/>
        </w:rPr>
      </w:pPr>
    </w:p>
    <w:p>
      <w:pPr>
        <w:ind w:left="1420" w:right="240" w:hanging="1379"/>
        <w:spacing w:after="0" w:line="237" w:lineRule="auto"/>
        <w:tabs>
          <w:tab w:leader="none" w:pos="142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Cover Page Interactive Data File – The cover page from the Registrant’s Quarterly Report on Form 10-Q for the quarter ended September 30, 2019, formatted in Inline XBRL and contained in Exhibit 101</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42545</wp:posOffset>
            </wp:positionV>
            <wp:extent cx="728980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89800" cy="40005"/>
                    </a:xfrm>
                    <a:prstGeom prst="rect">
                      <a:avLst/>
                    </a:prstGeom>
                    <a:noFill/>
                  </pic:spPr>
                </pic:pic>
              </a:graphicData>
            </a:graphic>
          </wp:anchor>
        </w:drawing>
      </w:r>
    </w:p>
    <w:p>
      <w:pPr>
        <w:sectPr>
          <w:pgSz w:w="11900" w:h="16838" w:orient="portrait"/>
          <w:cols w:equalWidth="0" w:num="1">
            <w:col w:w="11440"/>
          </w:cols>
          <w:pgMar w:left="240" w:top="140" w:right="21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ind w:firstLine="537"/>
        <w:spacing w:after="0" w:line="23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0" w:type="dxa"/>
            <w:vAlign w:val="bottom"/>
            <w:gridSpan w:val="3"/>
          </w:tcPr>
          <w:p>
            <w:pPr>
              <w:ind w:left="120"/>
              <w:spacing w:after="0"/>
              <w:rPr>
                <w:sz w:val="20"/>
                <w:szCs w:val="20"/>
                <w:color w:val="auto"/>
              </w:rPr>
            </w:pPr>
            <w:r>
              <w:rPr>
                <w:rFonts w:ascii="Arial" w:cs="Arial" w:eastAsia="Arial" w:hAnsi="Arial"/>
                <w:sz w:val="16"/>
                <w:szCs w:val="16"/>
                <w:b w:val="1"/>
                <w:bCs w:val="1"/>
                <w:color w:val="auto"/>
              </w:rPr>
              <w:t>ALLISON TRANSMISSION HOLDINGS, INC.</w:t>
            </w:r>
          </w:p>
        </w:tc>
      </w:tr>
      <w:tr>
        <w:trPr>
          <w:trHeight w:val="223"/>
        </w:trPr>
        <w:tc>
          <w:tcPr>
            <w:tcW w:w="2100" w:type="dxa"/>
            <w:vAlign w:val="bottom"/>
          </w:tcPr>
          <w:p>
            <w:pPr>
              <w:spacing w:after="0"/>
              <w:rPr>
                <w:sz w:val="20"/>
                <w:szCs w:val="20"/>
                <w:color w:val="auto"/>
              </w:rPr>
            </w:pPr>
            <w:r>
              <w:rPr>
                <w:rFonts w:ascii="Arial" w:cs="Arial" w:eastAsia="Arial" w:hAnsi="Arial"/>
                <w:sz w:val="16"/>
                <w:szCs w:val="16"/>
                <w:color w:val="auto"/>
              </w:rPr>
              <w:t>Date: October 31, 2019</w:t>
            </w:r>
          </w:p>
        </w:tc>
        <w:tc>
          <w:tcPr>
            <w:tcW w:w="860" w:type="dxa"/>
            <w:vAlign w:val="bottom"/>
          </w:tcPr>
          <w:p>
            <w:pPr>
              <w:ind w:left="500"/>
              <w:spacing w:after="0"/>
              <w:rPr>
                <w:sz w:val="20"/>
                <w:szCs w:val="20"/>
                <w:color w:val="auto"/>
              </w:rPr>
            </w:pPr>
            <w:r>
              <w:rPr>
                <w:rFonts w:ascii="Arial" w:cs="Arial" w:eastAsia="Arial" w:hAnsi="Arial"/>
                <w:sz w:val="16"/>
                <w:szCs w:val="16"/>
                <w:color w:val="auto"/>
              </w:rPr>
              <w:t>By:</w:t>
            </w:r>
          </w:p>
        </w:tc>
        <w:tc>
          <w:tcPr>
            <w:tcW w:w="6400" w:type="dxa"/>
            <w:vAlign w:val="bottom"/>
            <w:gridSpan w:val="3"/>
          </w:tcPr>
          <w:p>
            <w:pPr>
              <w:ind w:left="120"/>
              <w:spacing w:after="0"/>
              <w:rPr>
                <w:sz w:val="20"/>
                <w:szCs w:val="20"/>
                <w:color w:val="auto"/>
              </w:rPr>
            </w:pPr>
            <w:r>
              <w:rPr>
                <w:rFonts w:ascii="Arial" w:cs="Arial" w:eastAsia="Arial" w:hAnsi="Arial"/>
                <w:sz w:val="16"/>
                <w:szCs w:val="16"/>
                <w:color w:val="auto"/>
              </w:rPr>
              <w:t>/s/ David S. Graziosi</w:t>
            </w:r>
          </w:p>
        </w:tc>
      </w:tr>
      <w:tr>
        <w:trPr>
          <w:trHeight w:val="367"/>
        </w:trPr>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auto"/>
                <w:w w:val="97"/>
              </w:rPr>
              <w:t>Name:</w:t>
            </w:r>
          </w:p>
        </w:tc>
        <w:tc>
          <w:tcPr>
            <w:tcW w:w="516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rPr>
              <w:t>David S. Graziosi</w:t>
            </w:r>
          </w:p>
        </w:tc>
      </w:tr>
      <w:tr>
        <w:trPr>
          <w:trHeight w:val="258"/>
        </w:trPr>
        <w:tc>
          <w:tcPr>
            <w:tcW w:w="2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160" w:type="dxa"/>
            <w:vAlign w:val="bottom"/>
          </w:tcPr>
          <w:p>
            <w:pPr>
              <w:ind w:left="220"/>
              <w:spacing w:after="0"/>
              <w:rPr>
                <w:sz w:val="20"/>
                <w:szCs w:val="20"/>
                <w:color w:val="auto"/>
              </w:rPr>
            </w:pPr>
            <w:r>
              <w:rPr>
                <w:rFonts w:ascii="Arial" w:cs="Arial" w:eastAsia="Arial" w:hAnsi="Arial"/>
                <w:sz w:val="16"/>
                <w:szCs w:val="16"/>
                <w:color w:val="auto"/>
              </w:rPr>
              <w:t>President and Chief Executive Officer</w:t>
            </w:r>
          </w:p>
        </w:tc>
      </w:tr>
      <w:tr>
        <w:trPr>
          <w:trHeight w:val="176"/>
        </w:trPr>
        <w:tc>
          <w:tcPr>
            <w:tcW w:w="2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160" w:type="dxa"/>
            <w:vAlign w:val="bottom"/>
          </w:tcPr>
          <w:p>
            <w:pPr>
              <w:ind w:left="220"/>
              <w:spacing w:after="0" w:line="176" w:lineRule="exact"/>
              <w:rPr>
                <w:sz w:val="20"/>
                <w:szCs w:val="20"/>
                <w:color w:val="auto"/>
              </w:rPr>
            </w:pPr>
            <w:r>
              <w:rPr>
                <w:rFonts w:ascii="Arial" w:cs="Arial" w:eastAsia="Arial" w:hAnsi="Arial"/>
                <w:sz w:val="16"/>
                <w:szCs w:val="16"/>
                <w:color w:val="auto"/>
              </w:rPr>
              <w:t>(Principal Executive Officer)</w:t>
            </w:r>
          </w:p>
        </w:tc>
      </w:tr>
      <w:tr>
        <w:trPr>
          <w:trHeight w:val="188"/>
        </w:trPr>
        <w:tc>
          <w:tcPr>
            <w:tcW w:w="2100" w:type="dxa"/>
            <w:vAlign w:val="bottom"/>
          </w:tcPr>
          <w:p>
            <w:pPr>
              <w:spacing w:after="0"/>
              <w:rPr>
                <w:sz w:val="20"/>
                <w:szCs w:val="20"/>
                <w:color w:val="auto"/>
              </w:rPr>
            </w:pPr>
            <w:r>
              <w:rPr>
                <w:rFonts w:ascii="Arial" w:cs="Arial" w:eastAsia="Arial" w:hAnsi="Arial"/>
                <w:sz w:val="16"/>
                <w:szCs w:val="16"/>
                <w:color w:val="auto"/>
              </w:rPr>
              <w:t>Date: October 31, 2019</w:t>
            </w:r>
          </w:p>
        </w:tc>
        <w:tc>
          <w:tcPr>
            <w:tcW w:w="860" w:type="dxa"/>
            <w:vAlign w:val="bottom"/>
          </w:tcPr>
          <w:p>
            <w:pPr>
              <w:ind w:left="500"/>
              <w:spacing w:after="0"/>
              <w:rPr>
                <w:sz w:val="20"/>
                <w:szCs w:val="20"/>
                <w:color w:val="auto"/>
              </w:rPr>
            </w:pPr>
            <w:r>
              <w:rPr>
                <w:rFonts w:ascii="Arial" w:cs="Arial" w:eastAsia="Arial" w:hAnsi="Arial"/>
                <w:sz w:val="16"/>
                <w:szCs w:val="16"/>
                <w:color w:val="auto"/>
              </w:rPr>
              <w:t>By:</w:t>
            </w:r>
          </w:p>
        </w:tc>
        <w:tc>
          <w:tcPr>
            <w:tcW w:w="6400" w:type="dxa"/>
            <w:vAlign w:val="bottom"/>
            <w:gridSpan w:val="3"/>
          </w:tcPr>
          <w:p>
            <w:pPr>
              <w:ind w:left="120"/>
              <w:spacing w:after="0"/>
              <w:rPr>
                <w:sz w:val="20"/>
                <w:szCs w:val="20"/>
                <w:color w:val="auto"/>
              </w:rPr>
            </w:pPr>
            <w:r>
              <w:rPr>
                <w:rFonts w:ascii="Arial" w:cs="Arial" w:eastAsia="Arial" w:hAnsi="Arial"/>
                <w:sz w:val="16"/>
                <w:szCs w:val="16"/>
                <w:color w:val="auto"/>
              </w:rPr>
              <w:t>/s/ G. Frederick Bohley</w:t>
            </w:r>
          </w:p>
        </w:tc>
      </w:tr>
      <w:tr>
        <w:trPr>
          <w:trHeight w:val="367"/>
        </w:trPr>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jc w:val="center"/>
              <w:ind w:left="142"/>
              <w:spacing w:after="0"/>
              <w:rPr>
                <w:sz w:val="20"/>
                <w:szCs w:val="20"/>
                <w:color w:val="auto"/>
              </w:rPr>
            </w:pPr>
            <w:r>
              <w:rPr>
                <w:rFonts w:ascii="Arial" w:cs="Arial" w:eastAsia="Arial" w:hAnsi="Arial"/>
                <w:sz w:val="16"/>
                <w:szCs w:val="16"/>
                <w:color w:val="auto"/>
                <w:w w:val="97"/>
              </w:rPr>
              <w:t>Name:</w:t>
            </w:r>
          </w:p>
        </w:tc>
        <w:tc>
          <w:tcPr>
            <w:tcW w:w="516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rPr>
              <w:t>G. Frederick Bohley</w:t>
            </w:r>
          </w:p>
        </w:tc>
      </w:tr>
      <w:tr>
        <w:trPr>
          <w:trHeight w:val="223"/>
        </w:trPr>
        <w:tc>
          <w:tcPr>
            <w:tcW w:w="2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center"/>
              <w:ind w:left="142"/>
              <w:spacing w:after="0"/>
              <w:rPr>
                <w:sz w:val="20"/>
                <w:szCs w:val="20"/>
                <w:color w:val="auto"/>
              </w:rPr>
            </w:pPr>
            <w:r>
              <w:rPr>
                <w:rFonts w:ascii="Arial" w:cs="Arial" w:eastAsia="Arial" w:hAnsi="Arial"/>
                <w:sz w:val="16"/>
                <w:szCs w:val="16"/>
                <w:color w:val="auto"/>
                <w:w w:val="97"/>
              </w:rPr>
              <w:t>Title:</w:t>
            </w:r>
          </w:p>
        </w:tc>
        <w:tc>
          <w:tcPr>
            <w:tcW w:w="5160" w:type="dxa"/>
            <w:vAlign w:val="bottom"/>
          </w:tcPr>
          <w:p>
            <w:pPr>
              <w:ind w:left="220"/>
              <w:spacing w:after="0"/>
              <w:rPr>
                <w:sz w:val="20"/>
                <w:szCs w:val="20"/>
                <w:color w:val="auto"/>
              </w:rPr>
            </w:pPr>
            <w:r>
              <w:rPr>
                <w:rFonts w:ascii="Arial" w:cs="Arial" w:eastAsia="Arial" w:hAnsi="Arial"/>
                <w:sz w:val="16"/>
                <w:szCs w:val="16"/>
                <w:color w:val="auto"/>
                <w:w w:val="99"/>
              </w:rPr>
              <w:t>Senior Vice President, Chief Financial Officer and Treasurer (Principal</w:t>
            </w:r>
          </w:p>
        </w:tc>
      </w:tr>
      <w:tr>
        <w:trPr>
          <w:trHeight w:val="188"/>
        </w:trPr>
        <w:tc>
          <w:tcPr>
            <w:tcW w:w="2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160" w:type="dxa"/>
            <w:vAlign w:val="bottom"/>
          </w:tcPr>
          <w:p>
            <w:pPr>
              <w:ind w:left="220"/>
              <w:spacing w:after="0"/>
              <w:rPr>
                <w:sz w:val="20"/>
                <w:szCs w:val="20"/>
                <w:color w:val="auto"/>
              </w:rPr>
            </w:pPr>
            <w:r>
              <w:rPr>
                <w:rFonts w:ascii="Arial" w:cs="Arial" w:eastAsia="Arial" w:hAnsi="Arial"/>
                <w:sz w:val="16"/>
                <w:szCs w:val="16"/>
                <w:color w:val="auto"/>
              </w:rPr>
              <w:t>Financial Officer and Principal Accounting Officer)</w:t>
            </w:r>
          </w:p>
        </w:tc>
      </w:tr>
      <w:tr>
        <w:trPr>
          <w:trHeight w:val="774"/>
        </w:trPr>
        <w:tc>
          <w:tcPr>
            <w:tcW w:w="2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60" w:type="dxa"/>
            <w:vAlign w:val="bottom"/>
          </w:tcPr>
          <w:p>
            <w:pPr>
              <w:ind w:left="1420"/>
              <w:spacing w:after="0"/>
              <w:rPr>
                <w:sz w:val="20"/>
                <w:szCs w:val="20"/>
                <w:color w:val="auto"/>
              </w:rPr>
            </w:pPr>
            <w:r>
              <w:rPr>
                <w:rFonts w:ascii="Arial" w:cs="Arial" w:eastAsia="Arial" w:hAnsi="Arial"/>
                <w:sz w:val="16"/>
                <w:szCs w:val="16"/>
                <w:color w:val="auto"/>
              </w:rPr>
              <w:t>43</w:t>
            </w:r>
          </w:p>
        </w:tc>
      </w:tr>
    </w:tbl>
    <w:p>
      <w:pPr>
        <w:sectPr>
          <w:pgSz w:w="11900" w:h="16838" w:orient="portrait"/>
          <w:cols w:equalWidth="0" w:num="1">
            <w:col w:w="11360"/>
          </w:cols>
          <w:pgMar w:left="240" w:top="140" w:right="29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color w:val="auto"/>
        </w:rPr>
        <w:t>Exhibit 31.1</w:t>
      </w:r>
    </w:p>
    <w:p>
      <w:pPr>
        <w:spacing w:after="0" w:line="145" w:lineRule="exact"/>
        <w:rPr>
          <w:sz w:val="20"/>
          <w:szCs w:val="20"/>
          <w:color w:val="auto"/>
        </w:rPr>
      </w:pPr>
    </w:p>
    <w:p>
      <w:pPr>
        <w:jc w:val="center"/>
        <w:ind w:left="240" w:right="2800"/>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6"/>
          <w:szCs w:val="16"/>
          <w:color w:val="auto"/>
        </w:rPr>
        <w:t>I, David S. Graziosi, certify that:</w:t>
      </w:r>
    </w:p>
    <w:p>
      <w:pPr>
        <w:spacing w:after="0" w:line="191" w:lineRule="exact"/>
        <w:rPr>
          <w:sz w:val="20"/>
          <w:szCs w:val="20"/>
          <w:color w:val="auto"/>
        </w:rPr>
      </w:pPr>
    </w:p>
    <w:p>
      <w:pPr>
        <w:ind w:left="766" w:hanging="766"/>
        <w:spacing w:after="0"/>
        <w:tabs>
          <w:tab w:leader="none" w:pos="766" w:val="left"/>
        </w:tabs>
        <w:numPr>
          <w:ilvl w:val="0"/>
          <w:numId w:val="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66" w:right="300" w:hanging="766"/>
        <w:spacing w:after="0" w:line="298" w:lineRule="auto"/>
        <w:tabs>
          <w:tab w:leader="none" w:pos="766" w:val="left"/>
        </w:tabs>
        <w:numPr>
          <w:ilvl w:val="0"/>
          <w:numId w:val="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5"/>
          <w:szCs w:val="15"/>
          <w:color w:val="auto"/>
        </w:rPr>
      </w:pPr>
    </w:p>
    <w:p>
      <w:pPr>
        <w:ind w:left="766" w:right="300" w:hanging="766"/>
        <w:spacing w:after="0" w:line="264" w:lineRule="auto"/>
        <w:tabs>
          <w:tab w:leader="none" w:pos="76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6"/>
          <w:szCs w:val="16"/>
          <w:color w:val="auto"/>
        </w:rPr>
      </w:pPr>
    </w:p>
    <w:p>
      <w:pPr>
        <w:ind w:left="766" w:right="120" w:hanging="766"/>
        <w:spacing w:after="0" w:line="381" w:lineRule="auto"/>
        <w:tabs>
          <w:tab w:leader="none" w:pos="766"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3"/>
          <w:szCs w:val="13"/>
          <w:color w:val="auto"/>
        </w:rPr>
      </w:pPr>
    </w:p>
    <w:p>
      <w:pPr>
        <w:ind w:left="1526" w:right="100" w:hanging="763"/>
        <w:spacing w:after="0" w:line="254" w:lineRule="auto"/>
        <w:tabs>
          <w:tab w:leader="none" w:pos="152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6"/>
          <w:szCs w:val="16"/>
          <w:color w:val="auto"/>
        </w:rPr>
      </w:pPr>
    </w:p>
    <w:p>
      <w:pPr>
        <w:ind w:left="1526" w:right="240" w:hanging="763"/>
        <w:spacing w:after="0" w:line="254" w:lineRule="auto"/>
        <w:tabs>
          <w:tab w:leader="none" w:pos="1526"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6"/>
          <w:szCs w:val="16"/>
          <w:color w:val="auto"/>
        </w:rPr>
      </w:pPr>
    </w:p>
    <w:p>
      <w:pPr>
        <w:ind w:left="1526" w:right="260" w:hanging="763"/>
        <w:spacing w:after="0" w:line="264" w:lineRule="auto"/>
        <w:tabs>
          <w:tab w:leader="none" w:pos="1526"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6"/>
          <w:szCs w:val="16"/>
          <w:color w:val="auto"/>
        </w:rPr>
      </w:pPr>
    </w:p>
    <w:p>
      <w:pPr>
        <w:ind w:left="1526" w:right="220" w:hanging="763"/>
        <w:spacing w:after="0" w:line="254" w:lineRule="auto"/>
        <w:tabs>
          <w:tab w:leader="none" w:pos="1526"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766" w:right="220" w:hanging="766"/>
        <w:spacing w:after="0" w:line="264" w:lineRule="auto"/>
        <w:tabs>
          <w:tab w:leader="none" w:pos="76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526" w:right="440" w:hanging="763"/>
        <w:spacing w:after="0" w:line="264" w:lineRule="auto"/>
        <w:tabs>
          <w:tab w:leader="none" w:pos="1526"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526" w:right="60" w:hanging="763"/>
        <w:spacing w:after="0" w:line="264" w:lineRule="auto"/>
        <w:tabs>
          <w:tab w:leader="none" w:pos="1526" w:val="left"/>
        </w:tabs>
        <w:numPr>
          <w:ilvl w:val="1"/>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October 31, 2019</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63601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636010" cy="7620"/>
                    </a:xfrm>
                    <a:prstGeom prst="rect">
                      <a:avLst/>
                    </a:prstGeom>
                    <a:noFill/>
                  </pic:spPr>
                </pic:pic>
              </a:graphicData>
            </a:graphic>
          </wp:anchor>
        </w:drawing>
      </w:r>
    </w:p>
    <w:p>
      <w:pPr>
        <w:ind w:left="6"/>
        <w:spacing w:after="0"/>
        <w:tabs>
          <w:tab w:leader="none" w:pos="466" w:val="left"/>
        </w:tabs>
        <w:rPr>
          <w:sz w:val="20"/>
          <w:szCs w:val="20"/>
          <w:color w:val="auto"/>
        </w:rPr>
      </w:pPr>
      <w:r>
        <w:rPr>
          <w:rFonts w:ascii="Arial" w:cs="Arial" w:eastAsia="Arial" w:hAnsi="Arial"/>
          <w:sz w:val="16"/>
          <w:szCs w:val="16"/>
          <w:color w:val="auto"/>
        </w:rPr>
        <w:t>Title:</w:t>
        <w:tab/>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757555</wp:posOffset>
            </wp:positionV>
            <wp:extent cx="730504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305040" cy="40005"/>
                    </a:xfrm>
                    <a:prstGeom prst="rect">
                      <a:avLst/>
                    </a:prstGeom>
                    <a:noFill/>
                  </pic:spPr>
                </pic:pic>
              </a:graphicData>
            </a:graphic>
          </wp:anchor>
        </w:drawing>
      </w:r>
    </w:p>
    <w:p>
      <w:pPr>
        <w:sectPr>
          <w:pgSz w:w="11900" w:h="16838" w:orient="portrait"/>
          <w:cols w:equalWidth="0" w:num="1">
            <w:col w:w="11446"/>
          </w:cols>
          <w:pgMar w:left="234" w:top="123" w:right="219" w:bottom="1440" w:gutter="0" w:footer="0" w:header="0"/>
        </w:sectPr>
      </w:pPr>
    </w:p>
    <w:bookmarkStart w:id="44" w:name="page45"/>
    <w:bookmarkEnd w:id="44"/>
    <w:p>
      <w:pPr>
        <w:ind w:left="9420"/>
        <w:spacing w:after="0"/>
        <w:rPr>
          <w:sz w:val="20"/>
          <w:szCs w:val="20"/>
          <w:color w:val="auto"/>
        </w:rPr>
      </w:pPr>
      <w:r>
        <w:rPr>
          <w:rFonts w:ascii="Arial" w:cs="Arial" w:eastAsia="Arial" w:hAnsi="Arial"/>
          <w:sz w:val="13"/>
          <w:szCs w:val="13"/>
          <w:b w:val="1"/>
          <w:bCs w:val="1"/>
          <w:color w:val="auto"/>
        </w:rPr>
        <w:t>Exhibit 31.1</w:t>
      </w:r>
    </w:p>
    <w:p>
      <w:pPr>
        <w:sectPr>
          <w:pgSz w:w="11900" w:h="16838" w:orient="portrait"/>
          <w:cols w:equalWidth="0" w:num="1">
            <w:col w:w="10240"/>
          </w:cols>
          <w:pgMar w:left="1440" w:top="123" w:right="21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145" w:lineRule="exact"/>
        <w:rPr>
          <w:sz w:val="20"/>
          <w:szCs w:val="20"/>
          <w:color w:val="auto"/>
        </w:rPr>
      </w:pPr>
    </w:p>
    <w:p>
      <w:pPr>
        <w:jc w:val="center"/>
        <w:ind w:left="240" w:right="2800"/>
        <w:spacing w:after="0" w:line="257" w:lineRule="auto"/>
        <w:rPr>
          <w:sz w:val="20"/>
          <w:szCs w:val="20"/>
          <w:color w:val="auto"/>
        </w:rPr>
      </w:pPr>
      <w:r>
        <w:rPr>
          <w:rFonts w:ascii="Arial" w:cs="Arial" w:eastAsia="Arial" w:hAnsi="Arial"/>
          <w:sz w:val="16"/>
          <w:szCs w:val="16"/>
          <w:b w:val="1"/>
          <w:bCs w:val="1"/>
          <w:color w:val="auto"/>
        </w:rPr>
        <w:t>CERTIFICATION PURSUANT TO RULE 13a-14(a)/15d-14(a) OF THE SECURITIES EXCHANGE ACT OF 1934, AS ADOPTED PURSUANT TO SECTION 302 OF THE SARBANES-OXLEY ACT OF 2002</w:t>
      </w:r>
    </w:p>
    <w:p>
      <w:pPr>
        <w:spacing w:after="0" w:line="164" w:lineRule="exact"/>
        <w:rPr>
          <w:sz w:val="20"/>
          <w:szCs w:val="20"/>
          <w:color w:val="auto"/>
        </w:rPr>
      </w:pPr>
    </w:p>
    <w:p>
      <w:pPr>
        <w:ind w:left="6"/>
        <w:spacing w:after="0"/>
        <w:rPr>
          <w:sz w:val="20"/>
          <w:szCs w:val="20"/>
          <w:color w:val="auto"/>
        </w:rPr>
      </w:pPr>
      <w:r>
        <w:rPr>
          <w:rFonts w:ascii="Arial" w:cs="Arial" w:eastAsia="Arial" w:hAnsi="Arial"/>
          <w:sz w:val="16"/>
          <w:szCs w:val="16"/>
          <w:color w:val="auto"/>
        </w:rPr>
        <w:t>I, G. Frederick Bohley, certify that:</w:t>
      </w:r>
    </w:p>
    <w:p>
      <w:pPr>
        <w:spacing w:after="0" w:line="191" w:lineRule="exact"/>
        <w:rPr>
          <w:sz w:val="20"/>
          <w:szCs w:val="20"/>
          <w:color w:val="auto"/>
        </w:rPr>
      </w:pPr>
    </w:p>
    <w:p>
      <w:pPr>
        <w:ind w:left="766" w:hanging="766"/>
        <w:spacing w:after="0"/>
        <w:tabs>
          <w:tab w:leader="none" w:pos="766" w:val="left"/>
        </w:tabs>
        <w:numPr>
          <w:ilvl w:val="0"/>
          <w:numId w:val="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Allison Transmission Holdings, Inc.;</w:t>
      </w:r>
    </w:p>
    <w:p>
      <w:pPr>
        <w:spacing w:after="0" w:line="203" w:lineRule="exact"/>
        <w:rPr>
          <w:rFonts w:ascii="Arial" w:cs="Arial" w:eastAsia="Arial" w:hAnsi="Arial"/>
          <w:sz w:val="16"/>
          <w:szCs w:val="16"/>
          <w:color w:val="auto"/>
        </w:rPr>
      </w:pPr>
    </w:p>
    <w:p>
      <w:pPr>
        <w:ind w:left="766" w:right="300" w:hanging="766"/>
        <w:spacing w:after="0" w:line="298" w:lineRule="auto"/>
        <w:tabs>
          <w:tab w:leader="none" w:pos="766"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6" w:lineRule="exact"/>
        <w:rPr>
          <w:rFonts w:ascii="Arial" w:cs="Arial" w:eastAsia="Arial" w:hAnsi="Arial"/>
          <w:sz w:val="15"/>
          <w:szCs w:val="15"/>
          <w:color w:val="auto"/>
        </w:rPr>
      </w:pPr>
    </w:p>
    <w:p>
      <w:pPr>
        <w:ind w:left="766" w:right="300" w:hanging="766"/>
        <w:spacing w:after="0" w:line="264" w:lineRule="auto"/>
        <w:tabs>
          <w:tab w:leader="none" w:pos="76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6"/>
          <w:szCs w:val="16"/>
          <w:color w:val="auto"/>
        </w:rPr>
      </w:pPr>
    </w:p>
    <w:p>
      <w:pPr>
        <w:ind w:left="766" w:right="120" w:hanging="766"/>
        <w:spacing w:after="0" w:line="381" w:lineRule="auto"/>
        <w:tabs>
          <w:tab w:leader="none" w:pos="766"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8" w:lineRule="exact"/>
        <w:rPr>
          <w:rFonts w:ascii="Arial" w:cs="Arial" w:eastAsia="Arial" w:hAnsi="Arial"/>
          <w:sz w:val="13"/>
          <w:szCs w:val="13"/>
          <w:color w:val="auto"/>
        </w:rPr>
      </w:pPr>
    </w:p>
    <w:p>
      <w:pPr>
        <w:ind w:left="1526" w:right="100" w:hanging="763"/>
        <w:spacing w:after="0" w:line="254" w:lineRule="auto"/>
        <w:tabs>
          <w:tab w:leader="none" w:pos="1526"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6"/>
          <w:szCs w:val="16"/>
          <w:color w:val="auto"/>
        </w:rPr>
      </w:pPr>
    </w:p>
    <w:p>
      <w:pPr>
        <w:ind w:left="1526" w:right="240" w:hanging="763"/>
        <w:spacing w:after="0" w:line="254" w:lineRule="auto"/>
        <w:tabs>
          <w:tab w:leader="none" w:pos="1526"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8" w:lineRule="exact"/>
        <w:rPr>
          <w:rFonts w:ascii="Arial" w:cs="Arial" w:eastAsia="Arial" w:hAnsi="Arial"/>
          <w:sz w:val="16"/>
          <w:szCs w:val="16"/>
          <w:color w:val="auto"/>
        </w:rPr>
      </w:pPr>
    </w:p>
    <w:p>
      <w:pPr>
        <w:ind w:left="1526" w:right="260" w:hanging="763"/>
        <w:spacing w:after="0" w:line="264" w:lineRule="auto"/>
        <w:tabs>
          <w:tab w:leader="none" w:pos="1526"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6"/>
          <w:szCs w:val="16"/>
          <w:color w:val="auto"/>
        </w:rPr>
      </w:pPr>
    </w:p>
    <w:p>
      <w:pPr>
        <w:ind w:left="1526" w:right="220" w:hanging="763"/>
        <w:spacing w:after="0" w:line="254" w:lineRule="auto"/>
        <w:tabs>
          <w:tab w:leader="none" w:pos="1526"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Arial" w:cs="Arial" w:eastAsia="Arial" w:hAnsi="Arial"/>
          <w:sz w:val="16"/>
          <w:szCs w:val="16"/>
          <w:color w:val="auto"/>
        </w:rPr>
      </w:pPr>
    </w:p>
    <w:p>
      <w:pPr>
        <w:ind w:left="766" w:right="220" w:hanging="766"/>
        <w:spacing w:after="0" w:line="264" w:lineRule="auto"/>
        <w:tabs>
          <w:tab w:leader="none" w:pos="76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Arial" w:cs="Arial" w:eastAsia="Arial" w:hAnsi="Arial"/>
          <w:sz w:val="16"/>
          <w:szCs w:val="16"/>
          <w:color w:val="auto"/>
        </w:rPr>
      </w:pPr>
    </w:p>
    <w:p>
      <w:pPr>
        <w:ind w:left="1526" w:right="440" w:hanging="763"/>
        <w:spacing w:after="0" w:line="264" w:lineRule="auto"/>
        <w:tabs>
          <w:tab w:leader="none" w:pos="1526"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6"/>
          <w:szCs w:val="16"/>
          <w:color w:val="auto"/>
        </w:rPr>
      </w:pPr>
    </w:p>
    <w:p>
      <w:pPr>
        <w:ind w:left="1526" w:right="60" w:hanging="763"/>
        <w:spacing w:after="0" w:line="264" w:lineRule="auto"/>
        <w:tabs>
          <w:tab w:leader="none" w:pos="1526" w:val="left"/>
        </w:tabs>
        <w:numPr>
          <w:ilvl w:val="1"/>
          <w:numId w:val="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7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October 31, 2019</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Name: 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424688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4246880" cy="7620"/>
                    </a:xfrm>
                    <a:prstGeom prst="rect">
                      <a:avLst/>
                    </a:prstGeom>
                    <a:noFill/>
                  </pic:spPr>
                </pic:pic>
              </a:graphicData>
            </a:graphic>
          </wp:anchor>
        </w:drawing>
      </w:r>
    </w:p>
    <w:p>
      <w:pPr>
        <w:ind w:left="6"/>
        <w:spacing w:after="0"/>
        <w:tabs>
          <w:tab w:leader="none" w:pos="426"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3"/>
          <w:szCs w:val="13"/>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46"/>
          </w:cols>
          <w:pgMar w:left="234" w:top="123" w:right="21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32.1</w:t>
      </w:r>
    </w:p>
    <w:p>
      <w:pPr>
        <w:spacing w:after="0" w:line="19"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CERTIFICATION PURSUANT TO</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18 U.S.C. SECTION 1350,</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AS ADOPTED PURSUANT TO</w:t>
      </w:r>
    </w:p>
    <w:p>
      <w:pPr>
        <w:spacing w:after="0" w:line="4" w:lineRule="exact"/>
        <w:rPr>
          <w:sz w:val="20"/>
          <w:szCs w:val="20"/>
          <w:color w:val="auto"/>
        </w:rPr>
      </w:pPr>
    </w:p>
    <w:p>
      <w:pPr>
        <w:jc w:val="center"/>
        <w:ind w:right="-5"/>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80" w:lineRule="exact"/>
        <w:rPr>
          <w:sz w:val="20"/>
          <w:szCs w:val="20"/>
          <w:color w:val="auto"/>
        </w:rPr>
      </w:pPr>
    </w:p>
    <w:p>
      <w:pPr>
        <w:jc w:val="both"/>
        <w:ind w:left="6" w:right="140" w:firstLine="763"/>
        <w:spacing w:after="0" w:line="251" w:lineRule="auto"/>
        <w:rPr>
          <w:sz w:val="20"/>
          <w:szCs w:val="20"/>
          <w:color w:val="auto"/>
        </w:rPr>
      </w:pPr>
      <w:r>
        <w:rPr>
          <w:rFonts w:ascii="Arial" w:cs="Arial" w:eastAsia="Arial" w:hAnsi="Arial"/>
          <w:sz w:val="16"/>
          <w:szCs w:val="16"/>
          <w:color w:val="auto"/>
        </w:rPr>
        <w:t>In connection with the Quarterly Report of Allison Transmission Holdings, Inc. (the “Company”) on Form 10-Q for the quarter ending September 30, 2019 as filed with the Securities and Exchange Commission on the date hereof (the “Report”), we, David S. Graziosi, President and Chief Executive Officer of the Company, and G. Frederick Bohley, Senior Vice President, Chief Financial Officer and Treasurer of the Company, certify, pursuant to 18 U.S.C. § 1350 as adopted pursuant to § 906 of the Sarbanes-Oxley Act of 2002, that:</w:t>
      </w:r>
    </w:p>
    <w:p>
      <w:pPr>
        <w:spacing w:after="0" w:line="169" w:lineRule="exact"/>
        <w:rPr>
          <w:sz w:val="20"/>
          <w:szCs w:val="20"/>
          <w:color w:val="auto"/>
        </w:rPr>
      </w:pPr>
    </w:p>
    <w:p>
      <w:pPr>
        <w:ind w:left="766" w:hanging="766"/>
        <w:spacing w:after="0"/>
        <w:tabs>
          <w:tab w:leader="none" w:pos="76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3" w:lineRule="exact"/>
        <w:rPr>
          <w:rFonts w:ascii="Arial" w:cs="Arial" w:eastAsia="Arial" w:hAnsi="Arial"/>
          <w:sz w:val="16"/>
          <w:szCs w:val="16"/>
          <w:color w:val="auto"/>
        </w:rPr>
      </w:pPr>
    </w:p>
    <w:p>
      <w:pPr>
        <w:ind w:left="766" w:hanging="766"/>
        <w:spacing w:after="0"/>
        <w:tabs>
          <w:tab w:leader="none" w:pos="76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79"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October 31, 2019</w:t>
      </w:r>
    </w:p>
    <w:p>
      <w:pPr>
        <w:spacing w:after="0" w:line="379" w:lineRule="exact"/>
        <w:rPr>
          <w:sz w:val="20"/>
          <w:szCs w:val="20"/>
          <w:color w:val="auto"/>
        </w:rPr>
      </w:pPr>
    </w:p>
    <w:p>
      <w:pPr>
        <w:ind w:left="6"/>
        <w:spacing w:after="0"/>
        <w:rPr>
          <w:sz w:val="20"/>
          <w:szCs w:val="20"/>
          <w:color w:val="auto"/>
        </w:rPr>
      </w:pPr>
      <w:r>
        <w:rPr>
          <w:rFonts w:ascii="Arial" w:cs="Arial" w:eastAsia="Arial" w:hAnsi="Arial"/>
          <w:sz w:val="16"/>
          <w:szCs w:val="16"/>
          <w:color w:val="auto"/>
        </w:rPr>
        <w:t>/s/ David S. Graziosi</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62839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President and Chief Executive Officer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Executive Officer)</w:t>
      </w:r>
    </w:p>
    <w:p>
      <w:pPr>
        <w:spacing w:after="0" w:line="180" w:lineRule="exact"/>
        <w:rPr>
          <w:sz w:val="20"/>
          <w:szCs w:val="20"/>
          <w:color w:val="auto"/>
        </w:rPr>
      </w:pPr>
    </w:p>
    <w:p>
      <w:pPr>
        <w:ind w:left="6"/>
        <w:spacing w:after="0"/>
        <w:rPr>
          <w:sz w:val="20"/>
          <w:szCs w:val="20"/>
          <w:color w:val="auto"/>
        </w:rPr>
      </w:pPr>
      <w:r>
        <w:rPr>
          <w:rFonts w:ascii="Arial" w:cs="Arial" w:eastAsia="Arial" w:hAnsi="Arial"/>
          <w:sz w:val="16"/>
          <w:szCs w:val="16"/>
          <w:color w:val="auto"/>
        </w:rPr>
        <w:t>Dated: October 31, 2019</w:t>
      </w:r>
    </w:p>
    <w:p>
      <w:pPr>
        <w:spacing w:after="0" w:line="391" w:lineRule="exact"/>
        <w:rPr>
          <w:sz w:val="20"/>
          <w:szCs w:val="20"/>
          <w:color w:val="auto"/>
        </w:rPr>
      </w:pPr>
    </w:p>
    <w:p>
      <w:pPr>
        <w:ind w:left="6"/>
        <w:spacing w:after="0"/>
        <w:rPr>
          <w:sz w:val="20"/>
          <w:szCs w:val="20"/>
          <w:color w:val="auto"/>
        </w:rPr>
      </w:pPr>
      <w:r>
        <w:rPr>
          <w:rFonts w:ascii="Arial" w:cs="Arial" w:eastAsia="Arial" w:hAnsi="Arial"/>
          <w:sz w:val="16"/>
          <w:szCs w:val="16"/>
          <w:color w:val="auto"/>
        </w:rPr>
        <w:t>/s/ G. Frederick Bohley</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6"/>
          <w:szCs w:val="16"/>
          <w:color w:val="auto"/>
        </w:rPr>
        <w:t>G. Frederick Bohley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362839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628390" cy="7620"/>
                    </a:xfrm>
                    <a:prstGeom prst="rect">
                      <a:avLst/>
                    </a:prstGeom>
                    <a:noFill/>
                  </pic:spPr>
                </pic:pic>
              </a:graphicData>
            </a:graphic>
          </wp:anchor>
        </w:drawing>
      </w:r>
    </w:p>
    <w:p>
      <w:pPr>
        <w:ind w:left="6"/>
        <w:spacing w:after="0"/>
        <w:rPr>
          <w:sz w:val="20"/>
          <w:szCs w:val="20"/>
          <w:color w:val="auto"/>
        </w:rPr>
      </w:pPr>
      <w:r>
        <w:rPr>
          <w:rFonts w:ascii="Arial" w:cs="Arial" w:eastAsia="Arial" w:hAnsi="Arial"/>
          <w:sz w:val="16"/>
          <w:szCs w:val="16"/>
          <w:color w:val="auto"/>
        </w:rPr>
        <w:t>Senior Vice President, Chief Financial Officer and Treasurer</w:t>
      </w:r>
    </w:p>
    <w:p>
      <w:pPr>
        <w:spacing w:after="0" w:line="4" w:lineRule="exact"/>
        <w:rPr>
          <w:sz w:val="20"/>
          <w:szCs w:val="20"/>
          <w:color w:val="auto"/>
        </w:rPr>
      </w:pPr>
    </w:p>
    <w:p>
      <w:pPr>
        <w:ind w:left="6"/>
        <w:spacing w:after="0"/>
        <w:rPr>
          <w:sz w:val="20"/>
          <w:szCs w:val="20"/>
          <w:color w:val="auto"/>
        </w:rPr>
      </w:pPr>
      <w:r>
        <w:rPr>
          <w:rFonts w:ascii="Arial" w:cs="Arial" w:eastAsia="Arial" w:hAnsi="Arial"/>
          <w:sz w:val="16"/>
          <w:szCs w:val="16"/>
          <w:color w:val="auto"/>
        </w:rPr>
        <w:t>(Principal Financial Officer)</w:t>
      </w:r>
    </w:p>
    <w:sectPr>
      <w:pgSz w:w="11900" w:h="16838" w:orient="portrait"/>
      <w:cols w:equalWidth="0" w:num="1">
        <w:col w:w="11446"/>
      </w:cols>
      <w:pgMar w:left="234"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01"/>
    </w:lvl>
  </w:abstractNum>
  <w:abstractNum w:abstractNumId="6">
    <w:nsid w:val="515F007C"/>
    <w:multiLevelType w:val="hybridMultilevel"/>
    <w:lvl w:ilvl="0">
      <w:lvlJc w:val="left"/>
      <w:lvlText w:val="%1"/>
      <w:numFmt w:val="decimal"/>
      <w:start w:val="104"/>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68" Type="http://schemas.openxmlformats.org/officeDocument/2006/relationships/hyperlink" Target="http://www.sec.gov/Archives/edgar/data/1411207/000119312519267347/d81101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2019-12-28T04:17:53Z</dcterms:created>
  <dcterms:modified xsi:type="dcterms:W3CDTF">2019-12-28T04:17:53Z</dcterms:modified>
</cp:coreProperties>
</file>