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191135</wp:posOffset>
            </wp:positionV>
            <wp:extent cx="198945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945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tcPr>
          <w:p>
            <w:pPr>
              <w:jc w:val="right"/>
              <w:ind w:right="164"/>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3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One Allison Way</w:t>
            </w:r>
          </w:p>
        </w:tc>
        <w:tc>
          <w:tcPr>
            <w:tcW w:w="520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Indianapolis, IN</w:t>
            </w:r>
          </w:p>
        </w:tc>
        <w:tc>
          <w:tcPr>
            <w:tcW w:w="5200" w:type="dxa"/>
            <w:vAlign w:val="bottom"/>
          </w:tcPr>
          <w:p>
            <w:pPr>
              <w:jc w:val="right"/>
              <w:ind w:right="364"/>
              <w:spacing w:after="0"/>
              <w:rPr>
                <w:sz w:val="20"/>
                <w:szCs w:val="20"/>
                <w:color w:val="auto"/>
              </w:rPr>
            </w:pPr>
            <w:r>
              <w:rPr>
                <w:rFonts w:ascii="Arial" w:cs="Arial" w:eastAsia="Arial" w:hAnsi="Arial"/>
                <w:sz w:val="18"/>
                <w:szCs w:val="18"/>
                <w:b w:val="1"/>
                <w:bCs w:val="1"/>
                <w:color w:val="auto"/>
              </w:rPr>
              <w:t>46222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80" w:type="dxa"/>
            <w:vAlign w:val="bottom"/>
          </w:tcPr>
          <w:p>
            <w:pPr>
              <w:spacing w:after="0"/>
              <w:rPr>
                <w:sz w:val="24"/>
                <w:szCs w:val="24"/>
                <w:color w:val="auto"/>
              </w:rPr>
            </w:pPr>
          </w:p>
        </w:tc>
        <w:tc>
          <w:tcPr>
            <w:tcW w:w="5200" w:type="dxa"/>
            <w:vAlign w:val="bottom"/>
          </w:tcPr>
          <w:p>
            <w:pPr>
              <w:jc w:val="right"/>
              <w:ind w:right="2984"/>
              <w:spacing w:after="0"/>
              <w:rPr>
                <w:sz w:val="20"/>
                <w:szCs w:val="20"/>
                <w:color w:val="auto"/>
              </w:rPr>
            </w:pPr>
            <w:r>
              <w:rPr>
                <w:rFonts w:ascii="Arial" w:cs="Arial" w:eastAsia="Arial" w:hAnsi="Arial"/>
                <w:sz w:val="18"/>
                <w:szCs w:val="18"/>
                <w:b w:val="1"/>
                <w:bCs w:val="1"/>
                <w:color w:val="auto"/>
              </w:rPr>
              <w:t>(317) 242-5000</w:t>
            </w:r>
          </w:p>
        </w:tc>
      </w:tr>
      <w:tr>
        <w:trPr>
          <w:trHeight w:val="174"/>
        </w:trPr>
        <w:tc>
          <w:tcPr>
            <w:tcW w:w="2380" w:type="dxa"/>
            <w:vAlign w:val="bottom"/>
          </w:tcPr>
          <w:p>
            <w:pPr>
              <w:spacing w:after="0"/>
              <w:rPr>
                <w:sz w:val="15"/>
                <w:szCs w:val="15"/>
                <w:color w:val="auto"/>
              </w:rPr>
            </w:pPr>
          </w:p>
        </w:tc>
        <w:tc>
          <w:tcPr>
            <w:tcW w:w="5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54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July 16, 2013, there were 186,455,855 shares of Common Stock and 1,185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r>
      <w:tr>
        <w:trPr>
          <w:trHeight w:val="264"/>
        </w:trPr>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10"/>
          </w:tcPr>
          <w:p>
            <w:pPr>
              <w:jc w:val="center"/>
              <w:ind w:right="37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408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Financial Statements:</w:t>
              </w:r>
            </w:hyperlink>
          </w:p>
        </w:tc>
        <w:tc>
          <w:tcPr>
            <w:tcW w:w="606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304"/>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6-20</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21-33</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34-35</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900" w:type="dxa"/>
            <w:vAlign w:val="bottom"/>
            <w:gridSpan w:val="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04"/>
        </w:trPr>
        <w:tc>
          <w:tcPr>
            <w:tcW w:w="8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9"/>
          </w:tcPr>
          <w:p>
            <w:pPr>
              <w:jc w:val="center"/>
              <w:ind w:right="3880"/>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2260" w:type="dxa"/>
            <w:vAlign w:val="bottom"/>
            <w:gridSpan w:val="4"/>
          </w:tcPr>
          <w:p>
            <w:pPr>
              <w:spacing w:after="0"/>
              <w:rPr>
                <w:sz w:val="24"/>
                <w:szCs w:val="24"/>
                <w:color w:val="auto"/>
              </w:rPr>
            </w:pPr>
          </w:p>
        </w:tc>
        <w:tc>
          <w:tcPr>
            <w:tcW w:w="2700" w:type="dxa"/>
            <w:vAlign w:val="bottom"/>
            <w:tcBorders>
              <w:top w:val="single" w:sz="8" w:color="0000EE"/>
            </w:tcBorders>
            <w:gridSpan w:val="6"/>
          </w:tcPr>
          <w:p>
            <w:pPr>
              <w:spacing w:after="0"/>
              <w:rPr>
                <w:sz w:val="24"/>
                <w:szCs w:val="24"/>
                <w:color w:val="auto"/>
              </w:rPr>
            </w:pPr>
          </w:p>
        </w:tc>
        <w:tc>
          <w:tcPr>
            <w:tcW w:w="388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Exhibits</w:t>
              </w:r>
            </w:hyperlink>
          </w:p>
        </w:tc>
        <w:tc>
          <w:tcPr>
            <w:tcW w:w="9560" w:type="dxa"/>
            <w:vAlign w:val="bottom"/>
            <w:gridSpan w:val="1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304"/>
        </w:trPr>
        <w:tc>
          <w:tcPr>
            <w:tcW w:w="8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383"/>
        </w:trPr>
        <w:tc>
          <w:tcPr>
            <w:tcW w:w="800" w:type="dxa"/>
            <w:vAlign w:val="bottom"/>
          </w:tcPr>
          <w:p>
            <w:pPr>
              <w:spacing w:after="0"/>
              <w:rPr>
                <w:sz w:val="24"/>
                <w:szCs w:val="24"/>
                <w:color w:val="auto"/>
              </w:rPr>
            </w:pPr>
          </w:p>
        </w:tc>
        <w:tc>
          <w:tcPr>
            <w:tcW w:w="6260" w:type="dxa"/>
            <w:vAlign w:val="bottom"/>
            <w:gridSpan w:val="15"/>
          </w:tcPr>
          <w:p>
            <w:pPr>
              <w:jc w:val="center"/>
              <w:ind w:left="349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227.4</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Accounts receivables — net of allowance for doubtful accounts of $1.2 and $0.9, respectively</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208.5</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162.9</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686.6</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563.3</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1,661.1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1,941.0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4,937.8</w:t>
            </w:r>
          </w:p>
        </w:tc>
        <w:tc>
          <w:tcPr>
            <w:tcW w:w="7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414.0</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2,785.5</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3,508.8</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3,509.1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N)</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$0.01 par value, 1,880,000,000 shares authorized, 186,170,611 issued and 186,146,911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w w:val="93"/>
              </w:rPr>
              <w:t>Non-voting common stock, $0.01 par value, 20,000,000 shares authorized, 1,185 issued and outstanding</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(0.2)</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 in capital</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1,638.0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(157.7)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(53.0)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1,429.0</w:t>
            </w:r>
          </w:p>
        </w:tc>
        <w:tc>
          <w:tcPr>
            <w:tcW w:w="7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&amp; STOCKHOLDERS’ EQUITY</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4,937.8</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18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286.0</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85.6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117.7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(33.5)</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81.8</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44.0</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68.9</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61"/>
        </w:trPr>
        <w:tc>
          <w:tcPr>
            <w:tcW w:w="728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derivatives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loss on investment in technology-related initiatives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Loss on repayments and redemptions of long-term debt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re-measurement of employee benefit plan</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(44.2)</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 and liabilities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728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Additions of long-lived assets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(25.8)</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disposal of assets</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(30.6)</w:t>
            </w: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Dividend payments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(33.4)</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Payments on long-term debt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(11.8)</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Taxes paid related to net share settlement of equity awards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financing fees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Redemptions of long-term debt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notes payable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147.2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227.4</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or “Allison”), design and manufacture commercial and defense fully-automatic transmissions.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12 different transmission product lines. Although approximately 78% of revenues were generated in North America in 2012,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(principally school, transit and hybrid-transit), motorhomes, off-highway vehicles and equipment (principally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condensed consolidated financial statements as of and for the three and six months ended June 30, 2013 and 2012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presentation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These condensed consolidated financial statements present the financial position, results of operations and cash flows of the Company. The condensed consolidated financial statements should be read in conjunction with the audited consolidated financial statements included in the Company’s Form 10-K for the year ended December 31, 2012 as filed with the Securities and Exchange Commission (“SEC”) on February 28, 2013. The interim period financial results for the three and six month periods presented are not necessarily indicative of results to be expected for any other interim period or for the entire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March 2013, the Financial Accounting Standards Board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the Company’s condensed consolidated financial statements, it could affect the accounting treatment applied under these circumstances in the future.</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February 2013, the FASB issued authoritative accounting guidance on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became effective for interim and annual reporting periods beginning after December 15, 2012. The adoption of this guidance did not have a material effect on the Company’s condensed consolidated financial statements; however, it requires the Company to present additional disclosures in the footnotes to the condensed consolidated financial statements when significant amounts are reclassified out of accumulated other comprehensive income.</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became effective for interim and annual periods beginning on or after January 1, 2013. The adoption of this guidance did not have a material effect on the Company’s condensed consolidated financial statements.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the Company’s condensed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58"/>
              <w:spacing w:after="0"/>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4"/>
          </w:tcPr>
          <w:p>
            <w:pPr>
              <w:ind w:left="6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4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Work in progress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Finished goods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r>
              <w:rPr>
                <w:rFonts w:ascii="Arial" w:cs="Arial" w:eastAsia="Arial" w:hAnsi="Arial"/>
                <w:sz w:val="18"/>
                <w:szCs w:val="18"/>
                <w:b w:val="1"/>
                <w:bCs w:val="1"/>
                <w:u w:val="single" w:color="auto"/>
                <w:color w:val="auto"/>
              </w:rPr>
              <w:t>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Inventory components shipped to third parties, primarily transmission cores, parts to re-manufacturers, and parts to contract manufacturers, in which the Company has an obligation to buyback, are included in purchased parts and raw materials, with an offsetting liability in Other current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2013 and December 31, 2012, the carrying amount of the Company’s Goodwill was $1,941.0 million. The following presents a summary of other intangible assets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Intangible</w:t>
            </w: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Intangible</w:t>
            </w: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3"/>
              </w:rPr>
              <w:t>assets, gross</w:t>
            </w: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assets, net</w:t>
            </w:r>
          </w:p>
        </w:tc>
        <w:tc>
          <w:tcPr>
            <w:tcW w:w="3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75"/>
              </w:rPr>
              <w:t>assets, gross</w:t>
            </w:r>
          </w:p>
        </w:tc>
        <w:tc>
          <w:tcPr>
            <w:tcW w:w="3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00" w:type="dxa"/>
            <w:vAlign w:val="bottom"/>
            <w:gridSpan w:val="2"/>
          </w:tcPr>
          <w:p>
            <w:pPr>
              <w:ind w:left="30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(348.1)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483.7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Tooling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2,551.0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(889.9</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1,661.1</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2,551.0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June 30, 2013 and December 31, 2012, the net carrying value of our Goodwill and other intangibles was $3,602.1 million and $3,657.1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3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87.2</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275.5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80" w:type="dxa"/>
            <w:vAlign w:val="bottom"/>
            <w:vMerge w:val="restart"/>
          </w:tcPr>
          <w:p>
            <w:pPr>
              <w:jc w:val="right"/>
              <w:ind w:right="1362"/>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principally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principally consists of financial instruments such as exchange-traded derivatives, listed equities and publicly traded bonds.</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principally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2013 and December 31, 2012, the Company did not have any Level 3 financial assets or liabilities.</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0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Company’s valuation techniques used to fair value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43"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0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2013 and December 31, 2012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87"/>
              </w:rPr>
              <w:t>Fair Value Measurements Using</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60" w:type="dxa"/>
            <w:vAlign w:val="bottom"/>
          </w:tcPr>
          <w:p>
            <w:pPr>
              <w:spacing w:after="0"/>
              <w:rPr>
                <w:sz w:val="11"/>
                <w:szCs w:val="11"/>
                <w:color w:val="auto"/>
              </w:rPr>
            </w:pPr>
          </w:p>
        </w:tc>
        <w:tc>
          <w:tcPr>
            <w:tcW w:w="2000" w:type="dxa"/>
            <w:vAlign w:val="bottom"/>
            <w:gridSpan w:val="6"/>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960" w:type="dxa"/>
            <w:vAlign w:val="bottom"/>
          </w:tcPr>
          <w:p>
            <w:pPr>
              <w:spacing w:after="0"/>
              <w:rPr>
                <w:sz w:val="12"/>
                <w:szCs w:val="12"/>
                <w:color w:val="auto"/>
              </w:rPr>
            </w:pPr>
          </w:p>
        </w:tc>
        <w:tc>
          <w:tcPr>
            <w:tcW w:w="20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Markets for Identical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96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4"/>
              </w:rPr>
              <w:t>Assets (Level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Observable Inputs (Level 2)</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2"/>
              </w:rPr>
              <w:t>June 30,</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9"/>
              </w:rPr>
              <w:t>June 30,</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2"/>
              </w:rPr>
              <w:t>June 30,</w:t>
            </w: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4960" w:type="dxa"/>
            <w:vAlign w:val="bottom"/>
          </w:tcPr>
          <w:p>
            <w:pPr>
              <w:spacing w:after="0"/>
              <w:rPr>
                <w:sz w:val="14"/>
                <w:szCs w:val="14"/>
                <w:color w:val="auto"/>
              </w:rPr>
            </w:pPr>
          </w:p>
        </w:tc>
        <w:tc>
          <w:tcPr>
            <w:tcW w:w="500" w:type="dxa"/>
            <w:vAlign w:val="bottom"/>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7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$227.4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$227.4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50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(36.9)</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(36.9)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7"/>
        </w:trPr>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7"/>
              </w:rPr>
              <w:t>(36.9)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200.1</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0"/>
        </w:trPr>
        <w:tc>
          <w:tcPr>
            <w:tcW w:w="4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Of the available Cash and cash equivalents, approximately $222.4 million and $75.2 million was deposited in operating accounts while approximately $5.0 million and $5.0 million was invested in U.S. government backed securities as of June 30, 2013 and December 31, 2012,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Pr>
          <w:p>
            <w:pPr>
              <w:spacing w:after="0"/>
              <w:rPr>
                <w:sz w:val="15"/>
                <w:szCs w:val="15"/>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23"/>
        </w:trPr>
        <w:tc>
          <w:tcPr>
            <w:tcW w:w="7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1,198.5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1,139.2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Senior Notes, fixed 7.125%, due 2019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471.3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2,809.0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2,785.5</w:t>
            </w:r>
          </w:p>
        </w:tc>
        <w:tc>
          <w:tcPr>
            <w:tcW w:w="20" w:type="dxa"/>
            <w:vAlign w:val="bottom"/>
          </w:tcPr>
          <w:p>
            <w:pPr>
              <w:spacing w:after="0"/>
              <w:rPr>
                <w:sz w:val="19"/>
                <w:szCs w:val="19"/>
                <w:color w:val="auto"/>
              </w:rPr>
            </w:pP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June 30, 2013, the Company had $1,198.5 million of indebtedness associated with Allison Transmission, Inc.’s (“ATI”), the Company’s wholly-owned subsidiary, Senior Secured Credit Facility Term B-2 Loan due 2017 (“Term B-2 Loan”) and $1,139.2 million of indebtedness associated with ATI’s Senior Secured Credit Facility Term B-3 Loan due 2019 (“Term B-3 Loan”) (together the Term B-2 Loan, Term B-3 Loan and revolving credit facility are defined as the “Senior Secured Credit Facility”). The Company also had indebtedness of $471.3 million of ATI’s 7.125% senior cash pay notes due May 2019 (“7.125% Senior Notes”).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June 30, 2013 was $2,841.9 million. The fair value is based on quoted Level 1 market prices of the Company’s debt as of June 30, 2013. It is not expected that the Company would be able to repurchase a significant amount of its debt at these levels. The difference between the fair value and carrying value of the long-term debt is driven principally by trends in the financial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2007, ATI entered into a Senior Secured Credit Facility having a term loan in the amount of $3,100.0 million with a maturity date of August 2014. In March 2012, ATI entered into an amendment with the term loan lenders under its Senior Secured Credit Facility to extend the maturity of $801.1 million in principal amount of term loan debt from August 2014 to August 2017 and to increase the applicable margin at the Company’s option to either (a) 3.50% over the LIBOR or (b) 2.50% over the greater of the prime lending rate provided by the British Banking Association or the federal funds effective rate published by the Federal Reserve Bank of New York plus 0.50%. As a result of the debt modification, the Company recorded an additional $2.3 million as deferred financing fees in the Condensed Consolidated Balance Sheets and extended the amortization period of $5.1 million of deferred financing fees from 2014 to 2017.</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August 2012, ATI entered into an amendment with the term loan lenders under its Senior Secured Credit Facility to extend the maturity of $850.0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 (which may not be less than 2.00%). The amendment was treated as an extinguishment of debt under GAAP, and thus the Company expensed $4.5 million of deferred financing fees and recorded $16.1 million of new deferred financing fees in the condensed consolidated financial statements.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October 2012, ATI entered into an amendment with the term loan lenders under its Senior Secured Credit Facility to extend the maturity of $300.0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an extinguishment of debt under GAAP, and thus the Company expensed $1.4 million of deferred financing fees and recorded $1.8 million of new deferred financing fees in the condensed consolidated financial statements.</w:t>
      </w:r>
    </w:p>
    <w:p>
      <w:pPr>
        <w:spacing w:after="0" w:line="12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In February 2013, ATI entered into an amendment with the term loan lenders under its Senior Secured Credit Facility to refinance $793.1 million of term loan debt and decrease the applicable margin at the Company’s option to either (a) 3.00% over the LIBOR or (b) 2.00% over the greater of the prime lending rate provided by the British Banking Association or the federal funds effective rate published by the Federal Reserve Bank of New York plus 0.50%. In February 2013, ATI also entered into an additional amendment with the term loan lenders under its Senior Secured Credit Facility to extend the maturity of $411.4 million of term loan debt from August 2014 to August 2017 and to increase the applicable margin at the Company’s option to either (a) 3.00% over the LIBOR or</w:t>
      </w:r>
    </w:p>
    <w:p>
      <w:pPr>
        <w:spacing w:after="0" w:line="2" w:lineRule="exact"/>
        <w:rPr>
          <w:sz w:val="20"/>
          <w:szCs w:val="20"/>
          <w:color w:val="auto"/>
        </w:rPr>
      </w:pPr>
    </w:p>
    <w:p>
      <w:pPr>
        <w:ind w:right="220" w:firstLine="8"/>
        <w:spacing w:after="0" w:line="302"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2.00% over the greater of the prime lending rate provided by the British Banking Association or the federal funds effective rate published by the Federal Reserve Bank of New York plus 0.50%. The February 2013 amendments were treated as a modification of debt under GAAP, and the Company expensed $1.0 million of deferred financing fees and recorded $1.6 million of new deferred financing fees in the condensed consolidated financial statements.</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June 30, 2013, is equal to the LIBOR plus 3.00% and interest on the Term B-3 Loan, as of June 30, 2013, is equal to the LIBOR (which may not be less than 1.00%) plus 3.25% based on the Company’s total leverage ratio. As of June 30, 2013, these rates were approximately 3.20% and 4.25% on the Term B-2 Loan and Term B-3 Loan, respectively, and the weighted average rate on the Senior Secured Credit Facility was approximately 3.71%. The Senior Secured Credit Facility requires minimum quarterly principal payments of $3.0 million and $2.9 million on the Term B-2 Loan and Term B-3 Loan, respectively, as well as prepayments from certain net cash proceeds of non-ordinary course asset sales and casualty and condemnation events and from a percentage of excess cash flow, if applicable. As of June 30, 2013, there had been no payments required for certain net cash proceeds of non-ordinary course asset sales and casualty and condemnation events. The minimum required quarterly principal payments on the Term B-2 Loan and Term B-3 Loan remain through the maturity dates of 2017 and 2019, respectively, and the remaining principal balance on each loan is due upon maturity.</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2012, the excess cash flow percentage was 0%, and as a result, the Company was not required to make an excess cash flow payment.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Throughout the six months ended June 30, 2013, the Company made periodic withdrawals and payments on the revolving credit facility as part of its debt management plans. The maximum amount outstanding at any time on the revolving credit facility was $20.0 million, and all balances were repaid within the quarter they were borrowed. As of June 30, 2013, the Company had $375.4 million available under the revolving credit facility, net of $24.6 million in letters of credit. Revolving credit borrowings bear interest at a variable base rate plus an applicable margin based on the Company’s total senior secured leverage ratio. As of June 30, 2013, this rate would have been between approximately 2.95% and 5.00%. In addition, there is an annual commitment fee, based on the Company’s total senior secured leverage ratio, which as of June 30, 2013, was equal to 0.5% of the average unused revolving credit borrowings available under the Senior Secured Credit Facility. Revolving credit borrowings are payable at the option of the Company throughout the term of the Senior Secured Credit Facility with the balance due in August 2016.</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As of June 30, 2013, the Company was in compliance with the maximum total senior secured leverage ratio achieving a 3.50x ratio versus a 5.50x requirement threshold. Within the terms of the Senior Secured Credit Facility, a senior secured leverage ratio above 3.50x results in a 0.5% commitment fee on the revolving credit facility and requires excess cash flow payments on the term loans for the applicable year. A senior secured leverage ratio at or below 3.50x would result in a 12.5 basis point reduction to the revolving credit facility commitment fee and elimination of excess cash flow payments. Additionally, the Company achieved a total leverage ratio of 4.28x as of June 30, 2013. Within the terms of the Senior Secured Credit Facility, a total leverage ratio at or below 3.25x would result in a 25 basis point reduction to the applicable margin on the Term B-3 Loan. This reduction would remain in effect as long as we achieve a total leverage ratio at or below 3.25x.</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June 30, 2013, the Company is in compliance with all covenants under the Senior Secured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7.125% Senior Notes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May 2011, the Company completed an offering of $500.0 million of the 7.125% Senior Notes. 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 contracts to manage a portion of this exposure. The Company does not qualify for hedge accounting treatment for these derivatives, and as a result, fair value adjustments are charged directly to Interest expense in the Condensed Consolidated Statements of Comprehensive Income. A summary of the Company’s interest rate derivatives as of June 30, 2013 and December 31, 2012 follows (dollars in millions):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w w:val="90"/>
              </w:rPr>
              <w:t>June 30, 2013</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64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Notional</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(13.1)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(13.2)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1,375.0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(34.2)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June 30, 2013 and December 31, 2012, the Company had recorded cash collateral of $1.7 million and $3.0 million, respectively, in Other current assets in the Condensed Consolidated Balance Sheets, as the balances are subject to frequent change. The Company has also posted $20.0 million of collateral in the form of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does not elect to apply hedge accounting under the authoritative accounting guidance and records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June 30, 2013 and December 31, 2012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00" w:type="dxa"/>
            <w:vAlign w:val="bottom"/>
            <w:gridSpan w:val="3"/>
          </w:tcPr>
          <w:p>
            <w:pPr>
              <w:ind w:left="440"/>
              <w:spacing w:after="0"/>
              <w:rPr>
                <w:sz w:val="20"/>
                <w:szCs w:val="20"/>
                <w:color w:val="auto"/>
              </w:rPr>
            </w:pPr>
            <w:r>
              <w:rPr>
                <w:rFonts w:ascii="Arial" w:cs="Arial" w:eastAsia="Arial" w:hAnsi="Arial"/>
                <w:sz w:val="14"/>
                <w:szCs w:val="14"/>
                <w:b w:val="1"/>
                <w:bCs w:val="1"/>
                <w:color w:val="auto"/>
                <w:w w:val="92"/>
              </w:rPr>
              <w:t>June 30, 2013</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3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¥550.0</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58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¥675.0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580" w:type="dxa"/>
            <w:vAlign w:val="bottom"/>
          </w:tcPr>
          <w:p>
            <w:pPr>
              <w:jc w:val="right"/>
              <w:ind w:right="438"/>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60" w:type="dxa"/>
            <w:vAlign w:val="bottom"/>
            <w:vMerge w:val="restart"/>
          </w:tcPr>
          <w:p>
            <w:pPr>
              <w:jc w:val="right"/>
              <w:ind w:right="1112"/>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business is subject to commodity price risk, principally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are charged directly to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June 30, 2013 and December 31, 2012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 2013</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2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Quantity</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$ 14.5</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6,850 metric tons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0"/>
              </w:rPr>
              <w:t>(2.0)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$ 19.4</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9,050 metric tons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Steel</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340 metric tons</w:t>
            </w:r>
          </w:p>
        </w:tc>
        <w:tc>
          <w:tcPr>
            <w:tcW w:w="2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rPr>
              <w:t>N/A</w:t>
            </w: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80,000 MMBtu</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20"/>
              <w:spacing w:after="0"/>
              <w:rPr>
                <w:sz w:val="20"/>
                <w:szCs w:val="20"/>
                <w:color w:val="auto"/>
              </w:rPr>
            </w:pPr>
            <w:r>
              <w:rPr>
                <w:rFonts w:ascii="Arial" w:cs="Arial" w:eastAsia="Arial" w:hAnsi="Arial"/>
                <w:sz w:val="18"/>
                <w:szCs w:val="18"/>
                <w:b w:val="1"/>
                <w:bCs w:val="1"/>
                <w:color w:val="auto"/>
                <w:w w:val="83"/>
              </w:rPr>
              <w:t>(2.0</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0"/>
        </w:trPr>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rPr>
              <w:t>June 30, 2013</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3"/>
              </w:rPr>
              <w:t>December 31, 2012</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Fair Value</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86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440"/>
              <w:spacing w:after="0" w:line="201" w:lineRule="exact"/>
              <w:rPr>
                <w:sz w:val="20"/>
                <w:szCs w:val="20"/>
                <w:color w:val="auto"/>
              </w:rPr>
            </w:pPr>
            <w:r>
              <w:rPr>
                <w:rFonts w:ascii="Arial" w:cs="Arial" w:eastAsia="Arial" w:hAnsi="Arial"/>
                <w:sz w:val="18"/>
                <w:szCs w:val="18"/>
                <w:color w:val="auto"/>
              </w:rPr>
              <w:t>Foreign currency contracts</w:t>
            </w:r>
          </w:p>
        </w:tc>
        <w:tc>
          <w:tcPr>
            <w:tcW w:w="2980" w:type="dxa"/>
            <w:vAlign w:val="bottom"/>
            <w:gridSpan w:val="3"/>
          </w:tcPr>
          <w:p>
            <w:pPr>
              <w:ind w:left="860"/>
              <w:spacing w:after="0" w:line="201" w:lineRule="exact"/>
              <w:rPr>
                <w:sz w:val="20"/>
                <w:szCs w:val="20"/>
                <w:color w:val="auto"/>
              </w:rPr>
            </w:pPr>
            <w:r>
              <w:rPr>
                <w:rFonts w:ascii="Arial" w:cs="Arial" w:eastAsia="Arial" w:hAnsi="Arial"/>
                <w:sz w:val="18"/>
                <w:szCs w:val="18"/>
                <w:b w:val="1"/>
                <w:bCs w:val="1"/>
                <w:color w:val="auto"/>
              </w:rPr>
              <w:t>Other current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980" w:type="dxa"/>
            <w:vAlign w:val="bottom"/>
            <w:gridSpan w:val="3"/>
          </w:tcPr>
          <w:p>
            <w:pPr>
              <w:ind w:left="860"/>
              <w:spacing w:after="0"/>
              <w:rPr>
                <w:sz w:val="20"/>
                <w:szCs w:val="20"/>
                <w:color w:val="auto"/>
              </w:rPr>
            </w:pPr>
            <w:r>
              <w:rPr>
                <w:rFonts w:ascii="Arial" w:cs="Arial" w:eastAsia="Arial" w:hAnsi="Arial"/>
                <w:sz w:val="18"/>
                <w:szCs w:val="18"/>
                <w:b w:val="1"/>
                <w:bCs w:val="1"/>
                <w:color w:val="auto"/>
              </w:rPr>
              <w:t>liabilities</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(0.7)</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8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current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60" w:type="dxa"/>
            <w:vAlign w:val="bottom"/>
            <w:shd w:val="clear" w:color="auto" w:fill="CCEEFF"/>
          </w:tcPr>
          <w:p>
            <w:pPr>
              <w:spacing w:after="0"/>
              <w:rPr>
                <w:sz w:val="20"/>
                <w:szCs w:val="20"/>
                <w:color w:val="auto"/>
              </w:rPr>
            </w:pPr>
          </w:p>
        </w:tc>
        <w:tc>
          <w:tcPr>
            <w:tcW w:w="298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Other current assets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w:t>
            </w: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non-current assets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4760" w:type="dxa"/>
            <w:vAlign w:val="bottom"/>
          </w:tcPr>
          <w:p>
            <w:pPr>
              <w:spacing w:after="0"/>
              <w:rPr>
                <w:sz w:val="17"/>
                <w:szCs w:val="17"/>
                <w:color w:val="auto"/>
              </w:rPr>
            </w:pPr>
          </w:p>
        </w:tc>
        <w:tc>
          <w:tcPr>
            <w:tcW w:w="2980" w:type="dxa"/>
            <w:vAlign w:val="bottom"/>
            <w:gridSpan w:val="3"/>
          </w:tcPr>
          <w:p>
            <w:pPr>
              <w:ind w:left="860"/>
              <w:spacing w:after="0" w:line="201" w:lineRule="exact"/>
              <w:rPr>
                <w:sz w:val="20"/>
                <w:szCs w:val="20"/>
                <w:color w:val="auto"/>
              </w:rPr>
            </w:pPr>
            <w:r>
              <w:rPr>
                <w:rFonts w:ascii="Arial" w:cs="Arial" w:eastAsia="Arial" w:hAnsi="Arial"/>
                <w:sz w:val="18"/>
                <w:szCs w:val="18"/>
                <w:b w:val="1"/>
                <w:bCs w:val="1"/>
                <w:color w:val="auto"/>
              </w:rPr>
              <w:t>Other current and non-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2980" w:type="dxa"/>
            <w:vAlign w:val="bottom"/>
            <w:gridSpan w:val="3"/>
          </w:tcPr>
          <w:p>
            <w:pPr>
              <w:ind w:left="86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Interest rate contracts</w:t>
            </w:r>
          </w:p>
        </w:tc>
        <w:tc>
          <w:tcPr>
            <w:tcW w:w="2980" w:type="dxa"/>
            <w:vAlign w:val="bottom"/>
            <w:gridSpan w:val="3"/>
            <w:shd w:val="clear" w:color="auto" w:fill="CCEEFF"/>
          </w:tcPr>
          <w:p>
            <w:pPr>
              <w:ind w:left="860"/>
              <w:spacing w:after="0" w:line="203" w:lineRule="exact"/>
              <w:rPr>
                <w:sz w:val="20"/>
                <w:szCs w:val="20"/>
                <w:color w:val="auto"/>
              </w:rPr>
            </w:pPr>
            <w:r>
              <w:rPr>
                <w:rFonts w:ascii="Arial" w:cs="Arial" w:eastAsia="Arial" w:hAnsi="Arial"/>
                <w:sz w:val="18"/>
                <w:szCs w:val="18"/>
                <w:b w:val="1"/>
                <w:bCs w:val="1"/>
                <w:color w:val="auto"/>
              </w:rPr>
              <w:t>Other current and non-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00" w:type="dxa"/>
            <w:vAlign w:val="bottom"/>
            <w:gridSpan w:val="3"/>
            <w:shd w:val="clear" w:color="auto" w:fill="CCEEFF"/>
          </w:tcPr>
          <w:p>
            <w:pPr>
              <w:ind w:left="180"/>
              <w:spacing w:after="0" w:line="203" w:lineRule="exact"/>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p>
        </w:tc>
        <w:tc>
          <w:tcPr>
            <w:tcW w:w="298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(34.2)</w:t>
            </w: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fair values of the derivatives are recorded between Other current and non-current assets and Other current and non-current liabilities as appropriate in the Condensed Consolidated Balance Sheets. As of June 30, 2013, the amount recorded to Other current liabilities for foreign currency contracts was ($0.7) million. The amount recorded to Other current assets for commodity contracts was $0.0 million, and the amounts recorded to Other current and non-current liabilities for commodity contracts were ($1.5) million and ($0.5) million, respectively. The amounts recorded to Other current and non-current liabilities for interest rate contracts were ($31.2) million and ($3.0) million, respectively.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the amount recorded to Other current liabilities for foreign currency contracts was ($0.2) million. The amounts recorded to Other current and non-current assets and Other current and non-current liabilities for commodity contracts were $0.1 million, $0.1 million, ($0.3) million and ($0.1) million, respectively. The amounts recorded to Other current and non-current liabilities for interest rate contracts were ($31.2) million and ($21.1)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results of operations of the Company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7"/>
          </w:tcPr>
          <w:p>
            <w:pPr>
              <w:jc w:val="center"/>
              <w:ind w:left="272"/>
              <w:spacing w:after="0"/>
              <w:rPr>
                <w:sz w:val="20"/>
                <w:szCs w:val="20"/>
                <w:color w:val="auto"/>
              </w:rPr>
            </w:pPr>
            <w:r>
              <w:rPr>
                <w:rFonts w:ascii="Arial" w:cs="Arial" w:eastAsia="Arial" w:hAnsi="Arial"/>
                <w:sz w:val="14"/>
                <w:szCs w:val="14"/>
                <w:b w:val="1"/>
                <w:bCs w:val="1"/>
                <w:color w:val="auto"/>
                <w:w w:val="85"/>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7"/>
          </w:tcPr>
          <w:p>
            <w:pPr>
              <w:jc w:val="center"/>
              <w:ind w:left="112"/>
              <w:spacing w:after="0"/>
              <w:rPr>
                <w:sz w:val="20"/>
                <w:szCs w:val="20"/>
                <w:color w:val="auto"/>
              </w:rPr>
            </w:pPr>
            <w:r>
              <w:rPr>
                <w:rFonts w:ascii="Arial" w:cs="Arial" w:eastAsia="Arial" w:hAnsi="Arial"/>
                <w:sz w:val="14"/>
                <w:szCs w:val="14"/>
                <w:b w:val="1"/>
                <w:bCs w:val="1"/>
                <w:color w:val="auto"/>
                <w:w w:val="8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Borders>
              <w:bottom w:val="single" w:sz="8" w:color="auto"/>
            </w:tcBorders>
            <w:gridSpan w:val="4"/>
          </w:tcPr>
          <w:p>
            <w:pPr>
              <w:jc w:val="center"/>
              <w:ind w:left="852"/>
              <w:spacing w:after="0"/>
              <w:rPr>
                <w:sz w:val="20"/>
                <w:szCs w:val="20"/>
                <w:color w:val="auto"/>
              </w:rPr>
            </w:pPr>
            <w:r>
              <w:rPr>
                <w:rFonts w:ascii="Arial" w:cs="Arial" w:eastAsia="Arial" w:hAnsi="Arial"/>
                <w:sz w:val="14"/>
                <w:szCs w:val="14"/>
                <w:b w:val="1"/>
                <w:bCs w:val="1"/>
                <w:color w:val="auto"/>
                <w:w w:val="85"/>
              </w:rPr>
              <w:t>June 30, 2013</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2012</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4"/>
          </w:tcPr>
          <w:p>
            <w:pPr>
              <w:jc w:val="center"/>
              <w:ind w:right="246"/>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2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4"/>
          </w:tcPr>
          <w:p>
            <w:pPr>
              <w:jc w:val="center"/>
              <w:ind w:right="246"/>
              <w:spacing w:after="0" w:line="149" w:lineRule="exact"/>
              <w:rPr>
                <w:sz w:val="20"/>
                <w:szCs w:val="20"/>
                <w:color w:val="auto"/>
              </w:rPr>
            </w:pPr>
            <w:r>
              <w:rPr>
                <w:rFonts w:ascii="Arial" w:cs="Arial" w:eastAsia="Arial" w:hAnsi="Arial"/>
                <w:sz w:val="14"/>
                <w:szCs w:val="14"/>
                <w:b w:val="1"/>
                <w:bCs w:val="1"/>
                <w:color w:val="auto"/>
                <w:w w:val="82"/>
              </w:rPr>
              <w:t>(loss)/gain</w:t>
            </w:r>
          </w:p>
        </w:tc>
        <w:tc>
          <w:tcPr>
            <w:tcW w:w="120" w:type="dxa"/>
            <w:vAlign w:val="bottom"/>
          </w:tcPr>
          <w:p>
            <w:pPr>
              <w:spacing w:after="0"/>
              <w:rPr>
                <w:sz w:val="12"/>
                <w:szCs w:val="12"/>
                <w:color w:val="auto"/>
              </w:rPr>
            </w:pPr>
          </w:p>
        </w:tc>
        <w:tc>
          <w:tcPr>
            <w:tcW w:w="1040" w:type="dxa"/>
            <w:vAlign w:val="bottom"/>
            <w:gridSpan w:val="5"/>
          </w:tcPr>
          <w:p>
            <w:pPr>
              <w:jc w:val="center"/>
              <w:ind w:right="172"/>
              <w:spacing w:after="0" w:line="149" w:lineRule="exact"/>
              <w:rPr>
                <w:sz w:val="20"/>
                <w:szCs w:val="20"/>
                <w:color w:val="auto"/>
              </w:rPr>
            </w:pPr>
            <w:r>
              <w:rPr>
                <w:rFonts w:ascii="Arial" w:cs="Arial" w:eastAsia="Arial" w:hAnsi="Arial"/>
                <w:sz w:val="14"/>
                <w:szCs w:val="14"/>
                <w:b w:val="1"/>
                <w:bCs w:val="1"/>
                <w:color w:val="auto"/>
                <w:w w:val="82"/>
              </w:rPr>
              <w:t>(loss)/gain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gain (loss)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gain (loss)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4"/>
          </w:tcPr>
          <w:p>
            <w:pPr>
              <w:jc w:val="center"/>
              <w:ind w:right="246"/>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120" w:type="dxa"/>
            <w:vAlign w:val="bottom"/>
          </w:tcPr>
          <w:p>
            <w:pPr>
              <w:spacing w:after="0"/>
              <w:rPr>
                <w:sz w:val="12"/>
                <w:szCs w:val="12"/>
                <w:color w:val="auto"/>
              </w:rPr>
            </w:pPr>
          </w:p>
        </w:tc>
        <w:tc>
          <w:tcPr>
            <w:tcW w:w="1040" w:type="dxa"/>
            <w:vAlign w:val="bottom"/>
            <w:gridSpan w:val="5"/>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300" w:type="dxa"/>
            <w:vAlign w:val="bottom"/>
          </w:tcPr>
          <w:p>
            <w:pPr>
              <w:spacing w:after="0"/>
              <w:rPr>
                <w:sz w:val="12"/>
                <w:szCs w:val="12"/>
                <w:color w:val="auto"/>
              </w:rPr>
            </w:pPr>
          </w:p>
        </w:tc>
        <w:tc>
          <w:tcPr>
            <w:tcW w:w="178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4"/>
          </w:tcPr>
          <w:p>
            <w:pPr>
              <w:jc w:val="center"/>
              <w:ind w:right="246"/>
              <w:spacing w:after="0"/>
              <w:rPr>
                <w:sz w:val="20"/>
                <w:szCs w:val="20"/>
                <w:color w:val="auto"/>
              </w:rPr>
            </w:pPr>
            <w:r>
              <w:rPr>
                <w:rFonts w:ascii="Arial" w:cs="Arial" w:eastAsia="Arial" w:hAnsi="Arial"/>
                <w:sz w:val="14"/>
                <w:szCs w:val="14"/>
                <w:b w:val="1"/>
                <w:bCs w:val="1"/>
                <w:color w:val="auto"/>
                <w:w w:val="84"/>
              </w:rPr>
              <w:t>derivatives</w:t>
            </w:r>
          </w:p>
        </w:tc>
        <w:tc>
          <w:tcPr>
            <w:tcW w:w="120" w:type="dxa"/>
            <w:vAlign w:val="bottom"/>
          </w:tcPr>
          <w:p>
            <w:pPr>
              <w:spacing w:after="0"/>
              <w:rPr>
                <w:sz w:val="14"/>
                <w:szCs w:val="14"/>
                <w:color w:val="auto"/>
              </w:rPr>
            </w:pPr>
          </w:p>
        </w:tc>
        <w:tc>
          <w:tcPr>
            <w:tcW w:w="1040" w:type="dxa"/>
            <w:vAlign w:val="bottom"/>
            <w:gridSpan w:val="5"/>
          </w:tcPr>
          <w:p>
            <w:pPr>
              <w:jc w:val="center"/>
              <w:ind w:right="172"/>
              <w:spacing w:after="0"/>
              <w:rPr>
                <w:sz w:val="20"/>
                <w:szCs w:val="20"/>
                <w:color w:val="auto"/>
              </w:rPr>
            </w:pPr>
            <w:r>
              <w:rPr>
                <w:rFonts w:ascii="Arial" w:cs="Arial" w:eastAsia="Arial" w:hAnsi="Arial"/>
                <w:sz w:val="14"/>
                <w:szCs w:val="14"/>
                <w:b w:val="1"/>
                <w:bCs w:val="1"/>
                <w:color w:val="auto"/>
                <w:w w:val="84"/>
              </w:rPr>
              <w:t>derivatives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derivatives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4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440"/>
              <w:spacing w:after="0"/>
              <w:rPr>
                <w:sz w:val="20"/>
                <w:szCs w:val="20"/>
                <w:color w:val="auto"/>
              </w:rPr>
            </w:pPr>
            <w:r>
              <w:rPr>
                <w:rFonts w:ascii="Arial" w:cs="Arial" w:eastAsia="Arial" w:hAnsi="Arial"/>
                <w:sz w:val="18"/>
                <w:szCs w:val="18"/>
                <w:color w:val="auto"/>
              </w:rPr>
              <w:t>Foreign currency contracts</w:t>
            </w:r>
          </w:p>
        </w:tc>
        <w:tc>
          <w:tcPr>
            <w:tcW w:w="2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Other expense, net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7"/>
          </w:tcPr>
          <w:p>
            <w:pPr>
              <w:jc w:val="center"/>
              <w:ind w:right="460"/>
              <w:spacing w:after="0"/>
              <w:rPr>
                <w:sz w:val="20"/>
                <w:szCs w:val="20"/>
                <w:color w:val="auto"/>
              </w:rPr>
            </w:pPr>
            <w:r>
              <w:rPr>
                <w:rFonts w:ascii="Arial" w:cs="Arial" w:eastAsia="Arial" w:hAnsi="Arial"/>
                <w:sz w:val="18"/>
                <w:szCs w:val="18"/>
                <w:color w:val="auto"/>
                <w:w w:val="86"/>
              </w:rPr>
              <w:t>Other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140" w:type="dxa"/>
            <w:vAlign w:val="bottom"/>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Other expense, net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7"/>
            <w:shd w:val="clear" w:color="auto" w:fill="CCEEFF"/>
          </w:tcPr>
          <w:p>
            <w:pPr>
              <w:jc w:val="center"/>
              <w:ind w:right="460"/>
              <w:spacing w:after="0"/>
              <w:rPr>
                <w:sz w:val="20"/>
                <w:szCs w:val="20"/>
                <w:color w:val="auto"/>
              </w:rPr>
            </w:pPr>
            <w:r>
              <w:rPr>
                <w:rFonts w:ascii="Arial" w:cs="Arial" w:eastAsia="Arial" w:hAnsi="Arial"/>
                <w:sz w:val="18"/>
                <w:szCs w:val="18"/>
                <w:color w:val="auto"/>
                <w:w w:val="86"/>
              </w:rPr>
              <w:t>Other expense,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20" w:type="dxa"/>
            <w:vAlign w:val="bottom"/>
          </w:tcPr>
          <w:p>
            <w:pPr>
              <w:ind w:left="440"/>
              <w:spacing w:after="0"/>
              <w:rPr>
                <w:sz w:val="20"/>
                <w:szCs w:val="20"/>
                <w:color w:val="auto"/>
              </w:rPr>
            </w:pPr>
            <w:r>
              <w:rPr>
                <w:rFonts w:ascii="Arial" w:cs="Arial" w:eastAsia="Arial" w:hAnsi="Arial"/>
                <w:sz w:val="18"/>
                <w:szCs w:val="18"/>
                <w:color w:val="auto"/>
              </w:rPr>
              <w:t>Interest rate contracts</w:t>
            </w:r>
          </w:p>
        </w:tc>
        <w:tc>
          <w:tcPr>
            <w:tcW w:w="2140" w:type="dxa"/>
            <w:vAlign w:val="bottom"/>
            <w:gridSpan w:val="5"/>
          </w:tcPr>
          <w:p>
            <w:pPr>
              <w:jc w:val="right"/>
              <w:ind w:right="446"/>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7"/>
          </w:tcPr>
          <w:p>
            <w:pPr>
              <w:jc w:val="right"/>
              <w:ind w:right="640"/>
              <w:spacing w:after="0"/>
              <w:rPr>
                <w:sz w:val="20"/>
                <w:szCs w:val="20"/>
                <w:color w:val="auto"/>
              </w:rPr>
            </w:pPr>
            <w:r>
              <w:rPr>
                <w:rFonts w:ascii="Arial" w:cs="Arial" w:eastAsia="Arial" w:hAnsi="Arial"/>
                <w:sz w:val="18"/>
                <w:szCs w:val="18"/>
                <w:color w:val="auto"/>
                <w:w w:val="84"/>
              </w:rPr>
              <w:t>Interest expense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gain recognized on derivatives not designated as</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hedging instruments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gridSpan w:val="7"/>
          </w:tcPr>
          <w:p>
            <w:pPr>
              <w:jc w:val="center"/>
              <w:ind w:left="272"/>
              <w:spacing w:after="0"/>
              <w:rPr>
                <w:sz w:val="20"/>
                <w:szCs w:val="20"/>
                <w:color w:val="auto"/>
              </w:rPr>
            </w:pPr>
            <w:r>
              <w:rPr>
                <w:rFonts w:ascii="Arial" w:cs="Arial" w:eastAsia="Arial" w:hAnsi="Arial"/>
                <w:sz w:val="14"/>
                <w:szCs w:val="14"/>
                <w:b w:val="1"/>
                <w:bCs w:val="1"/>
                <w:color w:val="auto"/>
                <w:w w:val="84"/>
              </w:rPr>
              <w:t>Six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6"/>
          </w:tcPr>
          <w:p>
            <w:pPr>
              <w:jc w:val="center"/>
              <w:ind w:right="123"/>
              <w:spacing w:after="0"/>
              <w:rPr>
                <w:sz w:val="20"/>
                <w:szCs w:val="20"/>
                <w:color w:val="auto"/>
              </w:rPr>
            </w:pPr>
            <w:r>
              <w:rPr>
                <w:rFonts w:ascii="Arial" w:cs="Arial" w:eastAsia="Arial" w:hAnsi="Arial"/>
                <w:sz w:val="14"/>
                <w:szCs w:val="14"/>
                <w:b w:val="1"/>
                <w:bCs w:val="1"/>
                <w:color w:val="auto"/>
                <w:w w:val="84"/>
              </w:rPr>
              <w:t>Six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Borders>
              <w:bottom w:val="single" w:sz="8" w:color="auto"/>
            </w:tcBorders>
            <w:gridSpan w:val="4"/>
          </w:tcPr>
          <w:p>
            <w:pPr>
              <w:jc w:val="center"/>
              <w:ind w:left="852"/>
              <w:spacing w:after="0"/>
              <w:rPr>
                <w:sz w:val="20"/>
                <w:szCs w:val="20"/>
                <w:color w:val="auto"/>
              </w:rPr>
            </w:pPr>
            <w:r>
              <w:rPr>
                <w:rFonts w:ascii="Arial" w:cs="Arial" w:eastAsia="Arial" w:hAnsi="Arial"/>
                <w:sz w:val="14"/>
                <w:szCs w:val="14"/>
                <w:b w:val="1"/>
                <w:bCs w:val="1"/>
                <w:color w:val="auto"/>
                <w:w w:val="85"/>
              </w:rPr>
              <w:t>June 30, 2013</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2012</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4"/>
          </w:tcPr>
          <w:p>
            <w:pPr>
              <w:jc w:val="center"/>
              <w:ind w:right="246"/>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2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Location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4"/>
          </w:tcPr>
          <w:p>
            <w:pPr>
              <w:jc w:val="center"/>
              <w:ind w:right="246"/>
              <w:spacing w:after="0" w:line="149" w:lineRule="exact"/>
              <w:rPr>
                <w:sz w:val="20"/>
                <w:szCs w:val="20"/>
                <w:color w:val="auto"/>
              </w:rPr>
            </w:pPr>
            <w:r>
              <w:rPr>
                <w:rFonts w:ascii="Arial" w:cs="Arial" w:eastAsia="Arial" w:hAnsi="Arial"/>
                <w:sz w:val="14"/>
                <w:szCs w:val="14"/>
                <w:b w:val="1"/>
                <w:bCs w:val="1"/>
                <w:color w:val="auto"/>
                <w:w w:val="82"/>
              </w:rPr>
              <w:t>(loss)/gain</w:t>
            </w:r>
          </w:p>
        </w:tc>
        <w:tc>
          <w:tcPr>
            <w:tcW w:w="120" w:type="dxa"/>
            <w:vAlign w:val="bottom"/>
          </w:tcPr>
          <w:p>
            <w:pPr>
              <w:spacing w:after="0"/>
              <w:rPr>
                <w:sz w:val="12"/>
                <w:szCs w:val="12"/>
                <w:color w:val="auto"/>
              </w:rPr>
            </w:pPr>
          </w:p>
        </w:tc>
        <w:tc>
          <w:tcPr>
            <w:tcW w:w="1040" w:type="dxa"/>
            <w:vAlign w:val="bottom"/>
            <w:gridSpan w:val="5"/>
          </w:tcPr>
          <w:p>
            <w:pPr>
              <w:jc w:val="center"/>
              <w:ind w:right="172"/>
              <w:spacing w:after="0" w:line="149" w:lineRule="exact"/>
              <w:rPr>
                <w:sz w:val="20"/>
                <w:szCs w:val="20"/>
                <w:color w:val="auto"/>
              </w:rPr>
            </w:pPr>
            <w:r>
              <w:rPr>
                <w:rFonts w:ascii="Arial" w:cs="Arial" w:eastAsia="Arial" w:hAnsi="Arial"/>
                <w:sz w:val="14"/>
                <w:szCs w:val="14"/>
                <w:b w:val="1"/>
                <w:bCs w:val="1"/>
                <w:color w:val="auto"/>
                <w:w w:val="82"/>
              </w:rPr>
              <w:t>(loss)/gain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gain (loss)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gain (loss)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4"/>
          </w:tcPr>
          <w:p>
            <w:pPr>
              <w:jc w:val="center"/>
              <w:ind w:right="246"/>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120" w:type="dxa"/>
            <w:vAlign w:val="bottom"/>
          </w:tcPr>
          <w:p>
            <w:pPr>
              <w:spacing w:after="0"/>
              <w:rPr>
                <w:sz w:val="12"/>
                <w:szCs w:val="12"/>
                <w:color w:val="auto"/>
              </w:rPr>
            </w:pPr>
          </w:p>
        </w:tc>
        <w:tc>
          <w:tcPr>
            <w:tcW w:w="1040" w:type="dxa"/>
            <w:vAlign w:val="bottom"/>
            <w:gridSpan w:val="5"/>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300" w:type="dxa"/>
            <w:vAlign w:val="bottom"/>
          </w:tcPr>
          <w:p>
            <w:pPr>
              <w:spacing w:after="0"/>
              <w:rPr>
                <w:sz w:val="12"/>
                <w:szCs w:val="12"/>
                <w:color w:val="auto"/>
              </w:rPr>
            </w:pPr>
          </w:p>
        </w:tc>
        <w:tc>
          <w:tcPr>
            <w:tcW w:w="178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4"/>
          </w:tcPr>
          <w:p>
            <w:pPr>
              <w:jc w:val="center"/>
              <w:ind w:right="246"/>
              <w:spacing w:after="0"/>
              <w:rPr>
                <w:sz w:val="20"/>
                <w:szCs w:val="20"/>
                <w:color w:val="auto"/>
              </w:rPr>
            </w:pPr>
            <w:r>
              <w:rPr>
                <w:rFonts w:ascii="Arial" w:cs="Arial" w:eastAsia="Arial" w:hAnsi="Arial"/>
                <w:sz w:val="14"/>
                <w:szCs w:val="14"/>
                <w:b w:val="1"/>
                <w:bCs w:val="1"/>
                <w:color w:val="auto"/>
                <w:w w:val="84"/>
              </w:rPr>
              <w:t>derivatives</w:t>
            </w:r>
          </w:p>
        </w:tc>
        <w:tc>
          <w:tcPr>
            <w:tcW w:w="120" w:type="dxa"/>
            <w:vAlign w:val="bottom"/>
          </w:tcPr>
          <w:p>
            <w:pPr>
              <w:spacing w:after="0"/>
              <w:rPr>
                <w:sz w:val="14"/>
                <w:szCs w:val="14"/>
                <w:color w:val="auto"/>
              </w:rPr>
            </w:pPr>
          </w:p>
        </w:tc>
        <w:tc>
          <w:tcPr>
            <w:tcW w:w="1040" w:type="dxa"/>
            <w:vAlign w:val="bottom"/>
            <w:gridSpan w:val="5"/>
          </w:tcPr>
          <w:p>
            <w:pPr>
              <w:jc w:val="center"/>
              <w:ind w:right="172"/>
              <w:spacing w:after="0"/>
              <w:rPr>
                <w:sz w:val="20"/>
                <w:szCs w:val="20"/>
                <w:color w:val="auto"/>
              </w:rPr>
            </w:pPr>
            <w:r>
              <w:rPr>
                <w:rFonts w:ascii="Arial" w:cs="Arial" w:eastAsia="Arial" w:hAnsi="Arial"/>
                <w:sz w:val="14"/>
                <w:szCs w:val="14"/>
                <w:b w:val="1"/>
                <w:bCs w:val="1"/>
                <w:color w:val="auto"/>
                <w:w w:val="84"/>
              </w:rPr>
              <w:t>derivatives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derivatives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4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tcPr>
          <w:p>
            <w:pPr>
              <w:ind w:left="440"/>
              <w:spacing w:after="0"/>
              <w:rPr>
                <w:sz w:val="20"/>
                <w:szCs w:val="20"/>
                <w:color w:val="auto"/>
              </w:rPr>
            </w:pPr>
            <w:r>
              <w:rPr>
                <w:rFonts w:ascii="Arial" w:cs="Arial" w:eastAsia="Arial" w:hAnsi="Arial"/>
                <w:sz w:val="18"/>
                <w:szCs w:val="18"/>
                <w:color w:val="auto"/>
              </w:rPr>
              <w:t>Foreign currency contracts</w:t>
            </w:r>
          </w:p>
        </w:tc>
        <w:tc>
          <w:tcPr>
            <w:tcW w:w="2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Other expense, net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7"/>
          </w:tcPr>
          <w:p>
            <w:pPr>
              <w:jc w:val="center"/>
              <w:ind w:right="460"/>
              <w:spacing w:after="0"/>
              <w:rPr>
                <w:sz w:val="20"/>
                <w:szCs w:val="20"/>
                <w:color w:val="auto"/>
              </w:rPr>
            </w:pPr>
            <w:r>
              <w:rPr>
                <w:rFonts w:ascii="Arial" w:cs="Arial" w:eastAsia="Arial" w:hAnsi="Arial"/>
                <w:sz w:val="18"/>
                <w:szCs w:val="18"/>
                <w:color w:val="auto"/>
                <w:w w:val="86"/>
              </w:rPr>
              <w:t>Other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140" w:type="dxa"/>
            <w:vAlign w:val="bottom"/>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Other expense, net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7"/>
            <w:shd w:val="clear" w:color="auto" w:fill="CCEEFF"/>
          </w:tcPr>
          <w:p>
            <w:pPr>
              <w:jc w:val="center"/>
              <w:ind w:right="460"/>
              <w:spacing w:after="0"/>
              <w:rPr>
                <w:sz w:val="20"/>
                <w:szCs w:val="20"/>
                <w:color w:val="auto"/>
              </w:rPr>
            </w:pPr>
            <w:r>
              <w:rPr>
                <w:rFonts w:ascii="Arial" w:cs="Arial" w:eastAsia="Arial" w:hAnsi="Arial"/>
                <w:sz w:val="18"/>
                <w:szCs w:val="18"/>
                <w:color w:val="auto"/>
                <w:w w:val="86"/>
              </w:rPr>
              <w:t>Other expense,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20" w:type="dxa"/>
            <w:vAlign w:val="bottom"/>
          </w:tcPr>
          <w:p>
            <w:pPr>
              <w:ind w:left="440"/>
              <w:spacing w:after="0"/>
              <w:rPr>
                <w:sz w:val="20"/>
                <w:szCs w:val="20"/>
                <w:color w:val="auto"/>
              </w:rPr>
            </w:pPr>
            <w:r>
              <w:rPr>
                <w:rFonts w:ascii="Arial" w:cs="Arial" w:eastAsia="Arial" w:hAnsi="Arial"/>
                <w:sz w:val="18"/>
                <w:szCs w:val="18"/>
                <w:color w:val="auto"/>
              </w:rPr>
              <w:t>Interest rate contracts</w:t>
            </w:r>
          </w:p>
        </w:tc>
        <w:tc>
          <w:tcPr>
            <w:tcW w:w="2140" w:type="dxa"/>
            <w:vAlign w:val="bottom"/>
            <w:gridSpan w:val="5"/>
          </w:tcPr>
          <w:p>
            <w:pPr>
              <w:jc w:val="right"/>
              <w:ind w:right="446"/>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7"/>
          </w:tcPr>
          <w:p>
            <w:pPr>
              <w:jc w:val="right"/>
              <w:ind w:right="640"/>
              <w:spacing w:after="0"/>
              <w:rPr>
                <w:sz w:val="20"/>
                <w:szCs w:val="20"/>
                <w:color w:val="auto"/>
              </w:rPr>
            </w:pPr>
            <w:r>
              <w:rPr>
                <w:rFonts w:ascii="Arial" w:cs="Arial" w:eastAsia="Arial" w:hAnsi="Arial"/>
                <w:sz w:val="18"/>
                <w:szCs w:val="18"/>
                <w:color w:val="auto"/>
                <w:w w:val="84"/>
              </w:rPr>
              <w:t>Interest expense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gain recognized on derivatives not designated as</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hedging instruments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H. PRODUCT WARRANTY LIABILITIES</w:t>
            </w: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gridSpan w:val="7"/>
          </w:tcPr>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10"/>
          </w:tcPr>
          <w:p>
            <w:pPr>
              <w:jc w:val="right"/>
              <w:ind w:right="152"/>
              <w:spacing w:after="0"/>
              <w:rPr>
                <w:sz w:val="20"/>
                <w:szCs w:val="20"/>
                <w:color w:val="auto"/>
              </w:rPr>
            </w:pPr>
            <w:r>
              <w:rPr>
                <w:rFonts w:ascii="Arial" w:cs="Arial" w:eastAsia="Arial" w:hAnsi="Arial"/>
                <w:sz w:val="14"/>
                <w:szCs w:val="14"/>
                <w:b w:val="1"/>
                <w:bCs w:val="1"/>
                <w:color w:val="auto"/>
                <w:w w:val="91"/>
              </w:rPr>
              <w:t>Three months ended June 30,</w:t>
            </w:r>
          </w:p>
        </w:tc>
        <w:tc>
          <w:tcPr>
            <w:tcW w:w="380" w:type="dxa"/>
            <w:vAlign w:val="bottom"/>
          </w:tcPr>
          <w:p>
            <w:pPr>
              <w:spacing w:after="0"/>
              <w:rPr>
                <w:sz w:val="24"/>
                <w:szCs w:val="24"/>
                <w:color w:val="auto"/>
              </w:rPr>
            </w:pPr>
          </w:p>
        </w:tc>
        <w:tc>
          <w:tcPr>
            <w:tcW w:w="194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9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920" w:type="dxa"/>
            <w:vAlign w:val="bottom"/>
            <w:tcBorders>
              <w:top w:val="single" w:sz="8" w:color="CCEEFF"/>
            </w:tcBorders>
            <w:gridSpan w:val="4"/>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107.5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Payments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b w:val="1"/>
                <w:bCs w:val="1"/>
                <w:color w:val="auto"/>
                <w:w w:val="89"/>
              </w:rPr>
              <w:t>(10.4)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adjustment to liability</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460"/>
              <w:spacing w:after="0"/>
              <w:rPr>
                <w:sz w:val="20"/>
                <w:szCs w:val="20"/>
                <w:color w:val="auto"/>
              </w:rPr>
            </w:pPr>
            <w:r>
              <w:rPr>
                <w:rFonts w:ascii="Arial" w:cs="Arial" w:eastAsia="Arial" w:hAnsi="Arial"/>
                <w:sz w:val="18"/>
                <w:szCs w:val="18"/>
                <w:color w:val="auto"/>
              </w:rPr>
              <w:t>Ending balance</w:t>
            </w:r>
          </w:p>
        </w:tc>
        <w:tc>
          <w:tcPr>
            <w:tcW w:w="19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105.6</w:t>
            </w:r>
          </w:p>
        </w:tc>
        <w:tc>
          <w:tcPr>
            <w:tcW w:w="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111.1</w:t>
            </w:r>
          </w:p>
        </w:tc>
        <w:tc>
          <w:tcPr>
            <w:tcW w:w="380" w:type="dxa"/>
            <w:vAlign w:val="bottom"/>
          </w:tcPr>
          <w:p>
            <w:pPr>
              <w:spacing w:after="0"/>
              <w:rPr>
                <w:sz w:val="19"/>
                <w:szCs w:val="19"/>
                <w:color w:val="auto"/>
              </w:rPr>
            </w:pPr>
          </w:p>
        </w:tc>
        <w:tc>
          <w:tcPr>
            <w:tcW w:w="260" w:type="dxa"/>
            <w:vAlign w:val="bottom"/>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105.6</w:t>
            </w:r>
          </w:p>
        </w:tc>
        <w:tc>
          <w:tcPr>
            <w:tcW w:w="3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June 30, 2013, the current and non-current liabilities were $35.8 million and $69.8 million, respectively. As of June 30, 2012, the current and non-current liabilities were $33.9 million and $77.2 million, respectively.</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extended transmission coverage activity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7"/>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61"/>
        </w:trPr>
        <w:tc>
          <w:tcPr>
            <w:tcW w:w="5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32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 of June 30, 2013, the current and non-current liabilities were $20.9 million and $40.2 million, respectively. As of June 30, 2012, the current and non-current liabilities were $20.2 million and $43.4 million, respectively. The activity above excludes deferred revenue related to defense contracts, which was $0.4 million as of June 30,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 Program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contracts (see NOTE G)</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Loss on foreign exchange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G)</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(0.6)</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on repayments and redemptions of long-term debt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Termination of Sponsor services agreement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on re-measurement of employee benefit plans (see NOTE K)</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8"/>
                <w:szCs w:val="18"/>
                <w:b w:val="1"/>
                <w:bCs w:val="1"/>
                <w:color w:val="auto"/>
                <w:w w:val="79"/>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(5.7)</w:t>
            </w:r>
          </w:p>
        </w:tc>
        <w:tc>
          <w:tcPr>
            <w:tcW w:w="4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second quarter of 2013, the Company announced a proposed secondary offering of its common stock by investment funds affiliated with The Carlyle Group and Onex Corporation (collectively, the “Sponsors”). The Company subsequently announced that the investment funds affiliated with the Sponsors would not proceed with the previously announced secondary offering of common stock due to market conditions. The registration statement for these offerings or distributions remains on file with the SEC. For the three and six months ended June 30, 2013, the Company incurred $0.6 million and $0.6 million, respectively, of expenses related to this public offering.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quarter of 2013, the Company made a $2.5 million investment as part of a co-development agreement signed in 2012 to expand our position in transmission technologies. Due to various uncertainties surrounding the investment including, but not limited to, the startup nature of the underlying business, its continued negative cash flow, undercapitalization and unproven business plan, the Company has impaired the investment to zero as of June 30, 2013. The related charge of $2.5 million was recorded in Other expense, net in the Condensed Consolidated Statements of Comprehensive Income for the six months ended June 30, 2013.</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—research and development while the U.S. government’s matching reimbursement is recorded to Other expense, net in the Condensed Consolidated Statements of Comprehensive Income. Since inception of the Grant Program, the Company has recorded $44.0 million of Grant Program income to Other expense, net in the Condensed Consolidated Statements of Comprehensive Income.</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For the three months ended June 30, 2013 and 2012, the Company recorded $1.3 million and $0.7 million, respectively, as a reduction of the basis of capital assets purchased under the Grant Program. For the six months ended June 30, 2013 and 2012, the Company recorded $2.7 million and $2.2 million, respectively, as a reduction of the basis of capital assets purchased under the Grant Program. Since inception of the Grant Program, the Company has placed approximately $7.1 million of assets in service under the Grant Program, resulting in related depreciation of $0.0 million and $0.2 million for the three months ended June 30, 2013 and 2012, respectively, and $0.1 million and $0.3 million for the six months ended June 30, 2013 and 2012,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2013</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Payroll and related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Sales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165.</w:t>
            </w:r>
            <w:r>
              <w:rPr>
                <w:rFonts w:ascii="Arial" w:cs="Arial" w:eastAsia="Arial" w:hAnsi="Arial"/>
                <w:sz w:val="18"/>
                <w:szCs w:val="18"/>
                <w:b w:val="1"/>
                <w:bCs w:val="1"/>
                <w:u w:val="single" w:color="auto"/>
                <w:color w:val="auto"/>
              </w:rPr>
              <w:t>0</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EMPLOYEE BENEFIT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Pension Plans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4"/>
              </w:rPr>
              <w:t>Post-retirement Benefits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6"/>
          </w:tcPr>
          <w:p>
            <w:pPr>
              <w:jc w:val="right"/>
              <w:ind w:right="215"/>
              <w:spacing w:after="0" w:line="129" w:lineRule="exact"/>
              <w:rPr>
                <w:sz w:val="20"/>
                <w:szCs w:val="20"/>
                <w:color w:val="auto"/>
              </w:rPr>
            </w:pPr>
            <w:r>
              <w:rPr>
                <w:rFonts w:ascii="Arial" w:cs="Arial" w:eastAsia="Arial" w:hAnsi="Arial"/>
                <w:sz w:val="14"/>
                <w:szCs w:val="14"/>
                <w:b w:val="1"/>
                <w:bCs w:val="1"/>
                <w:color w:val="auto"/>
                <w:w w:val="86"/>
              </w:rPr>
              <w:t>Three months ended June 30,</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6"/>
          </w:tcPr>
          <w:p>
            <w:pPr>
              <w:ind w:left="100"/>
              <w:spacing w:after="0" w:line="129" w:lineRule="exact"/>
              <w:rPr>
                <w:sz w:val="20"/>
                <w:szCs w:val="20"/>
                <w:color w:val="auto"/>
              </w:rPr>
            </w:pPr>
            <w:r>
              <w:rPr>
                <w:rFonts w:ascii="Arial" w:cs="Arial" w:eastAsia="Arial" w:hAnsi="Arial"/>
                <w:sz w:val="14"/>
                <w:szCs w:val="14"/>
                <w:b w:val="1"/>
                <w:bCs w:val="1"/>
                <w:color w:val="auto"/>
                <w:w w:val="86"/>
              </w:rPr>
              <w:t>Three months ended June 30,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400" w:type="dxa"/>
            <w:vAlign w:val="bottom"/>
          </w:tcPr>
          <w:p>
            <w:pPr>
              <w:spacing w:after="0"/>
              <w:rPr>
                <w:sz w:val="14"/>
                <w:szCs w:val="14"/>
                <w:color w:val="auto"/>
              </w:rPr>
            </w:pPr>
          </w:p>
        </w:tc>
        <w:tc>
          <w:tcPr>
            <w:tcW w:w="232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8"/>
              <w:spacing w:after="0"/>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Service cost</w:t>
            </w:r>
          </w:p>
        </w:tc>
        <w:tc>
          <w:tcPr>
            <w:tcW w:w="180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4.1</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500" w:type="dxa"/>
            <w:vAlign w:val="bottom"/>
          </w:tcPr>
          <w:p>
            <w:pPr>
              <w:jc w:val="center"/>
              <w:ind w:left="195"/>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79"/>
              </w:rPr>
              <w:t>0.9</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7"/>
              </w:rPr>
              <w:t>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1.8</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7"/>
              </w:rPr>
              <w:t>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Loss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0.1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center"/>
              <w:ind w:left="195"/>
              <w:spacing w:after="0"/>
              <w:rPr>
                <w:sz w:val="20"/>
                <w:szCs w:val="20"/>
                <w:color w:val="auto"/>
              </w:rPr>
            </w:pPr>
            <w:r>
              <w:rPr>
                <w:rFonts w:ascii="Arial" w:cs="Arial" w:eastAsia="Arial" w:hAnsi="Arial"/>
                <w:sz w:val="18"/>
                <w:szCs w:val="18"/>
                <w:color w:val="auto"/>
                <w:w w:val="87"/>
              </w:rPr>
              <w:t>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87"/>
              </w:rPr>
              <w:t>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500" w:type="dxa"/>
            <w:vAlign w:val="bottom"/>
          </w:tcPr>
          <w:p>
            <w:pPr>
              <w:jc w:val="center"/>
              <w:ind w:left="195"/>
              <w:spacing w:after="0"/>
              <w:rPr>
                <w:sz w:val="20"/>
                <w:szCs w:val="20"/>
                <w:color w:val="auto"/>
              </w:rPr>
            </w:pPr>
            <w:r>
              <w:rPr>
                <w:rFonts w:ascii="Arial" w:cs="Arial" w:eastAsia="Arial" w:hAnsi="Arial"/>
                <w:sz w:val="18"/>
                <w:szCs w:val="18"/>
                <w:color w:val="auto"/>
                <w:w w:val="87"/>
              </w:rPr>
              <w:t>6.3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79"/>
              </w:rPr>
              <w:t>2.7</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3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Pension Plans</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92"/>
              </w:rPr>
              <w:t>Post-retirement Benefits</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7"/>
          </w:tcPr>
          <w:p>
            <w:pPr>
              <w:jc w:val="right"/>
              <w:ind w:right="380"/>
              <w:spacing w:after="0" w:line="129" w:lineRule="exact"/>
              <w:rPr>
                <w:sz w:val="20"/>
                <w:szCs w:val="20"/>
                <w:color w:val="auto"/>
              </w:rPr>
            </w:pPr>
            <w:r>
              <w:rPr>
                <w:rFonts w:ascii="Arial" w:cs="Arial" w:eastAsia="Arial" w:hAnsi="Arial"/>
                <w:sz w:val="14"/>
                <w:szCs w:val="14"/>
                <w:b w:val="1"/>
                <w:bCs w:val="1"/>
                <w:color w:val="auto"/>
                <w:w w:val="98"/>
              </w:rPr>
              <w:t>Six months ended June 30,</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6"/>
          </w:tcPr>
          <w:p>
            <w:pPr>
              <w:ind w:left="240"/>
              <w:spacing w:after="0" w:line="129" w:lineRule="exact"/>
              <w:rPr>
                <w:sz w:val="20"/>
                <w:szCs w:val="20"/>
                <w:color w:val="auto"/>
              </w:rPr>
            </w:pPr>
            <w:r>
              <w:rPr>
                <w:rFonts w:ascii="Arial" w:cs="Arial" w:eastAsia="Arial" w:hAnsi="Arial"/>
                <w:sz w:val="14"/>
                <w:szCs w:val="14"/>
                <w:b w:val="1"/>
                <w:bCs w:val="1"/>
                <w:color w:val="auto"/>
                <w:w w:val="86"/>
              </w:rPr>
              <w:t>Six months ended June 30,</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Service cost</w:t>
            </w:r>
          </w:p>
        </w:tc>
        <w:tc>
          <w:tcPr>
            <w:tcW w:w="1900" w:type="dxa"/>
            <w:vAlign w:val="bottom"/>
            <w:gridSpan w:val="4"/>
          </w:tcPr>
          <w:p>
            <w:pPr>
              <w:jc w:val="center"/>
              <w:ind w:left="1697"/>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7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79"/>
              </w:rPr>
              <w:t>1.9</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3.6</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72"/>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Loss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8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420" w:type="dxa"/>
            <w:vAlign w:val="bottom"/>
          </w:tcPr>
          <w:p>
            <w:pPr>
              <w:spacing w:after="0"/>
              <w:rPr>
                <w:sz w:val="19"/>
                <w:szCs w:val="19"/>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400" w:type="dxa"/>
            <w:vAlign w:val="bottom"/>
          </w:tcPr>
          <w:p>
            <w:pPr>
              <w:spacing w:after="0"/>
              <w:rPr>
                <w:sz w:val="24"/>
                <w:szCs w:val="24"/>
                <w:color w:val="auto"/>
              </w:rPr>
            </w:pPr>
          </w:p>
        </w:tc>
        <w:tc>
          <w:tcPr>
            <w:tcW w:w="2320" w:type="dxa"/>
            <w:vAlign w:val="bottom"/>
            <w:gridSpan w:val="5"/>
          </w:tcPr>
          <w:p>
            <w:pPr>
              <w:jc w:val="center"/>
              <w:ind w:left="1297"/>
              <w:spacing w:after="0"/>
              <w:rPr>
                <w:sz w:val="20"/>
                <w:szCs w:val="20"/>
                <w:color w:val="auto"/>
              </w:rPr>
            </w:pPr>
            <w:r>
              <w:rPr>
                <w:rFonts w:ascii="Arial" w:cs="Arial" w:eastAsia="Arial" w:hAnsi="Arial"/>
                <w:sz w:val="18"/>
                <w:szCs w:val="18"/>
                <w:color w:val="auto"/>
                <w:w w:val="89"/>
              </w:rPr>
              <w:t>17</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effective tax rate for the three and six months ended June 30, 2013 was (38.3%) and (38.2%), respectively. For the three and six months ended June 30, 2013, the Company recorded total tax expense of ($31.3) million and ($48.2) million, respectively. The effective tax rate for the three and six months ended June 30, 2012 was 558.4% and 222.7%, respectively. For the three and six months ended June 30, 2012, the Company recorded a total tax benefit of $350.1 million and $324.9 million, respectively. The change in the effective tax rates from 2012 to 2013 was principally driven by the release of the domestic valuation allowance on the Company’s deferred tax assets in the second quarter of 2012 resulting in an income tax benefit of $384.8 million.</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In assessing the realizability of deferred tax assets, management considers whether it is more likely than not that all or some portion of the deferred tax assets will not be realized. This assessment considers, among other matters, the nature, frequency and severity of recent losses, forecasts of future profitability, the duration of statutory carryforward periods, experience with tax attributes expiring unused, and tax planning alternatives.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Management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as of June 30, 2013 and December 31, 2012. The accounting guidance prescribes a recognition threshold and measurement attributes for the financial statement recognition and measurement of a tax position taken or expected to be taken in a tax return. For the year ended December 31, 2012, the return will remain subject to examination by the various taxing authorities for the duration of the applicable statute of limitations (generally three years from the later of the date of filing or the due date of the return).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changes in Accumulated other comprehensive loss (“AOCL”) by component (net of tax, dollars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w w:val="89"/>
              </w:rPr>
              <w:t>Six months ended June 30, 2013</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9"/>
              </w:rPr>
              <w:t>Defined</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Available-for-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benefit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0"/>
              </w:rPr>
              <w:t>sale securities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pension items</w:t>
            </w:r>
          </w:p>
        </w:tc>
        <w:tc>
          <w:tcPr>
            <w:tcW w:w="3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currency items</w:t>
            </w:r>
          </w:p>
        </w:tc>
        <w:tc>
          <w:tcPr>
            <w:tcW w:w="160" w:type="dxa"/>
            <w:vAlign w:val="bottom"/>
          </w:tcPr>
          <w:p>
            <w:pPr>
              <w:spacing w:after="0"/>
              <w:rPr>
                <w:sz w:val="14"/>
                <w:szCs w:val="14"/>
                <w:color w:val="auto"/>
              </w:rPr>
            </w:pPr>
          </w:p>
        </w:tc>
        <w:tc>
          <w:tcPr>
            <w:tcW w:w="72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Beginning balance of AOCL</w:t>
            </w:r>
          </w:p>
        </w:tc>
        <w:tc>
          <w:tcPr>
            <w:tcW w:w="5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(36.9)</w:t>
            </w: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 comprehensive loss before reclassifications</w:t>
            </w:r>
          </w:p>
        </w:tc>
        <w:tc>
          <w:tcPr>
            <w:tcW w:w="5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loss</w:t>
            </w:r>
          </w:p>
        </w:tc>
        <w:tc>
          <w:tcPr>
            <w:tcW w:w="5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AOCL</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(37.7)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shows the location in the Condensed Consolidated Statements of Comprehensive Income affected by reclassifications from AOCL (dollars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Three months ended June 30, 2013</w:t>
            </w: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Amount</w:t>
            </w:r>
          </w:p>
        </w:tc>
        <w:tc>
          <w:tcPr>
            <w:tcW w:w="860" w:type="dxa"/>
            <w:vAlign w:val="bottom"/>
          </w:tcPr>
          <w:p>
            <w:pPr>
              <w:spacing w:after="0"/>
              <w:rPr>
                <w:sz w:val="11"/>
                <w:szCs w:val="11"/>
                <w:color w:val="auto"/>
              </w:rPr>
            </w:pPr>
          </w:p>
        </w:tc>
        <w:tc>
          <w:tcPr>
            <w:tcW w:w="202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Affected line item in the condensed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reclassified from</w:t>
            </w:r>
          </w:p>
        </w:tc>
        <w:tc>
          <w:tcPr>
            <w:tcW w:w="8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consolidated statements of</w:t>
            </w:r>
          </w:p>
        </w:tc>
        <w:tc>
          <w:tcPr>
            <w:tcW w:w="0" w:type="dxa"/>
            <w:vAlign w:val="bottom"/>
          </w:tcPr>
          <w:p>
            <w:pPr>
              <w:spacing w:after="0"/>
              <w:rPr>
                <w:sz w:val="1"/>
                <w:szCs w:val="1"/>
                <w:color w:val="auto"/>
              </w:rPr>
            </w:pPr>
          </w:p>
        </w:tc>
      </w:tr>
      <w:tr>
        <w:trPr>
          <w:trHeight w:val="161"/>
        </w:trPr>
        <w:tc>
          <w:tcPr>
            <w:tcW w:w="5660" w:type="dxa"/>
            <w:vAlign w:val="bottom"/>
          </w:tcPr>
          <w:p>
            <w:pPr>
              <w:ind w:left="1860"/>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AOCL</w:t>
            </w: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60" w:type="dxa"/>
            <w:vAlign w:val="bottom"/>
          </w:tcPr>
          <w:p>
            <w:pPr>
              <w:spacing w:after="0"/>
              <w:rPr>
                <w:sz w:val="18"/>
                <w:szCs w:val="18"/>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566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Engineering – research</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and development</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0.7</w:t>
            </w:r>
          </w:p>
        </w:tc>
        <w:tc>
          <w:tcPr>
            <w:tcW w:w="60" w:type="dxa"/>
            <w:vAlign w:val="bottom"/>
          </w:tcPr>
          <w:p>
            <w:pPr>
              <w:spacing w:after="0"/>
              <w:rPr>
                <w:sz w:val="18"/>
                <w:szCs w:val="18"/>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60" w:type="dxa"/>
            <w:vAlign w:val="bottom"/>
          </w:tcPr>
          <w:p>
            <w:pPr>
              <w:spacing w:after="0"/>
              <w:rPr>
                <w:sz w:val="19"/>
                <w:szCs w:val="19"/>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2013</w:t>
            </w:r>
          </w:p>
        </w:tc>
        <w:tc>
          <w:tcPr>
            <w:tcW w:w="0" w:type="dxa"/>
            <w:vAlign w:val="bottom"/>
          </w:tcPr>
          <w:p>
            <w:pPr>
              <w:spacing w:after="0" w:line="20" w:lineRule="exact"/>
              <w:rPr>
                <w:sz w:val="1"/>
                <w:szCs w:val="1"/>
                <w:color w:val="auto"/>
              </w:rPr>
            </w:pPr>
          </w:p>
        </w:tc>
      </w:tr>
      <w:tr>
        <w:trPr>
          <w:trHeight w:val="360"/>
        </w:trPr>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Amount</w:t>
            </w:r>
          </w:p>
        </w:tc>
        <w:tc>
          <w:tcPr>
            <w:tcW w:w="860" w:type="dxa"/>
            <w:vAlign w:val="bottom"/>
          </w:tcPr>
          <w:p>
            <w:pPr>
              <w:spacing w:after="0"/>
              <w:rPr>
                <w:sz w:val="11"/>
                <w:szCs w:val="11"/>
                <w:color w:val="auto"/>
              </w:rPr>
            </w:pPr>
          </w:p>
        </w:tc>
        <w:tc>
          <w:tcPr>
            <w:tcW w:w="202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Affected line item in the condensed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reclassified from</w:t>
            </w:r>
          </w:p>
        </w:tc>
        <w:tc>
          <w:tcPr>
            <w:tcW w:w="8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consolidated statements of</w:t>
            </w:r>
          </w:p>
        </w:tc>
        <w:tc>
          <w:tcPr>
            <w:tcW w:w="0" w:type="dxa"/>
            <w:vAlign w:val="bottom"/>
          </w:tcPr>
          <w:p>
            <w:pPr>
              <w:spacing w:after="0"/>
              <w:rPr>
                <w:sz w:val="1"/>
                <w:szCs w:val="1"/>
                <w:color w:val="auto"/>
              </w:rPr>
            </w:pPr>
          </w:p>
        </w:tc>
      </w:tr>
      <w:tr>
        <w:trPr>
          <w:trHeight w:val="161"/>
        </w:trPr>
        <w:tc>
          <w:tcPr>
            <w:tcW w:w="5660" w:type="dxa"/>
            <w:vAlign w:val="bottom"/>
          </w:tcPr>
          <w:p>
            <w:pPr>
              <w:ind w:left="1860"/>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AOCL</w:t>
            </w: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0" w:type="dxa"/>
            <w:vAlign w:val="bottom"/>
          </w:tcPr>
          <w:p>
            <w:pPr>
              <w:spacing w:after="0"/>
              <w:rPr>
                <w:sz w:val="18"/>
                <w:szCs w:val="18"/>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566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(0.2)</w:t>
            </w: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Engineering – research</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and development</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60" w:type="dxa"/>
            <w:vAlign w:val="bottom"/>
          </w:tcPr>
          <w:p>
            <w:pPr>
              <w:spacing w:after="0"/>
              <w:rPr>
                <w:sz w:val="18"/>
                <w:szCs w:val="18"/>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60" w:type="dxa"/>
            <w:vAlign w:val="bottom"/>
          </w:tcPr>
          <w:p>
            <w:pPr>
              <w:spacing w:after="0"/>
              <w:rPr>
                <w:sz w:val="19"/>
                <w:szCs w:val="19"/>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K for additional details. 19</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party to various legal actions, administrative proceedings and claims arising in the ordinary course of business. These proceedings principally involve commercial claims, product liability claims, personal injury claims and workers’ compensation claims. The Company believes that the ultimate liability, if any, in excess of amounts already provided for in the financial statements or covered by insurance on the disposition of these matters will not have a material adverse effect on the financial position, results of operations or cash flows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CERTAIN RELATIONSHIPS AND RELATED PARTY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June 30, 2013, investment funds affiliated with the Sponsors owned a total of approximately 81.0% of the Company’s equity. Pursuant to an amended and restated stockholders agreement, a majority of the Board of Directors has been designated by the Sponsors and is affiliated with the Sponsors. As a result, the Sponsors or their nominees to the Board of Directors have the ability to control the appointment of management, the entering into of mergers, sales of substantially all of the Company’s assets and other extraordinary transactions and influence amendments to the Company’s certificate of incorporation. So long as the Sponsors continue to own a majority of the Company’s equity, they will have the ability to control the vote in any election of directors and will have the ability to prevent any transaction that requires stockholder approval regardless of whether others believe the transaction is in the Company’s best interests. The interests of the Sponsors could conflict with those of the Company’s other stockholders. In addition, the Sponsors may in the future own businesses that directly compete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7.125% Senior Notes Held by Executive Officers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EARNINGS PER SHARE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For the three months and six months ended June 30, 2013, 0.4 million outstanding stock options were not included in the diluted EPS computation because they were anti-dilutive.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5"/>
              <w:spacing w:after="0"/>
              <w:rPr>
                <w:sz w:val="20"/>
                <w:szCs w:val="20"/>
                <w:color w:val="auto"/>
              </w:rPr>
            </w:pPr>
            <w:r>
              <w:rPr>
                <w:rFonts w:ascii="Arial" w:cs="Arial" w:eastAsia="Arial" w:hAnsi="Arial"/>
                <w:sz w:val="14"/>
                <w:szCs w:val="14"/>
                <w:b w:val="1"/>
                <w:bCs w:val="1"/>
                <w:color w:val="auto"/>
                <w:w w:val="86"/>
              </w:rPr>
              <w:t>Three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61"/>
        </w:trPr>
        <w:tc>
          <w:tcPr>
            <w:tcW w:w="50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185.3</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440"/>
              <w:spacing w:after="0"/>
              <w:rPr>
                <w:sz w:val="20"/>
                <w:szCs w:val="20"/>
                <w:color w:val="auto"/>
              </w:rPr>
            </w:pPr>
            <w:r>
              <w:rPr>
                <w:rFonts w:ascii="Arial" w:cs="Arial" w:eastAsia="Arial" w:hAnsi="Arial"/>
                <w:sz w:val="18"/>
                <w:szCs w:val="18"/>
                <w:color w:val="auto"/>
                <w:w w:val="91"/>
              </w:rPr>
              <w:t>Diluted weighted average shares of common stock outstanding</w:t>
            </w: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188.9</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0.27</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440"/>
              <w:spacing w:after="0"/>
              <w:rPr>
                <w:sz w:val="20"/>
                <w:szCs w:val="20"/>
                <w:color w:val="auto"/>
              </w:rPr>
            </w:pPr>
            <w:r>
              <w:rPr>
                <w:rFonts w:ascii="Arial" w:cs="Arial" w:eastAsia="Arial" w:hAnsi="Arial"/>
                <w:sz w:val="18"/>
                <w:szCs w:val="18"/>
                <w:color w:val="auto"/>
                <w:w w:val="90"/>
              </w:rPr>
              <w:t>Diluted earnings per share attributable to common stockholders</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260" w:type="dxa"/>
            <w:vAlign w:val="bottom"/>
          </w:tcPr>
          <w:p>
            <w:pPr>
              <w:spacing w:after="0"/>
              <w:rPr>
                <w:sz w:val="18"/>
                <w:szCs w:val="18"/>
                <w:color w:val="auto"/>
              </w:rPr>
            </w:pP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80" w:type="dxa"/>
            <w:vAlign w:val="bottom"/>
            <w:vMerge w:val="restart"/>
          </w:tcPr>
          <w:p>
            <w:pPr>
              <w:jc w:val="right"/>
              <w:ind w:right="79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Allison Transmission Holdings, Inc. and its subsidiaries (“our,” “us” or “we”) design and manufacture fully-automatic transmissions for medium- and heavy-duty commercial vehicles, medium- and heavy-tactical U.S. defense vehicles and hybrid-propulsion systems for transit buses. We generate our net sales principally from the sale of transmissions, transmission parts, support equipment, defense kits, engineering services and extended transmission warranty coverage to a wide array of original equipment manufacturers (“OEMs”), distributors and the U.S. government. Although approximately 78% of our net sales were generated in North America in 2012, we have a global presence, serving customers in Europe, Asia, South America and Africa. We have 12 different transmission product lines and serve customers through an established network of approximately 1,400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(principally school, transit and hybrid-transit), motorhomes, off-highway vehicles and equipment (principally energy, mining and construction) and defense vehicles (wheeled and tracked).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2015. In the second half of 2013, we expect net sales to stabilize on a year-over-year basis, an improvement relative to the net sales decline in the first half of the year. We believe there are improving trends in the second half of 2013 which we expect to be driven by year-over-year growth in global On-Highway end markets and abating year-over-year declines in the North America Off-Highway end market.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Second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5500" w:type="dxa"/>
            <w:vAlign w:val="bottom"/>
            <w:vMerge w:val="restart"/>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Q2 2013</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Q2 2012</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500" w:type="dxa"/>
            <w:vAlign w:val="bottom"/>
            <w:vMerge w:val="continue"/>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Net Sales</w:t>
            </w:r>
          </w:p>
        </w:tc>
        <w:tc>
          <w:tcPr>
            <w:tcW w:w="12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Net Sales</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216</w:t>
            </w:r>
          </w:p>
        </w:tc>
        <w:tc>
          <w:tcPr>
            <w:tcW w:w="6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6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6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&amp; Other</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6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223"/>
        </w:trPr>
        <w:tc>
          <w:tcPr>
            <w:tcW w:w="62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6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559</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North America On-Highway end market net sales were flat for the second quarter 2013 compared to the second quarter 2012, principally driven by higher demand for Rugged Duty and Bus Series models.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North America Hybrid-Propulsion Systems for Transit Bus end market net sales were up 50% for the second quarter 2013 compared to the second quarter 2012, principally driven by intra-year movement in the timing of orders.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North America Off-Highway end market net sales were down 82% for the second quarter 2013 compared to the second quarter of 2012, principally driven by lower demand from hydraulic fracturing applications.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Defense end market net sales were down 28% for the second quarter 2013 compared to the second quarter 2012, principally driven by continued reductions in U.S. defense spending to longer term averages experienced during periods without active conflicts.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Outside North America On-Highway end market net sales were down 4% for the second quarter 2013 compared to the second quarter 2012 reflecting weakness in China, principally driven by the timing of bus tenders, and commercial vehicle production schedule volatility in several other regional end markets, partially offset by improved demand conditions in Europe.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up 20% for the second quarter 2013 compared to the second quarter 2012, principally driven by strength in the energy sector, partially offset by weakness in the mining sector.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parts, support equipment &amp; other end market net sales were flat for the second quarter 2013 compared to the second quarter 2012.</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generate our net sales principally from the sale of transmissions, transmission parts, support equipment, defense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six months ended June 30, 2013, direct material costs were approximately 68%, overhead costs were approximately 26%, and direct labor costs were approximately 6% of total cost of sales. We are subject to changes in our cost of sales caused by movements in underlying commodity prices. We seek to hedge against this risk by using commodity swap contracts and long-term supply agreements (“LTSAs”). See “Item 3 Quantitative and Qualitative Disclosures about Market Risk—Commodity Price Risk” included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U.S.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6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12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12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Technology-related investments expense (a)</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Public offering expenses (b)</w:t>
            </w:r>
          </w:p>
        </w:tc>
        <w:tc>
          <w:tcPr>
            <w:tcW w:w="12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Fee to terminate services agreement with Sponsors (c)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12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repayments and redemptions of long-term debt (d)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Dual power inverter module extended coverage (e)</w:t>
            </w:r>
          </w:p>
        </w:tc>
        <w:tc>
          <w:tcPr>
            <w:tcW w:w="120" w:type="dxa"/>
            <w:vAlign w:val="bottom"/>
          </w:tcPr>
          <w:p>
            <w:pPr>
              <w:spacing w:after="0"/>
              <w:rPr>
                <w:sz w:val="18"/>
                <w:szCs w:val="18"/>
                <w:color w:val="auto"/>
              </w:rPr>
            </w:pPr>
          </w:p>
        </w:tc>
        <w:tc>
          <w:tcPr>
            <w:tcW w:w="7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plan re-measurement (f)</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Unrealized loss on hedge contracts (g)</w:t>
            </w:r>
          </w:p>
        </w:tc>
        <w:tc>
          <w:tcPr>
            <w:tcW w:w="12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 (h)</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Other (i)</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7"/>
              </w:rPr>
              <w:t>171.6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Adjusted EBITDA excluding technology-related license expenses (j)</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w w:val="97"/>
              </w:rPr>
              <w:t>171.6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190.7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318.3</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7"/>
              </w:rPr>
              <w:t>512.1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32.2%</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 excluding technology-related licenses expenses (j)</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w w:val="97"/>
              </w:rPr>
              <w:t>129.7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184.4</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12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(25.8)</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Fee to terminate services agreement with Sponsors (c)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Technology-related license expenses (j)</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7"/>
              </w:rPr>
              <w:t>116.5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164.6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impairment charge (recorded in Other expense, net) for investments in co-development agreements with various companies to expand our position in transmission technologies.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the initial public offering in March 2012 and proposed secondary offering in April 2013.</w:t>
      </w:r>
    </w:p>
    <w:p>
      <w:pPr>
        <w:ind w:left="460" w:right="3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net) to terminate the services agreement with investment funds affiliated with The Carlyle Group and Onex Corporation (collectively, our “Sponsors”).</w:t>
      </w: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loss (recorded in Other expense, net) realized on the redemptions and repayments of Allison Transmission, Inc.’s (“ATI”) long-term debt.</w:t>
      </w:r>
    </w:p>
    <w:p>
      <w:pPr>
        <w:spacing w:after="0" w:line="3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expenses) during the second quarter of 2012 related to an increase in our liability associated with the Dual Power Inverter Module (“DPIM”) extended coverage program due to claims data and additional design issues identified during introduction of replacement units.</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settlement charge (recorded in Other expense, net) related to the settlement of pension obligations for certain qualified hourly employees from our hourly defined benefit pension plan to General Motors’ pension plan as part of the asset purchase agreement dated June 28, 2007.</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unrealized losses (recorded in Other expense, net) on the mark-to-market of our foreign currency and commodities hedge contracts.</w:t>
      </w:r>
    </w:p>
    <w:p>
      <w:pPr>
        <w:spacing w:after="0" w:line="32"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 – research and development) related to an employee headcount reduction program in the second quarter of 2013.</w:t>
      </w:r>
    </w:p>
    <w:p>
      <w:pPr>
        <w:ind w:left="460" w:right="7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employee stock compensation expense (recorded in Cost of sales, Selling, general and administrative, and Engineering – research and development) and service fees paid to our Sponsors (recorded in Selling, general and administrative expenses).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2013 and 2012</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June 30, 2013 and 2012.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88"/>
              </w:rPr>
              <w:t>Three months ended 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7"/>
              </w:rPr>
              <w:t>of net sales</w:t>
            </w: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512.1</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$559.4</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226.1</w:t>
            </w: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44.2%</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251.9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85.6</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3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109.1</w:t>
            </w: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108.4</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117.7</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(33.3)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(0.5)</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(22.8)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(35.9)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81.8</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(31.3)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(6.1)</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4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Net sales for the quarter ended June 30, 2013 were $512.1 million compared to $559.4 million for the quarter ended June 30, 2012, a decrease of 8.5%. The decrease was principally driven by a $36.0 million, or 82%, decrease in net sales of North America off-highway products driven by lower demand from natural gas fracturing applications due to weakness in natural gas pricing, a $22.0 million, or 28%, decrease in net sales of defense products due to lower U.S. defense spending and a $3.0 million, or 4%, decrease in net sales of Outside North America on-highway commercial products, partially offset by a $9.0 million, or 50%, increase in net sales of North America hybrid-propulsion systems for transit buses principally driven by intra-year movement in the timing of orders and a $6.0 million, or 20%, increase in net sales of Outside North America off-highway products driven by higher demand in the energy sector partially offset by lower demand in the mining sector.</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Gross profit for the quarter ended June 30, 2013 was $226.1 million compared to $251.9 million for the quarter ended June 30, 2012, a decrease of 10.2%. The decrease was principally driven by $30.0 million related to decreased net sales, partially offset by $2.0 million of favorable foreign exchange, $1.0 million of price increases on certain products and $1.0 million of favorable material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Selling, general and administrative expenses for the quarter ended June 30, 2013 were $85.6 million compared to $109.1 million for the quarter ended June 30, 2012, a decrease of 21.5%. The decrease was principally driven by $12.4 million of lower intangible asset amortization, a $9.4 million charge in 2012 related to the DPIM extended coverage program and reduced global commercial spending activities, partially offset by $2.0 million of higher stock compensation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Engineering expenses for the quarter ended June 30, 2013 were $22.8 million compared to $23.2 million for the quarter ended June 30, 2012, a decrease of 1.7%. The decrease was principally driven by reduced global spending activities.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net for the quarter ended June 30, 2013 was $33.3 million compared to $34.1 million for the quarter ended June 30, 2012, a decrease of 2.3%. The decrease was principally driven by $2.6 million of lower interest expense as a result of debt repayments, $2.1 million of more favorable mark-to-market adjustments for our interest rate derivatives and $0.3 million of lower amortization of deferred financing charges, partially offset by $3.7 million of higher interest expense as a result of higher interest rates on ATI’s Senior Secured Credit Facility (defined as the Term B-2 Loan due 2017 (“Term B-2 Loan”), Term B-3 Loan due 2019 (“Term B-3 Loan”) and revolving credit facility) and $0.5 million of higher interest expense related to our interest rate swaps.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Other expense, net for the quarter ended June 30, 2013 was $2.6 million compared to $22.8 million for the quarter ended June 30, 2012, a decrease of 88.6%. The decrease in expense was principally driven by an $8.0 million impairment of technology-related investments in 2012, $7.6 million of premiums and expenses in 2012 related to redemptions of long-term debt, $2.3 million related to the hourly pension plan settlement in 2012, $1.2 million of lower unrealized losses on derivative contracts, $1.2 million of lower unfavorable foreign exchange and $0.7 million of increased Grant Program income, partially offset by $0.7 million of expenses related to realized losses on derivative contracts and $0.1 million of increased public offering expenses related to our proposed secondary offering in the second quarter of 2013.</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Income tax expense for the second quarter of 2013 was ($31.3) million resulting in an effective tax rate of (38.3%) versus an effective tax rate of 558% in the second quarter of 2012. The change in the effective tax rate was principally driven by the release of the domestic valuation allowance on our deferred tax assets in the second quarter of 2012 resulting in an income tax benefit of $384.8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2013 and 2012</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six months ended June 30, 2013 and 2012.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w w:val="93"/>
              </w:rPr>
              <w:t>Six months ended 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6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7"/>
              </w:rPr>
              <w:t>of net sales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1,161.3</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424.4</w:t>
            </w:r>
          </w:p>
        </w:tc>
        <w:tc>
          <w:tcPr>
            <w:tcW w:w="4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535.7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173.5</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210.3</w:t>
            </w: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51.8</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199.1</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(67.2)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(5.7)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(53.6)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(72.9)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4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(48.2)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Net sales for the six months ended June 30, 2013 were $969.5 million compared to $1,161.3 million for the six months ended June 30, 2012, a decrease of 16.5%. The decrease was principally driven by a $107.0 million, or 59%, decrease in net sales of global off-highway products driven by lower demand from North America natural gas fracturing applications due to weakness in natural gas pricing and lower global demand in the mining sector, a $42.0 million, or 27%, decrease in net sales of defense products due to lower U.S. defense spending, a $39.0 million, or 7%, decrease in net sales of global on-highway commercial products and a $9.0 million, or 5%, decrease in net sales of parts and other products, partially offset by a $5.0 million, or 9%, increase in net sales of North America hybrid-propulsion systems for transit buses principally driven by intra-year movements in the timing of orders.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Gross profit for the six months ended June 30, 2013 was $424.4 million compared to $535.7 million for the six months ended June 30, 2012, a decrease of 20.8%. The decrease was principally driven by $119.0 million related to decreased net sales and $1.0 million of unfavorable material costs, partially offset by $3.0 million attributable to improved manufacturing performance, $3.0 million of price increases on certain products and $2.0 million of favorable foreign exchange.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Selling, general and administrative expenses for the six months ended June 30, 2013 were $173.5 million compared to $210.3 million for the six months ended June 30, 2012, a decrease of 17.5%. The decrease was principally driven by $20.0 million of lower intangible asset amortization, a $9.4 million charge in 2012 related to the DPIM extended coverage program and reduced global commercial spending activities, partially offset by higher stock compensation expense.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Engineering expenses for the six months ended June 30, 2013 were $51.8 million compared to $51.1 million for the six months ended June 30, 2012, an increase of 1.4%. The increase was principally driven by $6.0 million of higher technology-related license expenses to expand our position in transmission technologies, partially offset by reduced global spending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net for the six months ended June 30, 2013 was $67.2 million compared to $74.8 million for the six months ended June 30, 2012, a decrease of 10.2%. The decrease was principally driven by $10.8 million of lower interest expense as a result of debt repayments and purchases and $6.8 million more favorable mark-to-market adjustments for our interest rate derivatives, partially offset by $8.8 million of higher interest expense as a result of higher interest rates on ATI’s Senior Secured Credit Facility, $0.9 million of higher interest expense related to our interest rate swaps, $0.2 million of lower amortization of deferred financing fees and $0.1 million of lower interest income.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expense, net for the six months ended June 30, 2013 was $5.7 million compared to $53.6 million for the six months ended June 30, 2012, a decrease of 89.4%. The decrease in expense was principally driven by $21.1 million of premiums and expenses in 2012 related to redemptions of long-term debt, a $16.0 million payment in 2012 to terminate the services agreement with the Sponsors, $5.6 million of lower public offering expenses, $5.5 million of lower technology-related investment impairment expense, $2.3 million related to the hourly pension plan settlement in 2012 and $1.1 million of lower unfavorable foreign exchange, partially offset by $2.8 million of expenses related to unrealized and realized losses on derivative contracts and $0.9 million of lower Grant Program income.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Income tax expense for the six months ended June 30, 2013 was ($48.2) million resulting in an effective tax rate of (38.2%) versus an effective tax rate of 223% for the six months ended June 30, 2012. The change in effective tax rate was principally driven by the release of the domestic valuation allowance on our deferred tax assets in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generate cash principally from our operating activities. We had total available cash and cash equivalents of $227.4 million and $80.2 million as of June 30, 2013 and December 31, 2012, respectively. Of the available cash and cash equivalents, approximately $222.4 million and $75.2 million was deposited in operating accounts while approximately $5.0 million and $5.0 million was invested in U.S. government backed securities as of June 30, 2013 and December 31, 2012, respectively.</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Additionally, we had $375.4 million and $372.1 million available under the revolving portion of our Senior Secured Credit Facility, net of approximately $24.6 million and $27.9 million in letters of credit issued and outstanding as of June 30, 2013 and December 31, 2012, respectively. For the six months ended June 30, 2013, we made periodic withdrawals and payments on our revolving credit facility as part of our debt management plans. The maximum amount outstanding at any time on the revolving credit facility was $20.0 million, and all balances were repaid within the quarter they were borrowed. As of June 30, 2013 and December 31, 2012, we had no outstanding borrowings on our revolving credit facility.</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March 2012, ATI entered into an amendment with the term loan lenders under its Senior Secured Credit Facility to extend the maturity of approximately $801.1 million in principal amount of ATI’s Senior Secured Credit Facility Term B-1 Loan due 2014 (“Term B-1 Loan”) from August 2014 to August 2017 and to increase the applicable margin at our option to either (a) 3.50% over the London Interbank Offered Rate (“LIBOR”) or (b) 2.50% over the greater of the prime lending rate provided by the British Banking Association or the federal funds effective rate published by the Federal Reserve Bank of New York plus 0.50%.</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2012, ATI entered into an amendment with the term loan lenders under its Senior Secured Credit Facility to extend the maturity of approximately $850.0 million in principal amount of the Term B-1 Loan from August 2014 to August 2019 and to increase the applicable margin at our option to either</w:t>
      </w:r>
    </w:p>
    <w:p>
      <w:pPr>
        <w:jc w:val="both"/>
        <w:ind w:right="180" w:firstLine="8"/>
        <w:spacing w:after="0" w:line="255"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plus 0.50% (which may not be less than 2.00%).</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October 2012, ATI entered into an amendment with the term loan lenders under its Senior Secured Credit Facility to extend the maturity of $300.0 million of the Term B-1 Loan from August 2014 to August 2019 and to increase the applicable margin at our option to either (a) 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(but not less than 2.00%).</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February 2013, ATI entered into an amendment with the term loan lenders under its Senior Secured Credit Facility to refinance the entire outstanding principal amount of our Term B-2 Loan to reduce the applicable margin at our option to either (a) 3.00% over the LIBOR or (b) 2.00% over the greater of the prime lending rate provided by the British Banking Association or the federal funds effective rate published by the Federal Reserve Bank of New York. In February 2013, ATI also entered into an additional amendment with the term loan lenders under its Senior Secured Credit Facility to extend the maturity of approximately $411.4 million in principal amount of the Term B-1 Loan from August 2014 to August 2017 and to increase the applicable margin at our option to either (a) 3.00% over the LIBOR or (b) 2.00% over the greater of the prime lending rate provided by the British Banking Association or the federal funds effective rate published by the Federal Reserve Bank of New York plus 0.50%.</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dividends on common stock and working capital needs. The following table shows our sources and uses of funds for the six months ended June 30, 2013 and 2012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900" w:type="dxa"/>
            <w:vAlign w:val="bottom"/>
          </w:tcPr>
          <w:p>
            <w:pPr>
              <w:spacing w:after="0"/>
              <w:rPr>
                <w:sz w:val="14"/>
                <w:szCs w:val="14"/>
                <w:color w:val="auto"/>
              </w:rPr>
            </w:pPr>
          </w:p>
        </w:tc>
        <w:tc>
          <w:tcPr>
            <w:tcW w:w="20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vMerge w:val="continue"/>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184.4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31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(30.6)</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3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Operating activities for the six months ended June 30, 2013 generated $184.4 million of cash compared to $246.5 million for the six months ended June 30, 2012. The decrease was principally driven by decreased net sales, partially offset by lower interest expense, decreased spending commensurate with reduced global commercial activities, and lower inventories and higher accounts payable principally driven by unusually higher inventories and lower accounts payable at the end of 2012 as a result of labor negotiations planning.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Investing activities for the six months ended June 30, 2013 used $30.6 million of cash compared to $70.0 million for the six months ended June 30, 2012. The decrease was principally driven by a decrease of $36.7 million in capital expenditures and a decrease of $1.7 million in investments in technology-related initiatives. The decrease in capital expenditures was principally driven by the 2012 expansion of our India facility and lower product initiatives spending.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Financing activities for the six months ended June 30, 2013 used $17.7 million of cash compared to $388.1 million for the six months ended June 30, 2012. The decrease was principally driven by 2012 redemptions of $326.9 million of ATI’s 11.0% senior cash pay notes due November 2015, $33.7 million of increased 2012 principal payments on ATI’s Senior Secured Credit Facility and $25.2 million related to proceeds from the exercise of stock options in 2013, partially offset by $22.5 million of increased dividend payments.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liquidity requirements are significant, principally due to our debt service requirements. A one-eighth percent change in assumed interest rates for the Senior Secured Credit Facility, if fully drawn, as of June 30, 2013 would have a yearly impact of $0.6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Secured Credit Facility requires us to maintain a specified maximum total senior secured leverage ratio of 5.50x for the remainder of the term of the loans. As of June 30, 2013, we were in compliance with the maximum total senior secured leverage ratio, achieving a 3.50x ratio. Within the terms of the Senior Secured Credit Facility, a senior secured leverage ratio at or below 3.50x results in a 12.5 basis point reduction to the revolving credit facility commitment fee and elimination of excess cash flow payments on the Senior Secured Credit Facility for the applicable year. These reductions remain in effect as long as we continue to achieve a senior secured leverage ratio at or below 3.50x. A total leverage ratio at or below 3.25x results in a 25 basis point reduction to the applicable margin on our Term B-3 Loan. This reduction would remain in effect as long as we achieve a total leverage ratio at or below 3.25x. As of June 30, 2013, the total leverage ratio was 4.28x.</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maximum total secured leverage ratio, the Senior Secured Credit Facility and the indenture governing ATI’s 7.125% senior cash pay notes due May 2019 (“7.125% Senior Notes”) include, among other things, customary restrictions (subject to certain exceptions) on our ability to incur certain indebtedness or liens, make certain investments or declare or pay certain dividends. As of June 30, 2013, we are in compliance with all covenants under the Senior Secured Credit Facility.</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have eight interest rate swap contracts as of June 30, 2013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Certain of our interest rate derivatives contain credit-risk and collateral contingent features under which downgrades in our credit rating could require us to increase our collateral. Certain interest rate derivatives also contain provisions under which we may be required to post additional collateral if LIBOR reaches certain levels. As of June 30, 2013, we have posted collateral of $1.7 million in cash and $20.0 million in letters of credit as a result of changes in interest rates. We may be required to post additional collateral until the LIBOR curve reaches zero.</w:t>
      </w:r>
    </w:p>
    <w:p>
      <w:pPr>
        <w:spacing w:after="0" w:line="143"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June 30, 2013 would correspondingly reduce our collateral requirement by approximately $6.0 million or increase our collateral requirement by approximately $5.9 million, respectively, in a combination of cash and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N of the notes to our condensed consolidated financial statements included in Part I, Item 1 of this Quarterly Report on Form 10-Q.</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2012 as filed with the Securities and Exchange Commission (“SEC”) on February 28, 2013.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March 2013, the Financial Accounting Standards Board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our condensed consolidated financial statements, it could affect the accounting treatment applied under these circumstances in the future.</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February 2013, the FASB issued authoritative accounting guidance on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is effective for interim and annual reporting periods beginning after December 15, 2012. The adoption of this guidance did not have a material effect on our condensed consolidated financial statements; however, it requires us to present additional disclosures in the footnotes to the condensed consolidated financial statements when significant amounts are reclassified out of accumulated other comprehensive income.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is effective for interim and annual periods beginning on or after January 1, 2013. The adoption of this guidance did not have a material effect on our condensed consolidated financial statements.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our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of June 30, 2013, our Sponsors each owned approximately 40.5% of our equity. Pursuant to an amended and restated stockholders agreement, a majority of the Board of Directors has been designated by our Sponsors and is affiliated with our Sponsors. As a result, our Sponsors or their nominees to the Board of Directors have the ability to control the appointment of our management, the entering into of mergers, sales of substantially all of our assets and other extraordinary transactions and influence amendments to our certificate of incorporation. So long as our Sponsors continue to own a majority of our equity, they will have the ability to control the vote in any election of directors and will have the ability to prevent any transaction that requires stockholder approval regardless of whether others believe the transaction is in our best interests. The interests of our Sponsors could conflict with those of our other stockholders. In addition, our Sponsors may in the future own businesses that directly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7.125% Senior Notes Held by Executive Officers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and changing customer needs; risks associated with our international operations; and labor strikes, work stoppages or similar labor disputes, which could significantly disrupt our operations or those of our principal customers.</w:t>
      </w:r>
    </w:p>
    <w:p>
      <w:pPr>
        <w:spacing w:after="0" w:line="12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II, Item 1A “Risk Factors” of our Quarterly Report on Form 10-Q for the quarter ended March 31, 2013 as filed with the SEC on April 30, 2013 and in Part I, Item 1A of our Annual Report on Form 10-K for the year ended December 31, 2012 as filed with the SEC on February 28, 2013.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interest rate exposure relates to outstanding amounts under our Senior Secured Credit Facility. Our Senior Secured Credit Facility provides for variable rate borrowings of up to $2,713.1 million including $375.4 million under our revolving credit facility, net of $24.6 million of letters of credit. Assuming the Senior Secured Credit Facility is fully drawn as of June 30, 2013, each one-eighth percentage point increase or decrease in the applicable interest rates would correspondingly change our interest expense on the Senior Secured Credit Facility by approximately $0.6 million per year. This includes the partial offset of the effective interest rate swaps described below. As of June 30, 2013,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Notional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Effective</w:t>
            </w:r>
          </w:p>
        </w:tc>
        <w:tc>
          <w:tcPr>
            <w:tcW w:w="1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57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3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 Rate</w:t>
            </w:r>
          </w:p>
        </w:tc>
        <w:tc>
          <w:tcPr>
            <w:tcW w:w="20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Fifth Third Bank</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2009-2013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E</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2010-2013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G</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2010-2013</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Barclays Capital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2011-2014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Rate Swap I</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Deutsche Bank</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2011-2014</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UBS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2013-2014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Interest Rate Swap K</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UBS</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2013-2014</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bl>
    <w:p>
      <w:pPr>
        <w:spacing w:after="0" w:line="14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F and NOTE G of the notes to our condensed consolidated financial statements included in Part I, Item 1 of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our net sales and costs are denominated principally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June 30, 2013, we hold forward rate contracts for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Indian Rupee, Chinese Yuan Renminbi and Canadian Dollar would correspondingly change our earnings by an estimated $5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2013 and 2014, as of June 30, 2013, the hedge contracts cover approximately 23% and 17% of our aluminum requirements, respectively. We do not hold financial instruments for trading or speculative purposes.</w:t>
      </w:r>
    </w:p>
    <w:p>
      <w:pPr>
        <w:spacing w:after="0" w:line="118"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the cost of aluminum and steel would correspondingly change our earnings by approximately $1 million and $4 million per year, respectively. This includes the partial offset of our hedging contracts described above.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N of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Except as set forth in our Quarterly Report on Form 10-Q for the quarter ended March 31, 2013, there have been no material changes from our risk factors as previously reported in Part I, Item 1A of our most recent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r>
        <w:trPr>
          <w:trHeight w:val="370"/>
        </w:trPr>
        <w:tc>
          <w:tcPr>
            <w:tcW w:w="100" w:type="dxa"/>
            <w:vAlign w:val="bottom"/>
          </w:tcPr>
          <w:p>
            <w:pPr>
              <w:spacing w:after="0"/>
              <w:rPr>
                <w:sz w:val="24"/>
                <w:szCs w:val="24"/>
                <w:color w:val="auto"/>
              </w:rPr>
            </w:pPr>
          </w:p>
        </w:tc>
        <w:tc>
          <w:tcPr>
            <w:tcW w:w="11320" w:type="dxa"/>
            <w:vAlign w:val="bottom"/>
            <w:gridSpan w:val="5"/>
          </w:tcPr>
          <w:p>
            <w:pPr>
              <w:ind w:left="360"/>
              <w:spacing w:after="0"/>
              <w:rPr>
                <w:sz w:val="20"/>
                <w:szCs w:val="20"/>
                <w:color w:val="auto"/>
              </w:rPr>
            </w:pPr>
            <w:r>
              <w:rPr>
                <w:rFonts w:ascii="Arial" w:cs="Arial" w:eastAsia="Arial" w:hAnsi="Arial"/>
                <w:sz w:val="18"/>
                <w:szCs w:val="18"/>
                <w:color w:val="auto"/>
              </w:rPr>
              <w:t>(a) Exhibits</w:t>
            </w:r>
          </w:p>
        </w:tc>
      </w:tr>
      <w:tr>
        <w:trPr>
          <w:trHeight w:val="340"/>
        </w:trPr>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3"/>
              </w:rPr>
              <w:t>Form Amendment to Stock Option Agreement under the Allison Transmission Holdings, Inc. 2011 Equity Incentive Award Plan and Equity</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Incentive Plan of Allison Transmission Holdings, Inc. (filed herewith)</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First Amendment to the Stockholders Agreement dated as of May 8, 2013 (filed herewith)</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Certification of Chief Executive Officer pursuant to Rule 13a-14(a)/15d-14(a) as adopted pursuant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Certification of Chief Financial Officer pursuant to Rule 13a-14(a)/15d-14(a) as adopted pursuant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0"/>
              </w:rPr>
              <w:t>Certification of Periodic Report by Chief Executive Officer and Chief Financial Officer pursuant to 18 U.S.C. Section 1350, as adopted pursuant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to Section 906 of the Sarbanes-Oxley Act of 2002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80" w:hanging="212"/>
        <w:spacing w:after="0" w:line="25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color w:val="auto"/>
              </w:rPr>
              <w:t>Date: July 30, 2013</w:t>
            </w:r>
          </w:p>
        </w:tc>
        <w:tc>
          <w:tcPr>
            <w:tcW w:w="7920" w:type="dxa"/>
            <w:vAlign w:val="bottom"/>
            <w:gridSpan w:val="2"/>
          </w:tcPr>
          <w:p>
            <w:pPr>
              <w:ind w:left="244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4"/>
        </w:trPr>
        <w:tc>
          <w:tcPr>
            <w:tcW w:w="3500" w:type="dxa"/>
            <w:vAlign w:val="bottom"/>
          </w:tcPr>
          <w:p>
            <w:pPr>
              <w:spacing w:after="0"/>
              <w:rPr>
                <w:sz w:val="24"/>
                <w:szCs w:val="24"/>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Dewey</w:t>
            </w:r>
          </w:p>
        </w:tc>
      </w:tr>
      <w:tr>
        <w:trPr>
          <w:trHeight w:val="215"/>
        </w:trPr>
        <w:tc>
          <w:tcPr>
            <w:tcW w:w="3500" w:type="dxa"/>
            <w:vAlign w:val="bottom"/>
          </w:tcPr>
          <w:p>
            <w:pPr>
              <w:spacing w:after="0"/>
              <w:rPr>
                <w:sz w:val="18"/>
                <w:szCs w:val="18"/>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Lawrence E. Dewey</w:t>
            </w:r>
          </w:p>
        </w:tc>
      </w:tr>
      <w:tr>
        <w:trPr>
          <w:trHeight w:val="222"/>
        </w:trPr>
        <w:tc>
          <w:tcPr>
            <w:tcW w:w="3500" w:type="dxa"/>
            <w:vAlign w:val="bottom"/>
          </w:tcPr>
          <w:p>
            <w:pPr>
              <w:spacing w:after="0"/>
              <w:rPr>
                <w:sz w:val="19"/>
                <w:szCs w:val="19"/>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434"/>
        </w:trPr>
        <w:tc>
          <w:tcPr>
            <w:tcW w:w="3500" w:type="dxa"/>
            <w:vAlign w:val="bottom"/>
          </w:tcPr>
          <w:p>
            <w:pPr>
              <w:spacing w:after="0"/>
              <w:rPr>
                <w:sz w:val="20"/>
                <w:szCs w:val="20"/>
                <w:color w:val="auto"/>
              </w:rPr>
            </w:pPr>
            <w:r>
              <w:rPr>
                <w:rFonts w:ascii="Arial" w:cs="Arial" w:eastAsia="Arial" w:hAnsi="Arial"/>
                <w:sz w:val="18"/>
                <w:szCs w:val="18"/>
                <w:color w:val="auto"/>
              </w:rPr>
              <w:t>Date: July 30, 2013</w:t>
            </w:r>
          </w:p>
        </w:tc>
        <w:tc>
          <w:tcPr>
            <w:tcW w:w="3020" w:type="dxa"/>
            <w:vAlign w:val="bottom"/>
          </w:tcPr>
          <w:p>
            <w:pPr>
              <w:ind w:left="24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Graziosi</w:t>
            </w:r>
          </w:p>
        </w:tc>
      </w:tr>
      <w:tr>
        <w:trPr>
          <w:trHeight w:val="215"/>
        </w:trPr>
        <w:tc>
          <w:tcPr>
            <w:tcW w:w="3500" w:type="dxa"/>
            <w:vAlign w:val="bottom"/>
          </w:tcPr>
          <w:p>
            <w:pPr>
              <w:spacing w:after="0"/>
              <w:rPr>
                <w:sz w:val="18"/>
                <w:szCs w:val="18"/>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David S. Graziosi</w:t>
            </w:r>
          </w:p>
        </w:tc>
      </w:tr>
      <w:tr>
        <w:trPr>
          <w:trHeight w:val="216"/>
        </w:trPr>
        <w:tc>
          <w:tcPr>
            <w:tcW w:w="3500" w:type="dxa"/>
            <w:vAlign w:val="bottom"/>
          </w:tcPr>
          <w:p>
            <w:pPr>
              <w:spacing w:after="0"/>
              <w:rPr>
                <w:sz w:val="18"/>
                <w:szCs w:val="18"/>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3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500" w:type="dxa"/>
            <w:vAlign w:val="bottom"/>
          </w:tcPr>
          <w:p>
            <w:pPr>
              <w:spacing w:after="0"/>
              <w:rPr>
                <w:sz w:val="24"/>
                <w:szCs w:val="24"/>
                <w:color w:val="auto"/>
              </w:rPr>
            </w:pPr>
          </w:p>
        </w:tc>
        <w:tc>
          <w:tcPr>
            <w:tcW w:w="3020" w:type="dxa"/>
            <w:vAlign w:val="bottom"/>
          </w:tcPr>
          <w:p>
            <w:pPr>
              <w:ind w:left="2120"/>
              <w:spacing w:after="0"/>
              <w:rPr>
                <w:sz w:val="20"/>
                <w:szCs w:val="20"/>
                <w:color w:val="auto"/>
              </w:rPr>
            </w:pPr>
            <w:r>
              <w:rPr>
                <w:rFonts w:ascii="Arial" w:cs="Arial" w:eastAsia="Arial" w:hAnsi="Arial"/>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STOCK OPTION AGREEMENT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Amendment (the “Amendment”) to that certain Stock Option Agreement (the “Agreement”), by and between Allison Transmission Holdings, Inc. (the “Company”) and the individual to whom this Amendment is delivered (the “Optionee”) is effective as of May 7, 2013. All Capitalized terms used in this Amendment but not defined herein shall have the meaning assigned to such terms in the Agreement.</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WHEREAS, the Company granted to the Optionee a non-qualified stock option under the Company’s 2011 Equity Incentive Award Plan (the “Plan”) and/or the Equity Incentive Plan of Allison Transmission Holdings, Inc. (the “Pre-IPO Plan”) to purchase shares of the Company’s Common Stock (“Common Stock”) pursuant to the Agreement (the “Option”);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Option is subject to expiration provisions as set forth in the Agreement;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Compensation Committee of the Board of Directors of the Company (the “Committee”) has deemed it advisable and in the best interests of the Company to adjust such expiration terms of the Option as set forth herein;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Committee has the right to amend the Option without the consent of the Optionee, provided that the amendment does not materially alter or impair any rights or obligations under the Option;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Committee has determined that this Amendment does not materially alter or impair any rights or obligations under the Option and desires to amend the Agreement as set forth herein;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this Amendment is intended to apply to any Stock Option Agreement between the Optionee and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Agreement shall be amended as follows:</w:t>
      </w:r>
    </w:p>
    <w:p>
      <w:pPr>
        <w:spacing w:after="0" w:line="90" w:lineRule="exact"/>
        <w:rPr>
          <w:sz w:val="20"/>
          <w:szCs w:val="20"/>
          <w:color w:val="auto"/>
        </w:rPr>
      </w:pPr>
    </w:p>
    <w:p>
      <w:pPr>
        <w:ind w:left="640" w:hanging="176"/>
        <w:spacing w:after="0"/>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The Amendment</w:t>
      </w:r>
      <w:r>
        <w:rPr>
          <w:rFonts w:ascii="Arial" w:cs="Arial" w:eastAsia="Arial" w:hAnsi="Arial"/>
          <w:sz w:val="16"/>
          <w:szCs w:val="16"/>
          <w:color w:val="auto"/>
        </w:rPr>
        <w:t>. Notwithstanding any provision of the Agreement or any other prior amendment thereto, the Agreement is amended to provide that</w:t>
      </w:r>
    </w:p>
    <w:p>
      <w:pPr>
        <w:spacing w:after="0" w:line="38" w:lineRule="exact"/>
        <w:rPr>
          <w:rFonts w:ascii="Arial" w:cs="Arial" w:eastAsia="Arial" w:hAnsi="Arial"/>
          <w:sz w:val="16"/>
          <w:szCs w:val="16"/>
          <w:color w:val="auto"/>
        </w:rPr>
      </w:pPr>
    </w:p>
    <w:p>
      <w:pPr>
        <w:ind w:right="100" w:firstLine="8"/>
        <w:spacing w:after="0" w:line="290" w:lineRule="auto"/>
        <w:tabs>
          <w:tab w:leader="none" w:pos="23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Optionee retires from his position at the Company after attaining age 65, the Optionee may exercise the Option until the earlier of the expiration date of the Option or thirty-six (36) months following the Optionee’s retirement, and (b) if the Optionee retires from his position at the Company before attaining age 65 and the Optionee has ninety (90) or more points (calculated as a combination of age and years of service), the Optionee may exercise the Option until the earlier of the expiration date of the Option or twenty-four (24) months following the Optionee’s retirement; provided, however, that in all cases, the Option may be subject to earlier adjustment or termination in connection with certain corporate events or other transactions or occurrences, in each case as provided under the terms of the Plan or the Pre-IPO Plan, as applicable.</w:t>
      </w:r>
    </w:p>
    <w:p>
      <w:pPr>
        <w:sectPr>
          <w:pgSz w:w="11900" w:h="16838" w:orient="portrait"/>
          <w:cols w:equalWidth="0" w:num="1">
            <w:col w:w="11420"/>
          </w:cols>
          <w:pgMar w:left="240" w:top="125" w:right="239" w:bottom="1440" w:gutter="0" w:footer="0" w:header="0"/>
        </w:sectPr>
      </w:pPr>
    </w:p>
    <w:bookmarkStart w:id="38" w:name="page39"/>
    <w:bookmarkEnd w:id="38"/>
    <w:p>
      <w:pPr>
        <w:ind w:left="176" w:hanging="176"/>
        <w:spacing w:after="0"/>
        <w:tabs>
          <w:tab w:leader="none" w:pos="17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Force and Effect</w:t>
      </w:r>
      <w:r>
        <w:rPr>
          <w:rFonts w:ascii="Arial" w:cs="Arial" w:eastAsia="Arial" w:hAnsi="Arial"/>
          <w:sz w:val="18"/>
          <w:szCs w:val="18"/>
          <w:color w:val="auto"/>
        </w:rPr>
        <w:t>. To the extent not expressly amended hereby, the Agreement remains unchanged and in full force and effect.</w:t>
      </w:r>
    </w:p>
    <w:p>
      <w:pPr>
        <w:spacing w:after="0" w:line="171" w:lineRule="exact"/>
        <w:rPr>
          <w:rFonts w:ascii="Arial" w:cs="Arial" w:eastAsia="Arial" w:hAnsi="Arial"/>
          <w:sz w:val="18"/>
          <w:szCs w:val="18"/>
          <w:color w:val="auto"/>
        </w:rPr>
      </w:pPr>
    </w:p>
    <w:p>
      <w:pPr>
        <w:ind w:left="-464" w:firstLine="464"/>
        <w:spacing w:after="0" w:line="306" w:lineRule="auto"/>
        <w:tabs>
          <w:tab w:leader="none" w:pos="16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Agreement (to the extent not amended hereby and including any other amendment or addendum thereto), the Plan and the Pre-IPO Plan, as applicable, represents the entire agreement of the parties with respect to the Option and shall supersede any and all previous contracts, arrangements or understandings between the parties with respect to the Option.</w:t>
      </w:r>
    </w:p>
    <w:p>
      <w:pPr>
        <w:sectPr>
          <w:pgSz w:w="11900" w:h="16838" w:orient="portrait"/>
          <w:cols w:equalWidth="0" w:num="1">
            <w:col w:w="10816"/>
          </w:cols>
          <w:pgMar w:left="704" w:top="280" w:right="37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is hereby executed on behalf of the Company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Allison Transmission Holdings, Inc.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59"/>
          </w:cols>
          <w:pgMar w:left="700" w:top="280"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10.28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THE STOCKHOLDERS AGREEMENT</w:t>
      </w:r>
    </w:p>
    <w:p>
      <w:pPr>
        <w:spacing w:after="0" w:line="17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This FIRST AMENDMENT TO THE STOCKHOLDERS AGREEMENT, dated as of May 8, 2013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by and among Allison Transmission Holdings, Inc., a Delaware corporation, and each of the other signatories hereto.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WHEREAS, the parties hereto have entered into that certain Amended and Restated Stockholders Agreement, dated as of March 12, 2012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w:t>
      </w:r>
    </w:p>
    <w:p>
      <w:pPr>
        <w:spacing w:after="0" w:line="132" w:lineRule="exact"/>
        <w:rPr>
          <w:sz w:val="20"/>
          <w:szCs w:val="20"/>
          <w:color w:val="auto"/>
        </w:rPr>
      </w:pPr>
    </w:p>
    <w:p>
      <w:pPr>
        <w:ind w:left="920" w:right="880"/>
        <w:spacing w:after="0" w:line="438" w:lineRule="auto"/>
        <w:rPr>
          <w:sz w:val="20"/>
          <w:szCs w:val="20"/>
          <w:color w:val="auto"/>
        </w:rPr>
      </w:pPr>
      <w:r>
        <w:rPr>
          <w:rFonts w:ascii="Arial" w:cs="Arial" w:eastAsia="Arial" w:hAnsi="Arial"/>
          <w:sz w:val="18"/>
          <w:szCs w:val="18"/>
          <w:color w:val="auto"/>
        </w:rPr>
        <w:t>WHEREAS, Section 8.8(a) of the Stockholders Agreement provides that the parties hereto may amend the Stockholders Agreement; and WHEREAS, the parties hereto desire to amend the Stockholders Agreement as set forth herein.</w:t>
      </w:r>
    </w:p>
    <w:p>
      <w:pPr>
        <w:spacing w:after="0" w:line="1"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NOW, THEREFORE, in consideration of the foregoing and the mutual covenants and agreements herein contained and other good and valuable consideration, the receipt, adequacy and sufficiency of which are hereby acknowledged, the parties hereto hereby agree as follows: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Amendment to the Stockholders Agreement</w:t>
      </w:r>
      <w:r>
        <w:rPr>
          <w:rFonts w:ascii="Arial" w:cs="Arial" w:eastAsia="Arial" w:hAnsi="Arial"/>
          <w:sz w:val="16"/>
          <w:szCs w:val="16"/>
          <w:color w:val="auto"/>
        </w:rPr>
        <w:t>. The definition of “</w:t>
      </w:r>
      <w:r>
        <w:rPr>
          <w:rFonts w:ascii="Arial" w:cs="Arial" w:eastAsia="Arial" w:hAnsi="Arial"/>
          <w:sz w:val="16"/>
          <w:szCs w:val="16"/>
          <w:u w:val="single" w:color="auto"/>
          <w:color w:val="auto"/>
        </w:rPr>
        <w:t>Restricted Management Stockholders</w:t>
      </w:r>
      <w:r>
        <w:rPr>
          <w:rFonts w:ascii="Arial" w:cs="Arial" w:eastAsia="Arial" w:hAnsi="Arial"/>
          <w:sz w:val="16"/>
          <w:szCs w:val="16"/>
          <w:color w:val="auto"/>
        </w:rPr>
        <w:t>” provided in Section 1.1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Stockholders Agreement is hereby amended and restated in its entirety to read as follows: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Management Stockholders</w:t>
      </w:r>
      <w:r>
        <w:rPr>
          <w:rFonts w:ascii="Arial" w:cs="Arial" w:eastAsia="Arial" w:hAnsi="Arial"/>
          <w:sz w:val="16"/>
          <w:szCs w:val="16"/>
          <w:color w:val="auto"/>
        </w:rPr>
        <w:t>” shall mean Lawrence E. Dewey, David S. Graziosi, Michael G. Headly, Randall R. Kirk and David L. Parish.</w:t>
      </w:r>
    </w:p>
    <w:p>
      <w:pPr>
        <w:spacing w:after="0" w:line="19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Upon the execution and delivery hereof, the Stockholders Agreement shall thereupon be deemed to be amended and restated as hereinabove set forth as fully and with the same effect as if the amendment and restatement made hereby was originally set forth in the Stockholders Agreement, and this Amendment and the Stockholders Agreement shall henceforth respectively be read, taken and construed as one and the same instrument.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306" w:lineRule="auto"/>
        <w:tabs>
          <w:tab w:leader="none" w:pos="115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Amendment may be executed in one or more counterparts, all of which shall be considered one and the same agreement and shall become effective when one or more counterparts have been signed by each of the parties hereto and delivered to the other parties hereto. This Amendment shall be governed by, construed, applied and enforced in accordance with the internal laws of the State of Delaware.</w:t>
      </w:r>
    </w:p>
    <w:p>
      <w:pPr>
        <w:sectPr>
          <w:pgSz w:w="11900" w:h="16838" w:orient="portrait"/>
          <w:cols w:equalWidth="0" w:num="1">
            <w:col w:w="11420"/>
          </w:cols>
          <w:pgMar w:left="240" w:top="125" w:right="239" w:bottom="1440" w:gutter="0" w:footer="0" w:header="0"/>
        </w:sectPr>
      </w:pPr>
    </w:p>
    <w:bookmarkStart w:id="41" w:name="page42"/>
    <w:bookmarkEnd w:id="41"/>
    <w:p>
      <w:pPr>
        <w:ind w:left="-100" w:firstLine="921"/>
        <w:spacing w:after="0" w:line="268" w:lineRule="auto"/>
        <w:tabs>
          <w:tab w:leader="none" w:pos="10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Agreement in Effect</w:t>
      </w:r>
      <w:r>
        <w:rPr>
          <w:rFonts w:ascii="Arial" w:cs="Arial" w:eastAsia="Arial" w:hAnsi="Arial"/>
          <w:sz w:val="18"/>
          <w:szCs w:val="18"/>
          <w:color w:val="auto"/>
        </w:rPr>
        <w:t>. Except as specifically provided for in this Amendment, the Stockholders Agreement shall remain unmodified and in full force and effect.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Amendment to Stockholders Agreement</w:t>
      </w:r>
    </w:p>
    <w:p>
      <w:pPr>
        <w:sectPr>
          <w:pgSz w:w="11900" w:h="16838" w:orient="portrait"/>
          <w:cols w:equalWidth="0" w:num="1">
            <w:col w:w="11220"/>
          </w:cols>
          <w:pgMar w:left="340" w:top="28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Amendment to be executed as of the date first written above.</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ALLISON TRANSMISSION HOLDINGS, INC.</w:t>
      </w:r>
    </w:p>
    <w:p>
      <w:pPr>
        <w:spacing w:after="0" w:line="231" w:lineRule="exact"/>
        <w:rPr>
          <w:sz w:val="20"/>
          <w:szCs w:val="20"/>
          <w:color w:val="auto"/>
        </w:rPr>
      </w:pPr>
    </w:p>
    <w:p>
      <w:pPr>
        <w:ind w:left="5260"/>
        <w:spacing w:after="0"/>
        <w:tabs>
          <w:tab w:leader="none" w:pos="5760" w:val="left"/>
        </w:tabs>
        <w:rPr>
          <w:sz w:val="20"/>
          <w:szCs w:val="20"/>
          <w:color w:val="auto"/>
        </w:rPr>
      </w:pPr>
      <w:r>
        <w:rPr>
          <w:rFonts w:ascii="Arial" w:cs="Arial" w:eastAsia="Arial" w:hAnsi="Arial"/>
          <w:sz w:val="18"/>
          <w:szCs w:val="18"/>
          <w:color w:val="auto"/>
        </w:rPr>
        <w:t>By:</w:t>
        <w:tab/>
        <w:t>/s/ Lawrence E. Dewey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-129540</wp:posOffset>
            </wp:positionV>
            <wp:extent cx="3361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President and Chief Executive Officer</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CARLYLE PARTNERS IV AT HOLDINGS, L.P.</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 TC Group IV Managing GP, L.L.C., its general partner</w:t>
      </w:r>
    </w:p>
    <w:p>
      <w:pPr>
        <w:spacing w:after="0" w:line="255" w:lineRule="exact"/>
        <w:rPr>
          <w:sz w:val="20"/>
          <w:szCs w:val="20"/>
          <w:color w:val="auto"/>
        </w:rPr>
      </w:pPr>
    </w:p>
    <w:p>
      <w:pPr>
        <w:ind w:left="5260"/>
        <w:spacing w:after="0"/>
        <w:tabs>
          <w:tab w:leader="none" w:pos="5760" w:val="left"/>
        </w:tabs>
        <w:rPr>
          <w:sz w:val="20"/>
          <w:szCs w:val="20"/>
          <w:color w:val="auto"/>
        </w:rPr>
      </w:pPr>
      <w:r>
        <w:rPr>
          <w:rFonts w:ascii="Arial" w:cs="Arial" w:eastAsia="Arial" w:hAnsi="Arial"/>
          <w:sz w:val="18"/>
          <w:szCs w:val="18"/>
          <w:color w:val="auto"/>
        </w:rPr>
        <w:t>By:</w:t>
        <w:tab/>
        <w:t>/s/ Brian A. Bernasek</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Brian A. Bernasek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-129540</wp:posOffset>
            </wp:positionV>
            <wp:extent cx="3361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Authorized Person</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ONEX ALLISON CO-INVEST LP</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Onex Partners II GP LP, its general partner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Onex Partners Manager LP, its agent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 Onex Partners Manager GP ULC, its general partner</w:t>
      </w:r>
    </w:p>
    <w:p>
      <w:pPr>
        <w:spacing w:after="0" w:line="255" w:lineRule="exact"/>
        <w:rPr>
          <w:sz w:val="20"/>
          <w:szCs w:val="20"/>
          <w:color w:val="auto"/>
        </w:rPr>
      </w:pPr>
    </w:p>
    <w:p>
      <w:pPr>
        <w:ind w:left="5260"/>
        <w:spacing w:after="0"/>
        <w:tabs>
          <w:tab w:leader="none" w:pos="5760" w:val="left"/>
        </w:tabs>
        <w:rPr>
          <w:sz w:val="20"/>
          <w:szCs w:val="20"/>
          <w:color w:val="auto"/>
        </w:rPr>
      </w:pPr>
      <w:r>
        <w:rPr>
          <w:rFonts w:ascii="Arial" w:cs="Arial" w:eastAsia="Arial" w:hAnsi="Arial"/>
          <w:sz w:val="18"/>
          <w:szCs w:val="18"/>
          <w:color w:val="auto"/>
        </w:rPr>
        <w:t>By:</w:t>
        <w:tab/>
        <w:t>/s/ Robert M. Le Blanc</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Robert M. Le 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-129540</wp:posOffset>
            </wp:positionV>
            <wp:extent cx="3361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Senior Managing Director</w:t>
      </w:r>
    </w:p>
    <w:p>
      <w:pPr>
        <w:spacing w:after="0" w:line="232" w:lineRule="exact"/>
        <w:rPr>
          <w:sz w:val="20"/>
          <w:szCs w:val="20"/>
          <w:color w:val="auto"/>
        </w:rPr>
      </w:pPr>
    </w:p>
    <w:p>
      <w:pPr>
        <w:ind w:left="5260"/>
        <w:spacing w:after="0"/>
        <w:tabs>
          <w:tab w:leader="none" w:pos="5760" w:val="left"/>
        </w:tabs>
        <w:rPr>
          <w:sz w:val="20"/>
          <w:szCs w:val="20"/>
          <w:color w:val="auto"/>
        </w:rPr>
      </w:pPr>
      <w:r>
        <w:rPr>
          <w:rFonts w:ascii="Arial" w:cs="Arial" w:eastAsia="Arial" w:hAnsi="Arial"/>
          <w:sz w:val="18"/>
          <w:szCs w:val="18"/>
          <w:color w:val="auto"/>
        </w:rPr>
        <w:t>By:</w:t>
        <w:tab/>
        <w:t>/s/ Donald F. West</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Donald F.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-129540</wp:posOffset>
            </wp:positionV>
            <wp:extent cx="3361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Vice President and Secretary</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ONEX ALLISON HOLDING LIMITED S.Á R.L.</w:t>
      </w:r>
    </w:p>
    <w:p>
      <w:pPr>
        <w:spacing w:after="0" w:line="231" w:lineRule="exact"/>
        <w:rPr>
          <w:sz w:val="20"/>
          <w:szCs w:val="20"/>
          <w:color w:val="auto"/>
        </w:rPr>
      </w:pPr>
    </w:p>
    <w:p>
      <w:pPr>
        <w:ind w:left="5260"/>
        <w:spacing w:after="0"/>
        <w:tabs>
          <w:tab w:leader="none" w:pos="5760" w:val="left"/>
        </w:tabs>
        <w:rPr>
          <w:sz w:val="20"/>
          <w:szCs w:val="20"/>
          <w:color w:val="auto"/>
        </w:rPr>
      </w:pPr>
      <w:r>
        <w:rPr>
          <w:rFonts w:ascii="Arial" w:cs="Arial" w:eastAsia="Arial" w:hAnsi="Arial"/>
          <w:sz w:val="18"/>
          <w:szCs w:val="18"/>
          <w:color w:val="auto"/>
        </w:rPr>
        <w:t>By:</w:t>
        <w:tab/>
        <w:t>/s/ Donald F. West</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Donald F.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-129540</wp:posOffset>
            </wp:positionV>
            <wp:extent cx="3361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Type A Manager</w:t>
      </w:r>
    </w:p>
    <w:p>
      <w:pPr>
        <w:spacing w:after="0" w:line="232" w:lineRule="exact"/>
        <w:rPr>
          <w:sz w:val="20"/>
          <w:szCs w:val="20"/>
          <w:color w:val="auto"/>
        </w:rPr>
      </w:pPr>
    </w:p>
    <w:p>
      <w:pPr>
        <w:ind w:left="5260"/>
        <w:spacing w:after="0"/>
        <w:tabs>
          <w:tab w:leader="none" w:pos="5760" w:val="left"/>
        </w:tabs>
        <w:rPr>
          <w:sz w:val="20"/>
          <w:szCs w:val="20"/>
          <w:color w:val="auto"/>
        </w:rPr>
      </w:pPr>
      <w:r>
        <w:rPr>
          <w:rFonts w:ascii="Arial" w:cs="Arial" w:eastAsia="Arial" w:hAnsi="Arial"/>
          <w:sz w:val="18"/>
          <w:szCs w:val="18"/>
          <w:color w:val="auto"/>
        </w:rPr>
        <w:t>By:</w:t>
        <w:tab/>
        <w:t>/s/ Olivier Dorier</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Olivier Dorier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-129540</wp:posOffset>
            </wp:positionV>
            <wp:extent cx="3361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Title:  Type B Manager</w:t>
      </w:r>
    </w:p>
    <w:p>
      <w:pPr>
        <w:spacing w:after="0" w:line="178" w:lineRule="exact"/>
        <w:rPr>
          <w:sz w:val="20"/>
          <w:szCs w:val="20"/>
          <w:color w:val="auto"/>
        </w:rPr>
      </w:pPr>
    </w:p>
    <w:p>
      <w:pPr>
        <w:ind w:left="3680"/>
        <w:spacing w:after="0"/>
        <w:rPr>
          <w:sz w:val="20"/>
          <w:szCs w:val="20"/>
          <w:color w:val="auto"/>
        </w:rPr>
      </w:pPr>
      <w:r>
        <w:rPr>
          <w:rFonts w:ascii="Arial" w:cs="Arial" w:eastAsia="Arial" w:hAnsi="Arial"/>
          <w:sz w:val="18"/>
          <w:szCs w:val="18"/>
          <w:i w:val="1"/>
          <w:iCs w:val="1"/>
          <w:color w:val="auto"/>
        </w:rPr>
        <w:t>First Amendment to Stockholders Agreement</w:t>
      </w:r>
    </w:p>
    <w:p>
      <w:pPr>
        <w:sectPr>
          <w:pgSz w:w="11900" w:h="16838" w:orient="portrait"/>
          <w:cols w:equalWidth="0" w:num="1">
            <w:col w:w="9759"/>
          </w:cols>
          <w:pgMar w:left="700" w:top="280" w:right="1440" w:bottom="1440" w:gutter="0" w:footer="0" w:header="0"/>
        </w:sectPr>
      </w:pPr>
    </w:p>
    <w:bookmarkStart w:id="43" w:name="page44"/>
    <w:bookmarkEnd w:id="43"/>
    <w:p>
      <w:pPr>
        <w:ind w:left="4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ONEX PARTNERS II GP LP</w:t>
      </w: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Onex Partners GP Inc., its general partner</w:t>
      </w:r>
    </w:p>
    <w:p>
      <w:pPr>
        <w:spacing w:after="0" w:line="23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Robert M. Le Blanc</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Robert M. Le 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President</w:t>
      </w:r>
    </w:p>
    <w:p>
      <w:pPr>
        <w:spacing w:after="0" w:line="232"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Donald F. West</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Donald F.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ONEX PARTNERS II LP</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Onex Partners II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Onex Partners Manager LP, its agent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Onex Partners Manager GP ULC, its general partner</w:t>
      </w:r>
    </w:p>
    <w:p>
      <w:pPr>
        <w:spacing w:after="0" w:line="267"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Robert M. Le Blanc</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Robert M. Le 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Managing Director</w:t>
      </w:r>
    </w:p>
    <w:p>
      <w:pPr>
        <w:spacing w:after="0" w:line="232"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Donald F. West</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Donald F.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ONEX US PRINCIPALS LP</w:t>
      </w:r>
    </w:p>
    <w:p>
      <w:pPr>
        <w:spacing w:after="0" w:line="231"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Donald F. West</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Donald F.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Representative of the General Partner</w:t>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1597257 ONTARIO INC.</w:t>
      </w:r>
    </w:p>
    <w:p>
      <w:pPr>
        <w:spacing w:after="0" w:line="231"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Christopher A. Govan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A. Govan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Managing Director</w:t>
      </w:r>
    </w:p>
    <w:p>
      <w:pPr>
        <w:spacing w:after="0" w:line="232"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Andrea E. Daly</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Andrea E.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-129540</wp:posOffset>
            </wp:positionV>
            <wp:extent cx="3361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and General Counsel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First Amendment to Stockholders Agreement</w:t>
      </w:r>
    </w:p>
    <w:p>
      <w:pPr>
        <w:sectPr>
          <w:pgSz w:w="11900" w:h="16838" w:orient="portrait"/>
          <w:cols w:equalWidth="0" w:num="1">
            <w:col w:w="9019"/>
          </w:cols>
          <w:pgMar w:left="1440" w:top="274"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 Treasurer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2013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2"/>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lvl w:ilvl="1">
      <w:lvlJc w:val="left"/>
      <w:lvlText w:val="%2."/>
      <w:numFmt w:val="decimal"/>
      <w:start w:val="1"/>
    </w:lvl>
  </w:abstractNum>
  <w:abstractNum w:abstractNumId="8">
    <w:nsid w:val="66EF438D"/>
    <w:multiLevelType w:val="hybridMultilevel"/>
    <w:lvl w:ilvl="0">
      <w:lvlJc w:val="left"/>
      <w:lvlText w:val="(%1)"/>
      <w:numFmt w:val="lowerLetter"/>
      <w:start w:val="1"/>
    </w:lvl>
    <w:lvl w:ilvl="1">
      <w:lvlJc w:val="left"/>
      <w:lvlText w:val="%2"/>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2019-12-07T16:55:07Z</dcterms:created>
  <dcterms:modified xsi:type="dcterms:W3CDTF">2019-12-07T16:55:07Z</dcterms:modified>
</cp:coreProperties>
</file>