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134620</wp:posOffset>
            </wp:positionV>
            <wp:extent cx="3353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46355</wp:posOffset>
            </wp:positionV>
            <wp:extent cx="3353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51" w:lineRule="exact"/>
        <w:rPr>
          <w:sz w:val="24"/>
          <w:szCs w:val="24"/>
          <w:color w:val="auto"/>
        </w:rPr>
      </w:pPr>
    </w:p>
    <w:p>
      <w:pPr>
        <w:ind w:left="720" w:right="160" w:hanging="685"/>
        <w:spacing w:after="0" w:line="261"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6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28575</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tbl>
      <w:tblPr>
        <w:tblLayout w:type="fixed"/>
        <w:tblInd w:w="1500" w:type="dxa"/>
        <w:tblCellMar>
          <w:top w:w="0" w:type="dxa"/>
          <w:left w:w="0" w:type="dxa"/>
          <w:bottom w:w="0" w:type="dxa"/>
          <w:right w:w="0" w:type="dxa"/>
        </w:tblCellMar>
      </w:tblPr>
      <w:tr>
        <w:trPr>
          <w:trHeight w:val="239"/>
        </w:trPr>
        <w:tc>
          <w:tcPr>
            <w:tcW w:w="6200" w:type="dxa"/>
            <w:vAlign w:val="bottom"/>
            <w:gridSpan w:val="2"/>
          </w:tcPr>
          <w:p>
            <w:pPr>
              <w:jc w:val="center"/>
              <w:ind w:right="3408"/>
              <w:spacing w:after="0"/>
              <w:rPr>
                <w:sz w:val="20"/>
                <w:szCs w:val="20"/>
                <w:color w:val="auto"/>
              </w:rPr>
            </w:pPr>
            <w:r>
              <w:rPr>
                <w:rFonts w:ascii="Arial" w:cs="Arial" w:eastAsia="Arial" w:hAnsi="Arial"/>
                <w:sz w:val="18"/>
                <w:szCs w:val="18"/>
                <w:b w:val="1"/>
                <w:bCs w:val="1"/>
                <w:color w:val="auto"/>
              </w:rPr>
              <w:t>Delaware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26-0414014</w:t>
            </w:r>
          </w:p>
        </w:tc>
      </w:tr>
      <w:tr>
        <w:trPr>
          <w:trHeight w:val="189"/>
        </w:trPr>
        <w:tc>
          <w:tcPr>
            <w:tcW w:w="6200" w:type="dxa"/>
            <w:vAlign w:val="bottom"/>
            <w:gridSpan w:val="2"/>
          </w:tcPr>
          <w:p>
            <w:pPr>
              <w:jc w:val="center"/>
              <w:ind w:right="3408"/>
              <w:spacing w:after="0"/>
              <w:rPr>
                <w:sz w:val="20"/>
                <w:szCs w:val="20"/>
                <w:color w:val="auto"/>
              </w:rPr>
            </w:pPr>
            <w:r>
              <w:rPr>
                <w:rFonts w:ascii="Arial" w:cs="Arial" w:eastAsia="Arial" w:hAnsi="Arial"/>
                <w:sz w:val="14"/>
                <w:szCs w:val="14"/>
                <w:b w:val="1"/>
                <w:bCs w:val="1"/>
                <w:color w:val="auto"/>
              </w:rPr>
              <w:t>(State of Incorporation)</w:t>
            </w:r>
          </w:p>
        </w:tc>
        <w:tc>
          <w:tcPr>
            <w:tcW w:w="164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15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4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rPr>
              <w:t>Identification Number)</w:t>
            </w:r>
          </w:p>
        </w:tc>
      </w:tr>
      <w:tr>
        <w:trPr>
          <w:trHeight w:val="219"/>
        </w:trPr>
        <w:tc>
          <w:tcPr>
            <w:tcW w:w="6200" w:type="dxa"/>
            <w:vAlign w:val="bottom"/>
            <w:gridSpan w:val="2"/>
          </w:tcPr>
          <w:p>
            <w:pPr>
              <w:jc w:val="center"/>
              <w:ind w:right="3388"/>
              <w:spacing w:after="0"/>
              <w:rPr>
                <w:sz w:val="20"/>
                <w:szCs w:val="20"/>
                <w:color w:val="auto"/>
              </w:rPr>
            </w:pPr>
            <w:r>
              <w:rPr>
                <w:rFonts w:ascii="Arial" w:cs="Arial" w:eastAsia="Arial" w:hAnsi="Arial"/>
                <w:sz w:val="18"/>
                <w:szCs w:val="18"/>
                <w:b w:val="1"/>
                <w:bCs w:val="1"/>
                <w:color w:val="auto"/>
                <w:w w:val="99"/>
              </w:rPr>
              <w:t>One Allison Way</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6200" w:type="dxa"/>
            <w:vAlign w:val="bottom"/>
            <w:gridSpan w:val="2"/>
          </w:tcPr>
          <w:p>
            <w:pPr>
              <w:jc w:val="center"/>
              <w:ind w:right="3408"/>
              <w:spacing w:after="0"/>
              <w:rPr>
                <w:sz w:val="20"/>
                <w:szCs w:val="20"/>
                <w:color w:val="auto"/>
              </w:rPr>
            </w:pPr>
            <w:r>
              <w:rPr>
                <w:rFonts w:ascii="Arial" w:cs="Arial" w:eastAsia="Arial" w:hAnsi="Arial"/>
                <w:sz w:val="18"/>
                <w:szCs w:val="18"/>
                <w:b w:val="1"/>
                <w:bCs w:val="1"/>
                <w:color w:val="auto"/>
                <w:w w:val="99"/>
              </w:rPr>
              <w:t>Indianapolis, IN</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46222</w:t>
            </w:r>
          </w:p>
        </w:tc>
      </w:tr>
      <w:tr>
        <w:trPr>
          <w:trHeight w:val="218"/>
        </w:trPr>
        <w:tc>
          <w:tcPr>
            <w:tcW w:w="6200" w:type="dxa"/>
            <w:vAlign w:val="bottom"/>
            <w:gridSpan w:val="2"/>
          </w:tcPr>
          <w:p>
            <w:pPr>
              <w:jc w:val="center"/>
              <w:ind w:right="3388"/>
              <w:spacing w:after="0"/>
              <w:rPr>
                <w:sz w:val="20"/>
                <w:szCs w:val="20"/>
                <w:color w:val="auto"/>
              </w:rPr>
            </w:pPr>
            <w:r>
              <w:rPr>
                <w:rFonts w:ascii="Arial" w:cs="Arial" w:eastAsia="Arial" w:hAnsi="Arial"/>
                <w:sz w:val="14"/>
                <w:szCs w:val="14"/>
                <w:b w:val="1"/>
                <w:bCs w:val="1"/>
                <w:color w:val="auto"/>
              </w:rPr>
              <w:t>(Address of Principal Executive Offices)</w:t>
            </w:r>
          </w:p>
        </w:tc>
        <w:tc>
          <w:tcPr>
            <w:tcW w:w="164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rPr>
              <w:t>(Zip Code)</w:t>
            </w:r>
          </w:p>
        </w:tc>
      </w:tr>
      <w:tr>
        <w:trPr>
          <w:trHeight w:val="498"/>
        </w:trPr>
        <w:tc>
          <w:tcPr>
            <w:tcW w:w="6200" w:type="dxa"/>
            <w:vAlign w:val="bottom"/>
            <w:gridSpan w:val="2"/>
          </w:tcPr>
          <w:p>
            <w:pPr>
              <w:jc w:val="right"/>
              <w:ind w:right="1308"/>
              <w:spacing w:after="0"/>
              <w:rPr>
                <w:sz w:val="20"/>
                <w:szCs w:val="20"/>
                <w:color w:val="auto"/>
              </w:rPr>
            </w:pPr>
            <w:r>
              <w:rPr>
                <w:rFonts w:ascii="Arial" w:cs="Arial" w:eastAsia="Arial" w:hAnsi="Arial"/>
                <w:sz w:val="18"/>
                <w:szCs w:val="18"/>
                <w:b w:val="1"/>
                <w:bCs w:val="1"/>
                <w:color w:val="auto"/>
              </w:rPr>
              <w:t>(317) 242-5000</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1580" w:type="dxa"/>
            <w:vAlign w:val="bottom"/>
          </w:tcPr>
          <w:p>
            <w:pPr>
              <w:spacing w:after="0"/>
              <w:rPr>
                <w:sz w:val="24"/>
                <w:szCs w:val="24"/>
                <w:color w:val="auto"/>
              </w:rPr>
            </w:pPr>
          </w:p>
        </w:tc>
        <w:tc>
          <w:tcPr>
            <w:tcW w:w="46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6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bl>
    <w:p>
      <w:pPr>
        <w:spacing w:after="0" w:line="53" w:lineRule="exact"/>
        <w:rPr>
          <w:sz w:val="24"/>
          <w:szCs w:val="24"/>
          <w:color w:val="auto"/>
        </w:rPr>
      </w:pPr>
    </w:p>
    <w:p>
      <w:pPr>
        <w:ind w:right="440" w:firstLine="432"/>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00" w:val="left"/>
          <w:tab w:leader="none" w:pos="6360" w:val="left"/>
        </w:tabs>
        <w:rPr>
          <w:sz w:val="20"/>
          <w:szCs w:val="20"/>
          <w:color w:val="auto"/>
        </w:rPr>
      </w:pPr>
      <w:r>
        <w:rPr>
          <w:rFonts w:ascii="Arial" w:cs="Arial" w:eastAsia="Arial" w:hAnsi="Arial"/>
          <w:sz w:val="18"/>
          <w:szCs w:val="18"/>
          <w:color w:val="auto"/>
        </w:rPr>
        <w:t>(2) has been subject to such filing requirements for the past 90 days.</w:t>
        <w:tab/>
        <w:t>Yes x</w:t>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ind w:firstLine="432"/>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80" w:firstLine="432"/>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89" w:lineRule="exact"/>
        <w:rPr>
          <w:sz w:val="24"/>
          <w:szCs w:val="24"/>
          <w:color w:val="auto"/>
        </w:rPr>
      </w:pPr>
    </w:p>
    <w:p>
      <w:pPr>
        <w:ind w:left="40"/>
        <w:spacing w:after="0"/>
        <w:tabs>
          <w:tab w:leader="none" w:pos="3160" w:val="left"/>
          <w:tab w:leader="none" w:pos="7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p>
    <w:p>
      <w:pPr>
        <w:spacing w:after="0" w:line="37" w:lineRule="exact"/>
        <w:rPr>
          <w:sz w:val="24"/>
          <w:szCs w:val="24"/>
          <w:color w:val="auto"/>
        </w:rPr>
      </w:pPr>
    </w:p>
    <w:p>
      <w:pPr>
        <w:ind w:left="40"/>
        <w:spacing w:after="0" w:line="207" w:lineRule="exact"/>
        <w:tabs>
          <w:tab w:leader="none" w:pos="3160" w:val="left"/>
          <w:tab w:leader="none" w:pos="79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16" w:lineRule="exact"/>
        <w:rPr>
          <w:sz w:val="24"/>
          <w:szCs w:val="24"/>
          <w:color w:val="auto"/>
        </w:rPr>
      </w:pPr>
    </w:p>
    <w:p>
      <w:pPr>
        <w:ind w:left="792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40" w:firstLine="432"/>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April 15, 2019, there were 125,280,595 shares of Common Stock outstanding.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860" w:space="240"/>
            <w:col w:w="3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2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0"/>
                <w:szCs w:val="20"/>
                <w:color w:val="auto"/>
              </w:rPr>
            </w:pPr>
          </w:p>
        </w:tc>
      </w:tr>
      <w:tr>
        <w:trPr>
          <w:trHeight w:val="642"/>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Page</w:t>
            </w:r>
          </w:p>
        </w:tc>
      </w:tr>
      <w:tr>
        <w:trPr>
          <w:trHeight w:val="189"/>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6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30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1"/>
        </w:trPr>
        <w:tc>
          <w:tcPr>
            <w:tcW w:w="114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w:t>
              </w:r>
            </w:hyperlink>
          </w:p>
        </w:tc>
        <w:tc>
          <w:tcPr>
            <w:tcW w:w="5760" w:type="dxa"/>
            <w:vAlign w:val="bottom"/>
            <w:gridSpan w:val="9"/>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574"/>
        </w:trPr>
        <w:tc>
          <w:tcPr>
            <w:tcW w:w="114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Comprehensive Income</w:t>
              </w:r>
            </w:hyperlink>
          </w:p>
        </w:tc>
        <w:tc>
          <w:tcPr>
            <w:tcW w:w="3960" w:type="dxa"/>
            <w:vAlign w:val="bottom"/>
            <w:gridSpan w:val="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574"/>
        </w:trPr>
        <w:tc>
          <w:tcPr>
            <w:tcW w:w="1140" w:type="dxa"/>
            <w:vAlign w:val="bottom"/>
          </w:tcPr>
          <w:p>
            <w:pPr>
              <w:spacing w:after="0"/>
              <w:rPr>
                <w:sz w:val="24"/>
                <w:szCs w:val="24"/>
                <w:color w:val="auto"/>
              </w:rPr>
            </w:pPr>
          </w:p>
        </w:tc>
        <w:tc>
          <w:tcPr>
            <w:tcW w:w="41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w:t>
              </w:r>
            </w:hyperlink>
          </w:p>
        </w:tc>
        <w:tc>
          <w:tcPr>
            <w:tcW w:w="492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574"/>
        </w:trPr>
        <w:tc>
          <w:tcPr>
            <w:tcW w:w="1140" w:type="dxa"/>
            <w:vAlign w:val="bottom"/>
          </w:tcPr>
          <w:p>
            <w:pPr>
              <w:spacing w:after="0"/>
              <w:rPr>
                <w:sz w:val="24"/>
                <w:szCs w:val="24"/>
                <w:color w:val="auto"/>
              </w:rPr>
            </w:pPr>
          </w:p>
        </w:tc>
        <w:tc>
          <w:tcPr>
            <w:tcW w:w="44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Notes to Condensed Consolidated Financial Statements</w:t>
              </w:r>
            </w:hyperlink>
          </w:p>
        </w:tc>
        <w:tc>
          <w:tcPr>
            <w:tcW w:w="462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6-21</w:t>
            </w: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22-31</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5"/>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 OTHER INFORMATION</w:t>
              </w:r>
            </w:hyperlink>
          </w:p>
        </w:tc>
        <w:tc>
          <w:tcPr>
            <w:tcW w:w="322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Legal Proceedings</w:t>
              </w:r>
            </w:hyperlink>
          </w:p>
        </w:tc>
        <w:tc>
          <w:tcPr>
            <w:tcW w:w="7600" w:type="dxa"/>
            <w:vAlign w:val="bottom"/>
            <w:gridSpan w:val="1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Unregistered Sales of Equity Securities and Use of Proceeds</w:t>
              </w:r>
            </w:hyperlink>
          </w:p>
        </w:tc>
        <w:tc>
          <w:tcPr>
            <w:tcW w:w="4240" w:type="dxa"/>
            <w:vAlign w:val="bottom"/>
            <w:gridSpan w:val="5"/>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EE"/>
            </w:tcBorders>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Exhibits</w:t>
              </w:r>
            </w:hyperlink>
          </w:p>
        </w:tc>
        <w:tc>
          <w:tcPr>
            <w:tcW w:w="8460" w:type="dxa"/>
            <w:vAlign w:val="bottom"/>
            <w:gridSpan w:val="1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561"/>
        </w:trPr>
        <w:tc>
          <w:tcPr>
            <w:tcW w:w="114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 – net of allowance for doubtful accounts of $1</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473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1,941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4,392</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Product warranty liability</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465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 warranty liability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3,646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P)</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$0.01 par value, 1,880,000,000 shares authorized, 125,255,892 shares issued and</w:t>
            </w:r>
          </w:p>
        </w:tc>
        <w:tc>
          <w:tcPr>
            <w:tcW w:w="18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outstanding and 126,251,266 shares issued and outstanding, 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Non-voting common stock, $0.01 par value, 20,000,000 shares authorized, none issued and outstanding</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100,000,000 shares authorized, none issued and outstanding</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Paid in capital</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1,788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 net of tax</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&amp;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4,392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4"/>
                <w:szCs w:val="24"/>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Engineering — research and development</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Basic earnings per share attributable to common stockholders</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1.33</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r>
      <w:tr>
        <w:trPr>
          <w:trHeight w:val="22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earnings per share attributable to common stockholders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0.15</w:t>
            </w:r>
          </w:p>
        </w:tc>
      </w:tr>
      <w:tr>
        <w:trPr>
          <w:trHeight w:val="22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net of tax</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9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Expenses related to long-term debt refinancing</w:t>
            </w:r>
          </w:p>
        </w:tc>
        <w:tc>
          <w:tcPr>
            <w:tcW w:w="9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assets and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Additions of long-lived assets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Payments on long-term debt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(1,148)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Issuance of long-term debt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(125)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Dividend payments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Debt financing fees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for financing activities</w:t>
            </w:r>
          </w:p>
        </w:tc>
        <w:tc>
          <w:tcPr>
            <w:tcW w:w="9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increase (decrease) in cash and cash equivalents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Interest paid</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1"/>
        </w:trPr>
        <w:tc>
          <w:tcPr>
            <w:tcW w:w="8340" w:type="dxa"/>
            <w:vAlign w:val="bottom"/>
          </w:tcPr>
          <w:p>
            <w:pPr>
              <w:ind w:left="720"/>
              <w:spacing w:after="0"/>
              <w:rPr>
                <w:sz w:val="20"/>
                <w:szCs w:val="20"/>
                <w:color w:val="auto"/>
              </w:rPr>
            </w:pPr>
            <w:r>
              <w:rPr>
                <w:rFonts w:ascii="Arial" w:cs="Arial" w:eastAsia="Arial" w:hAnsi="Arial"/>
                <w:sz w:val="16"/>
                <w:szCs w:val="16"/>
                <w:color w:val="auto"/>
              </w:rPr>
              <w:t>Income taxes paid</w:t>
            </w:r>
          </w:p>
        </w:tc>
        <w:tc>
          <w:tcPr>
            <w:tcW w:w="920" w:type="dxa"/>
            <w:vAlign w:val="bottom"/>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1"/>
                <w:szCs w:val="21"/>
                <w:color w:val="auto"/>
              </w:rPr>
            </w:pP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96"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Company has approximately 2,900 employees and 12 different transmission product lines. Although approximately 77% of revenues were generated in North America in 2018, the Company has a global presence by serving customers in Europe, Asia, South America and Africa. The Company serves customers through an independent network of approximately 1,400 independent distributor and dealer locations worldwide.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2018 as filed with the Securities and Exchange Commission (“SEC”) on February 26, 2019. Certain immaterial reclassifications have been made in the condensed consolidated financial statements of prior periods to conform to the current period presentation. The interim period financial results for the three month periods presented are not necessarily indicative of results to be expected for any other interim period or for the entire year.</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and period for leases,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ind w:right="560" w:firstLine="432"/>
        <w:spacing w:after="0" w:line="256" w:lineRule="auto"/>
        <w:rPr>
          <w:sz w:val="20"/>
          <w:szCs w:val="20"/>
          <w:color w:val="auto"/>
        </w:rPr>
      </w:pPr>
      <w:r>
        <w:rPr>
          <w:rFonts w:ascii="Arial" w:cs="Arial" w:eastAsia="Arial" w:hAnsi="Arial"/>
          <w:sz w:val="18"/>
          <w:szCs w:val="18"/>
          <w:color w:val="auto"/>
        </w:rPr>
        <w:t>In June 2018, the Financial Accounting Standards Board ("FASB") issued authoritative accounting guidance on accounting for nonemployee awards for goods or services received by a company. The Company adopted this guidance effective January 1, 2019. The adoption of this guidance did not have a material impact on the Company's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In February 2018, the FASB issued authoritative accounting guidance on transfers of stranded balances in accumulated other comprehensive loss ("AOCL") to retained earnings. The passage of the U.S. Tax Cuts and Jobs Act by the U.S. federal government in December 2017 and existing GAAP requirements to adjust deferred tax assets and liabilities for changes in tax laws or rates created stranded balances in AOCL on deferred tax assets and liabilities previously recorded as a component to AOCL. The guidance applies to companies affected by these stranded balances and allows a reclassification of these balances to retained earnings. The Company adopted this guidance effective January 1, 2019. As a result of the adoption of this guidance, the Company recorded an adjustment that reclassified $7 million of AOCL to retained earnings as of January 1, 2019.</w:t>
      </w:r>
    </w:p>
    <w:p>
      <w:pPr>
        <w:spacing w:after="0" w:line="99"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In February 2016, the FASB issued authoritative accounting guidance on lease accounting, which guidance was subsequently amended.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In July 2018, the FASB issued additional authoritative guidance on this topic giving lessees an optional adoption approach under which the impact of the adoption of the guidance would be shown as of the date of adoption. Management elected to adopt the guidance using this optional alternative method. The Company adopted this guidance effective January 1, 2019. The Company recorded non-financial right-of-use ("ROU") assets of $14 million, including $1 million of assets transferred from the balance recorded as prepaid lease expense under the prior guidance, and current and non-current lease liabilities of $4 million and $9 million, respectively. The adoption of this guidance did not have a material impact on the Company's opening retained earnings. See Note K, "Leases" for further details.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97"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the Company's defined benefit pension plans and other postretirement benefit plan. The guidance will be effective for the Company in fiscal year 2021, but early adoption is permitted. Management is currently evaluating the impact of this guidance on the Company's consolidated financial statements.</w:t>
      </w:r>
    </w:p>
    <w:p>
      <w:pPr>
        <w:spacing w:after="0" w:line="310"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3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June 2016, the FASB issued authoritative accounting guidance on the presentation of financial assets at the net amount expected to be collected. The guidance also requires the disclosure of financing receivables disaggregated by the year of origination. The guidance will be effective for the Company in fiscal year 2020. Management is currently evaluating the impact of this guidance on the Company's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01"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94"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months ended March 31, 2019 and 2018.</w:t>
      </w:r>
    </w:p>
    <w:p>
      <w:pPr>
        <w:spacing w:after="0" w:line="9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2019 and December 31, 2018. See Note J, “Deferred Revenue” for more information including the amount of revenue earned during the three months ended March 31, 2019 that had been previously deferred. The Company had no contract assets as of March 31, 2019 and December 31, 2018.</w:t>
      </w:r>
    </w:p>
    <w:p>
      <w:pPr>
        <w:spacing w:after="0" w:line="97"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presents disaggregated revenue by categories that best depict how the nature, amount, timing and uncertainty of revenue and cash flows are affected by economic factors (dollars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264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7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8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8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8890</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6" w:lineRule="exact"/>
        <w:rPr>
          <w:sz w:val="20"/>
          <w:szCs w:val="20"/>
          <w:color w:val="auto"/>
        </w:rPr>
      </w:pPr>
    </w:p>
    <w:p>
      <w:pPr>
        <w:ind w:left="200" w:right="100" w:hanging="165"/>
        <w:spacing w:after="0" w:line="246" w:lineRule="auto"/>
        <w:tabs>
          <w:tab w:leader="none" w:pos="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On-Highway end market net sales are inclusive of net sales for North America Electric Hybrid- Propulsion Systems for Transit Bus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parts and raw materials</w:t>
            </w: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52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parts</w:t>
            </w:r>
          </w:p>
        </w:tc>
        <w:tc>
          <w:tcPr>
            <w:tcW w:w="15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152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0"/>
        </w:trPr>
        <w:tc>
          <w:tcPr>
            <w:tcW w:w="7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both March 31, 2019 and December 31, 2018, the carrying amount of the Company’s Goodwill was $1,941 million.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40"/>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7"/>
              </w:rPr>
              <w:t>Intangible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7"/>
              </w:rPr>
              <w:t>Intangible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4"/>
              </w:rPr>
              <w:t>Intangible</w:t>
            </w:r>
          </w:p>
        </w:tc>
        <w:tc>
          <w:tcPr>
            <w:tcW w:w="180" w:type="dxa"/>
            <w:vAlign w:val="bottom"/>
          </w:tcPr>
          <w:p>
            <w:pPr>
              <w:spacing w:after="0"/>
              <w:rPr>
                <w:sz w:val="12"/>
                <w:szCs w:val="12"/>
                <w:color w:val="auto"/>
              </w:rPr>
            </w:pPr>
          </w:p>
        </w:tc>
        <w:tc>
          <w:tcPr>
            <w:tcW w:w="120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1060" w:type="dxa"/>
            <w:vAlign w:val="bottom"/>
          </w:tcPr>
          <w:p>
            <w:pPr>
              <w:jc w:val="right"/>
              <w:ind w:right="258"/>
              <w:spacing w:after="0" w:line="140" w:lineRule="exact"/>
              <w:rPr>
                <w:sz w:val="20"/>
                <w:szCs w:val="20"/>
                <w:color w:val="auto"/>
              </w:rPr>
            </w:pPr>
            <w:r>
              <w:rPr>
                <w:rFonts w:ascii="Arial" w:cs="Arial" w:eastAsia="Arial" w:hAnsi="Arial"/>
                <w:sz w:val="13"/>
                <w:szCs w:val="13"/>
                <w:b w:val="1"/>
                <w:bCs w:val="1"/>
                <w:color w:val="auto"/>
              </w:rPr>
              <w:t>Intangible</w:t>
            </w:r>
          </w:p>
        </w:tc>
      </w:tr>
      <w:tr>
        <w:trPr>
          <w:trHeight w:val="178"/>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assets, gross</w:t>
            </w: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assets, net</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assets, gross</w:t>
            </w:r>
          </w:p>
        </w:tc>
        <w:tc>
          <w:tcPr>
            <w:tcW w:w="1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60" w:type="dxa"/>
            <w:vAlign w:val="bottom"/>
          </w:tcPr>
          <w:p>
            <w:pPr>
              <w:jc w:val="right"/>
              <w:ind w:right="218"/>
              <w:spacing w:after="0"/>
              <w:rPr>
                <w:sz w:val="20"/>
                <w:szCs w:val="20"/>
                <w:color w:val="auto"/>
              </w:rPr>
            </w:pPr>
            <w:r>
              <w:rPr>
                <w:rFonts w:ascii="Arial" w:cs="Arial" w:eastAsia="Arial" w:hAnsi="Arial"/>
                <w:sz w:val="13"/>
                <w:szCs w:val="13"/>
                <w:b w:val="1"/>
                <w:bCs w:val="1"/>
                <w:color w:val="auto"/>
              </w:rPr>
              <w:t>assets, net</w:t>
            </w: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8"/>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790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 — commercial</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213</w:t>
            </w: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Proprietary technology</w:t>
            </w:r>
          </w:p>
        </w:tc>
        <w:tc>
          <w:tcPr>
            <w:tcW w:w="180" w:type="dxa"/>
            <w:vAlign w:val="bottom"/>
          </w:tcPr>
          <w:p>
            <w:pPr>
              <w:spacing w:after="0"/>
              <w:rPr>
                <w:sz w:val="22"/>
                <w:szCs w:val="22"/>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b w:val="1"/>
                <w:bCs w:val="1"/>
                <w:color w:val="auto"/>
              </w:rPr>
              <w:t>476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42</w:t>
            </w: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 — defense</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w:t>
            </w:r>
          </w:p>
        </w:tc>
      </w:tr>
      <w:tr>
        <w:trPr>
          <w:trHeight w:val="250"/>
        </w:trPr>
        <w:tc>
          <w:tcPr>
            <w:tcW w:w="32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1,044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1,066</w:t>
            </w: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firstLine="432"/>
        <w:spacing w:after="0" w:line="262" w:lineRule="auto"/>
        <w:rPr>
          <w:sz w:val="20"/>
          <w:szCs w:val="20"/>
          <w:color w:val="auto"/>
        </w:rPr>
      </w:pPr>
      <w:r>
        <w:rPr>
          <w:rFonts w:ascii="Arial" w:cs="Arial" w:eastAsia="Arial" w:hAnsi="Arial"/>
          <w:sz w:val="18"/>
          <w:szCs w:val="18"/>
          <w:color w:val="auto"/>
        </w:rPr>
        <w:t>As of March 31, 2019 and December 31, 2018, the net carrying value of the Company’s Goodwill and Other intangible assets, net was $2,985 million and $3,007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8"/>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04"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94"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99" w:lineRule="exact"/>
        <w:rPr>
          <w:sz w:val="20"/>
          <w:szCs w:val="20"/>
          <w:color w:val="auto"/>
        </w:rPr>
      </w:pPr>
    </w:p>
    <w:p>
      <w:pPr>
        <w:ind w:right="220" w:firstLine="432"/>
        <w:spacing w:after="0" w:line="253"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2019 and December 31, 2018, the Company did not have any Level 3 financial assets or liabilities.</w:t>
      </w:r>
    </w:p>
    <w:p>
      <w:pPr>
        <w:spacing w:after="0" w:line="9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9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96"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2019 and December 31, 2018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rPr>
              <w:t>Fair Value Measurements Using</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36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rPr>
              <w:t>Quoted Prices in Active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36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rPr>
              <w:t>Markets for Identical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rPr>
              <w:t>Assets (Level 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rPr>
              <w:t>Observable Inputs (Level 2)</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ind w:left="675"/>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480" w:type="dxa"/>
            <w:vAlign w:val="bottom"/>
            <w:gridSpan w:val="3"/>
          </w:tcPr>
          <w:p>
            <w:pPr>
              <w:ind w:left="34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Rabbi trust assets</w:t>
            </w:r>
          </w:p>
        </w:tc>
        <w:tc>
          <w:tcPr>
            <w:tcW w:w="86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86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w:t>
            </w:r>
          </w:p>
        </w:tc>
        <w:tc>
          <w:tcPr>
            <w:tcW w:w="86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 liabilities</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G. DEBT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gridSpan w:val="7"/>
          </w:tcPr>
          <w:p>
            <w:pPr>
              <w:ind w:left="440"/>
              <w:spacing w:after="0"/>
              <w:rPr>
                <w:sz w:val="20"/>
                <w:szCs w:val="20"/>
                <w:color w:val="auto"/>
              </w:rPr>
            </w:pPr>
            <w:r>
              <w:rPr>
                <w:rFonts w:ascii="Arial" w:cs="Arial" w:eastAsia="Arial" w:hAnsi="Arial"/>
                <w:sz w:val="18"/>
                <w:szCs w:val="18"/>
                <w:color w:val="auto"/>
                <w:w w:val="99"/>
              </w:rPr>
              <w:t>Long-term debt and maturities are as follows (dollars in millions):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80" w:type="dxa"/>
            <w:vAlign w:val="bottom"/>
            <w:gridSpan w:val="5"/>
          </w:tcPr>
          <w:p>
            <w:pPr>
              <w:ind w:left="40"/>
              <w:spacing w:after="0"/>
              <w:rPr>
                <w:sz w:val="20"/>
                <w:szCs w:val="20"/>
                <w:color w:val="auto"/>
              </w:rPr>
            </w:pPr>
            <w:r>
              <w:rPr>
                <w:rFonts w:ascii="Arial" w:cs="Arial" w:eastAsia="Arial" w:hAnsi="Arial"/>
                <w:sz w:val="18"/>
                <w:szCs w:val="18"/>
                <w:color w:val="auto"/>
              </w:rPr>
              <w:t>Senior Secured Credit Facility Term Loan, variable, due 2026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648</w:t>
            </w:r>
          </w:p>
        </w:tc>
        <w:tc>
          <w:tcPr>
            <w:tcW w:w="120" w:type="dxa"/>
            <w:vAlign w:val="bottom"/>
          </w:tcPr>
          <w:p>
            <w:pPr>
              <w:spacing w:after="0"/>
              <w:rPr>
                <w:sz w:val="22"/>
                <w:szCs w:val="22"/>
                <w:color w:val="auto"/>
              </w:rPr>
            </w:pPr>
          </w:p>
        </w:tc>
        <w:tc>
          <w:tcPr>
            <w:tcW w:w="600" w:type="dxa"/>
            <w:vAlign w:val="bottom"/>
            <w:gridSpan w:val="2"/>
          </w:tcPr>
          <w:p>
            <w:pPr>
              <w:jc w:val="center"/>
              <w:ind w:right="38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Senior Secured Credit Facility Term Loan, variable due 2022</w:t>
            </w: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63"/>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Senior Notes, fixed 5.0%, due 2024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7"/>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Notes, fixed 4.75%, due 2027</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Senior Notes, fixed 5.875%, due 2029</w:t>
            </w: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2,548</w:t>
            </w: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center"/>
              <w:ind w:right="388"/>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63"/>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financing costs, net</w:t>
            </w: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620" w:type="dxa"/>
            <w:vAlign w:val="bottom"/>
          </w:tcPr>
          <w:p>
            <w:pPr>
              <w:ind w:left="380"/>
              <w:spacing w:after="0"/>
              <w:rPr>
                <w:sz w:val="20"/>
                <w:szCs w:val="20"/>
                <w:color w:val="auto"/>
              </w:rPr>
            </w:pPr>
            <w:r>
              <w:rPr>
                <w:rFonts w:ascii="Arial" w:cs="Arial" w:eastAsia="Arial" w:hAnsi="Arial"/>
                <w:sz w:val="18"/>
                <w:szCs w:val="18"/>
                <w:color w:val="auto"/>
              </w:rPr>
              <w:t>Total long-term debt, net</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2,514</w:t>
            </w:r>
          </w:p>
        </w:tc>
        <w:tc>
          <w:tcPr>
            <w:tcW w:w="120" w:type="dxa"/>
            <w:vAlign w:val="bottom"/>
          </w:tcPr>
          <w:p>
            <w:pPr>
              <w:spacing w:after="0"/>
              <w:rPr>
                <w:sz w:val="22"/>
                <w:szCs w:val="22"/>
                <w:color w:val="auto"/>
              </w:rPr>
            </w:pPr>
          </w:p>
        </w:tc>
        <w:tc>
          <w:tcPr>
            <w:tcW w:w="600" w:type="dxa"/>
            <w:vAlign w:val="bottom"/>
            <w:gridSpan w:val="2"/>
          </w:tcPr>
          <w:p>
            <w:pPr>
              <w:jc w:val="center"/>
              <w:ind w:right="38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0</wp:posOffset>
            </wp:positionV>
            <wp:extent cx="19551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March 31, 2019, the Company had $2,514 million of indebtedness associated with Allison Transmission, Inc.’s (“ATI”), the Company’s wholly-owned subsidiary, 5.0% Senior Notes due September 2024 (“5.0% Senior Notes”), ATI’s 4.75% Senior Notes due October 2027 (“4.75% Senior Notes”), ATI’s 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$648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12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fair value of the Company’s long-term debt obligations as of March 31, 2019 was $2,534 million. The fair value is based on quoted Level 2 market prices of the Company’s debt as of March 31, 2019.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Senior Secured Credit Facility</w:t>
      </w:r>
    </w:p>
    <w:p>
      <w:pPr>
        <w:spacing w:after="0" w:line="166"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$ 5 million of prior deferred financing fees and $1 million of related third party fees in the Condensed Consolidated Statement of Comprehensive Income for the first quarter of 2019 and recorded $5 million as new deferred financing fees in the Condensed Consolidated Balance Sheet as of March 31, 2019.</w:t>
      </w:r>
    </w:p>
    <w:p>
      <w:pPr>
        <w:spacing w:after="0" w:line="132" w:lineRule="exact"/>
        <w:rPr>
          <w:sz w:val="20"/>
          <w:szCs w:val="20"/>
          <w:color w:val="auto"/>
        </w:rPr>
      </w:pPr>
    </w:p>
    <w:p>
      <w:pPr>
        <w:ind w:right="220" w:firstLine="432"/>
        <w:spacing w:after="0" w:line="256" w:lineRule="auto"/>
        <w:rPr>
          <w:sz w:val="20"/>
          <w:szCs w:val="20"/>
          <w:color w:val="auto"/>
        </w:rPr>
      </w:pPr>
      <w:r>
        <w:rPr>
          <w:rFonts w:ascii="Arial" w:cs="Arial" w:eastAsia="Arial" w:hAnsi="Arial"/>
          <w:sz w:val="18"/>
          <w:szCs w:val="18"/>
          <w:color w:val="auto"/>
        </w:rPr>
        <w:t>In March 2018, ATI entered into an amendment with the term loan lenders under the Prior Senior Secured Credit Facility to lower the applicable margins on the Prior Term Loan by 0.25%. The March 2018 amendment was treated as a modification to the Prior Senior Secured Credit Facility under GAAP, and thus the Company recorded $1 million as new deferred financing fees in the first quarter of 2018.</w:t>
      </w:r>
    </w:p>
    <w:p>
      <w:pPr>
        <w:spacing w:after="0" w:line="121" w:lineRule="exact"/>
        <w:rPr>
          <w:sz w:val="20"/>
          <w:szCs w:val="20"/>
          <w:color w:val="auto"/>
        </w:rPr>
      </w:pPr>
    </w:p>
    <w:p>
      <w:pPr>
        <w:ind w:right="20" w:firstLine="432"/>
        <w:spacing w:after="0" w:line="265" w:lineRule="auto"/>
        <w:rPr>
          <w:sz w:val="20"/>
          <w:szCs w:val="20"/>
          <w:color w:val="auto"/>
        </w:rPr>
      </w:pPr>
      <w:r>
        <w:rPr>
          <w:rFonts w:ascii="Arial" w:cs="Arial" w:eastAsia="Arial" w:hAnsi="Arial"/>
          <w:sz w:val="17"/>
          <w:szCs w:val="17"/>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March 31, 2019, is either (a) 2.00% over a LIBOR rate on deposits in U.S. dollars for one-, two-, three- or six month periods (or twelve- month or shorter periods if, at the time of the borrowing, available from all relevant lenders) (the "LIBOR Rate"), or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over the greater of the prime lending rate as quoted by the administrative agent, the LIBOR rate for an interest period of one month plus</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1.00% and the federal funds effective rate published by the Federal Reserve Bank of New York plus 0.50%, subject to a 1.00% floor (the "Base Rate"). As of March 31, 2019, the Company elected to pay the lowest all-in rate of LIBOR plus the applicable margin, or 4.50%, on the New Term Loan. The Credit Agreement requires minimum quarterly principal payments on the New Term Loan starting with the fiscal quarter ending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March 31, 2019, there had been no payments required for certain net cash proceeds of non-ordinary course asset sales and casualty and condemnation events. The remaining principal balance is due upon maturity.</w:t>
      </w:r>
    </w:p>
    <w:p>
      <w:pPr>
        <w:spacing w:after="0" w:line="125" w:lineRule="exact"/>
        <w:rPr>
          <w:sz w:val="20"/>
          <w:szCs w:val="20"/>
          <w:color w:val="auto"/>
        </w:rPr>
      </w:pPr>
    </w:p>
    <w:p>
      <w:pPr>
        <w:ind w:right="20" w:firstLine="432"/>
        <w:spacing w:after="0" w:line="250" w:lineRule="auto"/>
        <w:rPr>
          <w:sz w:val="20"/>
          <w:szCs w:val="20"/>
          <w:color w:val="auto"/>
        </w:rPr>
      </w:pPr>
      <w:r>
        <w:rPr>
          <w:rFonts w:ascii="Arial" w:cs="Arial" w:eastAsia="Arial" w:hAnsi="Arial"/>
          <w:sz w:val="18"/>
          <w:szCs w:val="18"/>
          <w:color w:val="auto"/>
        </w:rPr>
        <w:t>The New Senior Secured Credit Facility also provides a New Revolving Credit Facility, net of an allowance for up to $75 million in outstanding letters of credit commitments. As of March 31, 2019, the Company had $578 million available under the New Revolving Credit Facility, net of $22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w:t>
      </w:r>
    </w:p>
    <w:p>
      <w:pPr>
        <w:spacing w:after="0" w:line="3" w:lineRule="exact"/>
        <w:rPr>
          <w:sz w:val="20"/>
          <w:szCs w:val="20"/>
          <w:color w:val="auto"/>
        </w:rPr>
      </w:pPr>
    </w:p>
    <w:p>
      <w:pPr>
        <w:ind w:firstLine="8"/>
        <w:spacing w:after="0" w:line="252"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1.50% over the LIBOR Rate; and when the Company’s first lien net leverage ratio is equal to or below 3.50x, interest on the New Revolving Credit Facility is (y) 0.25% over the Base Rate or (z) 1.25% over the LIBOR Rate. As of March 31, 2019, the applicable margin for the New Revolving Credit Facility was 1.25%. In addition, there is an annual commitment fee, based on the Company’s first lien net leverage ratio, on the average unused revolving credit borrowings available under the New Revolving Credit Facility. As of March 31, 2019, the commitment fee is 0.25%. Borrowings under the New Revolving Credit Facility are payable at the option of the Company throughout the term of the New Senior Secured Credit Facility with the balance due in September 2024.</w:t>
      </w:r>
    </w:p>
    <w:p>
      <w:pPr>
        <w:spacing w:after="0" w:line="128"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New Senior Secured Credit Facility requires the Company to maintain a specified maximum first lien net leverage ratio of 5.50x when revolving loan commitments remain outstanding on the New Revolving Credit Facility at the end of a fiscal quarter. As of March 31, 2019, the Company had no amounts outstanding under the New Revolving Credit Facility; however, the Company would have been in compliance with the maximum first lien net leverage ratio, achieving a 0.28x ratio. Additionally, within the terms of the New Senior Secured Credit Facility, 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first lien net leverage ratio at or below 4.00x results in the elimination of excess cash flow payments on the New Senior Secured Credit Facility for the applicable year.</w:t>
      </w:r>
    </w:p>
    <w:p>
      <w:pPr>
        <w:spacing w:after="0" w:line="11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2019, the Company was in compliance with all covenants under the Credit Agreement.</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39"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2019, the Company was in compliance with all covenants under the indenture governing the 5.0% Senior Notes.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2019, the Company was in compliance with all covenants under the indenture governing the 4.75% Senior Notes.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5.875% Senior Notes</w:t>
      </w:r>
    </w:p>
    <w:p>
      <w:pPr>
        <w:spacing w:after="0" w:line="13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as of March 31, 2019.</w:t>
      </w:r>
    </w:p>
    <w:p>
      <w:pPr>
        <w:spacing w:after="0" w:line="97"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2019, the Company was in compliance with all covenants under the indenture governing the 5.875%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39"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March 31, 2019,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104"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7"/>
                <w:szCs w:val="17"/>
                <w:color w:val="auto"/>
              </w:rPr>
            </w:pPr>
          </w:p>
        </w:tc>
      </w:tr>
      <w:tr>
        <w:trPr>
          <w:trHeight w:val="263"/>
        </w:trPr>
        <w:tc>
          <w:tcPr>
            <w:tcW w:w="5700" w:type="dxa"/>
            <w:vAlign w:val="bottom"/>
          </w:tcPr>
          <w:p>
            <w:pPr>
              <w:spacing w:after="0"/>
              <w:rPr>
                <w:sz w:val="22"/>
                <w:szCs w:val="22"/>
                <w:color w:val="auto"/>
              </w:rPr>
            </w:pPr>
          </w:p>
        </w:tc>
        <w:tc>
          <w:tcPr>
            <w:tcW w:w="2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30"/>
        </w:trPr>
        <w:tc>
          <w:tcPr>
            <w:tcW w:w="5700" w:type="dxa"/>
            <w:vAlign w:val="bottom"/>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1"/>
        </w:trPr>
        <w:tc>
          <w:tcPr>
            <w:tcW w:w="57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0"/>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570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balance of derivative losses recorded in AOCL as of March 31, 2019 was $19 million. See NOTE O “Accumulated Other Comprehensive Loss” for information regarding activity recorded as a component of AOCL during the three months ended March 31, 2019. The Company had no derivative losses recorded in AOCL expected to be reclassified to earnings within the next twelve months as of March 31, 2019.</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93"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As of March 31, 2019, current and non-current product warranty liabilities were $27 million and $37 million, respectively. As of March 31, 2018, current and non-current product warranty liabilities were $24 million and $38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5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3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liability (warranty issued during period)</w:t>
            </w:r>
          </w:p>
        </w:tc>
        <w:tc>
          <w:tcPr>
            <w:tcW w:w="3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adjustments to liability</w:t>
            </w:r>
          </w:p>
        </w:tc>
        <w:tc>
          <w:tcPr>
            <w:tcW w:w="35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5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93"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As of March 31, 2019, current and non-current deferred revenue were $34 million and $97 million, respectively. As of March 31, 2018, current and non-current deferred revenue were $40 million and $72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4"/>
                <w:szCs w:val="24"/>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earned</w:t>
            </w: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420" w:firstLine="432"/>
        <w:spacing w:after="0" w:line="256" w:lineRule="auto"/>
        <w:rPr>
          <w:sz w:val="20"/>
          <w:szCs w:val="20"/>
          <w:color w:val="auto"/>
        </w:rPr>
      </w:pPr>
      <w:r>
        <w:rPr>
          <w:rFonts w:ascii="Arial" w:cs="Arial" w:eastAsia="Arial" w:hAnsi="Arial"/>
          <w:sz w:val="18"/>
          <w:szCs w:val="18"/>
          <w:color w:val="auto"/>
        </w:rPr>
        <w:t>Deferred revenue recorded in current and non-current liabilities related to ETC as of March 31, 2019 was $29 million and $74 million, respectively. Deferred revenue recorded in current and non-current liabilities related to ETC as of March 31, 2018 was $29 million and $69 million,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Lease Guidance</w:t>
      </w:r>
    </w:p>
    <w:p>
      <w:pPr>
        <w:spacing w:after="0" w:line="139" w:lineRule="exact"/>
        <w:rPr>
          <w:sz w:val="20"/>
          <w:szCs w:val="20"/>
          <w:color w:val="auto"/>
        </w:rPr>
      </w:pPr>
    </w:p>
    <w:p>
      <w:pPr>
        <w:ind w:right="180" w:firstLine="432"/>
        <w:spacing w:after="0" w:line="256" w:lineRule="auto"/>
        <w:rPr>
          <w:sz w:val="20"/>
          <w:szCs w:val="20"/>
          <w:color w:val="auto"/>
        </w:rPr>
      </w:pPr>
      <w:r>
        <w:rPr>
          <w:rFonts w:ascii="Arial" w:cs="Arial" w:eastAsia="Arial" w:hAnsi="Arial"/>
          <w:sz w:val="18"/>
          <w:szCs w:val="18"/>
          <w:color w:val="auto"/>
        </w:rPr>
        <w:t>New authoritative guidance for leases was adopted by the Company effective January 1, 2019 using the optional transition method. Balances as of March 31, 2019 and results for the three months ended March 31, 2019 are presented in conformity with the new authoritative accounting guidance, while prior period balances and results are presented in conformity with prior accounting guidance.</w:t>
      </w:r>
    </w:p>
    <w:p>
      <w:pPr>
        <w:spacing w:after="0" w:line="94" w:lineRule="exact"/>
        <w:rPr>
          <w:sz w:val="20"/>
          <w:szCs w:val="20"/>
          <w:color w:val="auto"/>
        </w:rPr>
      </w:pPr>
    </w:p>
    <w:p>
      <w:pPr>
        <w:jc w:val="both"/>
        <w:ind w:right="320" w:firstLine="432"/>
        <w:spacing w:after="0" w:line="256" w:lineRule="auto"/>
        <w:rPr>
          <w:sz w:val="20"/>
          <w:szCs w:val="20"/>
          <w:color w:val="auto"/>
        </w:rPr>
      </w:pPr>
      <w:r>
        <w:rPr>
          <w:rFonts w:ascii="Arial" w:cs="Arial" w:eastAsia="Arial" w:hAnsi="Arial"/>
          <w:sz w:val="18"/>
          <w:szCs w:val="18"/>
          <w:color w:val="auto"/>
        </w:rPr>
        <w:t>The Company recognized right-of-use ("ROU") assets for operating leases of $ 14 million and current and non-current operating lease liabilities of $4 million and $9 million, respectively, as of January 1, 2019. At the time of adoption, the Company was not party to any finance leases.</w:t>
      </w:r>
    </w:p>
    <w:p>
      <w:pPr>
        <w:spacing w:after="0" w:line="94" w:lineRule="exact"/>
        <w:rPr>
          <w:sz w:val="20"/>
          <w:szCs w:val="20"/>
          <w:color w:val="auto"/>
        </w:rPr>
      </w:pPr>
    </w:p>
    <w:p>
      <w:pPr>
        <w:ind w:right="220" w:firstLine="432"/>
        <w:spacing w:after="0" w:line="256" w:lineRule="auto"/>
        <w:rPr>
          <w:sz w:val="20"/>
          <w:szCs w:val="20"/>
          <w:color w:val="auto"/>
        </w:rPr>
      </w:pPr>
      <w:r>
        <w:rPr>
          <w:rFonts w:ascii="Arial" w:cs="Arial" w:eastAsia="Arial" w:hAnsi="Arial"/>
          <w:sz w:val="18"/>
          <w:szCs w:val="18"/>
          <w:color w:val="auto"/>
        </w:rPr>
        <w:t>The Company elected practical expedients allowed by this guidance which included not reassessing existing or expired contracts for leases, not reassessing existing or expired leases for classification, not reassessing indirect costs for any existing leases and using hindsight when determining lease terms.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operating or finance leases. As of March 31, 2019, the Company was not a party to any finance leases. Contracts that contain leases are assessed to determine if the consideration in the contract is related to a lease component, non-lease component or other components not related to the lease. Lease components are recorded as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99" w:lineRule="exact"/>
        <w:rPr>
          <w:sz w:val="20"/>
          <w:szCs w:val="20"/>
          <w:color w:val="auto"/>
        </w:rPr>
      </w:pPr>
    </w:p>
    <w:p>
      <w:pPr>
        <w:ind w:right="480" w:firstLine="432"/>
        <w:spacing w:after="0" w:line="256"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94" w:lineRule="exact"/>
        <w:rPr>
          <w:sz w:val="20"/>
          <w:szCs w:val="20"/>
          <w:color w:val="auto"/>
        </w:rPr>
      </w:pPr>
    </w:p>
    <w:p>
      <w:pPr>
        <w:ind w:right="200" w:firstLine="432"/>
        <w:spacing w:after="0" w:line="253"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March 31, 2019 was 4.28%.</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340" w:firstLine="432"/>
        <w:spacing w:after="0" w:line="262" w:lineRule="auto"/>
        <w:rPr>
          <w:sz w:val="20"/>
          <w:szCs w:val="20"/>
          <w:color w:val="auto"/>
        </w:rPr>
      </w:pPr>
      <w:r>
        <w:rPr>
          <w:rFonts w:ascii="Arial" w:cs="Arial" w:eastAsia="Arial" w:hAnsi="Arial"/>
          <w:sz w:val="18"/>
          <w:szCs w:val="18"/>
          <w:color w:val="auto"/>
        </w:rPr>
        <w:t>As of December 31, 2018, future undiscounted payments under operating leases (as defined by prior guidance) are expected to be as follows for the next five annual periods and thereafter following December 31, 2018:</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5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5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the Company recorded current and non-current operating lease liabilities of $3 million and $9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total operating lease liabilities as of March 31, 2019 to future undiscounted cash flows for operating leases:</w:t>
      </w:r>
    </w:p>
    <w:p>
      <w:pPr>
        <w:spacing w:after="0" w:line="321"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8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r>
      <w:tr>
        <w:trPr>
          <w:trHeight w:val="25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57"/>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w:t>
            </w:r>
          </w:p>
        </w:tc>
      </w:tr>
      <w:tr>
        <w:trPr>
          <w:trHeight w:val="250"/>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w:t>
            </w:r>
          </w:p>
        </w:tc>
      </w:tr>
      <w:tr>
        <w:trPr>
          <w:trHeight w:val="25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80" w:firstLine="432"/>
        <w:spacing w:after="0" w:line="262"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underlying asset:</w:t>
      </w:r>
    </w:p>
    <w:p>
      <w:pPr>
        <w:spacing w:after="0" w:line="292"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8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11</w:t>
            </w:r>
          </w:p>
        </w:tc>
      </w:tr>
      <w:tr>
        <w:trPr>
          <w:trHeight w:val="257"/>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Total right-of-use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w:t>
            </w: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remaining lease term as of March 31, 2019 was 5.4 years.</w:t>
      </w:r>
    </w:p>
    <w:p>
      <w:pPr>
        <w:spacing w:after="0" w:line="117"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Operating lease expense was $1 million for the three months ended March 31, 2019 and recorded within Selling, general and administrative expense on the Company's Condensed Consolidated Statements of Comprehensive Income. There was no short term operating lease expense for the three months ended March 31, 2019.</w:t>
      </w:r>
    </w:p>
    <w:p>
      <w:pPr>
        <w:spacing w:after="0" w:line="94"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The calculation of the the Company's ROU assets and lease liabilities did not include cash consideration as of March 31, 2019. During the three months ended March 31, 2019, the Company added no new ROU assets obtained through non-cash transactions.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rPr>
              <w:t>As of March 31,</w:t>
            </w:r>
          </w:p>
        </w:tc>
        <w:tc>
          <w:tcPr>
            <w:tcW w:w="136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rPr>
              <w:t>As of December 31,</w:t>
            </w:r>
          </w:p>
        </w:tc>
      </w:tr>
      <w:tr>
        <w:trPr>
          <w:trHeight w:val="178"/>
        </w:trPr>
        <w:tc>
          <w:tcPr>
            <w:tcW w:w="8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2018</w:t>
            </w:r>
          </w:p>
        </w:tc>
      </w:tr>
      <w:tr>
        <w:trPr>
          <w:trHeight w:val="25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Payroll and related costs</w:t>
            </w:r>
          </w:p>
        </w:tc>
        <w:tc>
          <w:tcPr>
            <w:tcW w:w="16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81</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Vendor buyback obligation</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Defense price reduction reserve</w:t>
            </w:r>
          </w:p>
        </w:tc>
        <w:tc>
          <w:tcPr>
            <w:tcW w:w="16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Vendor liability</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Rabbi trust liability</w:t>
            </w:r>
          </w:p>
        </w:tc>
        <w:tc>
          <w:tcPr>
            <w:tcW w:w="16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Non-trade payables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64"/>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accruals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Pension Plans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Post-retirement Benefits</w:t>
            </w:r>
          </w:p>
        </w:tc>
      </w:tr>
      <w:tr>
        <w:trPr>
          <w:trHeight w:val="244"/>
        </w:trPr>
        <w:tc>
          <w:tcPr>
            <w:tcW w:w="5160" w:type="dxa"/>
            <w:vAlign w:val="bottom"/>
          </w:tcPr>
          <w:p>
            <w:pPr>
              <w:spacing w:after="0"/>
              <w:rPr>
                <w:sz w:val="21"/>
                <w:szCs w:val="21"/>
                <w:color w:val="auto"/>
              </w:rPr>
            </w:pPr>
          </w:p>
        </w:tc>
        <w:tc>
          <w:tcPr>
            <w:tcW w:w="27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516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(credit)</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40" w:firstLine="432"/>
        <w:spacing w:after="0" w:line="262"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in the Condensed Consolidated Statements of Comprehensive Income.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93" w:lineRule="exact"/>
        <w:rPr>
          <w:sz w:val="20"/>
          <w:szCs w:val="20"/>
          <w:color w:val="auto"/>
        </w:rPr>
      </w:pPr>
    </w:p>
    <w:p>
      <w:pPr>
        <w:ind w:right="800" w:firstLine="432"/>
        <w:spacing w:after="0" w:line="262" w:lineRule="auto"/>
        <w:rPr>
          <w:sz w:val="20"/>
          <w:szCs w:val="20"/>
          <w:color w:val="auto"/>
        </w:rPr>
      </w:pPr>
      <w:r>
        <w:rPr>
          <w:rFonts w:ascii="Arial" w:cs="Arial" w:eastAsia="Arial" w:hAnsi="Arial"/>
          <w:sz w:val="18"/>
          <w:szCs w:val="18"/>
          <w:color w:val="auto"/>
        </w:rPr>
        <w:t>For the three months ended March 31, 2019 and 2018, the Company recorded total tax expense of $44 million and $40 million, respectively. The effective tax rate for both the three months ended March 31, 2019 and 2018 was 21%.</w:t>
      </w:r>
    </w:p>
    <w:p>
      <w:pPr>
        <w:spacing w:after="0" w:line="88"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7"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94"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accordance with the FASB’s authoritative guidance on accounting for income taxes, the Company has recorded a liability for unrecognized tax benefits related to a 2010 Research and Development Credit as of March 31, 2019 and December 31, 2018.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40"/>
        </w:trPr>
        <w:tc>
          <w:tcPr>
            <w:tcW w:w="6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Available-for-sale</w:t>
            </w: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96"/>
              </w:rPr>
              <w:t>Foreign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602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Pension and OPEB</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securities and</w:t>
            </w:r>
          </w:p>
        </w:tc>
        <w:tc>
          <w:tcPr>
            <w:tcW w:w="24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currency</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8"/>
        </w:trPr>
        <w:tc>
          <w:tcPr>
            <w:tcW w:w="60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liability adjustment</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interest rate swaps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3"/>
                <w:szCs w:val="13"/>
                <w:b w:val="1"/>
                <w:bCs w:val="1"/>
                <w:color w:val="auto"/>
              </w:rPr>
              <w:t>Total</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AOCL as of December 31, 2017</w:t>
            </w:r>
          </w:p>
        </w:tc>
        <w:tc>
          <w:tcPr>
            <w:tcW w:w="5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Other comprehensive income before reclassifications</w:t>
            </w:r>
          </w:p>
        </w:tc>
        <w:tc>
          <w:tcPr>
            <w:tcW w:w="5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w:t>
            </w: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54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84"/>
        </w:trPr>
        <w:tc>
          <w:tcPr>
            <w:tcW w:w="6020" w:type="dxa"/>
            <w:vAlign w:val="bottom"/>
          </w:tcPr>
          <w:p>
            <w:pPr>
              <w:ind w:left="40"/>
              <w:spacing w:after="0"/>
              <w:rPr>
                <w:sz w:val="20"/>
                <w:szCs w:val="20"/>
                <w:color w:val="auto"/>
              </w:rPr>
            </w:pPr>
            <w:r>
              <w:rPr>
                <w:rFonts w:ascii="Arial" w:cs="Arial" w:eastAsia="Arial" w:hAnsi="Arial"/>
                <w:sz w:val="18"/>
                <w:szCs w:val="18"/>
                <w:color w:val="auto"/>
              </w:rPr>
              <w:t>AOCL as of March 31, 2018</w:t>
            </w:r>
          </w:p>
        </w:tc>
        <w:tc>
          <w:tcPr>
            <w:tcW w:w="540" w:type="dxa"/>
            <w:vAlign w:val="bottom"/>
          </w:tcPr>
          <w:p>
            <w:pPr>
              <w:jc w:val="right"/>
              <w:ind w:right="33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6020" w:type="dxa"/>
            <w:vAlign w:val="bottom"/>
            <w:tcBorders>
              <w:top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AOCL as of December 31, 2018</w:t>
            </w:r>
          </w:p>
        </w:tc>
        <w:tc>
          <w:tcPr>
            <w:tcW w:w="54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Other comprehensive loss before reclassifications</w:t>
            </w:r>
          </w:p>
        </w:tc>
        <w:tc>
          <w:tcPr>
            <w:tcW w:w="5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77"/>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63"/>
        </w:trPr>
        <w:tc>
          <w:tcPr>
            <w:tcW w:w="602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5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stranded tax effects</w:t>
            </w: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540" w:type="dxa"/>
            <w:vAlign w:val="bottom"/>
          </w:tcPr>
          <w:p>
            <w:pPr>
              <w:jc w:val="right"/>
              <w:ind w:right="337"/>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57"/>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AOCL as of March 31, 2019</w:t>
            </w:r>
          </w:p>
        </w:tc>
        <w:tc>
          <w:tcPr>
            <w:tcW w:w="54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0"/>
        </w:trPr>
        <w:tc>
          <w:tcPr>
            <w:tcW w:w="6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accordance with the FASB's new authoritative guidance regarding the reclassification of certain tax effects from accumulated other comprehensive income, the Company reclassified approximately $ 7 million, as of January 1, 2019, from accumulated other comprehensive loss to retained earnings for the stranded tax effects resulting from the U.S. Tax Cuts and Jobs Act. This reclassification had zero net effect on total stockholders' equity. The Company utilizes the portfolio securities approach when releasing income tax effects from accumulated other comprehensive loss for its investment securities.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Amounts reclassified from AOCL</w:t>
            </w:r>
          </w:p>
        </w:tc>
        <w:tc>
          <w:tcPr>
            <w:tcW w:w="3520" w:type="dxa"/>
            <w:vAlign w:val="bottom"/>
          </w:tcPr>
          <w:p>
            <w:pPr>
              <w:jc w:val="center"/>
              <w:ind w:left="1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75"/>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680" w:type="dxa"/>
            <w:vAlign w:val="bottom"/>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r>
      <w:tr>
        <w:trPr>
          <w:trHeight w:val="196"/>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7"/>
                <w:szCs w:val="17"/>
                <w:color w:val="auto"/>
              </w:rPr>
            </w:pPr>
          </w:p>
        </w:tc>
        <w:tc>
          <w:tcPr>
            <w:tcW w:w="168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 2018</w:t>
            </w:r>
          </w:p>
        </w:tc>
        <w:tc>
          <w:tcPr>
            <w:tcW w:w="3520" w:type="dxa"/>
            <w:vAlign w:val="bottom"/>
          </w:tcPr>
          <w:p>
            <w:pPr>
              <w:jc w:val="center"/>
              <w:ind w:left="18"/>
              <w:spacing w:after="0"/>
              <w:rPr>
                <w:sz w:val="20"/>
                <w:szCs w:val="20"/>
                <w:color w:val="auto"/>
              </w:rPr>
            </w:pPr>
            <w:r>
              <w:rPr>
                <w:rFonts w:ascii="Arial" w:cs="Arial" w:eastAsia="Arial" w:hAnsi="Arial"/>
                <w:sz w:val="14"/>
                <w:szCs w:val="14"/>
                <w:b w:val="1"/>
                <w:bCs w:val="1"/>
                <w:color w:val="auto"/>
              </w:rPr>
              <w:t>Comprehensive Income</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benefit items: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of tax</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See NOTE M, “Employee Benefit Plans” for additional details.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9"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March 31, 2019, the Company had a liability recorded in the amount of $12 million.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3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months ended both March 31, 2019 and March 31, 2018, there were no outstanding stock options excluded from the diluted EPS calculation because they were anti-dilutive.</w:t>
      </w:r>
    </w:p>
    <w:p>
      <w:pPr>
        <w:spacing w:after="0" w:line="98" w:lineRule="exact"/>
        <w:rPr>
          <w:sz w:val="20"/>
          <w:szCs w:val="20"/>
          <w:color w:val="auto"/>
        </w:rPr>
      </w:pPr>
    </w:p>
    <w:p>
      <w:pPr>
        <w:ind w:right="400" w:firstLine="432"/>
        <w:spacing w:after="0" w:line="262"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shares of common stock outstanding</w:t>
            </w:r>
          </w:p>
        </w:tc>
        <w:tc>
          <w:tcPr>
            <w:tcW w:w="9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effect of stock-based awards</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 of common stock outstanding</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80"/>
              <w:spacing w:after="0"/>
              <w:rPr>
                <w:sz w:val="20"/>
                <w:szCs w:val="20"/>
                <w:color w:val="auto"/>
              </w:rPr>
            </w:pPr>
            <w:r>
              <w:rPr>
                <w:rFonts w:ascii="Arial" w:cs="Arial" w:eastAsia="Arial" w:hAnsi="Arial"/>
                <w:sz w:val="18"/>
                <w:szCs w:val="18"/>
                <w:color w:val="auto"/>
              </w:rPr>
              <w:t>Diluted earnings per share attributable to common stockholders</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340" w:type="dxa"/>
            <w:vAlign w:val="bottom"/>
            <w:vMerge w:val="continue"/>
          </w:tcPr>
          <w:p>
            <w:pPr>
              <w:spacing w:after="0"/>
              <w:rPr>
                <w:sz w:val="20"/>
                <w:szCs w:val="20"/>
                <w:color w:val="auto"/>
              </w:rPr>
            </w:pPr>
          </w:p>
        </w:tc>
        <w:tc>
          <w:tcPr>
            <w:tcW w:w="96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93"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The Company’s current stock repurchase program ("Repurchase Program") was announced on November 14, 2016 when the Board of Directors authorized the Company to repurchase up to $1,000 million of its common stock on the open market or through privately negotiated transactions through December 31, 2019. On November 8, 2017, the Board of Directors authorized the Company to repurchase an additional $500 million of its common stock, and on July 30, 2018, the Board of Directors authorized the Company to repurchase an additional $500 million of its common stock, bringing the total amount authorized under the Repurchase Program to $2,000 million. Also on July 30, 2018, the Board of Directors removed the termination date of the Repurchase Program. The timing and amount of stock purchases are subject to market conditions and corporate needs. The Repurchase Program may be modified, suspended or discontinued at any time at the Company’s discretion.</w:t>
      </w:r>
    </w:p>
    <w:p>
      <w:pPr>
        <w:spacing w:after="0" w:line="152" w:lineRule="exact"/>
        <w:rPr>
          <w:sz w:val="20"/>
          <w:szCs w:val="20"/>
          <w:color w:val="auto"/>
        </w:rPr>
      </w:pPr>
    </w:p>
    <w:p>
      <w:pPr>
        <w:ind w:right="440" w:firstLine="432"/>
        <w:spacing w:after="0" w:line="262" w:lineRule="auto"/>
        <w:rPr>
          <w:sz w:val="20"/>
          <w:szCs w:val="20"/>
          <w:color w:val="auto"/>
        </w:rPr>
      </w:pPr>
      <w:r>
        <w:rPr>
          <w:rFonts w:ascii="Arial" w:cs="Arial" w:eastAsia="Arial" w:hAnsi="Arial"/>
          <w:sz w:val="18"/>
          <w:szCs w:val="18"/>
          <w:color w:val="auto"/>
        </w:rPr>
        <w:t>During the three months ended March 31, 2019, the Company repurchased approximately $50 million of its common stock under the Repurchase Program, leaving $395 million of authorized repurchases remaining under the Repurchase Program as of March 31,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SUBSEQUENT EVENTS</w:t>
      </w:r>
    </w:p>
    <w:p>
      <w:pPr>
        <w:spacing w:after="0" w:line="193"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On April 16, 2019, the Company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$123 million in cash. At the date of issuance of the interim condensed consolidated financial statements contained in this Form 10-Q, the initial business combination accounting was not complete for this acquisition given the timing of the transaction.</w:t>
      </w:r>
    </w:p>
    <w:p>
      <w:pPr>
        <w:spacing w:after="0" w:line="15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On April 12, 2019, the Company acquired all of the outstanding shares of Vantage Power Limited, a privately-owned company based in the United Kingdom which designs and manufactures powertrain electrification and connectivity technologies applicable to a broad range of commercial vehicle end markets. The Company paid approximately £7 million, or $9 million, in cash on April 12, 2019 and may pay up to an additional £ 6 million, or $ 8 million, over the next three years based on specified conditions being met. At the date of issuance of the interim condensed consolidated financial statements contained in this Form 10-Q, the initial business combination accounting was not complete for this acquisition given the timing of the transaction.</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acquisitions align with the Company's strategy to advance its position in propulsion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2018 as filed with the Securities and Exchange Commission ("SEC") on February 26, 2019. Our actual results may differ materially from those contained in or implied by any forward-looking statements.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Allison Transmission Holdings, Inc. and its subsidiaries (“Allison”, “our”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96"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We have approximately 2,900 employees and 12 different transmission product lines. Although approximately 77% of revenues were generated in North America in 2018, we have a global presence by serving customers in Europe, Asia, South America and Africa. We serve customers through an independent network of approximately 1,400 independent distributor and dealer locations worldwide.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On April 16, 2019, we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$123 million in cash. At the date of issuance of the interim condensed consolidated financial statements contained in this Form 10-Q, the initial business combination accounting was not complete for this acquisition given the timing of the transaction.</w:t>
      </w:r>
    </w:p>
    <w:p>
      <w:pPr>
        <w:spacing w:after="0" w:line="152" w:lineRule="exact"/>
        <w:rPr>
          <w:sz w:val="20"/>
          <w:szCs w:val="20"/>
          <w:color w:val="auto"/>
        </w:rPr>
      </w:pPr>
    </w:p>
    <w:p>
      <w:pPr>
        <w:jc w:val="both"/>
        <w:ind w:right="200" w:firstLine="432"/>
        <w:spacing w:after="0" w:line="252" w:lineRule="auto"/>
        <w:rPr>
          <w:sz w:val="20"/>
          <w:szCs w:val="20"/>
          <w:color w:val="auto"/>
        </w:rPr>
      </w:pPr>
      <w:r>
        <w:rPr>
          <w:rFonts w:ascii="Arial" w:cs="Arial" w:eastAsia="Arial" w:hAnsi="Arial"/>
          <w:sz w:val="18"/>
          <w:szCs w:val="18"/>
          <w:color w:val="auto"/>
        </w:rPr>
        <w:t>On April 12, 2019, we acquired all of the outstanding shares of Vantage Power Limited, a privately-owned company based in the United Kingdom which designs and manufactures powertrain electrification and connectivity technologies applicable to a broad range of commercial vehicle end markets. We paid approximately £ 7 million, or $9 million, in cash on April 12, 2019 and may pay up to an additional £6 million, or $8 million, over the next three years based on specified conditions being met. At the date of issuance of the interim condensed consolidated financial statements contained in this Form 10-Q, the initial business combination accounting was not complete for this acquisition given the timing of the transaction.</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acquisitions align with our strategy to advance our position in propulsion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9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2019, we expect lower demand in the North America Off-Highway and Service Parts, Support Equipment and Other end markets, partially offset by increased demand in the North America On-Highway end market, price increases on certain products and continued execution of our growth initiatives.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First Quarter Net Sales by End Market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Q1 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Q1 2018</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6"/>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Variance</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377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10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10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151</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8890</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 w:lineRule="exact"/>
        <w:rPr>
          <w:sz w:val="20"/>
          <w:szCs w:val="20"/>
          <w:color w:val="auto"/>
        </w:rPr>
      </w:pPr>
    </w:p>
    <w:p>
      <w:pPr>
        <w:ind w:left="280" w:right="80" w:hanging="164"/>
        <w:spacing w:after="0" w:line="246" w:lineRule="auto"/>
        <w:tabs>
          <w:tab w:leader="none" w:pos="23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On-Highway end market net sales are inclusive of net sales for North America Electric Hybrid-Propulsion Systems for Transit Bus</w:t>
      </w:r>
    </w:p>
    <w:p>
      <w:pPr>
        <w:spacing w:after="0" w:line="116" w:lineRule="exact"/>
        <w:rPr>
          <w:sz w:val="20"/>
          <w:szCs w:val="20"/>
          <w:color w:val="auto"/>
        </w:rPr>
      </w:pPr>
    </w:p>
    <w:p>
      <w:pPr>
        <w:ind w:right="340" w:firstLine="432"/>
        <w:spacing w:after="0" w:line="262" w:lineRule="auto"/>
        <w:rPr>
          <w:sz w:val="20"/>
          <w:szCs w:val="20"/>
          <w:color w:val="auto"/>
        </w:rPr>
      </w:pPr>
      <w:r>
        <w:rPr>
          <w:rFonts w:ascii="Arial" w:cs="Arial" w:eastAsia="Arial" w:hAnsi="Arial"/>
          <w:sz w:val="18"/>
          <w:szCs w:val="18"/>
          <w:color w:val="auto"/>
        </w:rPr>
        <w:t>North America On-Highway end market net sales were up 11% for the first quarter 2019 compared to the first quarter 2018, principally driven by higher demand for Rugged Duty Series and Highway Series models.</w:t>
      </w:r>
    </w:p>
    <w:p>
      <w:pPr>
        <w:spacing w:after="0" w:line="88" w:lineRule="exact"/>
        <w:rPr>
          <w:sz w:val="20"/>
          <w:szCs w:val="20"/>
          <w:color w:val="auto"/>
        </w:rPr>
      </w:pPr>
    </w:p>
    <w:p>
      <w:pPr>
        <w:ind w:right="460" w:firstLine="432"/>
        <w:spacing w:after="0" w:line="262" w:lineRule="auto"/>
        <w:rPr>
          <w:sz w:val="20"/>
          <w:szCs w:val="20"/>
          <w:color w:val="auto"/>
        </w:rPr>
      </w:pPr>
      <w:r>
        <w:rPr>
          <w:rFonts w:ascii="Arial" w:cs="Arial" w:eastAsia="Arial" w:hAnsi="Arial"/>
          <w:sz w:val="18"/>
          <w:szCs w:val="18"/>
          <w:color w:val="auto"/>
        </w:rPr>
        <w:t>North America Off-Highway end market net sales were down $19 million for the first quarter 2019 compared to the first quarter 2018, principally driven by lower demand from hydraulic fracturing applications.</w:t>
      </w:r>
    </w:p>
    <w:p>
      <w:pPr>
        <w:spacing w:after="0" w:line="88"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Defense end market net sales were down 14% for the first quarter 2019 compared to the first quarter 2018, principally driven by lower Tracked vehicle demand.</w:t>
      </w:r>
    </w:p>
    <w:p>
      <w:pPr>
        <w:spacing w:after="0" w:line="88" w:lineRule="exact"/>
        <w:rPr>
          <w:sz w:val="20"/>
          <w:szCs w:val="20"/>
          <w:color w:val="auto"/>
        </w:rPr>
      </w:pPr>
    </w:p>
    <w:p>
      <w:pPr>
        <w:ind w:right="620" w:firstLine="432"/>
        <w:spacing w:after="0" w:line="262" w:lineRule="auto"/>
        <w:rPr>
          <w:sz w:val="20"/>
          <w:szCs w:val="20"/>
          <w:color w:val="auto"/>
        </w:rPr>
      </w:pPr>
      <w:r>
        <w:rPr>
          <w:rFonts w:ascii="Arial" w:cs="Arial" w:eastAsia="Arial" w:hAnsi="Arial"/>
          <w:sz w:val="18"/>
          <w:szCs w:val="18"/>
          <w:color w:val="auto"/>
        </w:rPr>
        <w:t>Outside North America On-Highway end market net sales were up 3% for the first quarter 2019 compared to the first quarter 2018, principally driven by higher demand in Europe.</w:t>
      </w:r>
    </w:p>
    <w:p>
      <w:pPr>
        <w:spacing w:after="0" w:line="88" w:lineRule="exact"/>
        <w:rPr>
          <w:sz w:val="20"/>
          <w:szCs w:val="20"/>
          <w:color w:val="auto"/>
        </w:rPr>
      </w:pPr>
    </w:p>
    <w:p>
      <w:pPr>
        <w:ind w:right="20" w:firstLine="432"/>
        <w:spacing w:after="0" w:line="262" w:lineRule="auto"/>
        <w:rPr>
          <w:sz w:val="20"/>
          <w:szCs w:val="20"/>
          <w:color w:val="auto"/>
        </w:rPr>
      </w:pPr>
      <w:r>
        <w:rPr>
          <w:rFonts w:ascii="Arial" w:cs="Arial" w:eastAsia="Arial" w:hAnsi="Arial"/>
          <w:sz w:val="18"/>
          <w:szCs w:val="18"/>
          <w:color w:val="auto"/>
        </w:rPr>
        <w:t>Outside North America Off-Highway end market net sales were up $15 million for the first quarter 2019 compared to the first quarter 2018, principally driven by higher demand in the energy sector.</w:t>
      </w:r>
    </w:p>
    <w:p>
      <w:pPr>
        <w:spacing w:after="0" w:line="88"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Service Parts, Support Equipment and Other end market net sales were down 13% for the first quarter 2019 compared to the first quarter 2018, principally driven by lower demand for North America service parts.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39"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transmissions and parts. For the three months ended March 31, 2019, direct material costs were approximately 72%, overhead costs were approximately 21%, and direct labor costs were approximately 7% of total cost of sales. We are subject to changes in our cost of sales caused by movements in underlying commodity prices. We seek to hedge against this risk by using long-term supply agreements (“LTSAs”), as appropriate. See Part I, Item 3 “Quantitative and Qualitative Disclosures about Market Risk— Commodity Price Risk” included below.</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840" w:firstLine="432"/>
        <w:spacing w:after="0" w:line="256"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39"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3" w:lineRule="exact"/>
        <w:rPr>
          <w:sz w:val="20"/>
          <w:szCs w:val="20"/>
          <w:color w:val="auto"/>
        </w:rPr>
      </w:pPr>
    </w:p>
    <w:p>
      <w:pPr>
        <w:ind w:firstLine="216"/>
        <w:spacing w:after="0" w:line="251"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("Credit Agreement"), governing Allison Transmission, Inc.’s (“ATI”), our wholly-owned subsidiary, new million term loan facility in the amount of $648 million due March 2026 ("New Term Loan”, and together with ATI’s new revolving credit facility with commitments in the amount of $600 million due September 2024 ("New Revolving Credit Facility") defined as the “New Senior Secured Credit Facility”). Adjusted EBITDA as a percent of net sales is calculated as Adjusted EBITDA divided by net sales.</w:t>
      </w:r>
    </w:p>
    <w:p>
      <w:pPr>
        <w:spacing w:after="0" w:line="10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86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(unaudited, dollars in millions)</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BFE4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88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BFE4FF"/>
          </w:tcPr>
          <w:p>
            <w:pPr>
              <w:spacing w:after="0"/>
              <w:rPr>
                <w:sz w:val="22"/>
                <w:szCs w:val="22"/>
                <w:color w:val="auto"/>
              </w:rPr>
            </w:pPr>
          </w:p>
        </w:tc>
        <w:tc>
          <w:tcPr>
            <w:tcW w:w="28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plus: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88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BFE4FF"/>
          </w:tcPr>
          <w:p>
            <w:pPr>
              <w:spacing w:after="0"/>
              <w:rPr>
                <w:sz w:val="24"/>
                <w:szCs w:val="24"/>
                <w:color w:val="auto"/>
              </w:rPr>
            </w:pP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18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88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Stock-based compensation expense (a)</w:t>
            </w:r>
          </w:p>
        </w:tc>
        <w:tc>
          <w:tcPr>
            <w:tcW w:w="180" w:type="dxa"/>
            <w:vAlign w:val="bottom"/>
            <w:shd w:val="clear" w:color="auto" w:fill="BFE4FF"/>
          </w:tcPr>
          <w:p>
            <w:pPr>
              <w:spacing w:after="0"/>
              <w:rPr>
                <w:sz w:val="24"/>
                <w:szCs w:val="24"/>
                <w:color w:val="auto"/>
              </w:rPr>
            </w:pP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8860" w:type="dxa"/>
            <w:vAlign w:val="bottom"/>
          </w:tcPr>
          <w:p>
            <w:pPr>
              <w:ind w:left="380"/>
              <w:spacing w:after="0"/>
              <w:rPr>
                <w:sz w:val="20"/>
                <w:szCs w:val="20"/>
                <w:color w:val="auto"/>
              </w:rPr>
            </w:pPr>
            <w:r>
              <w:rPr>
                <w:rFonts w:ascii="Arial" w:cs="Arial" w:eastAsia="Arial" w:hAnsi="Arial"/>
                <w:sz w:val="18"/>
                <w:szCs w:val="18"/>
                <w:color w:val="auto"/>
              </w:rPr>
              <w:t>Unrealized (gain) loss on foreign exchange (b)</w:t>
            </w:r>
          </w:p>
        </w:tc>
        <w:tc>
          <w:tcPr>
            <w:tcW w:w="1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88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Expenses related to long-term debt refinancing (c)</w:t>
            </w:r>
          </w:p>
        </w:tc>
        <w:tc>
          <w:tcPr>
            <w:tcW w:w="180" w:type="dxa"/>
            <w:vAlign w:val="bottom"/>
            <w:shd w:val="clear" w:color="auto" w:fill="BFE4FF"/>
          </w:tcPr>
          <w:p>
            <w:pPr>
              <w:spacing w:after="0"/>
              <w:rPr>
                <w:sz w:val="24"/>
                <w:szCs w:val="24"/>
                <w:color w:val="auto"/>
              </w:rPr>
            </w:pP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860" w:type="dxa"/>
            <w:vAlign w:val="bottom"/>
          </w:tcPr>
          <w:p>
            <w:pPr>
              <w:ind w:left="380"/>
              <w:spacing w:after="0"/>
              <w:rPr>
                <w:sz w:val="20"/>
                <w:szCs w:val="20"/>
                <w:color w:val="auto"/>
              </w:rPr>
            </w:pPr>
            <w:r>
              <w:rPr>
                <w:rFonts w:ascii="Arial" w:cs="Arial" w:eastAsia="Arial" w:hAnsi="Arial"/>
                <w:sz w:val="18"/>
                <w:szCs w:val="18"/>
                <w:color w:val="auto"/>
              </w:rPr>
              <w:t>UAW Local 933 retirement incentive (d)</w:t>
            </w:r>
          </w:p>
        </w:tc>
        <w:tc>
          <w:tcPr>
            <w:tcW w:w="18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88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1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290</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28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BFE4FF"/>
          </w:tcPr>
          <w:p>
            <w:pPr>
              <w:jc w:val="right"/>
              <w:ind w:right="9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 (GAAP)</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675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7"/>
        </w:trPr>
        <w:tc>
          <w:tcPr>
            <w:tcW w:w="88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income as a percent of net sales (GAAP)</w:t>
            </w:r>
          </w:p>
        </w:tc>
        <w:tc>
          <w:tcPr>
            <w:tcW w:w="180" w:type="dxa"/>
            <w:vAlign w:val="bottom"/>
            <w:shd w:val="clear" w:color="auto" w:fill="BFE4FF"/>
          </w:tcPr>
          <w:p>
            <w:pPr>
              <w:spacing w:after="0"/>
              <w:rPr>
                <w:sz w:val="24"/>
                <w:szCs w:val="24"/>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7"/>
        </w:trPr>
        <w:tc>
          <w:tcPr>
            <w:tcW w:w="88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Deductions to reconcile to Adjusted free cash flow:</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60" w:type="dxa"/>
            <w:vAlign w:val="bottom"/>
            <w:shd w:val="clear" w:color="auto" w:fill="BFE4FF"/>
          </w:tcPr>
          <w:p>
            <w:pPr>
              <w:ind w:left="40"/>
              <w:spacing w:after="0"/>
              <w:rPr>
                <w:sz w:val="20"/>
                <w:szCs w:val="20"/>
                <w:color w:val="auto"/>
              </w:rPr>
            </w:pPr>
            <w:r>
              <w:rPr>
                <w:rFonts w:ascii="Arial" w:cs="Arial" w:eastAsia="Arial" w:hAnsi="Arial"/>
                <w:sz w:val="18"/>
                <w:szCs w:val="18"/>
                <w:color w:val="auto"/>
              </w:rPr>
              <w:t>Additions of long-lived assets</w:t>
            </w:r>
          </w:p>
        </w:tc>
        <w:tc>
          <w:tcPr>
            <w:tcW w:w="180" w:type="dxa"/>
            <w:vAlign w:val="bottom"/>
            <w:tcBorders>
              <w:bottom w:val="single" w:sz="8" w:color="auto"/>
            </w:tcBorders>
            <w:shd w:val="clear" w:color="auto" w:fill="BFE4FF"/>
          </w:tcPr>
          <w:p>
            <w:pPr>
              <w:spacing w:after="0"/>
              <w:rPr>
                <w:sz w:val="22"/>
                <w:szCs w:val="22"/>
                <w:color w:val="auto"/>
              </w:rPr>
            </w:pPr>
          </w:p>
        </w:tc>
        <w:tc>
          <w:tcPr>
            <w:tcW w:w="104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BFE4FF"/>
          </w:tcPr>
          <w:p>
            <w:pPr>
              <w:spacing w:after="0"/>
              <w:rPr>
                <w:sz w:val="22"/>
                <w:szCs w:val="22"/>
                <w:color w:val="auto"/>
              </w:rPr>
            </w:pPr>
          </w:p>
        </w:tc>
        <w:tc>
          <w:tcPr>
            <w:tcW w:w="280" w:type="dxa"/>
            <w:vAlign w:val="bottom"/>
            <w:tcBorders>
              <w:bottom w:val="single" w:sz="8" w:color="auto"/>
            </w:tcBorders>
            <w:shd w:val="clear" w:color="auto" w:fill="BFE4FF"/>
          </w:tcPr>
          <w:p>
            <w:pPr>
              <w:spacing w:after="0"/>
              <w:rPr>
                <w:sz w:val="22"/>
                <w:szCs w:val="22"/>
                <w:color w:val="auto"/>
              </w:rPr>
            </w:pPr>
          </w:p>
        </w:tc>
        <w:tc>
          <w:tcPr>
            <w:tcW w:w="94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8860" w:type="dxa"/>
            <w:vAlign w:val="bottom"/>
          </w:tcPr>
          <w:p>
            <w:pPr>
              <w:ind w:left="40"/>
              <w:spacing w:after="0"/>
              <w:rPr>
                <w:sz w:val="20"/>
                <w:szCs w:val="20"/>
                <w:color w:val="auto"/>
              </w:rPr>
            </w:pPr>
            <w:r>
              <w:rPr>
                <w:rFonts w:ascii="Arial" w:cs="Arial" w:eastAsia="Arial" w:hAnsi="Arial"/>
                <w:sz w:val="18"/>
                <w:szCs w:val="18"/>
                <w:b w:val="1"/>
                <w:bCs w:val="1"/>
                <w:color w:val="auto"/>
              </w:rPr>
              <w:t>Adjusted free cash flow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right="2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and Engineering - research and development).</w:t>
      </w:r>
    </w:p>
    <w:p>
      <w:pPr>
        <w:ind w:left="540" w:right="2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(gains) losses (recorded in Other income (expense), net) on intercompany financing transactions related to investments in plant assets for our India facility.</w:t>
      </w:r>
    </w:p>
    <w:p>
      <w:pPr>
        <w:ind w:left="540" w:right="4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expenses (recorded in Other income (expense), net) related to the refinancing of the prior term loan due 2022 and prior revolving credit facility due 2021 (together, the "Prior Senior Secured Credit Facility") in the first quarter of 2019.</w:t>
      </w:r>
    </w:p>
    <w:p>
      <w:pPr>
        <w:ind w:left="540" w:right="100" w:hanging="316"/>
        <w:spacing w:after="0" w:line="25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three months ended March 31, 2019 and 2018</w:t>
      </w:r>
    </w:p>
    <w:p>
      <w:pPr>
        <w:spacing w:after="0" w:line="139" w:lineRule="exact"/>
        <w:rPr>
          <w:sz w:val="20"/>
          <w:szCs w:val="20"/>
          <w:color w:val="auto"/>
        </w:rPr>
      </w:pPr>
    </w:p>
    <w:p>
      <w:pPr>
        <w:ind w:right="180" w:firstLine="432"/>
        <w:spacing w:after="0" w:line="256"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2019 and 2018. The following table and discussion should be read in conjunction with the information contained in our condensed consolidated financial statements and the notes thereto included in Part I, Item 1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Borders>
              <w:bottom w:val="single" w:sz="8" w:color="auto"/>
            </w:tcBorders>
          </w:tcPr>
          <w:p>
            <w:pPr>
              <w:spacing w:after="0"/>
              <w:rPr>
                <w:sz w:val="17"/>
                <w:szCs w:val="17"/>
                <w:color w:val="auto"/>
              </w:rPr>
            </w:pPr>
          </w:p>
        </w:tc>
      </w:tr>
      <w:tr>
        <w:trPr>
          <w:trHeight w:val="175"/>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196"/>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of net sales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of net sales</w:t>
            </w: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675</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48</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r>
      <w:tr>
        <w:trPr>
          <w:trHeight w:val="264"/>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w:t>
            </w:r>
          </w:p>
        </w:tc>
      </w:tr>
      <w:tr>
        <w:trPr>
          <w:trHeight w:val="250"/>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w:t>
            </w: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34</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64"/>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39"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Net sales for the quarter ended March 31, 2019 were $675 million compared to $ 663 million for the quarter ended March 31, 2018, an increase of 2%. The increase was principally driven by a $38 million, or 11%, increase in net sales in the North America On-Highway end market principally driven by higher demand for Rugged Duty Series and Highway Series models, a $15 million increase in net sales in the Outside North America Off-Highway end market principally driven by higher demand in the energy sector, and a $3 million, or 3%, increase in net sales in the Outside North America On-Highway end market principally driven by higher demand in Europe, partially offset by a $ 20 million, or 13%, decrease in net sales in the Service Parts, Support Equipment and Other end market principally driven by lower demand for North America service parts, a $19 million, or 58%, decrease in net sales in the North America Off-Highway end market principally driven by lower demand from hydraulic fracturing applications and a $5 million, or 14%, decrease in net sales in the Defense end market principally driven by lower Tracked vehicle demand.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Cost of sales for the quarter ended March 31, 2019 was $316 million compared to $321 million for the quarter ended March 31, 2018, a decrease of 2%. The decrease was principally driven by a $7 million reduction in expenses related to a retirement incentive program for certain UAW Local 933 employees and $2 million of lower incentive compensation expense, partially offset by increased direct material expense commensurate with increased net sales.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Gross profit for the quarter ended March 31, 2019 was $359 million compared to $342 million for the quarter ended March 31, 2018, an increase of 5%. The increase was principally driven by a $7 million reduction in expenses related to a retirement incentive program for certain UAW Local 933 employees, $5 million related to increased net sales, $3 million of price increases on certain products and $2 million of lower incentive compensation expense. Gross profit as a percent of net sales for the three months ended March 31, 2019 increased 160 basis points compared to the same period in 2018 principally driven by a reduction in expenses related to the retirement incentive program, increased net sales, price increases on certain products and lower incentive compensation expense.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Selling, general and administrative expenses for the quarter ended March 31, 2019 were $84 million compared to $92 million for the quarter ended March 31, 2018, a decrease of 9%. The decrease was principally driven by 2018 product warranty adjustments and lower 2019 product warranty expense partially offset by increased commercial activities spending.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39" w:lineRule="exact"/>
        <w:rPr>
          <w:sz w:val="20"/>
          <w:szCs w:val="20"/>
          <w:color w:val="auto"/>
        </w:rPr>
      </w:pPr>
    </w:p>
    <w:p>
      <w:pPr>
        <w:jc w:val="both"/>
        <w:ind w:right="140" w:firstLine="432"/>
        <w:spacing w:after="0" w:line="262" w:lineRule="auto"/>
        <w:rPr>
          <w:sz w:val="20"/>
          <w:szCs w:val="20"/>
          <w:color w:val="auto"/>
        </w:rPr>
      </w:pPr>
      <w:r>
        <w:rPr>
          <w:rFonts w:ascii="Arial" w:cs="Arial" w:eastAsia="Arial" w:hAnsi="Arial"/>
          <w:sz w:val="18"/>
          <w:szCs w:val="18"/>
          <w:color w:val="auto"/>
        </w:rPr>
        <w:t>Engineering expenses for the quarter ended March 31, 2019 were $31 million compared to $28 million for the quarter ended March 31, 2018, an increase of 11%. The increase was principally driven by increased product initiatives spending.</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9" w:lineRule="exact"/>
        <w:rPr>
          <w:sz w:val="20"/>
          <w:szCs w:val="20"/>
          <w:color w:val="auto"/>
        </w:rPr>
      </w:pPr>
    </w:p>
    <w:p>
      <w:pPr>
        <w:ind w:right="300" w:firstLine="432"/>
        <w:spacing w:after="0" w:line="262" w:lineRule="auto"/>
        <w:rPr>
          <w:sz w:val="20"/>
          <w:szCs w:val="20"/>
          <w:color w:val="auto"/>
        </w:rPr>
      </w:pPr>
      <w:r>
        <w:rPr>
          <w:rFonts w:ascii="Arial" w:cs="Arial" w:eastAsia="Arial" w:hAnsi="Arial"/>
          <w:sz w:val="18"/>
          <w:szCs w:val="18"/>
          <w:color w:val="auto"/>
        </w:rPr>
        <w:t>Interest expense, net for the quarter ended March 31, 2019 was $36 million compared to $ 30 million for the quarter ended March 31, 2018, an increase of 20%. The increase was principally driven by $5 million of expenses related to long-term debt refinancing.</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640" w:firstLine="432"/>
        <w:spacing w:after="0" w:line="262" w:lineRule="auto"/>
        <w:rPr>
          <w:sz w:val="20"/>
          <w:szCs w:val="20"/>
          <w:color w:val="auto"/>
        </w:rPr>
      </w:pPr>
      <w:r>
        <w:rPr>
          <w:rFonts w:ascii="Arial" w:cs="Arial" w:eastAsia="Arial" w:hAnsi="Arial"/>
          <w:sz w:val="18"/>
          <w:szCs w:val="18"/>
          <w:color w:val="auto"/>
        </w:rPr>
        <w:t>Other income (expense), net for the quarter ended March 31, 2019 was $3 million compared to ($1) million for the quarter ended March 31, 2018. The change was principally driven by a $3 million favorable change in foreign exchange on intercompany financing.</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Income tax expense for the three months ended March 31, 2019 was $44 million, resulting in an effective tax rate of 21%, compared to $40 million of income tax expense and an effective tax rate of 21% for the three months ended March 31, 2018. The increase in income tax expense was principally driven by increased taxable income.</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125"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9" w:lineRule="exact"/>
        <w:rPr>
          <w:sz w:val="20"/>
          <w:szCs w:val="20"/>
          <w:color w:val="auto"/>
        </w:rPr>
      </w:pPr>
    </w:p>
    <w:p>
      <w:pPr>
        <w:ind w:right="220" w:firstLine="432"/>
        <w:spacing w:after="0" w:line="252"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debt service, stock repurchases, dividends on common stock, strategic growth initiatives, including acquisitions, and working capital needs. We had total available cash and cash equivalents of $324 million and $231 million as of March 31, 2019 and December 31, 2018, respectively. Of the available cash and cash equivalents, $167 million and $120 million was deposited in operating accounts as of March 31, 2019 and December 31, 2018, respectively, while $157 million and $111 million was invested in U.S. government backed securities as of March 31, 2019 and December 31, 2018, respectively.</w:t>
      </w:r>
    </w:p>
    <w:p>
      <w:pPr>
        <w:spacing w:after="0" w:line="10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As of March 31, 2019, the total of cash and cash equivalents held by foreign subsidiaries was $59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expectations or operating needs with local resources.</w:t>
      </w:r>
    </w:p>
    <w:p>
      <w:pPr>
        <w:spacing w:after="0" w:line="150"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subsidiaries located in China and Hong Kong, as they are intended to be permanently reinvested and used to support foreign operations. We have a deferred tax liability of $2 million for the tax liability associated with the remittance of previously taxed income and unremitted earnings for our subsidiaries located in China and Hong Kong.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and are not material.</w:t>
      </w:r>
    </w:p>
    <w:p>
      <w:pPr>
        <w:spacing w:after="0" w:line="98" w:lineRule="exact"/>
        <w:rPr>
          <w:sz w:val="20"/>
          <w:szCs w:val="20"/>
          <w:color w:val="auto"/>
        </w:rPr>
      </w:pPr>
    </w:p>
    <w:p>
      <w:pPr>
        <w:ind w:right="120" w:firstLine="432"/>
        <w:spacing w:after="0" w:line="265" w:lineRule="auto"/>
        <w:rPr>
          <w:sz w:val="20"/>
          <w:szCs w:val="20"/>
          <w:color w:val="auto"/>
        </w:rPr>
      </w:pPr>
      <w:r>
        <w:rPr>
          <w:rFonts w:ascii="Arial" w:cs="Arial" w:eastAsia="Arial" w:hAnsi="Arial"/>
          <w:sz w:val="17"/>
          <w:szCs w:val="17"/>
          <w:color w:val="auto"/>
        </w:rPr>
        <w:t>Our liquidity requirements are significant, primarily due to our debt service requirements. As of March 31, 2019, we had $648 million of indebtedness associated with ATI’s New Term Loan, $1,000 million of indebtedness associated with ATI’s 5.0% Senior Notes due 2024 (“5.0% Senior Notes”), $400 million of indebtedness associated with ATI’s 4.75% Senior Notes due 2027 ("4.75% Senior Notes") and $ 500 million of indebtedness associated with ATI's 5.875% Senior Notes due 2029 ("5.875% Senior Notes" and, together with the 5.0% Senior Notes and</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4.75% Senior Notes, the "Senior Notes"). The minimum required quarterly principal payment on ATI’s New Term Loan through its maturity date of September 2026 is $2 million. There are no required quarterly principal payments on ATI’s Senior Notes.</w:t>
      </w:r>
    </w:p>
    <w:p>
      <w:pPr>
        <w:spacing w:after="0" w:line="88"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no principal payments on the New Senior Secured Credit Facility and $3 million of principal payments on the Prior Senior Secured Credit Facility during the three months ended March 31, 2019 and 2018, respectively.</w:t>
      </w:r>
    </w:p>
    <w:p>
      <w:pPr>
        <w:spacing w:after="0" w:line="1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New Senior Secured Credit Facility provides for a $600 million New Revolving Credit Facility, net of an allowance for up to</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$75 million in outstanding letters of credit commitments. As of March 31, 2019, we had $578 million available under the New Revolving Credit Facility, net of $22 million in letters of credit. As of March 31, 2019, we had no amounts outstanding under the New Revolving Credit Facility.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March 31, 2019, our first lien net leverage ratio was 0.28x.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04" w:lineRule="exact"/>
        <w:rPr>
          <w:sz w:val="20"/>
          <w:szCs w:val="20"/>
          <w:color w:val="auto"/>
        </w:rPr>
      </w:pPr>
    </w:p>
    <w:p>
      <w:pPr>
        <w:ind w:right="220" w:firstLine="432"/>
        <w:spacing w:after="0" w:line="253"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subsidiaries, sell assets, engage in certain transactions with affiliates, and consolidate or merge or sell all or substantially all of our assets. As of March 31, 2019, we are in compliance with all covenants under the New Senior Secured Credit Facility and indentures governing the Senior Notes.</w:t>
      </w:r>
    </w:p>
    <w:p>
      <w:pPr>
        <w:spacing w:after="0" w:line="94"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94" w:lineRule="exact"/>
        <w:rPr>
          <w:sz w:val="20"/>
          <w:szCs w:val="20"/>
          <w:color w:val="auto"/>
        </w:rPr>
      </w:pPr>
    </w:p>
    <w:p>
      <w:pPr>
        <w:ind w:right="240" w:firstLine="432"/>
        <w:spacing w:after="0" w:line="253" w:lineRule="auto"/>
        <w:rPr>
          <w:sz w:val="20"/>
          <w:szCs w:val="20"/>
          <w:color w:val="auto"/>
        </w:rPr>
      </w:pPr>
      <w:r>
        <w:rPr>
          <w:rFonts w:ascii="Arial" w:cs="Arial" w:eastAsia="Arial" w:hAnsi="Arial"/>
          <w:sz w:val="18"/>
          <w:szCs w:val="18"/>
          <w:color w:val="auto"/>
        </w:rPr>
        <w:t>On November 14, 2016, our Board of Directors authorized us to purchase up to $1,000 million of our common stock under a stock repurchase program ("Repurchase Program"). On November 8, 2017 our Board of Directors increased the authorization by $500 million, and on July 30, 2018 our Board of Directors increased the authorization by an additional $500 million, bringing the total amount authorized under the Repurchase Program to $2,000 million. For the three months ended March 31, 2019, we repurchased approximately $50 million of our common stock under the Repurchase Program. As of March 31, 2019, we had $395 million available under the Repurchase Program.</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sources and uses of funds for the three months ended March 31, 2019 and 2018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1000" w:type="dxa"/>
            <w:vAlign w:val="bottom"/>
          </w:tcPr>
          <w:p>
            <w:pPr>
              <w:jc w:val="right"/>
              <w:ind w:right="797"/>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2"/>
                <w:szCs w:val="22"/>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w:t>
            </w:r>
          </w:p>
        </w:tc>
      </w:tr>
    </w:tbl>
    <w:p>
      <w:pPr>
        <w:spacing w:after="0" w:line="107" w:lineRule="exact"/>
        <w:rPr>
          <w:sz w:val="20"/>
          <w:szCs w:val="20"/>
          <w:color w:val="auto"/>
        </w:rPr>
      </w:pPr>
    </w:p>
    <w:p>
      <w:pPr>
        <w:jc w:val="both"/>
        <w:ind w:right="180" w:firstLine="432"/>
        <w:spacing w:after="0" w:line="254"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New Senior Secured Credit Facility to meet cash demands. We anticipate cash provided by operating activities, cash and cash equivalents and borrowing capacity under the New Senior Secured Credit Facility will be sufficient to meet our cash requirements for the next twelve months.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3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Operating activities for the three months ended March 31, 2019 generated $194 million of cash compared to $153 million for the three months ended March 31, 2018. The increase was principally driven by lower operating working capital requirements and increased gross profit, partially offset by increased cash income taxes and increased cash interest expense.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39"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Investing activities for the three months ended March 31, 2019 used $19 million of cash compared to $10 million for the three months ended March 31, 2018. The increase was principally driven by an increase of $9 million in capital expenditures. The increase in capital expenditures was principally driven by increased spending related to investments in productivity and replacement programs and engineering and testing capabilities.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3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Financing activities for the three months ended March 31, 2019 used $83 million of cash compared to $149 million for the three months ended March 31, 2018. The decrease was principally driven by $75 million of decreased stock repurchases, partially offset by an increase of $9 million in long-term debt restructuring payments.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in our Annual Report on Form 10-K for the year ended December 31, 2018 as filed with the SEC on February 26, 2019.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fully-automatic transmissions; the success of our research and development efforts, the outcome of which is uncertain; our failure to identify, consummate or effectively integrate acquisitions; U.S. and foreign defense spending; general economic and industry conditions; increases in cost, disruption of supply or shortage of raw materials or components used in our products;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labor strikes, work stoppages or similar labor disputes, which could significantly disrupt our operations or those of our principal customers; and our intention to pay dividends and repurchase shares of our common stock.</w:t>
      </w:r>
    </w:p>
    <w:p>
      <w:pPr>
        <w:spacing w:after="0" w:line="10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2018 as filed with the Securities and Exchange Commission on February 26, 2019.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9" w:lineRule="exact"/>
        <w:rPr>
          <w:sz w:val="20"/>
          <w:szCs w:val="20"/>
          <w:color w:val="auto"/>
        </w:rPr>
      </w:pPr>
    </w:p>
    <w:p>
      <w:pPr>
        <w:ind w:right="180" w:firstLine="432"/>
        <w:spacing w:after="0" w:line="252"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$1,226 million including $578 million under our New Revolving Credit Facility, net of $22 million of letters of credit. A one-eighth percent increase or decrease in assumed interest rates for the New Senior Secured Credit Facility, if fully drawn, as of March 31, 2019 would have an impact of approximately $2 million on interest expense. As of March 31, 2019, we had no outstanding borrowings against the New Revolving Credit Facility.</w:t>
      </w:r>
    </w:p>
    <w:p>
      <w:pPr>
        <w:spacing w:after="0" w:line="1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From time to time, we enter into interest rate swap agreements to hedge our variable interest rate debt. During the first quarter of 2019, we entered into $250 million of interest rate swaps and designated them as cash flow hedges under the hypothetical derivative method. As of March 31, 2019, we held interest rate swaps effective from September 2019 to September 2022 with notional values totaling $250 million and a weighted average LIBOR fixed rate of 3.01%, interest rate swaps effective from September 2019 to September 2025 with notional values totaling $250 million and a weighted average LIBOR fixed rate of 3.04% and interest rate swaps effective from September 2022 to September 2025 with notional values totaling $250 million and a weighted average LIBOR fixed rate of 2.82%.</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3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96"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$5 million per year. We believe other exposure to foreign currencies is immaterial.</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39" w:lineRule="exact"/>
        <w:rPr>
          <w:sz w:val="20"/>
          <w:szCs w:val="20"/>
          <w:color w:val="auto"/>
        </w:rPr>
      </w:pPr>
    </w:p>
    <w:p>
      <w:pPr>
        <w:ind w:right="160" w:firstLine="432"/>
        <w:spacing w:after="0" w:line="25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w:t>
      </w:r>
    </w:p>
    <w:p>
      <w:pPr>
        <w:spacing w:after="0" w:line="101"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$3 million and $8 million per year, respectively.</w:t>
      </w:r>
    </w:p>
    <w:p>
      <w:pPr>
        <w:spacing w:after="0" w:line="88"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P, “Commitments and Contingencies” in the notes to the condensed consolidated financial statements included in Part I, Item 1 of this Quarterly Report on Form 10-Q.</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240" w:firstLine="432"/>
        <w:spacing w:after="0" w:line="262"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2018 as filed with the Securities and Exchange Commission on February 26, 2019.</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Total 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35"/>
        </w:trPr>
        <w:tc>
          <w:tcPr>
            <w:tcW w:w="4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4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Purchased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5"/>
              </w:rPr>
              <w:t>Approximate</w:t>
            </w:r>
          </w:p>
        </w:tc>
      </w:tr>
      <w:tr>
        <w:trPr>
          <w:trHeight w:val="135"/>
        </w:trPr>
        <w:tc>
          <w:tcPr>
            <w:tcW w:w="4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as Part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6"/>
              </w:rPr>
              <w:t>Dollar Value of</w:t>
            </w:r>
          </w:p>
        </w:tc>
      </w:tr>
      <w:tr>
        <w:trPr>
          <w:trHeight w:val="135"/>
        </w:trPr>
        <w:tc>
          <w:tcPr>
            <w:tcW w:w="47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Total 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Average Price</w:t>
            </w: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Publicly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6"/>
              </w:rPr>
              <w:t>Shares that May</w:t>
            </w:r>
          </w:p>
        </w:tc>
      </w:tr>
      <w:tr>
        <w:trPr>
          <w:trHeight w:val="135"/>
        </w:trPr>
        <w:tc>
          <w:tcPr>
            <w:tcW w:w="47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Paid per</w:t>
            </w: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Announced Plans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147"/>
              <w:spacing w:after="0" w:line="135" w:lineRule="exact"/>
              <w:rPr>
                <w:sz w:val="20"/>
                <w:szCs w:val="20"/>
                <w:color w:val="auto"/>
              </w:rPr>
            </w:pPr>
            <w:r>
              <w:rPr>
                <w:rFonts w:ascii="Arial" w:cs="Arial" w:eastAsia="Arial" w:hAnsi="Arial"/>
                <w:sz w:val="13"/>
                <w:szCs w:val="13"/>
                <w:b w:val="1"/>
                <w:bCs w:val="1"/>
                <w:color w:val="auto"/>
                <w:w w:val="95"/>
              </w:rPr>
              <w:t>Yet Be Purchased</w:t>
            </w:r>
          </w:p>
        </w:tc>
      </w:tr>
      <w:tr>
        <w:trPr>
          <w:trHeight w:val="178"/>
        </w:trPr>
        <w:tc>
          <w:tcPr>
            <w:tcW w:w="47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3"/>
              </w:rPr>
              <w:t>Share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 Programs(1)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5"/>
              </w:rPr>
              <w:t>Under Plans(1)</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1– January 31, 2019</w:t>
            </w:r>
          </w:p>
        </w:tc>
        <w:tc>
          <w:tcPr>
            <w:tcW w:w="16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829,466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829,466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406,488,383</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February 1 – February 28, 2019</w:t>
            </w:r>
          </w:p>
        </w:tc>
        <w:tc>
          <w:tcPr>
            <w:tcW w:w="1600" w:type="dxa"/>
            <w:vAlign w:val="bottom"/>
          </w:tcPr>
          <w:p>
            <w:pPr>
              <w:jc w:val="right"/>
              <w:ind w:right="42"/>
              <w:spacing w:after="0"/>
              <w:rPr>
                <w:sz w:val="20"/>
                <w:szCs w:val="20"/>
                <w:color w:val="auto"/>
              </w:rPr>
            </w:pPr>
            <w:r>
              <w:rPr>
                <w:rFonts w:ascii="Arial" w:cs="Arial" w:eastAsia="Arial" w:hAnsi="Arial"/>
                <w:sz w:val="18"/>
                <w:szCs w:val="18"/>
                <w:color w:val="auto"/>
              </w:rPr>
              <w:t>234,454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2"/>
                <w:szCs w:val="22"/>
                <w:color w:val="auto"/>
              </w:rPr>
            </w:pPr>
          </w:p>
        </w:tc>
        <w:tc>
          <w:tcPr>
            <w:tcW w:w="1580" w:type="dxa"/>
            <w:vAlign w:val="bottom"/>
          </w:tcPr>
          <w:p>
            <w:pPr>
              <w:jc w:val="right"/>
              <w:ind w:right="27"/>
              <w:spacing w:after="0"/>
              <w:rPr>
                <w:sz w:val="20"/>
                <w:szCs w:val="20"/>
                <w:color w:val="auto"/>
              </w:rPr>
            </w:pPr>
            <w:r>
              <w:rPr>
                <w:rFonts w:ascii="Arial" w:cs="Arial" w:eastAsia="Arial" w:hAnsi="Arial"/>
                <w:sz w:val="18"/>
                <w:szCs w:val="18"/>
                <w:color w:val="auto"/>
              </w:rPr>
              <w:t>234,454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
              <w:spacing w:after="0"/>
              <w:rPr>
                <w:sz w:val="20"/>
                <w:szCs w:val="20"/>
                <w:color w:val="auto"/>
              </w:rPr>
            </w:pPr>
            <w:r>
              <w:rPr>
                <w:rFonts w:ascii="Arial" w:cs="Arial" w:eastAsia="Arial" w:hAnsi="Arial"/>
                <w:sz w:val="18"/>
                <w:szCs w:val="18"/>
                <w:color w:val="auto"/>
              </w:rPr>
              <w:t>395,163,402</w:t>
            </w: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 March 31, 2019</w:t>
            </w:r>
          </w:p>
        </w:tc>
        <w:tc>
          <w:tcPr>
            <w:tcW w:w="1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395,163,402</w:t>
            </w:r>
          </w:p>
        </w:tc>
      </w:tr>
      <w:tr>
        <w:trPr>
          <w:trHeight w:val="250"/>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1,063,920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1,063,920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right="80" w:hanging="316"/>
        <w:spacing w:after="0" w:line="25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values reflect repurchases made under the Repurchase Program approved by the Board of Directors on November 14, 2016 and the increases approved by the Board of Directors on November 8, 2017 and July 30, 2018, which, in the aggregate, authorized total repurchases of $2,000 million. The Repurchase Program has no termination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auto"/>
              </w:rPr>
              <w:t>Item 6.</w:t>
            </w:r>
          </w:p>
        </w:tc>
        <w:tc>
          <w:tcPr>
            <w:tcW w:w="862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152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3"/>
        </w:trPr>
        <w:tc>
          <w:tcPr>
            <w:tcW w:w="480" w:type="dxa"/>
            <w:vAlign w:val="bottom"/>
          </w:tcPr>
          <w:p>
            <w:pPr>
              <w:ind w:left="40"/>
              <w:spacing w:after="0"/>
              <w:rPr>
                <w:sz w:val="20"/>
                <w:szCs w:val="20"/>
                <w:color w:val="auto"/>
              </w:rPr>
            </w:pPr>
            <w:r>
              <w:rPr>
                <w:rFonts w:ascii="Arial" w:cs="Arial" w:eastAsia="Arial" w:hAnsi="Arial"/>
                <w:sz w:val="18"/>
                <w:szCs w:val="18"/>
                <w:color w:val="auto"/>
              </w:rPr>
              <w:t>4.1</w:t>
            </w:r>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40" w:type="dxa"/>
            <w:vAlign w:val="bottom"/>
            <w:gridSpan w:val="14"/>
          </w:tcPr>
          <w:p>
            <w:pPr>
              <w:spacing w:after="0"/>
              <w:rPr>
                <w:rFonts w:ascii="Arial" w:cs="Arial" w:eastAsia="Arial" w:hAnsi="Arial"/>
                <w:sz w:val="18"/>
                <w:szCs w:val="18"/>
                <w:color w:val="0000FF"/>
              </w:rPr>
            </w:pPr>
            <w:hyperlink r:id="rId25">
              <w:r>
                <w:rPr>
                  <w:rFonts w:ascii="Arial" w:cs="Arial" w:eastAsia="Arial" w:hAnsi="Arial"/>
                  <w:sz w:val="18"/>
                  <w:szCs w:val="18"/>
                  <w:color w:val="0000FF"/>
                </w:rPr>
                <w:t>Indenture, dated as of March 29, 2019, between Allison Transmission, Inc. and Wilmington Trust, National Association, as</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8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Trustee (including form of Note)(incorporated by reference to Exhibit 4.1 of the Registrant's Current Report on Form 8-K</w:t>
              </w:r>
            </w:hyperlink>
          </w:p>
        </w:tc>
        <w:tc>
          <w:tcPr>
            <w:tcW w:w="160" w:type="dxa"/>
            <w:vAlign w:val="bottom"/>
            <w:gridSpan w:val="2"/>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filed on March 29, 2019)</w:t>
              </w:r>
            </w:hyperlink>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40" w:type="dxa"/>
            <w:vAlign w:val="bottom"/>
            <w:tcBorders>
              <w:bottom w:val="single" w:sz="8" w:color="0000FF"/>
            </w:tcBorders>
            <w:gridSpan w:val="14"/>
          </w:tcPr>
          <w:p>
            <w:pPr>
              <w:spacing w:after="0"/>
              <w:rPr>
                <w:rFonts w:ascii="Arial" w:cs="Arial" w:eastAsia="Arial" w:hAnsi="Arial"/>
                <w:sz w:val="18"/>
                <w:szCs w:val="18"/>
                <w:color w:val="0000FF"/>
                <w:w w:val="99"/>
              </w:rPr>
            </w:pPr>
            <w:hyperlink r:id="rId26">
              <w:r>
                <w:rPr>
                  <w:rFonts w:ascii="Arial" w:cs="Arial" w:eastAsia="Arial" w:hAnsi="Arial"/>
                  <w:sz w:val="18"/>
                  <w:szCs w:val="18"/>
                  <w:color w:val="0000FF"/>
                  <w:w w:val="99"/>
                </w:rPr>
                <w:t>Second Amended and Restated Credit Agreement, dated as of March 29, 2019, among Allison Transmission Holdings, Inc.,</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Allison Transmission, Inc., as Borrower, the several banks and other financial institutions or entities from time to time parties</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40" w:type="dxa"/>
            <w:vAlign w:val="bottom"/>
            <w:gridSpan w:val="14"/>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thereto as lenders and Citibank, N.A., as Administrative Agent (incorporated by reference to Exhibit 10.1 of the Registrant's</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Current Report on Form 8-K filed on March 29, 2019)</w:t>
              </w:r>
            </w:hyperlink>
          </w:p>
        </w:tc>
        <w:tc>
          <w:tcPr>
            <w:tcW w:w="4380" w:type="dxa"/>
            <w:vAlign w:val="bottom"/>
            <w:tcBorders>
              <w:top w:val="single" w:sz="8" w:color="0000FF"/>
            </w:tcBorders>
            <w:gridSpan w:val="4"/>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20" w:type="dxa"/>
            <w:vAlign w:val="bottom"/>
            <w:gridSpan w:val="7"/>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Certification of Chief Executive Officer pursuant to Rule 13a-14(a)/15d-14(a) as adopted pursuant to Section</w:t>
              </w:r>
            </w:hyperlink>
          </w:p>
        </w:tc>
        <w:tc>
          <w:tcPr>
            <w:tcW w:w="1220" w:type="dxa"/>
            <w:vAlign w:val="bottom"/>
            <w:gridSpan w:val="7"/>
          </w:tcPr>
          <w:p>
            <w:pPr>
              <w:ind w:left="80"/>
              <w:spacing w:after="0"/>
              <w:rPr>
                <w:rFonts w:ascii="Arial" w:cs="Arial" w:eastAsia="Arial" w:hAnsi="Arial"/>
                <w:sz w:val="18"/>
                <w:szCs w:val="18"/>
                <w:color w:val="0000FF"/>
              </w:rPr>
            </w:pPr>
            <w:hyperlink w:anchor="page37">
              <w:r>
                <w:rPr>
                  <w:rFonts w:ascii="Arial" w:cs="Arial" w:eastAsia="Arial" w:hAnsi="Arial"/>
                  <w:sz w:val="18"/>
                  <w:szCs w:val="18"/>
                  <w:color w:val="0000FF"/>
                </w:rPr>
                <w:t>302 of the</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Sarbanes-Oxley Act of 2002 (filed herewith)</w:t>
              </w:r>
            </w:hyperlink>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20" w:type="dxa"/>
            <w:vAlign w:val="bottom"/>
            <w:gridSpan w:val="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 Rule 13a-14(a)/15d-14(a) as adopted pursuant to Section</w:t>
              </w:r>
            </w:hyperlink>
          </w:p>
        </w:tc>
        <w:tc>
          <w:tcPr>
            <w:tcW w:w="1220" w:type="dxa"/>
            <w:vAlign w:val="bottom"/>
            <w:gridSpan w:val="7"/>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302 of the</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Sarbanes-Oxley Act of 2002 (filed herewith)</w:t>
              </w:r>
            </w:hyperlink>
          </w:p>
        </w:tc>
        <w:tc>
          <w:tcPr>
            <w:tcW w:w="8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40" w:type="dxa"/>
            <w:vAlign w:val="bottom"/>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Periodic Report by Chief Executive Officer and Chief Financial Officer pursuant to 18 U.S.C. Section 1350,</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as adopted pursuant to Section 906 of the Sarbanes-Oxley Act of 2002 (filed herewith)</w:t>
              </w:r>
            </w:hyperlink>
          </w:p>
        </w:tc>
        <w:tc>
          <w:tcPr>
            <w:tcW w:w="8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69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86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86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86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86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86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635"/>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4"/>
          </w:tcPr>
          <w:p>
            <w:pPr>
              <w:ind w:left="410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ALLISON TRANSMISSION HOLDINGS, INC.</w:t>
            </w:r>
          </w:p>
        </w:tc>
      </w:tr>
      <w:tr>
        <w:trPr>
          <w:trHeight w:val="277"/>
        </w:trPr>
        <w:tc>
          <w:tcPr>
            <w:tcW w:w="2120" w:type="dxa"/>
            <w:vAlign w:val="bottom"/>
          </w:tcPr>
          <w:p>
            <w:pPr>
              <w:spacing w:after="0"/>
              <w:rPr>
                <w:sz w:val="20"/>
                <w:szCs w:val="20"/>
                <w:color w:val="auto"/>
              </w:rPr>
            </w:pPr>
            <w:r>
              <w:rPr>
                <w:rFonts w:ascii="Arial" w:cs="Arial" w:eastAsia="Arial" w:hAnsi="Arial"/>
                <w:sz w:val="18"/>
                <w:szCs w:val="18"/>
                <w:color w:val="auto"/>
              </w:rPr>
              <w:t>Date: April 23, 2019</w:t>
            </w:r>
          </w:p>
        </w:tc>
        <w:tc>
          <w:tcPr>
            <w:tcW w:w="960" w:type="dxa"/>
            <w:vAlign w:val="bottom"/>
          </w:tcPr>
          <w:p>
            <w:pPr>
              <w:ind w:left="52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David S. Graziosi</w:t>
            </w:r>
          </w:p>
        </w:tc>
      </w:tr>
      <w:tr>
        <w:trPr>
          <w:trHeight w:val="365"/>
        </w:trPr>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Name:</w:t>
            </w:r>
          </w:p>
        </w:tc>
        <w:tc>
          <w:tcPr>
            <w:tcW w:w="5180" w:type="dxa"/>
            <w:vAlign w:val="bottom"/>
          </w:tcPr>
          <w:p>
            <w:pPr>
              <w:ind w:left="220"/>
              <w:spacing w:after="0"/>
              <w:rPr>
                <w:sz w:val="20"/>
                <w:szCs w:val="20"/>
                <w:color w:val="auto"/>
              </w:rPr>
            </w:pPr>
            <w:r>
              <w:rPr>
                <w:rFonts w:ascii="Arial" w:cs="Arial" w:eastAsia="Arial" w:hAnsi="Arial"/>
                <w:sz w:val="18"/>
                <w:szCs w:val="18"/>
                <w:color w:val="auto"/>
              </w:rPr>
              <w:t>David S. Graziosi</w:t>
            </w:r>
          </w:p>
        </w:tc>
      </w:tr>
      <w:tr>
        <w:trPr>
          <w:trHeight w:val="256"/>
        </w:trPr>
        <w:tc>
          <w:tcPr>
            <w:tcW w:w="2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1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17"/>
        </w:trPr>
        <w:tc>
          <w:tcPr>
            <w:tcW w:w="2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64"/>
        </w:trPr>
        <w:tc>
          <w:tcPr>
            <w:tcW w:w="2120" w:type="dxa"/>
            <w:vAlign w:val="bottom"/>
          </w:tcPr>
          <w:p>
            <w:pPr>
              <w:spacing w:after="0"/>
              <w:rPr>
                <w:sz w:val="20"/>
                <w:szCs w:val="20"/>
                <w:color w:val="auto"/>
              </w:rPr>
            </w:pPr>
            <w:r>
              <w:rPr>
                <w:rFonts w:ascii="Arial" w:cs="Arial" w:eastAsia="Arial" w:hAnsi="Arial"/>
                <w:sz w:val="18"/>
                <w:szCs w:val="18"/>
                <w:color w:val="auto"/>
              </w:rPr>
              <w:t>Date: April 23, 2019</w:t>
            </w:r>
          </w:p>
        </w:tc>
        <w:tc>
          <w:tcPr>
            <w:tcW w:w="960" w:type="dxa"/>
            <w:vAlign w:val="bottom"/>
          </w:tcPr>
          <w:p>
            <w:pPr>
              <w:ind w:left="52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G. Frederick Bohley</w:t>
            </w:r>
          </w:p>
        </w:tc>
      </w:tr>
      <w:tr>
        <w:trPr>
          <w:trHeight w:val="365"/>
        </w:trPr>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Name:</w:t>
            </w:r>
          </w:p>
        </w:tc>
        <w:tc>
          <w:tcPr>
            <w:tcW w:w="5180" w:type="dxa"/>
            <w:vAlign w:val="bottom"/>
          </w:tcPr>
          <w:p>
            <w:pPr>
              <w:ind w:left="220"/>
              <w:spacing w:after="0"/>
              <w:rPr>
                <w:sz w:val="20"/>
                <w:szCs w:val="20"/>
                <w:color w:val="auto"/>
              </w:rPr>
            </w:pPr>
            <w:r>
              <w:rPr>
                <w:rFonts w:ascii="Arial" w:cs="Arial" w:eastAsia="Arial" w:hAnsi="Arial"/>
                <w:sz w:val="18"/>
                <w:szCs w:val="18"/>
                <w:color w:val="auto"/>
              </w:rPr>
              <w:t>G. Frederick Bohley</w:t>
            </w:r>
          </w:p>
        </w:tc>
      </w:tr>
      <w:tr>
        <w:trPr>
          <w:trHeight w:val="256"/>
        </w:trPr>
        <w:tc>
          <w:tcPr>
            <w:tcW w:w="2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180" w:type="dxa"/>
            <w:vAlign w:val="bottom"/>
          </w:tcPr>
          <w:p>
            <w:pPr>
              <w:ind w:left="2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17"/>
        </w:trPr>
        <w:tc>
          <w:tcPr>
            <w:tcW w:w="2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51"/>
        </w:trPr>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ind w:left="136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320"/>
          </w:cols>
          <w:pgMar w:left="240" w:top="125" w:right="339" w:bottom="1440" w:gutter="0" w:footer="0" w:header="0"/>
        </w:sectPr>
      </w:pPr>
    </w:p>
    <w:bookmarkStart w:id="36" w:name="page37"/>
    <w:bookmarkEnd w:id="36"/>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3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23,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20"/>
          </w:cols>
          <w:pgMar w:left="240" w:top="540" w:right="339" w:bottom="1440" w:gutter="0" w:footer="0" w:header="0"/>
        </w:sectPr>
      </w:pPr>
    </w:p>
    <w:bookmarkStart w:id="37" w:name="page38"/>
    <w:bookmarkEnd w:id="37"/>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23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9"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23,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2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320"/>
          </w:cols>
          <w:pgMar w:left="240" w:top="540" w:right="339" w:bottom="1440" w:gutter="0" w:footer="0" w:header="0"/>
        </w:sectPr>
      </w:pPr>
    </w:p>
    <w:bookmarkStart w:id="38" w:name="page39"/>
    <w:bookmarkEnd w:id="38"/>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2019 as filed with the Securities and Exchange Commission on the date hereof (the “Report”), we, David S. Graziosi, President and Chief Executive Officer of the Company, and G. Frederick Bohley,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60"/>
      </w:cols>
      <w:pgMar w:left="240" w:top="36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25" Type="http://schemas.openxmlformats.org/officeDocument/2006/relationships/hyperlink" Target="http://www.sec.gov/Archives/edgar/data/1411207/000119312519092833/d714412dex41.htm" TargetMode="External"/><Relationship Id="rId26" Type="http://schemas.openxmlformats.org/officeDocument/2006/relationships/hyperlink" Target="http://www.sec.gov/Archives/edgar/data/1411207/000119312519092833/d7144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2019-12-28T13:41:20Z</dcterms:created>
  <dcterms:modified xsi:type="dcterms:W3CDTF">2019-12-28T13:41:20Z</dcterms:modified>
</cp:coreProperties>
</file>