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2"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UNITED STATES</w:t>
      </w:r>
    </w:p>
    <w:p>
      <w:pPr>
        <w:spacing w:after="0" w:line="54"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SECURITIES AND EXCHANGE COMMISSION</w:t>
      </w:r>
    </w:p>
    <w:p>
      <w:pPr>
        <w:spacing w:after="0" w:line="57"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37"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FORM 10-Q</w:t>
      </w:r>
    </w:p>
    <w:p>
      <w:pPr>
        <w:spacing w:after="0" w:line="57" w:lineRule="exact"/>
        <w:rPr>
          <w:sz w:val="24"/>
          <w:szCs w:val="24"/>
          <w:color w:val="auto"/>
        </w:rPr>
      </w:pPr>
    </w:p>
    <w:p>
      <w:pPr>
        <w:ind w:left="566" w:hanging="566"/>
        <w:spacing w:after="0"/>
        <w:tabs>
          <w:tab w:leader="none" w:pos="566"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3"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36"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OR</w:t>
      </w:r>
    </w:p>
    <w:p>
      <w:pPr>
        <w:spacing w:after="0" w:line="30" w:lineRule="exact"/>
        <w:rPr>
          <w:sz w:val="24"/>
          <w:szCs w:val="24"/>
          <w:color w:val="auto"/>
        </w:rPr>
      </w:pPr>
    </w:p>
    <w:p>
      <w:pPr>
        <w:ind w:left="566" w:hanging="566"/>
        <w:spacing w:after="0"/>
        <w:tabs>
          <w:tab w:leader="none" w:pos="566"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1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Commission File No. 001-35456</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38"/>
          <w:szCs w:val="38"/>
          <w:b w:val="1"/>
          <w:bCs w:val="1"/>
          <w:color w:val="auto"/>
        </w:rPr>
        <w:t>ALLISON TRANSMISSION HOLDINGS, INC.</w:t>
      </w:r>
    </w:p>
    <w:p>
      <w:pPr>
        <w:spacing w:after="0" w:line="60"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2847975</wp:posOffset>
            </wp:positionH>
            <wp:positionV relativeFrom="paragraph">
              <wp:posOffset>45720</wp:posOffset>
            </wp:positionV>
            <wp:extent cx="1454150" cy="432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0" cy="432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426" w:type="dxa"/>
        <w:tblCellMar>
          <w:top w:w="0" w:type="dxa"/>
          <w:left w:w="0" w:type="dxa"/>
          <w:bottom w:w="0" w:type="dxa"/>
          <w:right w:w="0" w:type="dxa"/>
        </w:tblCellMar>
      </w:tblPr>
      <w:tr>
        <w:trPr>
          <w:trHeight w:val="208"/>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9"/>
              </w:rPr>
              <w:t>Delaware</w:t>
            </w:r>
          </w:p>
        </w:tc>
        <w:tc>
          <w:tcPr>
            <w:tcW w:w="1580" w:type="dxa"/>
            <w:vAlign w:val="bottom"/>
          </w:tcPr>
          <w:p>
            <w:pPr>
              <w:jc w:val="right"/>
              <w:ind w:right="171"/>
              <w:spacing w:after="0"/>
              <w:rPr>
                <w:sz w:val="20"/>
                <w:szCs w:val="20"/>
                <w:color w:val="auto"/>
              </w:rPr>
            </w:pPr>
            <w:r>
              <w:rPr>
                <w:rFonts w:ascii="Arial" w:cs="Arial" w:eastAsia="Arial" w:hAnsi="Arial"/>
                <w:sz w:val="16"/>
                <w:szCs w:val="16"/>
                <w:b w:val="1"/>
                <w:bCs w:val="1"/>
                <w:color w:val="auto"/>
              </w:rPr>
              <w:t>26-0414014</w:t>
            </w:r>
          </w:p>
        </w:tc>
      </w:tr>
      <w:tr>
        <w:trPr>
          <w:trHeight w:val="201"/>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(State or Other Jurisdiction of Incorporation or</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6"/>
              </w:rPr>
              <w:t>(I.R.S. Employer</w:t>
            </w:r>
          </w:p>
        </w:tc>
      </w:tr>
      <w:tr>
        <w:trPr>
          <w:trHeight w:val="177"/>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7"/>
              </w:rPr>
              <w:t>Organization)</w:t>
            </w:r>
          </w:p>
        </w:tc>
        <w:tc>
          <w:tcPr>
            <w:tcW w:w="1580" w:type="dxa"/>
            <w:vAlign w:val="bottom"/>
          </w:tcPr>
          <w:p>
            <w:pPr>
              <w:jc w:val="center"/>
              <w:ind w:left="191"/>
              <w:spacing w:after="0"/>
              <w:rPr>
                <w:sz w:val="20"/>
                <w:szCs w:val="20"/>
                <w:color w:val="auto"/>
              </w:rPr>
            </w:pPr>
            <w:r>
              <w:rPr>
                <w:rFonts w:ascii="Arial" w:cs="Arial" w:eastAsia="Arial" w:hAnsi="Arial"/>
                <w:sz w:val="13"/>
                <w:szCs w:val="13"/>
                <w:b w:val="1"/>
                <w:bCs w:val="1"/>
                <w:color w:val="auto"/>
                <w:w w:val="95"/>
              </w:rPr>
              <w:t>Identification Number)</w:t>
            </w:r>
          </w:p>
        </w:tc>
      </w:tr>
      <w:tr>
        <w:trPr>
          <w:trHeight w:val="245"/>
        </w:trPr>
        <w:tc>
          <w:tcPr>
            <w:tcW w:w="6100" w:type="dxa"/>
            <w:vAlign w:val="bottom"/>
          </w:tcPr>
          <w:p>
            <w:pPr>
              <w:jc w:val="center"/>
              <w:ind w:right="3250"/>
              <w:spacing w:after="0"/>
              <w:rPr>
                <w:sz w:val="20"/>
                <w:szCs w:val="20"/>
                <w:color w:val="auto"/>
              </w:rPr>
            </w:pPr>
            <w:r>
              <w:rPr>
                <w:rFonts w:ascii="Arial" w:cs="Arial" w:eastAsia="Arial" w:hAnsi="Arial"/>
                <w:sz w:val="16"/>
                <w:szCs w:val="16"/>
                <w:b w:val="1"/>
                <w:bCs w:val="1"/>
                <w:color w:val="auto"/>
                <w:w w:val="96"/>
              </w:rPr>
              <w:t>One Allison Way</w:t>
            </w:r>
          </w:p>
        </w:tc>
        <w:tc>
          <w:tcPr>
            <w:tcW w:w="1580" w:type="dxa"/>
            <w:vAlign w:val="bottom"/>
          </w:tcPr>
          <w:p>
            <w:pPr>
              <w:spacing w:after="0"/>
              <w:rPr>
                <w:sz w:val="21"/>
                <w:szCs w:val="21"/>
                <w:color w:val="auto"/>
              </w:rPr>
            </w:pPr>
          </w:p>
        </w:tc>
      </w:tr>
      <w:tr>
        <w:trPr>
          <w:trHeight w:val="376"/>
        </w:trPr>
        <w:tc>
          <w:tcPr>
            <w:tcW w:w="6100" w:type="dxa"/>
            <w:vAlign w:val="bottom"/>
          </w:tcPr>
          <w:p>
            <w:pPr>
              <w:ind w:left="380"/>
              <w:spacing w:after="0"/>
              <w:rPr>
                <w:sz w:val="20"/>
                <w:szCs w:val="20"/>
                <w:color w:val="auto"/>
              </w:rPr>
            </w:pPr>
            <w:r>
              <w:rPr>
                <w:rFonts w:ascii="Arial" w:cs="Arial" w:eastAsia="Arial" w:hAnsi="Arial"/>
                <w:sz w:val="16"/>
                <w:szCs w:val="16"/>
                <w:b w:val="1"/>
                <w:bCs w:val="1"/>
                <w:color w:val="auto"/>
              </w:rPr>
              <w:t>Indianapolis, IN</w:t>
            </w:r>
          </w:p>
        </w:tc>
        <w:tc>
          <w:tcPr>
            <w:tcW w:w="1580" w:type="dxa"/>
            <w:vAlign w:val="bottom"/>
          </w:tcPr>
          <w:p>
            <w:pPr>
              <w:jc w:val="right"/>
              <w:ind w:right="371"/>
              <w:spacing w:after="0"/>
              <w:rPr>
                <w:sz w:val="20"/>
                <w:szCs w:val="20"/>
                <w:color w:val="auto"/>
              </w:rPr>
            </w:pPr>
            <w:r>
              <w:rPr>
                <w:rFonts w:ascii="Arial" w:cs="Arial" w:eastAsia="Arial" w:hAnsi="Arial"/>
                <w:sz w:val="16"/>
                <w:szCs w:val="16"/>
                <w:b w:val="1"/>
                <w:bCs w:val="1"/>
                <w:color w:val="auto"/>
              </w:rPr>
              <w:t>46222</w:t>
            </w:r>
          </w:p>
        </w:tc>
      </w:tr>
      <w:tr>
        <w:trPr>
          <w:trHeight w:val="201"/>
        </w:trPr>
        <w:tc>
          <w:tcPr>
            <w:tcW w:w="6100" w:type="dxa"/>
            <w:vAlign w:val="bottom"/>
          </w:tcPr>
          <w:p>
            <w:pPr>
              <w:jc w:val="center"/>
              <w:ind w:right="3250"/>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1580" w:type="dxa"/>
            <w:vAlign w:val="bottom"/>
          </w:tcPr>
          <w:p>
            <w:pPr>
              <w:jc w:val="center"/>
              <w:ind w:left="211"/>
              <w:spacing w:after="0"/>
              <w:rPr>
                <w:sz w:val="20"/>
                <w:szCs w:val="20"/>
                <w:color w:val="auto"/>
              </w:rPr>
            </w:pPr>
            <w:r>
              <w:rPr>
                <w:rFonts w:ascii="Arial" w:cs="Arial" w:eastAsia="Arial" w:hAnsi="Arial"/>
                <w:sz w:val="13"/>
                <w:szCs w:val="13"/>
                <w:b w:val="1"/>
                <w:bCs w:val="1"/>
                <w:color w:val="auto"/>
                <w:w w:val="96"/>
              </w:rPr>
              <w:t>(Zip Code)</w:t>
            </w:r>
          </w:p>
        </w:tc>
      </w:tr>
      <w:tr>
        <w:trPr>
          <w:trHeight w:val="257"/>
        </w:trPr>
        <w:tc>
          <w:tcPr>
            <w:tcW w:w="6100" w:type="dxa"/>
            <w:vAlign w:val="bottom"/>
          </w:tcPr>
          <w:p>
            <w:pPr>
              <w:jc w:val="right"/>
              <w:ind w:right="1290"/>
              <w:spacing w:after="0"/>
              <w:rPr>
                <w:sz w:val="20"/>
                <w:szCs w:val="20"/>
                <w:color w:val="auto"/>
              </w:rPr>
            </w:pPr>
            <w:r>
              <w:rPr>
                <w:rFonts w:ascii="Arial" w:cs="Arial" w:eastAsia="Arial" w:hAnsi="Arial"/>
                <w:sz w:val="16"/>
                <w:szCs w:val="16"/>
                <w:b w:val="1"/>
                <w:bCs w:val="1"/>
                <w:color w:val="auto"/>
              </w:rPr>
              <w:t>(317) 242-5000</w:t>
            </w:r>
          </w:p>
        </w:tc>
        <w:tc>
          <w:tcPr>
            <w:tcW w:w="1580" w:type="dxa"/>
            <w:vAlign w:val="bottom"/>
          </w:tcPr>
          <w:p>
            <w:pPr>
              <w:spacing w:after="0"/>
              <w:rPr>
                <w:sz w:val="22"/>
                <w:szCs w:val="22"/>
                <w:color w:val="auto"/>
              </w:rPr>
            </w:pPr>
          </w:p>
        </w:tc>
      </w:tr>
      <w:tr>
        <w:trPr>
          <w:trHeight w:val="178"/>
        </w:trPr>
        <w:tc>
          <w:tcPr>
            <w:tcW w:w="6100" w:type="dxa"/>
            <w:vAlign w:val="bottom"/>
          </w:tcPr>
          <w:p>
            <w:pPr>
              <w:jc w:val="center"/>
              <w:ind w:left="2230"/>
              <w:spacing w:after="0"/>
              <w:rPr>
                <w:sz w:val="20"/>
                <w:szCs w:val="20"/>
                <w:color w:val="auto"/>
              </w:rPr>
            </w:pPr>
            <w:r>
              <w:rPr>
                <w:rFonts w:ascii="Arial" w:cs="Arial" w:eastAsia="Arial" w:hAnsi="Arial"/>
                <w:sz w:val="13"/>
                <w:szCs w:val="13"/>
                <w:b w:val="1"/>
                <w:bCs w:val="1"/>
                <w:color w:val="auto"/>
                <w:w w:val="95"/>
              </w:rPr>
              <w:t>(Registrant’s Telephone Number, Including Area Code)</w:t>
            </w:r>
          </w:p>
        </w:tc>
        <w:tc>
          <w:tcPr>
            <w:tcW w:w="1580" w:type="dxa"/>
            <w:vAlign w:val="bottom"/>
          </w:tcPr>
          <w:p>
            <w:pPr>
              <w:spacing w:after="0"/>
              <w:rPr>
                <w:sz w:val="15"/>
                <w:szCs w:val="15"/>
                <w:color w:val="auto"/>
              </w:rPr>
            </w:pPr>
          </w:p>
        </w:tc>
      </w:tr>
    </w:tbl>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4" w:lineRule="exact"/>
        <w:rPr>
          <w:sz w:val="24"/>
          <w:szCs w:val="24"/>
          <w:color w:val="auto"/>
        </w:rPr>
      </w:pPr>
    </w:p>
    <w:tbl>
      <w:tblPr>
        <w:tblLayout w:type="fixed"/>
        <w:tblInd w:w="1946"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color w:val="auto"/>
                <w:w w:val="95"/>
              </w:rPr>
              <w:t>Name of Each Exchange</w:t>
            </w:r>
          </w:p>
        </w:tc>
      </w:tr>
      <w:tr>
        <w:trPr>
          <w:trHeight w:val="137"/>
        </w:trPr>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5"/>
              </w:rPr>
              <w:t>Title of Each Class</w:t>
            </w:r>
          </w:p>
        </w:tc>
        <w:tc>
          <w:tcPr>
            <w:tcW w:w="80" w:type="dxa"/>
            <w:vAlign w:val="bottom"/>
          </w:tcPr>
          <w:p>
            <w:pPr>
              <w:spacing w:after="0"/>
              <w:rPr>
                <w:sz w:val="11"/>
                <w:szCs w:val="11"/>
                <w:color w:val="auto"/>
              </w:rPr>
            </w:pPr>
          </w:p>
        </w:tc>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Trading Symbol(s)</w:t>
            </w:r>
          </w:p>
        </w:tc>
        <w:tc>
          <w:tcPr>
            <w:tcW w:w="60" w:type="dxa"/>
            <w:vAlign w:val="bottom"/>
          </w:tcPr>
          <w:p>
            <w:pPr>
              <w:spacing w:after="0"/>
              <w:rPr>
                <w:sz w:val="11"/>
                <w:szCs w:val="11"/>
                <w:color w:val="auto"/>
              </w:rPr>
            </w:pPr>
          </w:p>
        </w:tc>
        <w:tc>
          <w:tcPr>
            <w:tcW w:w="23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on which Registered</w:t>
            </w:r>
          </w:p>
        </w:tc>
      </w:tr>
      <w:tr>
        <w:trPr>
          <w:trHeight w:val="226"/>
        </w:trPr>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Common stock, $0.01 par value</w:t>
            </w:r>
          </w:p>
        </w:tc>
        <w:tc>
          <w:tcPr>
            <w:tcW w:w="2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ALSN</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6"/>
              </w:rPr>
              <w:t>New York Stock Exchange</w:t>
            </w:r>
          </w:p>
        </w:tc>
      </w:tr>
    </w:tbl>
    <w:p>
      <w:pPr>
        <w:spacing w:after="0" w:line="35" w:lineRule="exact"/>
        <w:rPr>
          <w:sz w:val="24"/>
          <w:szCs w:val="24"/>
          <w:color w:val="auto"/>
        </w:rPr>
      </w:pPr>
    </w:p>
    <w:p>
      <w:pPr>
        <w:ind w:left="6" w:right="320" w:firstLine="500"/>
        <w:spacing w:after="0" w:line="18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 w:lineRule="exact"/>
        <w:rPr>
          <w:sz w:val="24"/>
          <w:szCs w:val="24"/>
          <w:color w:val="auto"/>
        </w:rPr>
      </w:pPr>
    </w:p>
    <w:p>
      <w:pPr>
        <w:ind w:left="6" w:right="380" w:firstLine="500"/>
        <w:spacing w:after="0" w:line="24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6"/>
        <w:spacing w:after="0" w:line="184" w:lineRule="exact"/>
        <w:tabs>
          <w:tab w:leader="none" w:pos="566" w:val="left"/>
          <w:tab w:leader="none" w:pos="1206"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4" w:lineRule="exact"/>
        <w:rPr>
          <w:sz w:val="24"/>
          <w:szCs w:val="24"/>
          <w:color w:val="auto"/>
        </w:rPr>
      </w:pPr>
    </w:p>
    <w:p>
      <w:pPr>
        <w:ind w:left="6" w:right="300" w:firstLine="5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6" w:type="dxa"/>
        <w:tblCellMar>
          <w:top w:w="0" w:type="dxa"/>
          <w:left w:w="0" w:type="dxa"/>
          <w:bottom w:w="0" w:type="dxa"/>
          <w:right w:w="0" w:type="dxa"/>
        </w:tblCellMar>
      </w:tblPr>
      <w:tr>
        <w:trPr>
          <w:trHeight w:val="193"/>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8"/>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720" w:type="dxa"/>
            <w:vAlign w:val="bottom"/>
          </w:tcPr>
          <w:p>
            <w:pPr>
              <w:ind w:left="21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left="6" w:right="40" w:firstLine="50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06" w:right="1640"/>
        <w:spacing w:after="0" w:line="22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15, 2020, there were 113,201,844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715010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33" w:right="31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INDEX</w:t>
      </w:r>
    </w:p>
    <w:p>
      <w:pPr>
        <w:spacing w:after="0" w:line="200" w:lineRule="exact"/>
        <w:rPr>
          <w:sz w:val="20"/>
          <w:szCs w:val="20"/>
          <w:color w:val="auto"/>
        </w:rPr>
      </w:pPr>
    </w:p>
    <w:p>
      <w:pPr>
        <w:spacing w:after="0" w:line="332" w:lineRule="exact"/>
        <w:rPr>
          <w:sz w:val="20"/>
          <w:szCs w:val="20"/>
          <w:color w:val="auto"/>
        </w:rPr>
      </w:pPr>
    </w:p>
    <w:p>
      <w:pPr>
        <w:ind w:left="4320"/>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FINANCIAL INFORMATION</w:t>
        </w:r>
      </w:hyperlink>
    </w:p>
    <w:p>
      <w:pPr>
        <w:spacing w:after="0" w:line="25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1.</w:t>
      </w:r>
      <w:r>
        <w:rPr>
          <w:sz w:val="20"/>
          <w:szCs w:val="20"/>
          <w:color w:val="auto"/>
        </w:rPr>
        <w:tab/>
      </w:r>
      <w:hyperlink w:anchor="page3">
        <w:r>
          <w:rPr>
            <w:rFonts w:ascii="Arial" w:cs="Arial" w:eastAsia="Arial" w:hAnsi="Arial"/>
            <w:sz w:val="15"/>
            <w:szCs w:val="15"/>
            <w:u w:val="single" w:color="auto"/>
            <w:color w:val="0000EE"/>
          </w:rPr>
          <w:t>Financial Statements</w:t>
        </w:r>
      </w:hyperlink>
    </w:p>
    <w:p>
      <w:pPr>
        <w:spacing w:after="0" w:line="203" w:lineRule="exact"/>
        <w:rPr>
          <w:sz w:val="20"/>
          <w:szCs w:val="20"/>
          <w:color w:val="auto"/>
        </w:rPr>
      </w:pPr>
    </w:p>
    <w:p>
      <w:pPr>
        <w:ind w:left="92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Balance Sheets</w:t>
        </w:r>
      </w:hyperlink>
    </w:p>
    <w:p>
      <w:pPr>
        <w:spacing w:after="0" w:line="239" w:lineRule="exact"/>
        <w:rPr>
          <w:sz w:val="20"/>
          <w:szCs w:val="20"/>
          <w:color w:val="auto"/>
        </w:rPr>
      </w:pPr>
    </w:p>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Comprehensive Income</w:t>
        </w:r>
      </w:hyperlink>
    </w:p>
    <w:p>
      <w:pPr>
        <w:spacing w:after="0" w:line="239" w:lineRule="exact"/>
        <w:rPr>
          <w:sz w:val="20"/>
          <w:szCs w:val="20"/>
          <w:color w:val="auto"/>
        </w:rPr>
      </w:pPr>
    </w:p>
    <w:p>
      <w:pPr>
        <w:ind w:left="92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Cash Flows</w:t>
        </w:r>
      </w:hyperlink>
    </w:p>
    <w:p>
      <w:pPr>
        <w:spacing w:after="0" w:line="274" w:lineRule="exact"/>
        <w:rPr>
          <w:sz w:val="20"/>
          <w:szCs w:val="20"/>
          <w:color w:val="auto"/>
        </w:rPr>
      </w:pPr>
    </w:p>
    <w:p>
      <w:pPr>
        <w:ind w:left="9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Stockholders’ Equity</w:t>
        </w:r>
      </w:hyperlink>
    </w:p>
    <w:p>
      <w:pPr>
        <w:spacing w:after="0" w:line="203" w:lineRule="exact"/>
        <w:rPr>
          <w:sz w:val="20"/>
          <w:szCs w:val="20"/>
          <w:color w:val="auto"/>
        </w:rPr>
      </w:pPr>
    </w:p>
    <w:p>
      <w:pPr>
        <w:ind w:left="92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Condensed Consolidated Financial Statements</w:t>
        </w:r>
      </w:hyperlink>
    </w:p>
    <w:p>
      <w:pPr>
        <w:spacing w:after="0" w:line="23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2.</w:t>
      </w:r>
      <w:r>
        <w:rPr>
          <w:sz w:val="20"/>
          <w:szCs w:val="20"/>
          <w:color w:val="auto"/>
        </w:rPr>
        <w:tab/>
      </w:r>
      <w:hyperlink w:anchor="page26">
        <w:r>
          <w:rPr>
            <w:rFonts w:ascii="Arial" w:cs="Arial" w:eastAsia="Arial" w:hAnsi="Arial"/>
            <w:sz w:val="15"/>
            <w:szCs w:val="15"/>
            <w:u w:val="single" w:color="auto"/>
            <w:color w:val="0000EE"/>
          </w:rPr>
          <w:t>Management’s Discussion and Analysis of Financial Condition and Results of Operations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3.</w:t>
      </w:r>
      <w:r>
        <w:rPr>
          <w:sz w:val="20"/>
          <w:szCs w:val="20"/>
          <w:color w:val="auto"/>
        </w:rPr>
        <w:tab/>
      </w:r>
      <w:hyperlink w:anchor="page41">
        <w:r>
          <w:rPr>
            <w:rFonts w:ascii="Arial" w:cs="Arial" w:eastAsia="Arial" w:hAnsi="Arial"/>
            <w:sz w:val="15"/>
            <w:szCs w:val="15"/>
            <w:u w:val="single" w:color="auto"/>
            <w:color w:val="0000EE"/>
          </w:rPr>
          <w:t>Quantitative and Qualitative Disclosures About Market Risk</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4.</w:t>
      </w:r>
      <w:r>
        <w:rPr>
          <w:sz w:val="20"/>
          <w:szCs w:val="20"/>
          <w:color w:val="auto"/>
        </w:rPr>
        <w:tab/>
      </w:r>
      <w:hyperlink w:anchor="page42">
        <w:r>
          <w:rPr>
            <w:rFonts w:ascii="Arial" w:cs="Arial" w:eastAsia="Arial" w:hAnsi="Arial"/>
            <w:sz w:val="15"/>
            <w:szCs w:val="15"/>
            <w:u w:val="single" w:color="auto"/>
            <w:color w:val="0000EE"/>
          </w:rPr>
          <w:t>Controls and Procedures</w:t>
        </w:r>
      </w:hyperlink>
    </w:p>
    <w:p>
      <w:pPr>
        <w:spacing w:after="0" w:line="183" w:lineRule="exact"/>
        <w:rPr>
          <w:sz w:val="20"/>
          <w:szCs w:val="20"/>
          <w:color w:val="auto"/>
        </w:rPr>
      </w:pPr>
    </w:p>
    <w:p>
      <w:pPr>
        <w:ind w:left="4460"/>
        <w:spacing w:after="0"/>
        <w:rPr>
          <w:rFonts w:ascii="Arial" w:cs="Arial" w:eastAsia="Arial" w:hAnsi="Arial"/>
          <w:sz w:val="16"/>
          <w:szCs w:val="16"/>
          <w:b w:val="1"/>
          <w:bCs w:val="1"/>
          <w:u w:val="single" w:color="auto"/>
          <w:color w:val="0000EE"/>
        </w:rPr>
      </w:pPr>
      <w:hyperlink w:anchor="page43">
        <w:r>
          <w:rPr>
            <w:rFonts w:ascii="Arial" w:cs="Arial" w:eastAsia="Arial" w:hAnsi="Arial"/>
            <w:sz w:val="16"/>
            <w:szCs w:val="16"/>
            <w:b w:val="1"/>
            <w:bCs w:val="1"/>
            <w:u w:val="single" w:color="auto"/>
            <w:color w:val="0000EE"/>
          </w:rPr>
          <w:t>PART II. OTHER INFORMATION</w:t>
        </w:r>
      </w:hyperlink>
    </w:p>
    <w:p>
      <w:pPr>
        <w:spacing w:after="0" w:line="25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1.</w:t>
      </w:r>
      <w:r>
        <w:rPr>
          <w:sz w:val="20"/>
          <w:szCs w:val="20"/>
          <w:color w:val="auto"/>
        </w:rPr>
        <w:tab/>
      </w:r>
      <w:hyperlink w:anchor="page43">
        <w:r>
          <w:rPr>
            <w:rFonts w:ascii="Arial" w:cs="Arial" w:eastAsia="Arial" w:hAnsi="Arial"/>
            <w:sz w:val="15"/>
            <w:szCs w:val="15"/>
            <w:u w:val="single" w:color="auto"/>
            <w:color w:val="0000EE"/>
          </w:rPr>
          <w:t>Legal Proceedings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1A.</w:t>
      </w:r>
      <w:r>
        <w:rPr>
          <w:sz w:val="20"/>
          <w:szCs w:val="20"/>
          <w:color w:val="auto"/>
        </w:rPr>
        <w:tab/>
      </w:r>
      <w:hyperlink w:anchor="page43">
        <w:r>
          <w:rPr>
            <w:rFonts w:ascii="Arial" w:cs="Arial" w:eastAsia="Arial" w:hAnsi="Arial"/>
            <w:sz w:val="15"/>
            <w:szCs w:val="15"/>
            <w:u w:val="single" w:color="auto"/>
            <w:color w:val="0000EE"/>
          </w:rPr>
          <w:t>Risk Factors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2.</w:t>
      </w:r>
      <w:r>
        <w:rPr>
          <w:sz w:val="20"/>
          <w:szCs w:val="20"/>
          <w:color w:val="auto"/>
        </w:rPr>
        <w:tab/>
      </w:r>
      <w:hyperlink w:anchor="page44">
        <w:r>
          <w:rPr>
            <w:rFonts w:ascii="Arial" w:cs="Arial" w:eastAsia="Arial" w:hAnsi="Arial"/>
            <w:sz w:val="15"/>
            <w:szCs w:val="15"/>
            <w:u w:val="single" w:color="auto"/>
            <w:color w:val="0000EE"/>
          </w:rPr>
          <w:t>Unregistered Sales of Equity Securities and Use of Proceeds</w:t>
        </w:r>
      </w:hyperlink>
    </w:p>
    <w:p>
      <w:pPr>
        <w:spacing w:after="0" w:line="203"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6"/>
          <w:szCs w:val="16"/>
          <w:color w:val="auto"/>
        </w:rPr>
        <w:t>Item 6.</w:t>
      </w:r>
      <w:r>
        <w:rPr>
          <w:sz w:val="20"/>
          <w:szCs w:val="20"/>
          <w:color w:val="auto"/>
        </w:rPr>
        <w:tab/>
      </w:r>
      <w:hyperlink w:anchor="page45">
        <w:r>
          <w:rPr>
            <w:rFonts w:ascii="Arial" w:cs="Arial" w:eastAsia="Arial" w:hAnsi="Arial"/>
            <w:sz w:val="15"/>
            <w:szCs w:val="15"/>
            <w:u w:val="single" w:color="auto"/>
            <w:color w:val="0000EE"/>
          </w:rPr>
          <w:t>Exhibits</w:t>
        </w:r>
      </w:hyperlink>
    </w:p>
    <w:p>
      <w:pPr>
        <w:spacing w:after="0" w:line="203" w:lineRule="exact"/>
        <w:rPr>
          <w:sz w:val="20"/>
          <w:szCs w:val="20"/>
          <w:color w:val="auto"/>
        </w:rPr>
      </w:pPr>
    </w:p>
    <w:p>
      <w:pPr>
        <w:ind w:left="92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-3810</wp:posOffset>
            </wp:positionV>
            <wp:extent cx="5740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040"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3 - 7</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6 - 7</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8-25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26-39</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41</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43-44</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44</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45</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46</w:t>
      </w:r>
    </w:p>
    <w:p>
      <w:pPr>
        <w:sectPr>
          <w:pgSz w:w="11900" w:h="16838" w:orient="portrait"/>
          <w:cols w:equalWidth="0" w:num="2">
            <w:col w:w="9840" w:space="720"/>
            <w:col w:w="480"/>
          </w:cols>
          <w:pgMar w:left="320" w:top="14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7150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spacing w:after="0"/>
        <w:rPr>
          <w:sz w:val="20"/>
          <w:szCs w:val="20"/>
          <w:color w:val="auto"/>
        </w:rPr>
      </w:pPr>
      <w:r>
        <w:rPr>
          <w:rFonts w:ascii="Arial" w:cs="Arial" w:eastAsia="Arial" w:hAnsi="Arial"/>
          <w:sz w:val="16"/>
          <w:szCs w:val="16"/>
          <w:b w:val="1"/>
          <w:bCs w:val="1"/>
          <w:color w:val="auto"/>
        </w:rPr>
        <w:t>(unaudited, dollars in millions,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43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ASSETS</w:t>
            </w:r>
          </w:p>
        </w:tc>
        <w:tc>
          <w:tcPr>
            <w:tcW w:w="1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Current Assets</w:t>
            </w: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1140" w:type="dxa"/>
            <w:vAlign w:val="bottom"/>
            <w:shd w:val="clear" w:color="auto" w:fill="CFF0FC"/>
          </w:tcPr>
          <w:p>
            <w:pPr>
              <w:jc w:val="right"/>
              <w:ind w:right="997"/>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434</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Accounts receivable – net of allowances for doubtful accounts of $2 and $1, respectively</w:t>
            </w:r>
          </w:p>
        </w:tc>
        <w:tc>
          <w:tcPr>
            <w:tcW w:w="1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212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Inventories</w:t>
            </w:r>
          </w:p>
        </w:tc>
        <w:tc>
          <w:tcPr>
            <w:tcW w:w="114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201</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Other current assets</w:t>
            </w:r>
          </w:p>
        </w:tc>
        <w:tc>
          <w:tcPr>
            <w:tcW w:w="1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40</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Current Assets</w:t>
            </w:r>
          </w:p>
        </w:tc>
        <w:tc>
          <w:tcPr>
            <w:tcW w:w="114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57"/>
              <w:spacing w:after="0" w:line="144" w:lineRule="exact"/>
              <w:rPr>
                <w:sz w:val="20"/>
                <w:szCs w:val="20"/>
                <w:color w:val="auto"/>
              </w:rPr>
            </w:pPr>
            <w:r>
              <w:rPr>
                <w:rFonts w:ascii="Arial" w:cs="Arial" w:eastAsia="Arial" w:hAnsi="Arial"/>
                <w:sz w:val="13"/>
                <w:szCs w:val="13"/>
                <w:b w:val="1"/>
                <w:bCs w:val="1"/>
                <w:color w:val="auto"/>
              </w:rPr>
              <w:t>887</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1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634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616</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Intangible assets, net</w:t>
            </w:r>
          </w:p>
        </w:tc>
        <w:tc>
          <w:tcPr>
            <w:tcW w:w="114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986</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1,042</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Goodwill</w:t>
            </w:r>
          </w:p>
        </w:tc>
        <w:tc>
          <w:tcPr>
            <w:tcW w:w="1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2,062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2,041</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assets</w:t>
            </w:r>
          </w:p>
        </w:tc>
        <w:tc>
          <w:tcPr>
            <w:tcW w:w="11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64</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84"/>
        </w:trPr>
        <w:tc>
          <w:tcPr>
            <w:tcW w:w="770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color w:val="auto"/>
              </w:rPr>
              <w:t>TOTAL ASSETS</w:t>
            </w:r>
          </w:p>
        </w:tc>
        <w:tc>
          <w:tcPr>
            <w:tcW w:w="1140" w:type="dxa"/>
            <w:vAlign w:val="bottom"/>
            <w:tcBorders>
              <w:bottom w:val="single" w:sz="8" w:color="auto"/>
            </w:tcBorders>
          </w:tcPr>
          <w:p>
            <w:pPr>
              <w:jc w:val="right"/>
              <w:ind w:right="997"/>
              <w:spacing w:after="0" w:line="144"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b w:val="1"/>
                <w:bCs w:val="1"/>
                <w:color w:val="auto"/>
              </w:rPr>
              <w:t>4,633</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jc w:val="right"/>
              <w:ind w:right="77"/>
              <w:spacing w:after="0" w:line="144"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4,450</w:t>
            </w:r>
          </w:p>
        </w:tc>
        <w:tc>
          <w:tcPr>
            <w:tcW w:w="0" w:type="dxa"/>
            <w:vAlign w:val="bottom"/>
          </w:tcPr>
          <w:p>
            <w:pPr>
              <w:spacing w:after="0"/>
              <w:rPr>
                <w:sz w:val="1"/>
                <w:szCs w:val="1"/>
                <w:color w:val="auto"/>
              </w:rPr>
            </w:pPr>
          </w:p>
        </w:tc>
      </w:tr>
      <w:tr>
        <w:trPr>
          <w:trHeight w:val="128"/>
        </w:trPr>
        <w:tc>
          <w:tcPr>
            <w:tcW w:w="7700" w:type="dxa"/>
            <w:vAlign w:val="bottom"/>
            <w:shd w:val="clear" w:color="auto" w:fill="CFF0FC"/>
          </w:tcPr>
          <w:p>
            <w:pPr>
              <w:spacing w:after="0" w:line="128" w:lineRule="exact"/>
              <w:rPr>
                <w:sz w:val="20"/>
                <w:szCs w:val="20"/>
                <w:color w:val="auto"/>
              </w:rPr>
            </w:pPr>
            <w:r>
              <w:rPr>
                <w:rFonts w:ascii="Arial" w:cs="Arial" w:eastAsia="Arial" w:hAnsi="Arial"/>
                <w:sz w:val="13"/>
                <w:szCs w:val="13"/>
                <w:b w:val="1"/>
                <w:bCs w:val="1"/>
                <w:color w:val="auto"/>
              </w:rPr>
              <w:t>LIABILITIES</w:t>
            </w:r>
          </w:p>
        </w:tc>
        <w:tc>
          <w:tcPr>
            <w:tcW w:w="1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Current Liabilities</w:t>
            </w: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1140" w:type="dxa"/>
            <w:vAlign w:val="bottom"/>
            <w:shd w:val="clear" w:color="auto" w:fill="CFF0FC"/>
          </w:tcPr>
          <w:p>
            <w:pPr>
              <w:jc w:val="right"/>
              <w:ind w:right="997"/>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138</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Product warranty liability</w:t>
            </w:r>
          </w:p>
        </w:tc>
        <w:tc>
          <w:tcPr>
            <w:tcW w:w="1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Current portion of long-term debt</w:t>
            </w:r>
          </w:p>
        </w:tc>
        <w:tc>
          <w:tcPr>
            <w:tcW w:w="114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6</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Deferred revenue</w:t>
            </w:r>
          </w:p>
        </w:tc>
        <w:tc>
          <w:tcPr>
            <w:tcW w:w="1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34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current liabilities</w:t>
            </w:r>
          </w:p>
        </w:tc>
        <w:tc>
          <w:tcPr>
            <w:tcW w:w="11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149</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Current Liabilities</w:t>
            </w:r>
          </w:p>
        </w:tc>
        <w:tc>
          <w:tcPr>
            <w:tcW w:w="1140" w:type="dxa"/>
            <w:vAlign w:val="bottom"/>
          </w:tcPr>
          <w:p>
            <w:pPr>
              <w:spacing w:after="0"/>
              <w:rPr>
                <w:sz w:val="12"/>
                <w:szCs w:val="12"/>
                <w:color w:val="auto"/>
              </w:rPr>
            </w:pPr>
          </w:p>
        </w:tc>
        <w:tc>
          <w:tcPr>
            <w:tcW w:w="56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rPr>
              <w:t>356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Product warranty liability</w:t>
            </w:r>
          </w:p>
        </w:tc>
        <w:tc>
          <w:tcPr>
            <w:tcW w:w="114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19</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Deferred revenue</w:t>
            </w:r>
          </w:p>
        </w:tc>
        <w:tc>
          <w:tcPr>
            <w:tcW w:w="1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111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114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2,786</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2,512</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421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liabilities</w:t>
            </w:r>
          </w:p>
        </w:tc>
        <w:tc>
          <w:tcPr>
            <w:tcW w:w="11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245</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LIABILITIES</w:t>
            </w:r>
          </w:p>
        </w:tc>
        <w:tc>
          <w:tcPr>
            <w:tcW w:w="1140" w:type="dxa"/>
            <w:vAlign w:val="bottom"/>
          </w:tcPr>
          <w:p>
            <w:pPr>
              <w:spacing w:after="0"/>
              <w:rPr>
                <w:sz w:val="12"/>
                <w:szCs w:val="12"/>
                <w:color w:val="auto"/>
              </w:rPr>
            </w:pPr>
          </w:p>
        </w:tc>
        <w:tc>
          <w:tcPr>
            <w:tcW w:w="56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rPr>
              <w:t>3,938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3,669</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Commitments and contingencies (see NOTE P)</w:t>
            </w:r>
          </w:p>
        </w:tc>
        <w:tc>
          <w:tcPr>
            <w:tcW w:w="1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 $0.01 par value, 1,880,000,000 shares authorized, 113,200,028 shares issued and outstanding and 118,199,782</w:t>
            </w:r>
          </w:p>
        </w:tc>
        <w:tc>
          <w:tcPr>
            <w:tcW w:w="1140" w:type="dxa"/>
            <w:vAlign w:val="bottom"/>
            <w:shd w:val="clear" w:color="auto" w:fill="CFF0FC"/>
          </w:tcPr>
          <w:p>
            <w:pPr>
              <w:spacing w:after="0"/>
              <w:rPr>
                <w:sz w:val="13"/>
                <w:szCs w:val="13"/>
                <w:color w:val="auto"/>
              </w:rPr>
            </w:pPr>
          </w:p>
        </w:tc>
        <w:tc>
          <w:tcPr>
            <w:tcW w:w="56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700" w:type="dxa"/>
            <w:vAlign w:val="bottom"/>
            <w:shd w:val="clear" w:color="auto" w:fill="CFF0FC"/>
          </w:tcPr>
          <w:p>
            <w:pPr>
              <w:ind w:left="200"/>
              <w:spacing w:after="0" w:line="137" w:lineRule="exact"/>
              <w:rPr>
                <w:sz w:val="20"/>
                <w:szCs w:val="20"/>
                <w:color w:val="auto"/>
              </w:rPr>
            </w:pPr>
            <w:r>
              <w:rPr>
                <w:rFonts w:ascii="Arial" w:cs="Arial" w:eastAsia="Arial" w:hAnsi="Arial"/>
                <w:sz w:val="13"/>
                <w:szCs w:val="13"/>
                <w:color w:val="auto"/>
              </w:rPr>
              <w:t>shares issued and outstanding, respectively</w:t>
            </w:r>
          </w:p>
        </w:tc>
        <w:tc>
          <w:tcPr>
            <w:tcW w:w="114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ind w:right="57"/>
              <w:spacing w:after="0" w:line="137"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Non-voting common stock, $0.01 par value, 20,000,000 shares authorized, none issued and outstanding</w:t>
            </w:r>
          </w:p>
        </w:tc>
        <w:tc>
          <w:tcPr>
            <w:tcW w:w="114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Preferred stock, $0.01 par value, 100,000,000 shares authorized, none issued and outstanding</w:t>
            </w:r>
          </w:p>
        </w:tc>
        <w:tc>
          <w:tcPr>
            <w:tcW w:w="1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Paid in capital</w:t>
            </w:r>
          </w:p>
        </w:tc>
        <w:tc>
          <w:tcPr>
            <w:tcW w:w="114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1,806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1,802</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Accumulated deficit</w:t>
            </w:r>
          </w:p>
        </w:tc>
        <w:tc>
          <w:tcPr>
            <w:tcW w:w="1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(1,027)</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(970)</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Accumulated other comprehensive loss, net of tax</w:t>
            </w:r>
          </w:p>
        </w:tc>
        <w:tc>
          <w:tcPr>
            <w:tcW w:w="1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STOCKHOLDERS’ EQUITY</w:t>
            </w:r>
          </w:p>
        </w:tc>
        <w:tc>
          <w:tcPr>
            <w:tcW w:w="1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b w:val="1"/>
                <w:bCs w:val="1"/>
                <w:color w:val="auto"/>
              </w:rPr>
              <w:t>695</w:t>
            </w:r>
          </w:p>
        </w:tc>
        <w:tc>
          <w:tcPr>
            <w:tcW w:w="1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781</w:t>
            </w:r>
          </w:p>
        </w:tc>
        <w:tc>
          <w:tcPr>
            <w:tcW w:w="0" w:type="dxa"/>
            <w:vAlign w:val="bottom"/>
          </w:tcPr>
          <w:p>
            <w:pPr>
              <w:spacing w:after="0"/>
              <w:rPr>
                <w:sz w:val="1"/>
                <w:szCs w:val="1"/>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LIABILITIES &amp; STOCKHOLDERS’ EQUITY</w:t>
            </w:r>
          </w:p>
        </w:tc>
        <w:tc>
          <w:tcPr>
            <w:tcW w:w="1140" w:type="dxa"/>
            <w:vAlign w:val="bottom"/>
            <w:tcBorders>
              <w:bottom w:val="single" w:sz="8" w:color="auto"/>
            </w:tcBorders>
          </w:tcPr>
          <w:p>
            <w:pPr>
              <w:jc w:val="right"/>
              <w:ind w:right="997"/>
              <w:spacing w:after="0" w:line="144"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b w:val="1"/>
                <w:bCs w:val="1"/>
                <w:color w:val="auto"/>
              </w:rPr>
              <w:t>4,633</w:t>
            </w:r>
          </w:p>
        </w:tc>
        <w:tc>
          <w:tcPr>
            <w:tcW w:w="160" w:type="dxa"/>
            <w:vAlign w:val="bottom"/>
          </w:tcPr>
          <w:p>
            <w:pPr>
              <w:spacing w:after="0"/>
              <w:rPr>
                <w:sz w:val="12"/>
                <w:szCs w:val="12"/>
                <w:color w:val="auto"/>
              </w:rPr>
            </w:pPr>
          </w:p>
        </w:tc>
        <w:tc>
          <w:tcPr>
            <w:tcW w:w="220" w:type="dxa"/>
            <w:vAlign w:val="bottom"/>
            <w:tcBorders>
              <w:bottom w:val="single" w:sz="8" w:color="auto"/>
            </w:tcBorders>
          </w:tcPr>
          <w:p>
            <w:pPr>
              <w:jc w:val="right"/>
              <w:ind w:right="77"/>
              <w:spacing w:after="0" w:line="144"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4,450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jc w:val="center"/>
        <w:spacing w:after="0"/>
        <w:rPr>
          <w:sz w:val="20"/>
          <w:szCs w:val="20"/>
          <w:color w:val="auto"/>
        </w:rPr>
      </w:pPr>
      <w:r>
        <w:rPr>
          <w:rFonts w:ascii="Arial" w:cs="Arial" w:eastAsia="Arial" w:hAnsi="Arial"/>
          <w:sz w:val="16"/>
          <w:szCs w:val="16"/>
          <w:b w:val="1"/>
          <w:bCs w:val="1"/>
          <w:color w:val="auto"/>
        </w:rPr>
        <w:t>(unaudited, dollars 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4"/>
        </w:trPr>
        <w:tc>
          <w:tcPr>
            <w:tcW w:w="506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51"/>
              <w:spacing w:after="0" w:line="144" w:lineRule="exact"/>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1"/>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0"/>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377</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1,014</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212</w:t>
            </w:r>
          </w:p>
        </w:tc>
        <w:tc>
          <w:tcPr>
            <w:tcW w:w="1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348</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Gross profit</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165</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491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76"/>
        </w:trPr>
        <w:tc>
          <w:tcPr>
            <w:tcW w:w="506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b w:val="1"/>
                <w:bCs w:val="1"/>
                <w:color w:val="auto"/>
              </w:rPr>
              <w:t>69</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jc w:val="right"/>
              <w:ind w:right="50"/>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rPr>
              <w:t>144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76"/>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Engineering — research and development</w:t>
            </w:r>
          </w:p>
        </w:tc>
        <w:tc>
          <w:tcPr>
            <w:tcW w:w="7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38</w:t>
            </w:r>
          </w:p>
        </w:tc>
        <w:tc>
          <w:tcPr>
            <w:tcW w:w="140" w:type="dxa"/>
            <w:vAlign w:val="bottom"/>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74</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8"/>
        </w:trPr>
        <w:tc>
          <w:tcPr>
            <w:tcW w:w="506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b w:val="1"/>
                <w:bCs w:val="1"/>
                <w:color w:val="auto"/>
              </w:rPr>
              <w:t>58</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jc w:val="right"/>
              <w:ind w:right="50"/>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rPr>
              <w:t>273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76"/>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7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(33)</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income, net</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5</w:t>
            </w:r>
          </w:p>
        </w:tc>
        <w:tc>
          <w:tcPr>
            <w:tcW w:w="1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Income before income taxes</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30</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211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 expense</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8"/>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Net income</w:t>
            </w:r>
          </w:p>
        </w:tc>
        <w:tc>
          <w:tcPr>
            <w:tcW w:w="7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23</w:t>
            </w: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671"/>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162</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share attributable to common stockholders</w:t>
            </w: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60" w:type="dxa"/>
            <w:vAlign w:val="bottom"/>
            <w:tcBorders>
              <w:bottom w:val="single" w:sz="8" w:color="CFF0FC"/>
            </w:tcBorders>
            <w:vMerge w:val="continue"/>
          </w:tcPr>
          <w:p>
            <w:pPr>
              <w:spacing w:after="0"/>
              <w:rPr>
                <w:sz w:val="16"/>
                <w:szCs w:val="16"/>
                <w:color w:val="auto"/>
              </w:rPr>
            </w:pPr>
          </w:p>
        </w:tc>
        <w:tc>
          <w:tcPr>
            <w:tcW w:w="780" w:type="dxa"/>
            <w:vAlign w:val="bottom"/>
            <w:tcBorders>
              <w:bottom w:val="single" w:sz="8" w:color="CFF0FC"/>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0.20</w:t>
            </w:r>
          </w:p>
        </w:tc>
        <w:tc>
          <w:tcPr>
            <w:tcW w:w="140" w:type="dxa"/>
            <w:vAlign w:val="bottom"/>
            <w:tcBorders>
              <w:bottom w:val="single" w:sz="8" w:color="CFF0FC"/>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671"/>
              <w:spacing w:after="0" w:line="151"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1.47</w:t>
            </w:r>
          </w:p>
        </w:tc>
        <w:tc>
          <w:tcPr>
            <w:tcW w:w="120" w:type="dxa"/>
            <w:vAlign w:val="bottom"/>
            <w:tcBorders>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ind w:right="51"/>
              <w:spacing w:after="0" w:line="151" w:lineRule="exact"/>
              <w:rPr>
                <w:sz w:val="20"/>
                <w:szCs w:val="20"/>
                <w:color w:val="auto"/>
              </w:rPr>
            </w:pPr>
            <w:r>
              <w:rPr>
                <w:rFonts w:ascii="Arial" w:cs="Arial" w:eastAsia="Arial" w:hAnsi="Arial"/>
                <w:sz w:val="14"/>
                <w:szCs w:val="14"/>
                <w:b w:val="1"/>
                <w:bCs w:val="1"/>
                <w:color w:val="auto"/>
              </w:rPr>
              <w:t>1.42</w:t>
            </w:r>
          </w:p>
        </w:tc>
        <w:tc>
          <w:tcPr>
            <w:tcW w:w="120" w:type="dxa"/>
            <w:vAlign w:val="bottom"/>
            <w:tcBorders>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51"/>
        </w:trPr>
        <w:tc>
          <w:tcPr>
            <w:tcW w:w="506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Diluted earnings per share attributable to common stockholders</w:t>
            </w:r>
          </w:p>
        </w:tc>
        <w:tc>
          <w:tcPr>
            <w:tcW w:w="7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b w:val="1"/>
                <w:bCs w:val="1"/>
                <w:color w:val="auto"/>
              </w:rPr>
              <w:t>0.20</w:t>
            </w:r>
          </w:p>
        </w:tc>
        <w:tc>
          <w:tcPr>
            <w:tcW w:w="1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671"/>
              <w:spacing w:after="0" w:line="151"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1.46</w:t>
            </w: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10"/>
              <w:spacing w:after="0" w:line="151"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FF0FC"/>
          </w:tcPr>
          <w:p>
            <w:pPr>
              <w:jc w:val="right"/>
              <w:ind w:right="51"/>
              <w:spacing w:after="0" w:line="151" w:lineRule="exact"/>
              <w:rPr>
                <w:sz w:val="20"/>
                <w:szCs w:val="20"/>
                <w:color w:val="auto"/>
              </w:rPr>
            </w:pPr>
            <w:r>
              <w:rPr>
                <w:rFonts w:ascii="Arial" w:cs="Arial" w:eastAsia="Arial" w:hAnsi="Arial"/>
                <w:sz w:val="14"/>
                <w:szCs w:val="14"/>
                <w:b w:val="1"/>
                <w:bCs w:val="1"/>
                <w:color w:val="auto"/>
              </w:rPr>
              <w:t>1.41</w:t>
            </w: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net of tax</w:t>
            </w: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19</w:t>
            </w:r>
          </w:p>
        </w:tc>
        <w:tc>
          <w:tcPr>
            <w:tcW w:w="1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671"/>
              <w:spacing w:after="0" w:line="151"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167</w:t>
            </w: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ind w:right="51"/>
              <w:spacing w:after="0" w:line="151" w:lineRule="exact"/>
              <w:rPr>
                <w:sz w:val="20"/>
                <w:szCs w:val="20"/>
                <w:color w:val="auto"/>
              </w:rPr>
            </w:pPr>
            <w:r>
              <w:rPr>
                <w:rFonts w:ascii="Arial" w:cs="Arial" w:eastAsia="Arial" w:hAnsi="Arial"/>
                <w:sz w:val="14"/>
                <w:szCs w:val="14"/>
                <w:b w:val="1"/>
                <w:bCs w:val="1"/>
                <w:color w:val="auto"/>
              </w:rPr>
              <w:t>129</w:t>
            </w: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Six Months Ended June 30,</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740" w:type="dxa"/>
            <w:vAlign w:val="bottom"/>
          </w:tcPr>
          <w:p>
            <w:pPr>
              <w:spacing w:after="0"/>
              <w:rPr>
                <w:sz w:val="12"/>
                <w:szCs w:val="12"/>
                <w:color w:val="auto"/>
              </w:rPr>
            </w:pPr>
          </w:p>
        </w:tc>
        <w:tc>
          <w:tcPr>
            <w:tcW w:w="1080" w:type="dxa"/>
            <w:vAlign w:val="bottom"/>
          </w:tcPr>
          <w:p>
            <w:pPr>
              <w:jc w:val="right"/>
              <w:ind w:right="92"/>
              <w:spacing w:after="0" w:line="144" w:lineRule="exact"/>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2"/>
                <w:szCs w:val="12"/>
                <w:color w:val="auto"/>
              </w:rPr>
            </w:pPr>
          </w:p>
        </w:tc>
        <w:tc>
          <w:tcPr>
            <w:tcW w:w="1200" w:type="dxa"/>
            <w:vAlign w:val="bottom"/>
            <w:gridSpan w:val="2"/>
          </w:tcPr>
          <w:p>
            <w:pPr>
              <w:jc w:val="right"/>
              <w:ind w:right="120"/>
              <w:spacing w:after="0" w:line="144" w:lineRule="exact"/>
              <w:rPr>
                <w:sz w:val="20"/>
                <w:szCs w:val="20"/>
                <w:color w:val="auto"/>
              </w:rPr>
            </w:pPr>
            <w:r>
              <w:rPr>
                <w:rFonts w:ascii="Arial" w:cs="Arial" w:eastAsia="Arial" w:hAnsi="Arial"/>
                <w:sz w:val="13"/>
                <w:szCs w:val="13"/>
                <w:b w:val="1"/>
                <w:bCs w:val="1"/>
                <w:color w:val="auto"/>
              </w:rPr>
              <w:t>2019</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162</w:t>
            </w:r>
          </w:p>
        </w:tc>
        <w:tc>
          <w:tcPr>
            <w:tcW w:w="120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46</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income taxes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43</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29</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5</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deferred financing costs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Expenses related to long-term debt refinancing</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Allowance for doubtful accounts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39</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(33)</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assets and liabilities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240</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Business acquisitions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Additions of long-lived assets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used for investing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(45)</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Borrowings on revolving credit facility</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800</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Payments on revolving credit facility</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(525)</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Repurchases of common stock</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(180)</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Dividend payments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long-term debt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Payment of acquisition-related contingent liability</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Taxes paid related to net share settlement of equity awards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long-term debt</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Debt financing fees</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provided by (used for) financing activities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49</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Effect of exchange rate changes on cash</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increase (decrease) in cash and cash equivalents</w:t>
            </w: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242</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76"/>
        </w:trPr>
        <w:tc>
          <w:tcPr>
            <w:tcW w:w="7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192</w:t>
            </w:r>
          </w:p>
        </w:tc>
        <w:tc>
          <w:tcPr>
            <w:tcW w:w="1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68"/>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end of period</w:t>
            </w:r>
          </w:p>
        </w:tc>
        <w:tc>
          <w:tcPr>
            <w:tcW w:w="1080" w:type="dxa"/>
            <w:vAlign w:val="bottom"/>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434</w:t>
            </w:r>
          </w:p>
        </w:tc>
        <w:tc>
          <w:tcPr>
            <w:tcW w:w="1200" w:type="dxa"/>
            <w:vAlign w:val="bottom"/>
            <w:gridSpan w:val="2"/>
            <w:shd w:val="clear" w:color="auto" w:fill="CFF0FC"/>
          </w:tcPr>
          <w:p>
            <w:pPr>
              <w:jc w:val="right"/>
              <w:ind w:right="9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Supplemental disclosures: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Interest paid</w:t>
            </w:r>
          </w:p>
        </w:tc>
        <w:tc>
          <w:tcPr>
            <w:tcW w:w="1080" w:type="dxa"/>
            <w:vAlign w:val="bottom"/>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65</w:t>
            </w:r>
          </w:p>
        </w:tc>
        <w:tc>
          <w:tcPr>
            <w:tcW w:w="1200" w:type="dxa"/>
            <w:vAlign w:val="bottom"/>
            <w:gridSpan w:val="2"/>
            <w:shd w:val="clear" w:color="auto" w:fill="CFF0FC"/>
          </w:tcPr>
          <w:p>
            <w:pPr>
              <w:jc w:val="right"/>
              <w:ind w:right="9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8"/>
        </w:trPr>
        <w:tc>
          <w:tcPr>
            <w:tcW w:w="7740" w:type="dxa"/>
            <w:vAlign w:val="bottom"/>
          </w:tcPr>
          <w:p>
            <w:pPr>
              <w:ind w:left="420"/>
              <w:spacing w:after="0"/>
              <w:rPr>
                <w:sz w:val="20"/>
                <w:szCs w:val="20"/>
                <w:color w:val="auto"/>
              </w:rPr>
            </w:pPr>
            <w:r>
              <w:rPr>
                <w:rFonts w:ascii="Arial" w:cs="Arial" w:eastAsia="Arial" w:hAnsi="Arial"/>
                <w:sz w:val="14"/>
                <w:szCs w:val="14"/>
                <w:color w:val="auto"/>
              </w:rPr>
              <w:t>Income taxes paid</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8</w:t>
            </w:r>
          </w:p>
        </w:tc>
        <w:tc>
          <w:tcPr>
            <w:tcW w:w="120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6"/>
              </w:rPr>
              <w:t>Three months ended</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1"/>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31"/>
              <w:spacing w:after="0" w:line="141"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6"/>
              </w:rPr>
              <w:t>Non-voting</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0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left="93"/>
              <w:spacing w:after="0" w:line="141" w:lineRule="exact"/>
              <w:rPr>
                <w:sz w:val="20"/>
                <w:szCs w:val="20"/>
                <w:color w:val="auto"/>
              </w:rPr>
            </w:pPr>
            <w:r>
              <w:rPr>
                <w:rFonts w:ascii="Arial" w:cs="Arial" w:eastAsia="Arial" w:hAnsi="Arial"/>
                <w:sz w:val="13"/>
                <w:szCs w:val="13"/>
                <w:b w:val="1"/>
                <w:bCs w:val="1"/>
                <w:color w:val="auto"/>
                <w:w w:val="95"/>
              </w:rPr>
              <w:t>Common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Preferred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4"/>
              </w:rPr>
              <w:t>(Deficit)</w:t>
            </w:r>
          </w:p>
        </w:tc>
        <w:tc>
          <w:tcPr>
            <w:tcW w:w="1060" w:type="dxa"/>
            <w:vAlign w:val="bottom"/>
            <w:gridSpan w:val="2"/>
          </w:tcPr>
          <w:p>
            <w:pPr>
              <w:jc w:val="center"/>
              <w:ind w:right="71"/>
              <w:spacing w:after="0" w:line="141" w:lineRule="exact"/>
              <w:rPr>
                <w:sz w:val="20"/>
                <w:szCs w:val="20"/>
                <w:color w:val="auto"/>
              </w:rPr>
            </w:pPr>
            <w:r>
              <w:rPr>
                <w:rFonts w:ascii="Arial" w:cs="Arial" w:eastAsia="Arial" w:hAnsi="Arial"/>
                <w:sz w:val="13"/>
                <w:szCs w:val="13"/>
                <w:b w:val="1"/>
                <w:bCs w:val="1"/>
                <w:color w:val="auto"/>
                <w:w w:val="95"/>
              </w:rPr>
              <w:t>(Loss) Income,</w:t>
            </w:r>
          </w:p>
        </w:tc>
        <w:tc>
          <w:tcPr>
            <w:tcW w:w="120" w:type="dxa"/>
            <w:vAlign w:val="bottom"/>
          </w:tcPr>
          <w:p>
            <w:pPr>
              <w:spacing w:after="0"/>
              <w:rPr>
                <w:sz w:val="12"/>
                <w:szCs w:val="12"/>
                <w:color w:val="auto"/>
              </w:rPr>
            </w:pPr>
          </w:p>
        </w:tc>
        <w:tc>
          <w:tcPr>
            <w:tcW w:w="1040" w:type="dxa"/>
            <w:vAlign w:val="bottom"/>
            <w:gridSpan w:val="2"/>
          </w:tcPr>
          <w:p>
            <w:pPr>
              <w:jc w:val="right"/>
              <w:ind w:right="110"/>
              <w:spacing w:after="0" w:line="141"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53"/>
        </w:trPr>
        <w:tc>
          <w:tcPr>
            <w:tcW w:w="34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Stock</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b w:val="1"/>
                <w:bCs w:val="1"/>
                <w:color w:val="auto"/>
                <w:w w:val="95"/>
              </w:rPr>
              <w:t>Stock</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Stock</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6"/>
              </w:rPr>
              <w:t>net of tax</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8"/>
        </w:trPr>
        <w:tc>
          <w:tcPr>
            <w:tcW w:w="34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2019</w:t>
            </w:r>
          </w:p>
        </w:tc>
        <w:tc>
          <w:tcPr>
            <w:tcW w:w="720" w:type="dxa"/>
            <w:vAlign w:val="bottom"/>
            <w:shd w:val="clear" w:color="auto" w:fill="CFF0FC"/>
          </w:tcPr>
          <w:p>
            <w:pPr>
              <w:jc w:val="right"/>
              <w:ind w:right="572"/>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93"/>
              <w:spacing w:after="0"/>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572"/>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1,787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300" w:type="dxa"/>
            <w:vAlign w:val="bottom"/>
            <w:gridSpan w:val="2"/>
            <w:shd w:val="clear" w:color="auto" w:fill="CFF0FC"/>
          </w:tcPr>
          <w:p>
            <w:pPr>
              <w:jc w:val="right"/>
              <w:ind w:right="32"/>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8"/>
        </w:trPr>
        <w:tc>
          <w:tcPr>
            <w:tcW w:w="3400" w:type="dxa"/>
            <w:vAlign w:val="bottom"/>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400" w:type="dxa"/>
            <w:vAlign w:val="bottom"/>
          </w:tcPr>
          <w:p>
            <w:pPr>
              <w:ind w:left="200"/>
              <w:spacing w:after="0"/>
              <w:rPr>
                <w:sz w:val="20"/>
                <w:szCs w:val="20"/>
                <w:color w:val="auto"/>
              </w:rPr>
            </w:pPr>
            <w:r>
              <w:rPr>
                <w:rFonts w:ascii="Arial" w:cs="Arial" w:eastAsia="Arial" w:hAnsi="Arial"/>
                <w:sz w:val="14"/>
                <w:szCs w:val="14"/>
                <w:color w:val="auto"/>
              </w:rPr>
              <w:t>swaps</w:t>
            </w:r>
          </w:p>
        </w:tc>
        <w:tc>
          <w:tcPr>
            <w:tcW w:w="72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181</w:t>
            </w:r>
          </w:p>
        </w:tc>
        <w:tc>
          <w:tcPr>
            <w:tcW w:w="14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8"/>
        </w:trPr>
        <w:tc>
          <w:tcPr>
            <w:tcW w:w="3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Balance at June 30, 2019</w:t>
            </w:r>
          </w:p>
        </w:tc>
        <w:tc>
          <w:tcPr>
            <w:tcW w:w="7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1,796</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51"/>
        </w:trPr>
        <w:tc>
          <w:tcPr>
            <w:tcW w:w="340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Balance at March 31, 2020</w:t>
            </w:r>
          </w:p>
        </w:tc>
        <w:tc>
          <w:tcPr>
            <w:tcW w:w="720" w:type="dxa"/>
            <w:vAlign w:val="bottom"/>
            <w:shd w:val="clear" w:color="auto" w:fill="CFF0FC"/>
          </w:tcPr>
          <w:p>
            <w:pPr>
              <w:jc w:val="right"/>
              <w:ind w:right="572"/>
              <w:spacing w:after="0" w:line="151"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593"/>
              <w:spacing w:after="0" w:line="151"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FF0FC"/>
          </w:tcPr>
          <w:p>
            <w:pPr>
              <w:spacing w:after="0" w:line="151"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572"/>
              <w:spacing w:after="0" w:line="151"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FF0FC"/>
          </w:tcPr>
          <w:p>
            <w:pPr>
              <w:ind w:left="180"/>
              <w:spacing w:after="0" w:line="151"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1,804</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1"/>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(1,031)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(81)</w:t>
            </w:r>
          </w:p>
        </w:tc>
        <w:tc>
          <w:tcPr>
            <w:tcW w:w="300" w:type="dxa"/>
            <w:vAlign w:val="bottom"/>
            <w:gridSpan w:val="2"/>
            <w:shd w:val="clear" w:color="auto" w:fill="CFF0FC"/>
          </w:tcPr>
          <w:p>
            <w:pPr>
              <w:jc w:val="right"/>
              <w:ind w:right="32"/>
              <w:spacing w:after="0" w:line="151"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70"/>
              <w:spacing w:after="0" w:line="151" w:lineRule="exact"/>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78"/>
        </w:trPr>
        <w:tc>
          <w:tcPr>
            <w:tcW w:w="3400" w:type="dxa"/>
            <w:vAlign w:val="bottom"/>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720" w:type="dxa"/>
            <w:vAlign w:val="bottom"/>
          </w:tcPr>
          <w:p>
            <w:pPr>
              <w:spacing w:after="0"/>
              <w:rPr>
                <w:sz w:val="15"/>
                <w:szCs w:val="15"/>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63"/>
        </w:trPr>
        <w:tc>
          <w:tcPr>
            <w:tcW w:w="3400" w:type="dxa"/>
            <w:vAlign w:val="bottom"/>
          </w:tcPr>
          <w:p>
            <w:pPr>
              <w:ind w:left="200"/>
              <w:spacing w:after="0"/>
              <w:rPr>
                <w:sz w:val="20"/>
                <w:szCs w:val="20"/>
                <w:color w:val="auto"/>
              </w:rPr>
            </w:pPr>
            <w:r>
              <w:rPr>
                <w:rFonts w:ascii="Arial" w:cs="Arial" w:eastAsia="Arial" w:hAnsi="Arial"/>
                <w:sz w:val="14"/>
                <w:szCs w:val="14"/>
                <w:color w:val="auto"/>
              </w:rPr>
              <w:t>swaps</w:t>
            </w:r>
          </w:p>
        </w:tc>
        <w:tc>
          <w:tcPr>
            <w:tcW w:w="7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72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23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68"/>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720" w:type="dxa"/>
            <w:vAlign w:val="bottom"/>
            <w:tcBorders>
              <w:top w:val="single" w:sz="8" w:color="auto"/>
              <w:bottom w:val="single" w:sz="8" w:color="auto"/>
            </w:tcBorders>
            <w:shd w:val="clear" w:color="auto" w:fill="CFF0FC"/>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1,806</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(1,027)</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(85)</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b w:val="1"/>
                <w:bCs w:val="1"/>
                <w:color w:val="auto"/>
              </w:rPr>
              <w:t>695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Six months ended</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50"/>
              <w:spacing w:after="0" w:line="141" w:lineRule="exact"/>
              <w:rPr>
                <w:sz w:val="20"/>
                <w:szCs w:val="20"/>
                <w:color w:val="auto"/>
              </w:rPr>
            </w:pPr>
            <w:r>
              <w:rPr>
                <w:rFonts w:ascii="Arial" w:cs="Arial" w:eastAsia="Arial" w:hAnsi="Arial"/>
                <w:sz w:val="13"/>
                <w:szCs w:val="13"/>
                <w:b w:val="1"/>
                <w:bCs w:val="1"/>
                <w:color w:val="auto"/>
                <w:w w:val="96"/>
              </w:rPr>
              <w:t>Non-voting</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7"/>
              </w:rPr>
              <w:t>Accumulated</w:t>
            </w:r>
          </w:p>
        </w:tc>
        <w:tc>
          <w:tcPr>
            <w:tcW w:w="12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left="75"/>
              <w:spacing w:after="0" w:line="141" w:lineRule="exact"/>
              <w:rPr>
                <w:sz w:val="20"/>
                <w:szCs w:val="20"/>
                <w:color w:val="auto"/>
              </w:rPr>
            </w:pPr>
            <w:r>
              <w:rPr>
                <w:rFonts w:ascii="Arial" w:cs="Arial" w:eastAsia="Arial" w:hAnsi="Arial"/>
                <w:sz w:val="13"/>
                <w:szCs w:val="13"/>
                <w:b w:val="1"/>
                <w:bCs w:val="1"/>
                <w:color w:val="auto"/>
                <w:w w:val="95"/>
              </w:rPr>
              <w:t>Common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Preferred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9"/>
              </w:rPr>
              <w:t>(Deficit)</w:t>
            </w:r>
          </w:p>
        </w:tc>
        <w:tc>
          <w:tcPr>
            <w:tcW w:w="1200" w:type="dxa"/>
            <w:vAlign w:val="bottom"/>
            <w:gridSpan w:val="3"/>
          </w:tcPr>
          <w:p>
            <w:pPr>
              <w:jc w:val="center"/>
              <w:ind w:right="280"/>
              <w:spacing w:after="0" w:line="141" w:lineRule="exact"/>
              <w:rPr>
                <w:sz w:val="20"/>
                <w:szCs w:val="20"/>
                <w:color w:val="auto"/>
              </w:rPr>
            </w:pPr>
            <w:r>
              <w:rPr>
                <w:rFonts w:ascii="Arial" w:cs="Arial" w:eastAsia="Arial" w:hAnsi="Arial"/>
                <w:sz w:val="13"/>
                <w:szCs w:val="13"/>
                <w:b w:val="1"/>
                <w:bCs w:val="1"/>
                <w:color w:val="auto"/>
                <w:w w:val="95"/>
              </w:rPr>
              <w:t>(Loss) Income,</w:t>
            </w:r>
          </w:p>
        </w:tc>
        <w:tc>
          <w:tcPr>
            <w:tcW w:w="1000" w:type="dxa"/>
            <w:vAlign w:val="bottom"/>
            <w:gridSpan w:val="2"/>
          </w:tcPr>
          <w:p>
            <w:pPr>
              <w:jc w:val="right"/>
              <w:ind w:right="90"/>
              <w:spacing w:after="0" w:line="141"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34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center"/>
              <w:ind w:left="75"/>
              <w:spacing w:after="0"/>
              <w:rPr>
                <w:sz w:val="20"/>
                <w:szCs w:val="20"/>
                <w:color w:val="auto"/>
              </w:rPr>
            </w:pPr>
            <w:r>
              <w:rPr>
                <w:rFonts w:ascii="Arial" w:cs="Arial" w:eastAsia="Arial" w:hAnsi="Arial"/>
                <w:sz w:val="13"/>
                <w:szCs w:val="13"/>
                <w:b w:val="1"/>
                <w:bCs w:val="1"/>
                <w:color w:val="auto"/>
                <w:w w:val="95"/>
              </w:rPr>
              <w:t>Stock</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3"/>
              </w:rPr>
              <w:t>net of tax</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8"/>
        </w:trPr>
        <w:tc>
          <w:tcPr>
            <w:tcW w:w="348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2018</w:t>
            </w:r>
          </w:p>
        </w:tc>
        <w:tc>
          <w:tcPr>
            <w:tcW w:w="720" w:type="dxa"/>
            <w:vAlign w:val="bottom"/>
            <w:shd w:val="clear" w:color="auto" w:fill="CFF0FC"/>
          </w:tcPr>
          <w:p>
            <w:pPr>
              <w:jc w:val="right"/>
              <w:ind w:right="572"/>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1</w:t>
            </w:r>
          </w:p>
        </w:tc>
        <w:tc>
          <w:tcPr>
            <w:tcW w:w="860" w:type="dxa"/>
            <w:vAlign w:val="bottom"/>
            <w:gridSpan w:val="2"/>
            <w:shd w:val="clear" w:color="auto" w:fill="CFF0FC"/>
          </w:tcPr>
          <w:p>
            <w:pPr>
              <w:jc w:val="right"/>
              <w:ind w:right="57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57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1,788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3</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8"/>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swaps</w:t>
            </w: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72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Arial" w:cs="Arial" w:eastAsia="Arial" w:hAnsi="Arial"/>
                <w:sz w:val="14"/>
                <w:szCs w:val="14"/>
                <w:color w:val="auto"/>
              </w:rPr>
              <w:t>Impact of adopting accounting standards</w:t>
            </w:r>
          </w:p>
        </w:tc>
        <w:tc>
          <w:tcPr>
            <w:tcW w:w="72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4"/>
                <w:szCs w:val="14"/>
                <w:color w:val="auto"/>
              </w:rPr>
              <w:t>348</w:t>
            </w:r>
          </w:p>
        </w:tc>
        <w:tc>
          <w:tcPr>
            <w:tcW w:w="14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20"/>
                <w:szCs w:val="20"/>
                <w:color w:val="auto"/>
              </w:rPr>
            </w:pPr>
            <w:r>
              <w:rPr>
                <w:rFonts w:ascii="Arial" w:cs="Arial" w:eastAsia="Arial" w:hAnsi="Arial"/>
                <w:sz w:val="14"/>
                <w:szCs w:val="14"/>
                <w:color w:val="auto"/>
              </w:rPr>
              <w:t>Balance at June 30, 2019</w:t>
            </w:r>
          </w:p>
        </w:tc>
        <w:tc>
          <w:tcPr>
            <w:tcW w:w="720" w:type="dxa"/>
            <w:vAlign w:val="bottom"/>
          </w:tcPr>
          <w:p>
            <w:pPr>
              <w:jc w:val="right"/>
              <w:ind w:right="572"/>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860" w:type="dxa"/>
            <w:vAlign w:val="bottom"/>
            <w:gridSpan w:val="2"/>
          </w:tcPr>
          <w:p>
            <w:pPr>
              <w:jc w:val="right"/>
              <w:ind w:right="57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75"/>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1,796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(1,082)</w:t>
            </w:r>
          </w:p>
        </w:tc>
        <w:tc>
          <w:tcPr>
            <w:tcW w:w="1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6"/>
                <w:szCs w:val="16"/>
                <w:color w:val="auto"/>
              </w:rPr>
            </w:pP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8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Balance at December 31, 2019</w:t>
            </w:r>
          </w:p>
        </w:tc>
        <w:tc>
          <w:tcPr>
            <w:tcW w:w="720" w:type="dxa"/>
            <w:vAlign w:val="bottom"/>
            <w:shd w:val="clear" w:color="auto" w:fill="CFF0FC"/>
          </w:tcPr>
          <w:p>
            <w:pPr>
              <w:jc w:val="right"/>
              <w:ind w:right="572"/>
              <w:spacing w:after="0" w:line="151"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ind w:right="30"/>
              <w:spacing w:after="0" w:line="151" w:lineRule="exact"/>
              <w:rPr>
                <w:sz w:val="20"/>
                <w:szCs w:val="20"/>
                <w:color w:val="auto"/>
              </w:rPr>
            </w:pPr>
            <w:r>
              <w:rPr>
                <w:rFonts w:ascii="Arial" w:cs="Arial" w:eastAsia="Arial" w:hAnsi="Arial"/>
                <w:sz w:val="14"/>
                <w:szCs w:val="14"/>
                <w:color w:val="auto"/>
              </w:rPr>
              <w:t>1</w:t>
            </w:r>
          </w:p>
        </w:tc>
        <w:tc>
          <w:tcPr>
            <w:tcW w:w="860" w:type="dxa"/>
            <w:vAlign w:val="bottom"/>
            <w:gridSpan w:val="2"/>
            <w:shd w:val="clear" w:color="auto" w:fill="CFF0FC"/>
          </w:tcPr>
          <w:p>
            <w:pPr>
              <w:jc w:val="right"/>
              <w:ind w:right="575"/>
              <w:spacing w:after="0" w:line="151"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575"/>
              <w:spacing w:after="0" w:line="151"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ind w:left="120"/>
              <w:spacing w:after="0" w:line="151"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1,802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(970)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(52)</w:t>
            </w:r>
          </w:p>
        </w:tc>
        <w:tc>
          <w:tcPr>
            <w:tcW w:w="1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b w:val="1"/>
                <w:bCs w:val="1"/>
                <w:color w:val="auto"/>
                <w:w w:val="99"/>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4"/>
                <w:szCs w:val="14"/>
                <w:b w:val="1"/>
                <w:bCs w:val="1"/>
                <w:color w:val="auto"/>
                <w:w w:val="99"/>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72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b w:val="1"/>
                <w:bCs w:val="1"/>
                <w:color w:val="auto"/>
                <w:w w:val="99"/>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78"/>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720" w:type="dxa"/>
            <w:vAlign w:val="bottom"/>
            <w:shd w:val="clear" w:color="auto" w:fill="CFF0FC"/>
          </w:tcPr>
          <w:p>
            <w:pPr>
              <w:spacing w:after="0"/>
              <w:rPr>
                <w:sz w:val="15"/>
                <w:szCs w:val="15"/>
                <w:color w:val="auto"/>
              </w:rPr>
            </w:pPr>
          </w:p>
        </w:tc>
        <w:tc>
          <w:tcPr>
            <w:tcW w:w="260" w:type="dxa"/>
            <w:vAlign w:val="bottom"/>
            <w:vMerge w:val="restart"/>
            <w:shd w:val="clear" w:color="auto" w:fill="CFF0FC"/>
          </w:tcPr>
          <w:p>
            <w:pPr>
              <w:jc w:val="right"/>
              <w:ind w:right="30"/>
              <w:spacing w:after="0"/>
              <w:rPr>
                <w:sz w:val="20"/>
                <w:szCs w:val="20"/>
                <w:color w:val="auto"/>
              </w:rPr>
            </w:pPr>
            <w:r>
              <w:rPr>
                <w:rFonts w:ascii="Arial" w:cs="Arial" w:eastAsia="Arial" w:hAnsi="Arial"/>
                <w:sz w:val="14"/>
                <w:szCs w:val="14"/>
                <w:b w:val="1"/>
                <w:bCs w:val="1"/>
                <w:color w:val="auto"/>
                <w:w w:val="99"/>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(25)</w:t>
            </w: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63"/>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swaps</w:t>
            </w:r>
          </w:p>
        </w:tc>
        <w:tc>
          <w:tcPr>
            <w:tcW w:w="72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72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b w:val="1"/>
                <w:bCs w:val="1"/>
                <w:color w:val="auto"/>
                <w:w w:val="99"/>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4"/>
                <w:szCs w:val="14"/>
                <w:b w:val="1"/>
                <w:bCs w:val="1"/>
                <w:color w:val="auto"/>
                <w:w w:val="99"/>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176"/>
        </w:trPr>
        <w:tc>
          <w:tcPr>
            <w:tcW w:w="348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720" w:type="dxa"/>
            <w:vAlign w:val="bottom"/>
          </w:tcPr>
          <w:p>
            <w:pPr>
              <w:spacing w:after="0"/>
              <w:rPr>
                <w:sz w:val="15"/>
                <w:szCs w:val="15"/>
                <w:color w:val="auto"/>
              </w:rPr>
            </w:pPr>
          </w:p>
        </w:tc>
        <w:tc>
          <w:tcPr>
            <w:tcW w:w="260" w:type="dxa"/>
            <w:vAlign w:val="bottom"/>
          </w:tcPr>
          <w:p>
            <w:pPr>
              <w:jc w:val="right"/>
              <w:ind w:right="30"/>
              <w:spacing w:after="0"/>
              <w:rPr>
                <w:sz w:val="20"/>
                <w:szCs w:val="20"/>
                <w:color w:val="auto"/>
              </w:rPr>
            </w:pPr>
            <w:r>
              <w:rPr>
                <w:rFonts w:ascii="Arial" w:cs="Arial" w:eastAsia="Arial" w:hAnsi="Arial"/>
                <w:sz w:val="14"/>
                <w:szCs w:val="14"/>
                <w:b w:val="1"/>
                <w:bCs w:val="1"/>
                <w:color w:val="auto"/>
                <w:w w:val="99"/>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76"/>
        </w:trPr>
        <w:tc>
          <w:tcPr>
            <w:tcW w:w="3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4"/>
                <w:szCs w:val="14"/>
                <w:b w:val="1"/>
                <w:bCs w:val="1"/>
                <w:color w:val="auto"/>
                <w:w w:val="99"/>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4"/>
                <w:szCs w:val="14"/>
                <w:b w:val="1"/>
                <w:bCs w:val="1"/>
                <w:color w:val="auto"/>
              </w:rPr>
              <w:t>162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20"/>
                <w:szCs w:val="20"/>
                <w:color w:val="auto"/>
              </w:rPr>
            </w:pPr>
            <w:r>
              <w:rPr>
                <w:rFonts w:ascii="Arial" w:cs="Arial" w:eastAsia="Arial" w:hAnsi="Arial"/>
                <w:sz w:val="14"/>
                <w:szCs w:val="14"/>
                <w:color w:val="auto"/>
              </w:rPr>
              <w:t>Balance at June 30, 2020</w:t>
            </w:r>
          </w:p>
        </w:tc>
        <w:tc>
          <w:tcPr>
            <w:tcW w:w="7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1,806</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(1,027)</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695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OVERVIEW</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Overview</w:t>
      </w:r>
    </w:p>
    <w:p>
      <w:pPr>
        <w:spacing w:after="0" w:line="104" w:lineRule="exact"/>
        <w:rPr>
          <w:sz w:val="20"/>
          <w:szCs w:val="20"/>
          <w:color w:val="auto"/>
        </w:rPr>
      </w:pPr>
    </w:p>
    <w:p>
      <w:pPr>
        <w:ind w:right="240" w:firstLine="528"/>
        <w:spacing w:after="0" w:line="252" w:lineRule="auto"/>
        <w:rPr>
          <w:sz w:val="20"/>
          <w:szCs w:val="20"/>
          <w:color w:val="auto"/>
        </w:rPr>
      </w:pPr>
      <w:r>
        <w:rPr>
          <w:rFonts w:ascii="Arial" w:cs="Arial" w:eastAsia="Arial" w:hAnsi="Arial"/>
          <w:sz w:val="15"/>
          <w:szCs w:val="15"/>
          <w:color w:val="auto"/>
        </w:rPr>
        <w:t>Allison Transmission Holdings, Inc. and its subsidiaries (“Allison,” or the “Company”) design and manufacture vehicle propulsion solutions, including commercial 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00" w:firstLine="528"/>
        <w:spacing w:after="0" w:line="234" w:lineRule="auto"/>
        <w:rPr>
          <w:sz w:val="20"/>
          <w:szCs w:val="20"/>
          <w:color w:val="auto"/>
        </w:rPr>
      </w:pPr>
      <w:r>
        <w:rPr>
          <w:rFonts w:ascii="Arial" w:cs="Arial" w:eastAsia="Arial" w:hAnsi="Arial"/>
          <w:sz w:val="16"/>
          <w:szCs w:val="16"/>
          <w:color w:val="auto"/>
        </w:rPr>
        <w:t>Although approximately 77% of revenues were generated in North America in 2019, the Company has a global presence by serving customers in Europe, Asia, South America and Africa. The Company serves customers through an independent network of approximately 1,500 independent distributor and dealer locations worldwide.</w:t>
      </w:r>
    </w:p>
    <w:p>
      <w:pPr>
        <w:spacing w:after="0" w:line="84" w:lineRule="exact"/>
        <w:rPr>
          <w:sz w:val="20"/>
          <w:szCs w:val="20"/>
          <w:color w:val="auto"/>
        </w:rPr>
      </w:pPr>
    </w:p>
    <w:p>
      <w:pPr>
        <w:ind w:firstLine="528"/>
        <w:spacing w:after="0" w:line="233"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and it continues to impact the United States and other major markets in which the Company operates across the world, resulting in severe disruptions to global markets and supply chains, significant uncertainty and a weaker global outlook. The effects of the pandemic on the global economy had a material impact on demand for the Company’s products and to the Company’s results of operations during the second quarter 2020 as our suppliers and customers reduced or halted production.</w:t>
      </w:r>
    </w:p>
    <w:p>
      <w:pPr>
        <w:spacing w:after="0" w:line="84" w:lineRule="exact"/>
        <w:rPr>
          <w:sz w:val="20"/>
          <w:szCs w:val="20"/>
          <w:color w:val="auto"/>
        </w:rPr>
      </w:pPr>
    </w:p>
    <w:p>
      <w:pPr>
        <w:ind w:right="180" w:firstLine="528"/>
        <w:spacing w:after="0" w:line="250" w:lineRule="auto"/>
        <w:rPr>
          <w:sz w:val="20"/>
          <w:szCs w:val="20"/>
          <w:color w:val="auto"/>
        </w:rPr>
      </w:pPr>
      <w:r>
        <w:rPr>
          <w:rFonts w:ascii="Arial" w:cs="Arial" w:eastAsia="Arial" w:hAnsi="Arial"/>
          <w:sz w:val="15"/>
          <w:szCs w:val="15"/>
          <w:color w:val="auto"/>
        </w:rPr>
        <w:t>To limit the spread of COVID-19, governments have taken various actions including travel bans and restrictions, quarantines, curfews, stay-at-home orders, social distancing guidelines and business shutdowns and closures. Despite these ongoing disruptions, the Company has continued its manufacturing operations throughout 2020 allowing the Company to deliver its products to customers without interruption. However, the Company’s manufacturing facilities in Hungary, India, and Tennessee suspended operations, for varying lengths of time, and the Company’s global manufacturing facilities have cut back on operating levels and shifts as a result of government orders, the Company’s inability to obtain component parts from suppliers and/or decreased customer demand.</w:t>
      </w:r>
    </w:p>
    <w:p>
      <w:pPr>
        <w:spacing w:after="0" w:line="76" w:lineRule="exact"/>
        <w:rPr>
          <w:sz w:val="20"/>
          <w:szCs w:val="20"/>
          <w:color w:val="auto"/>
        </w:rPr>
      </w:pPr>
    </w:p>
    <w:p>
      <w:pPr>
        <w:ind w:right="60" w:firstLine="528"/>
        <w:spacing w:after="0" w:line="232" w:lineRule="auto"/>
        <w:rPr>
          <w:sz w:val="20"/>
          <w:szCs w:val="20"/>
          <w:color w:val="auto"/>
        </w:rPr>
      </w:pPr>
      <w:r>
        <w:rPr>
          <w:rFonts w:ascii="Arial" w:cs="Arial" w:eastAsia="Arial" w:hAnsi="Arial"/>
          <w:sz w:val="16"/>
          <w:szCs w:val="16"/>
          <w:color w:val="auto"/>
        </w:rPr>
        <w:t>We are taking a variety of measures to promote the safety and security of our employees and to maintain operations with as minimal impact as possible to our stakeholders, including increased frequency of cleaning and disinfecting of facilities, social distancing, remote working when possible, travel restrictions and limitations on visitor access to facilities. We are also working to align operations, programs and spending across our entire business with current conditions, including reduced compensation expense through restructuring initiatives of both hourly and salary employees related to voluntary and involuntary separation programs, furloughs of a portion of our workforce, reducing overtime, and assessing the timing and cadence of various capital investments and product development initiatives.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 SUMMARY OF SIGNIFICANT ACCOUNTING POLICIES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04" w:lineRule="exact"/>
        <w:rPr>
          <w:sz w:val="20"/>
          <w:szCs w:val="20"/>
          <w:color w:val="auto"/>
        </w:rPr>
      </w:pPr>
    </w:p>
    <w:p>
      <w:pPr>
        <w:ind w:right="20" w:firstLine="528"/>
        <w:spacing w:after="0" w:line="232" w:lineRule="auto"/>
        <w:rPr>
          <w:sz w:val="20"/>
          <w:szCs w:val="20"/>
          <w:color w:val="auto"/>
        </w:rPr>
      </w:pPr>
      <w:r>
        <w:rPr>
          <w:rFonts w:ascii="Arial" w:cs="Arial" w:eastAsia="Arial" w:hAnsi="Arial"/>
          <w:sz w:val="16"/>
          <w:szCs w:val="16"/>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84" w:lineRule="exact"/>
        <w:rPr>
          <w:sz w:val="20"/>
          <w:szCs w:val="20"/>
          <w:color w:val="auto"/>
        </w:rPr>
      </w:pPr>
    </w:p>
    <w:p>
      <w:pPr>
        <w:ind w:right="120" w:firstLine="528"/>
        <w:spacing w:after="0" w:line="232" w:lineRule="auto"/>
        <w:rPr>
          <w:sz w:val="20"/>
          <w:szCs w:val="20"/>
          <w:color w:val="auto"/>
        </w:rPr>
      </w:pPr>
      <w:r>
        <w:rPr>
          <w:rFonts w:ascii="Arial" w:cs="Arial" w:eastAsia="Arial" w:hAnsi="Arial"/>
          <w:sz w:val="16"/>
          <w:szCs w:val="16"/>
          <w:color w:val="auto"/>
        </w:rPr>
        <w:t>These condensed consolidated financial statements present the financial position, results of comprehensive income, cash flows and statements of stockholders’ equity of the Company. The condensed consolidated financial statements should be read in conjunction with the audited consolidated financial statements included in the Company’s Form 10-K for the year ended December 31, 2019 as filed with the Securities and Exchange Commission on February 27, 2020. The interim period financial results for the three- and six-month periods presented are not necessarily indicative of results to be expected for any other interim period or for the entire year.</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0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and other assumptions for pension and other post-retirement benefit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continued uncertainty related to the ongoing COVID-19 pandemic, actual results could differ materially from the estimates and assumptions used in preparation of the financial statements including, but not limited to, future cash flows associated with goodwill, indefinite life intangibles, definite life intangibles, long-lived impairment tests, determination of discount and other assumptions for pension and other post-retirement benefit expense and income taxes. Changes in estimates are recorded in results of operations in the period that the events or circumstances giving rise to such changes occur.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04" w:lineRule="exact"/>
        <w:rPr>
          <w:sz w:val="20"/>
          <w:szCs w:val="20"/>
          <w:color w:val="auto"/>
        </w:rPr>
      </w:pPr>
    </w:p>
    <w:p>
      <w:pPr>
        <w:ind w:right="80" w:firstLine="528"/>
        <w:spacing w:after="0" w:line="233" w:lineRule="auto"/>
        <w:rPr>
          <w:sz w:val="20"/>
          <w:szCs w:val="20"/>
          <w:color w:val="auto"/>
        </w:rPr>
      </w:pPr>
      <w:r>
        <w:rPr>
          <w:rFonts w:ascii="Arial" w:cs="Arial" w:eastAsia="Arial" w:hAnsi="Arial"/>
          <w:sz w:val="16"/>
          <w:szCs w:val="16"/>
          <w:color w:val="auto"/>
        </w:rPr>
        <w:t>In June 2016, the Financial Accounting Standards Board (“FASB”) issued authoritative accounting guidance on the presentation of financial assets at the net amount expected to be collected, which guidance has subsequently been amended. The guidance also requires the disclosure of financing receivables disaggregated by the year of origination. The Company adopted this guidance using a modified retrospective approach effective January 1, 2020. The adoption of this guidance did not have a material impact on the Company's condensed consolidated financial statements.</w:t>
      </w:r>
    </w:p>
    <w:p>
      <w:pPr>
        <w:spacing w:after="0" w:line="131" w:lineRule="exact"/>
        <w:rPr>
          <w:sz w:val="20"/>
          <w:szCs w:val="20"/>
          <w:color w:val="auto"/>
        </w:rPr>
      </w:pPr>
    </w:p>
    <w:p>
      <w:pPr>
        <w:ind w:firstLine="522"/>
        <w:spacing w:after="0" w:line="255" w:lineRule="auto"/>
        <w:rPr>
          <w:sz w:val="20"/>
          <w:szCs w:val="20"/>
          <w:color w:val="auto"/>
        </w:rPr>
      </w:pPr>
      <w:r>
        <w:rPr>
          <w:rFonts w:ascii="Arial" w:cs="Arial" w:eastAsia="Arial" w:hAnsi="Arial"/>
          <w:sz w:val="15"/>
          <w:szCs w:val="15"/>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Company adopted this guidance effective January 1, 2020. The adoption of this guidance did not have a material impact on the Company's condensed consolidated financial statements.</w:t>
      </w:r>
    </w:p>
    <w:p>
      <w:pPr>
        <w:spacing w:after="0" w:line="73" w:lineRule="exact"/>
        <w:rPr>
          <w:sz w:val="20"/>
          <w:szCs w:val="20"/>
          <w:color w:val="auto"/>
        </w:rPr>
      </w:pPr>
    </w:p>
    <w:p>
      <w:pPr>
        <w:jc w:val="both"/>
        <w:ind w:right="80" w:firstLine="528"/>
        <w:spacing w:after="0" w:line="233" w:lineRule="auto"/>
        <w:rPr>
          <w:sz w:val="20"/>
          <w:szCs w:val="20"/>
          <w:color w:val="auto"/>
        </w:rPr>
      </w:pPr>
      <w:r>
        <w:rPr>
          <w:rFonts w:ascii="Arial" w:cs="Arial" w:eastAsia="Arial" w:hAnsi="Arial"/>
          <w:sz w:val="16"/>
          <w:szCs w:val="16"/>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Company adopted this guidance on a prospective basis effective January 1, 2020. The adoption of this guidance did not have a material impact on the Company's condensed consolidated financial statements.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4" w:lineRule="exact"/>
        <w:rPr>
          <w:sz w:val="20"/>
          <w:szCs w:val="20"/>
          <w:color w:val="auto"/>
        </w:rPr>
      </w:pPr>
    </w:p>
    <w:p>
      <w:pPr>
        <w:ind w:right="240" w:firstLine="528"/>
        <w:spacing w:after="0" w:line="255" w:lineRule="auto"/>
        <w:rPr>
          <w:sz w:val="20"/>
          <w:szCs w:val="20"/>
          <w:color w:val="auto"/>
        </w:rPr>
      </w:pPr>
      <w:r>
        <w:rPr>
          <w:rFonts w:ascii="Arial" w:cs="Arial" w:eastAsia="Arial" w:hAnsi="Arial"/>
          <w:sz w:val="15"/>
          <w:szCs w:val="15"/>
          <w:color w:val="auto"/>
        </w:rPr>
        <w:t>In August 2018, the FASB issued authoritative accounting guidance amending disclosure requirements for the Company's defined benefit pension plans and other postretirement benefit plan. The guidance will be effective for the Company in 2021, and the Company does not plan to early adopt. Management is currently identifying and evaluating the impact of this guidance on the Company's disclosures and condensed consolidated financial statements.</w:t>
      </w:r>
    </w:p>
    <w:p>
      <w:pPr>
        <w:spacing w:after="0" w:line="73" w:lineRule="exact"/>
        <w:rPr>
          <w:sz w:val="20"/>
          <w:szCs w:val="20"/>
          <w:color w:val="auto"/>
        </w:rPr>
      </w:pPr>
    </w:p>
    <w:p>
      <w:pPr>
        <w:ind w:right="100" w:firstLine="528"/>
        <w:spacing w:after="0" w:line="234" w:lineRule="auto"/>
        <w:rPr>
          <w:sz w:val="20"/>
          <w:szCs w:val="20"/>
          <w:color w:val="auto"/>
        </w:rPr>
      </w:pPr>
      <w:r>
        <w:rPr>
          <w:rFonts w:ascii="Arial" w:cs="Arial" w:eastAsia="Arial" w:hAnsi="Arial"/>
          <w:sz w:val="16"/>
          <w:szCs w:val="16"/>
          <w:color w:val="auto"/>
        </w:rPr>
        <w:t>In December 2019, the FASB issued authoritative accounting guidance to simplify the accounting for income taxes. The guidance identifies specific exceptions to be removed from the calculation and reporting of income taxes. The guidance will be effective for the Company in 2021, and the Company does not plan to early adopt. Management is currently evaluating the impact of this guidance on the Company's condensed consolidated financial statements.</w:t>
      </w:r>
    </w:p>
    <w:p>
      <w:pPr>
        <w:spacing w:after="0" w:line="84" w:lineRule="exact"/>
        <w:rPr>
          <w:sz w:val="20"/>
          <w:szCs w:val="20"/>
          <w:color w:val="auto"/>
        </w:rPr>
      </w:pPr>
    </w:p>
    <w:p>
      <w:pPr>
        <w:ind w:right="100" w:firstLine="528"/>
        <w:spacing w:after="0" w:line="232" w:lineRule="auto"/>
        <w:rPr>
          <w:sz w:val="20"/>
          <w:szCs w:val="20"/>
          <w:color w:val="auto"/>
        </w:rPr>
      </w:pPr>
      <w:r>
        <w:rPr>
          <w:rFonts w:ascii="Arial" w:cs="Arial" w:eastAsia="Arial" w:hAnsi="Arial"/>
          <w:sz w:val="16"/>
          <w:szCs w:val="16"/>
          <w:color w:val="auto"/>
        </w:rPr>
        <w:t>In March 2020, the FASB issued authoritative accounting guidance regarding highly effective cash flow hedges affected by reference rate reform. The guidance allows the Company to continue to classify its interest rate hedges as highly effective subsequent to reference rate reform under certain circumstances. The guidance may be adopted in any interim period between March 2020 and December 2020, with the amendments applied prospectively. Upon adoption, management expects to be able to elect the optional expedient within this guidance upon the Company’s transition from the London Interbank Offered Rate (“LIBOR”) to an alternative reference rate. The election of the optional expedient is expected to allow for the continuation of the Company’s existing contracts with no impact on the Company’s condensed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 REVENUE</w:t>
      </w:r>
    </w:p>
    <w:p>
      <w:pPr>
        <w:spacing w:after="0" w:line="106" w:lineRule="exact"/>
        <w:rPr>
          <w:sz w:val="20"/>
          <w:szCs w:val="20"/>
          <w:color w:val="auto"/>
        </w:rPr>
      </w:pPr>
    </w:p>
    <w:p>
      <w:pPr>
        <w:ind w:right="80" w:firstLine="528"/>
        <w:spacing w:after="0" w:line="232" w:lineRule="auto"/>
        <w:rPr>
          <w:sz w:val="20"/>
          <w:szCs w:val="20"/>
          <w:color w:val="auto"/>
        </w:rPr>
      </w:pPr>
      <w:r>
        <w:rPr>
          <w:rFonts w:ascii="Arial" w:cs="Arial" w:eastAsia="Arial" w:hAnsi="Arial"/>
          <w:sz w:val="16"/>
          <w:szCs w:val="16"/>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85" w:lineRule="exact"/>
        <w:rPr>
          <w:sz w:val="20"/>
          <w:szCs w:val="20"/>
          <w:color w:val="auto"/>
        </w:rPr>
      </w:pPr>
    </w:p>
    <w:p>
      <w:pPr>
        <w:jc w:val="both"/>
        <w:ind w:right="220" w:firstLine="528"/>
        <w:spacing w:after="0" w:line="234" w:lineRule="auto"/>
        <w:rPr>
          <w:sz w:val="20"/>
          <w:szCs w:val="20"/>
          <w:color w:val="auto"/>
        </w:rPr>
      </w:pPr>
      <w:r>
        <w:rPr>
          <w:rFonts w:ascii="Arial" w:cs="Arial" w:eastAsia="Arial" w:hAnsi="Arial"/>
          <w:sz w:val="16"/>
          <w:szCs w:val="16"/>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84" w:lineRule="exact"/>
        <w:rPr>
          <w:sz w:val="20"/>
          <w:szCs w:val="20"/>
          <w:color w:val="auto"/>
        </w:rPr>
      </w:pPr>
    </w:p>
    <w:p>
      <w:pPr>
        <w:ind w:right="20" w:firstLine="528"/>
        <w:spacing w:after="0" w:line="252" w:lineRule="auto"/>
        <w:rPr>
          <w:sz w:val="20"/>
          <w:szCs w:val="20"/>
          <w:color w:val="auto"/>
        </w:rPr>
      </w:pPr>
      <w:r>
        <w:rPr>
          <w:rFonts w:ascii="Arial" w:cs="Arial" w:eastAsia="Arial" w:hAnsi="Arial"/>
          <w:sz w:val="15"/>
          <w:szCs w:val="15"/>
          <w:color w:val="auto"/>
        </w:rPr>
        <w:t>The Company may also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adjustments based on variable consideration during the three and six months ended June 30, 2020 and 2019.</w:t>
      </w:r>
    </w:p>
    <w:p>
      <w:pPr>
        <w:spacing w:after="0" w:line="74" w:lineRule="exact"/>
        <w:rPr>
          <w:sz w:val="20"/>
          <w:szCs w:val="20"/>
          <w:color w:val="auto"/>
        </w:rPr>
      </w:pPr>
    </w:p>
    <w:p>
      <w:pPr>
        <w:ind w:right="240" w:firstLine="528"/>
        <w:spacing w:after="0" w:line="232"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June 30, 2020 and December 31, 2019. See Note J, “Deferred Revenue” for more information including the amount of revenue earned during the three and six months ended June 30, 2020 and 2019 that had been previously deferred. The Company had no contract assets as of June 30, 2020 and December 31, 2019.</w:t>
      </w:r>
    </w:p>
    <w:p>
      <w:pPr>
        <w:spacing w:after="0" w:line="85" w:lineRule="exact"/>
        <w:rPr>
          <w:sz w:val="20"/>
          <w:szCs w:val="20"/>
          <w:color w:val="auto"/>
        </w:rPr>
      </w:pPr>
    </w:p>
    <w:p>
      <w:pPr>
        <w:ind w:right="20" w:firstLine="528"/>
        <w:spacing w:after="0" w:line="237" w:lineRule="auto"/>
        <w:rPr>
          <w:sz w:val="20"/>
          <w:szCs w:val="20"/>
          <w:color w:val="auto"/>
        </w:rPr>
      </w:pPr>
      <w:r>
        <w:rPr>
          <w:rFonts w:ascii="Arial" w:cs="Arial" w:eastAsia="Arial" w:hAnsi="Arial"/>
          <w:sz w:val="16"/>
          <w:szCs w:val="16"/>
          <w:color w:val="auto"/>
        </w:rPr>
        <w:t>The following presents disaggregated revenue by categories that best depict how the nature, amount, timing and uncertainty of revenue and cash flows are affected by economic factors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4"/>
        </w:trPr>
        <w:tc>
          <w:tcPr>
            <w:tcW w:w="4320" w:type="dxa"/>
            <w:vAlign w:val="bottom"/>
            <w:tcBorders>
              <w:bottom w:val="single" w:sz="8" w:color="CFF0FC"/>
            </w:tcBorders>
          </w:tcPr>
          <w:p>
            <w:pPr>
              <w:spacing w:after="0"/>
              <w:rPr>
                <w:sz w:val="12"/>
                <w:szCs w:val="12"/>
                <w:color w:val="auto"/>
              </w:rPr>
            </w:pPr>
          </w:p>
        </w:tc>
        <w:tc>
          <w:tcPr>
            <w:tcW w:w="150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51"/>
              <w:spacing w:after="0" w:line="144"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5"/>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4"/>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15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164</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398</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516</w:t>
            </w:r>
          </w:p>
        </w:tc>
        <w:tc>
          <w:tcPr>
            <w:tcW w:w="38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64"/>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8"/>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15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42</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82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60</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6"/>
                <w:szCs w:val="16"/>
                <w:b w:val="1"/>
                <w:bCs w:val="1"/>
                <w:color w:val="auto"/>
              </w:rPr>
              <w:t>132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64"/>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8"/>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15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150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89</w:t>
            </w:r>
          </w:p>
        </w:tc>
        <w:tc>
          <w:tcPr>
            <w:tcW w:w="12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147</w:t>
            </w: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227</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15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377</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7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737</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1,014</w:t>
            </w:r>
          </w:p>
        </w:tc>
        <w:tc>
          <w:tcPr>
            <w:tcW w:w="38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bottom w:val="single" w:sz="8" w:color="CFF0FC"/>
            </w:tcBorders>
            <w:vMerge w:val="restart"/>
          </w:tcPr>
          <w:p>
            <w:pPr>
              <w:jc w:val="right"/>
              <w:ind w:right="22"/>
              <w:spacing w:after="0"/>
              <w:rPr>
                <w:sz w:val="20"/>
                <w:szCs w:val="20"/>
                <w:color w:val="auto"/>
              </w:rPr>
            </w:pPr>
            <w:r>
              <w:rPr>
                <w:rFonts w:ascii="Arial" w:cs="Arial" w:eastAsia="Arial" w:hAnsi="Arial"/>
                <w:sz w:val="16"/>
                <w:szCs w:val="16"/>
                <w:color w:val="auto"/>
              </w:rPr>
              <w:t>11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D. INVENTORIES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Inventories consisted of the following components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160" w:type="dxa"/>
            <w:vAlign w:val="bottom"/>
          </w:tcPr>
          <w:p>
            <w:pPr>
              <w:jc w:val="right"/>
              <w:ind w:right="70"/>
              <w:spacing w:after="0"/>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26"/>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77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6"/>
              <w:spacing w:after="0"/>
              <w:rPr>
                <w:sz w:val="20"/>
                <w:szCs w:val="20"/>
                <w:color w:val="auto"/>
              </w:rPr>
            </w:pPr>
            <w:r>
              <w:rPr>
                <w:rFonts w:ascii="Arial" w:cs="Arial" w:eastAsia="Arial" w:hAnsi="Arial"/>
                <w:sz w:val="13"/>
                <w:szCs w:val="13"/>
                <w:b w:val="1"/>
                <w:bCs w:val="1"/>
                <w:color w:val="auto"/>
              </w:rPr>
              <w:t>2019</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Purchased parts and raw materials</w:t>
            </w:r>
          </w:p>
        </w:tc>
        <w:tc>
          <w:tcPr>
            <w:tcW w:w="1160" w:type="dxa"/>
            <w:vAlign w:val="bottom"/>
            <w:shd w:val="clear" w:color="auto" w:fill="CFF0FC"/>
          </w:tcPr>
          <w:p>
            <w:pPr>
              <w:jc w:val="right"/>
              <w:ind w:right="99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90</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91</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Work in progress</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20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6"/>
              <w:spacing w:after="0"/>
              <w:rPr>
                <w:sz w:val="20"/>
                <w:szCs w:val="20"/>
                <w:color w:val="auto"/>
              </w:rPr>
            </w:pPr>
            <w:r>
              <w:rPr>
                <w:rFonts w:ascii="Arial" w:cs="Arial" w:eastAsia="Arial" w:hAnsi="Arial"/>
                <w:sz w:val="16"/>
                <w:szCs w:val="16"/>
                <w:color w:val="auto"/>
              </w:rPr>
              <w:t>17</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Service parts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55</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60</w:t>
            </w: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Finished goods</w:t>
            </w:r>
          </w:p>
        </w:tc>
        <w:tc>
          <w:tcPr>
            <w:tcW w:w="1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36</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31</w:t>
            </w:r>
          </w:p>
        </w:tc>
      </w:tr>
      <w:tr>
        <w:trPr>
          <w:trHeight w:val="180"/>
        </w:trPr>
        <w:tc>
          <w:tcPr>
            <w:tcW w:w="77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inventories</w:t>
            </w:r>
          </w:p>
        </w:tc>
        <w:tc>
          <w:tcPr>
            <w:tcW w:w="1160" w:type="dxa"/>
            <w:vAlign w:val="bottom"/>
            <w:shd w:val="clear" w:color="auto" w:fill="CFF0FC"/>
          </w:tcPr>
          <w:p>
            <w:pPr>
              <w:jc w:val="right"/>
              <w:ind w:right="99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201</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199</w:t>
            </w: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firstLine="522"/>
        <w:spacing w:after="0" w:line="234"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E. GOODWILL AND OTHER INTANGIBLE ASSETS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 2020 and December 31, 2019, the carrying amount of the Company’s Goodwill was $2,062 million and $2,041 million, respectively.</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other intangible assets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3"/>
                <w:szCs w:val="13"/>
                <w:b w:val="1"/>
                <w:bCs w:val="1"/>
                <w:color w:val="auto"/>
                <w:w w:val="94"/>
              </w:rPr>
              <w:t>June 30, 2020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5"/>
              </w:rPr>
              <w:t>December 31, 2019</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02"/>
        </w:trPr>
        <w:tc>
          <w:tcPr>
            <w:tcW w:w="3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w w:val="99"/>
              </w:rPr>
              <w:t>Intangible</w:t>
            </w:r>
          </w:p>
        </w:tc>
        <w:tc>
          <w:tcPr>
            <w:tcW w:w="80" w:type="dxa"/>
            <w:vAlign w:val="bottom"/>
          </w:tcPr>
          <w:p>
            <w:pPr>
              <w:spacing w:after="0"/>
              <w:rPr>
                <w:sz w:val="8"/>
                <w:szCs w:val="8"/>
                <w:color w:val="auto"/>
              </w:rPr>
            </w:pPr>
          </w:p>
        </w:tc>
        <w:tc>
          <w:tcPr>
            <w:tcW w:w="920" w:type="dxa"/>
            <w:vAlign w:val="bottom"/>
          </w:tcPr>
          <w:p>
            <w:pPr>
              <w:jc w:val="center"/>
              <w:ind w:right="128"/>
              <w:spacing w:after="0" w:line="102" w:lineRule="exact"/>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right="168"/>
              <w:spacing w:after="0" w:line="102" w:lineRule="exact"/>
              <w:rPr>
                <w:sz w:val="20"/>
                <w:szCs w:val="20"/>
                <w:color w:val="auto"/>
              </w:rPr>
            </w:pPr>
            <w:r>
              <w:rPr>
                <w:rFonts w:ascii="Arial" w:cs="Arial" w:eastAsia="Arial" w:hAnsi="Arial"/>
                <w:sz w:val="11"/>
                <w:szCs w:val="11"/>
                <w:b w:val="1"/>
                <w:bCs w:val="1"/>
                <w:color w:val="auto"/>
                <w:w w:val="99"/>
              </w:rPr>
              <w:t>Intangible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ind w:right="168"/>
              <w:spacing w:after="0" w:line="102" w:lineRule="exact"/>
              <w:rPr>
                <w:sz w:val="20"/>
                <w:szCs w:val="20"/>
                <w:color w:val="auto"/>
              </w:rPr>
            </w:pPr>
            <w:r>
              <w:rPr>
                <w:rFonts w:ascii="Arial" w:cs="Arial" w:eastAsia="Arial" w:hAnsi="Arial"/>
                <w:sz w:val="11"/>
                <w:szCs w:val="11"/>
                <w:b w:val="1"/>
                <w:bCs w:val="1"/>
                <w:color w:val="auto"/>
              </w:rPr>
              <w:t>Intangible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8"/>
                <w:szCs w:val="8"/>
                <w:color w:val="auto"/>
              </w:rPr>
            </w:pPr>
          </w:p>
        </w:tc>
        <w:tc>
          <w:tcPr>
            <w:tcW w:w="900" w:type="dxa"/>
            <w:vAlign w:val="bottom"/>
          </w:tcPr>
          <w:p>
            <w:pPr>
              <w:jc w:val="right"/>
              <w:ind w:right="248"/>
              <w:spacing w:after="0" w:line="102" w:lineRule="exact"/>
              <w:rPr>
                <w:sz w:val="20"/>
                <w:szCs w:val="20"/>
                <w:color w:val="auto"/>
              </w:rPr>
            </w:pPr>
            <w:r>
              <w:rPr>
                <w:rFonts w:ascii="Arial" w:cs="Arial" w:eastAsia="Arial" w:hAnsi="Arial"/>
                <w:sz w:val="11"/>
                <w:szCs w:val="11"/>
                <w:b w:val="1"/>
                <w:bCs w:val="1"/>
                <w:color w:val="auto"/>
              </w:rPr>
              <w:t>Intangible</w:t>
            </w:r>
          </w:p>
        </w:tc>
      </w:tr>
      <w:tr>
        <w:trPr>
          <w:trHeight w:val="137"/>
        </w:trPr>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assets, gross</w:t>
            </w:r>
          </w:p>
        </w:tc>
        <w:tc>
          <w:tcPr>
            <w:tcW w:w="80" w:type="dxa"/>
            <w:vAlign w:val="bottom"/>
          </w:tcPr>
          <w:p>
            <w:pPr>
              <w:spacing w:after="0"/>
              <w:rPr>
                <w:sz w:val="11"/>
                <w:szCs w:val="11"/>
                <w:color w:val="auto"/>
              </w:rPr>
            </w:pPr>
          </w:p>
        </w:tc>
        <w:tc>
          <w:tcPr>
            <w:tcW w:w="920" w:type="dxa"/>
            <w:vAlign w:val="bottom"/>
          </w:tcPr>
          <w:p>
            <w:pPr>
              <w:jc w:val="center"/>
              <w:ind w:right="128"/>
              <w:spacing w:after="0"/>
              <w:rPr>
                <w:sz w:val="20"/>
                <w:szCs w:val="20"/>
                <w:color w:val="auto"/>
              </w:rPr>
            </w:pPr>
            <w:r>
              <w:rPr>
                <w:rFonts w:ascii="Arial" w:cs="Arial" w:eastAsia="Arial" w:hAnsi="Arial"/>
                <w:sz w:val="11"/>
                <w:szCs w:val="11"/>
                <w:b w:val="1"/>
                <w:bCs w:val="1"/>
                <w:color w:val="auto"/>
                <w:w w:val="97"/>
              </w:rPr>
              <w:t>amortization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assets, net</w:t>
            </w:r>
          </w:p>
        </w:tc>
        <w:tc>
          <w:tcPr>
            <w:tcW w:w="100" w:type="dxa"/>
            <w:vAlign w:val="bottom"/>
          </w:tcPr>
          <w:p>
            <w:pPr>
              <w:spacing w:after="0"/>
              <w:rPr>
                <w:sz w:val="11"/>
                <w:szCs w:val="11"/>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b w:val="1"/>
                <w:bCs w:val="1"/>
                <w:color w:val="auto"/>
                <w:w w:val="96"/>
              </w:rPr>
              <w:t>assets, 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Pr>
          <w:p>
            <w:pPr>
              <w:spacing w:after="0"/>
              <w:rPr>
                <w:sz w:val="11"/>
                <w:szCs w:val="11"/>
                <w:color w:val="auto"/>
              </w:rPr>
            </w:pPr>
          </w:p>
        </w:tc>
        <w:tc>
          <w:tcPr>
            <w:tcW w:w="900" w:type="dxa"/>
            <w:vAlign w:val="bottom"/>
          </w:tcPr>
          <w:p>
            <w:pPr>
              <w:jc w:val="right"/>
              <w:ind w:right="228"/>
              <w:spacing w:after="0"/>
              <w:rPr>
                <w:sz w:val="20"/>
                <w:szCs w:val="20"/>
                <w:color w:val="auto"/>
              </w:rPr>
            </w:pPr>
            <w:r>
              <w:rPr>
                <w:rFonts w:ascii="Arial" w:cs="Arial" w:eastAsia="Arial" w:hAnsi="Arial"/>
                <w:sz w:val="11"/>
                <w:szCs w:val="11"/>
                <w:b w:val="1"/>
                <w:bCs w:val="1"/>
                <w:color w:val="auto"/>
              </w:rPr>
              <w:t>assets, net</w:t>
            </w:r>
          </w:p>
        </w:tc>
      </w:tr>
      <w:tr>
        <w:trPr>
          <w:trHeight w:val="180"/>
        </w:trPr>
        <w:tc>
          <w:tcPr>
            <w:tcW w:w="36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Other intangible assets:</w:t>
            </w:r>
          </w:p>
        </w:tc>
        <w:tc>
          <w:tcPr>
            <w:tcW w:w="10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Trade name</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791</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791</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 process research and development</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50</w:t>
            </w: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Customer relationships — commercial</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6"/>
                <w:szCs w:val="16"/>
                <w:b w:val="1"/>
                <w:bCs w:val="1"/>
                <w:color w:val="auto"/>
              </w:rPr>
              <w:t>839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153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175</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Proprietary technology</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478</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8</w:t>
            </w:r>
          </w:p>
        </w:tc>
      </w:tr>
      <w:tr>
        <w:trPr>
          <w:trHeight w:val="188"/>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 — defense</w:t>
            </w:r>
          </w:p>
        </w:tc>
        <w:tc>
          <w:tcPr>
            <w:tcW w:w="10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62</w:t>
            </w: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18</w:t>
            </w:r>
          </w:p>
        </w:tc>
      </w:tr>
      <w:tr>
        <w:trPr>
          <w:trHeight w:val="180"/>
        </w:trPr>
        <w:tc>
          <w:tcPr>
            <w:tcW w:w="36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2,195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(1,209)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986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2,223</w:t>
            </w:r>
          </w:p>
        </w:tc>
        <w:tc>
          <w:tcPr>
            <w:tcW w:w="26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(1,181)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1,042</w:t>
            </w: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80" w:firstLine="528"/>
        <w:spacing w:after="0" w:line="237" w:lineRule="auto"/>
        <w:rPr>
          <w:sz w:val="20"/>
          <w:szCs w:val="20"/>
          <w:color w:val="auto"/>
        </w:rPr>
      </w:pPr>
      <w:r>
        <w:rPr>
          <w:rFonts w:ascii="Arial" w:cs="Arial" w:eastAsia="Arial" w:hAnsi="Arial"/>
          <w:sz w:val="16"/>
          <w:szCs w:val="16"/>
          <w:color w:val="auto"/>
        </w:rPr>
        <w:t>As of June 30, 2020 and December 31, 2019, the net carrying value of the Company’s Goodwill and other intangible assets, net was $3,048 million and $3,083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related to other intangible assets for the next five fiscal years is expected to be (dollars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2022</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2025</w:t>
            </w:r>
          </w:p>
        </w:tc>
      </w:tr>
      <w:tr>
        <w:trPr>
          <w:trHeight w:val="180"/>
        </w:trPr>
        <w:tc>
          <w:tcPr>
            <w:tcW w:w="52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expense</w:t>
            </w:r>
          </w:p>
        </w:tc>
        <w:tc>
          <w:tcPr>
            <w:tcW w:w="720" w:type="dxa"/>
            <w:vAlign w:val="bottom"/>
            <w:shd w:val="clear" w:color="auto" w:fill="CFF0FC"/>
          </w:tcPr>
          <w:p>
            <w:pPr>
              <w:jc w:val="right"/>
              <w:ind w:right="550"/>
              <w:spacing w:after="0" w:line="180"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46</w:t>
            </w:r>
          </w:p>
        </w:tc>
        <w:tc>
          <w:tcPr>
            <w:tcW w:w="840" w:type="dxa"/>
            <w:vAlign w:val="bottom"/>
            <w:gridSpan w:val="2"/>
            <w:shd w:val="clear" w:color="auto" w:fill="CFF0FC"/>
          </w:tcPr>
          <w:p>
            <w:pPr>
              <w:jc w:val="right"/>
              <w:ind w:right="577"/>
              <w:spacing w:after="0" w:line="180"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43</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8</w:t>
            </w:r>
          </w:p>
        </w:tc>
        <w:tc>
          <w:tcPr>
            <w:tcW w:w="36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the changes in the goodwill of the Company’s single operating and reporting segment (dollars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40" w:type="dxa"/>
            <w:vAlign w:val="bottom"/>
            <w:tcBorders>
              <w:bottom w:val="single" w:sz="8" w:color="CFF0FC"/>
            </w:tcBorders>
          </w:tcPr>
          <w:p>
            <w:pPr>
              <w:spacing w:after="0"/>
              <w:rPr>
                <w:sz w:val="13"/>
                <w:szCs w:val="13"/>
                <w:color w:val="auto"/>
              </w:rPr>
            </w:pPr>
          </w:p>
        </w:tc>
        <w:tc>
          <w:tcPr>
            <w:tcW w:w="47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23"/>
              <w:spacing w:after="0"/>
              <w:rPr>
                <w:sz w:val="20"/>
                <w:szCs w:val="20"/>
                <w:color w:val="auto"/>
              </w:rPr>
            </w:pPr>
            <w:r>
              <w:rPr>
                <w:rFonts w:ascii="Arial" w:cs="Arial" w:eastAsia="Arial" w:hAnsi="Arial"/>
                <w:sz w:val="13"/>
                <w:szCs w:val="13"/>
                <w:b w:val="1"/>
                <w:bCs w:val="1"/>
                <w:color w:val="auto"/>
              </w:rPr>
              <w:t>Goodwill</w:t>
            </w:r>
          </w:p>
        </w:tc>
      </w:tr>
      <w:tr>
        <w:trPr>
          <w:trHeight w:val="180"/>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2018</w:t>
            </w:r>
          </w:p>
        </w:tc>
        <w:tc>
          <w:tcPr>
            <w:tcW w:w="5100" w:type="dxa"/>
            <w:vAlign w:val="bottom"/>
            <w:gridSpan w:val="2"/>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1,941</w:t>
            </w:r>
          </w:p>
        </w:tc>
      </w:tr>
      <w:tr>
        <w:trPr>
          <w:trHeight w:val="188"/>
        </w:trPr>
        <w:tc>
          <w:tcPr>
            <w:tcW w:w="454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Acquisitions</w:t>
            </w:r>
          </w:p>
        </w:tc>
        <w:tc>
          <w:tcPr>
            <w:tcW w:w="47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78</w:t>
            </w:r>
          </w:p>
        </w:tc>
      </w:tr>
      <w:tr>
        <w:trPr>
          <w:trHeight w:val="180"/>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impact to goodwill</w:t>
            </w:r>
          </w:p>
        </w:tc>
        <w:tc>
          <w:tcPr>
            <w:tcW w:w="4720" w:type="dxa"/>
            <w:vAlign w:val="bottom"/>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78</w:t>
            </w:r>
          </w:p>
        </w:tc>
      </w:tr>
      <w:tr>
        <w:trPr>
          <w:trHeight w:val="180"/>
        </w:trPr>
        <w:tc>
          <w:tcPr>
            <w:tcW w:w="4540" w:type="dxa"/>
            <w:vAlign w:val="bottom"/>
          </w:tcPr>
          <w:p>
            <w:pPr>
              <w:spacing w:after="0" w:line="180" w:lineRule="exact"/>
              <w:rPr>
                <w:sz w:val="20"/>
                <w:szCs w:val="20"/>
                <w:color w:val="auto"/>
              </w:rPr>
            </w:pPr>
            <w:r>
              <w:rPr>
                <w:rFonts w:ascii="Arial" w:cs="Arial" w:eastAsia="Arial" w:hAnsi="Arial"/>
                <w:sz w:val="16"/>
                <w:szCs w:val="16"/>
                <w:color w:val="auto"/>
              </w:rPr>
              <w:t>Balance at June 30, 2019</w:t>
            </w:r>
          </w:p>
        </w:tc>
        <w:tc>
          <w:tcPr>
            <w:tcW w:w="5100" w:type="dxa"/>
            <w:vAlign w:val="bottom"/>
            <w:gridSpan w:val="2"/>
          </w:tcPr>
          <w:p>
            <w:pPr>
              <w:jc w:val="right"/>
              <w:ind w:right="202"/>
              <w:spacing w:after="0" w:line="180" w:lineRule="exact"/>
              <w:rPr>
                <w:sz w:val="20"/>
                <w:szCs w:val="20"/>
                <w:color w:val="auto"/>
              </w:rPr>
            </w:pPr>
            <w:r>
              <w:rPr>
                <w:rFonts w:ascii="Arial" w:cs="Arial" w:eastAsia="Arial" w:hAnsi="Arial"/>
                <w:sz w:val="16"/>
                <w:szCs w:val="16"/>
                <w:color w:val="auto"/>
              </w:rPr>
              <w:t>$</w:t>
            </w:r>
          </w:p>
        </w:tc>
        <w:tc>
          <w:tcPr>
            <w:tcW w:w="162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2,019</w:t>
            </w:r>
          </w:p>
        </w:tc>
      </w:tr>
      <w:tr>
        <w:trPr>
          <w:trHeight w:val="188"/>
        </w:trPr>
        <w:tc>
          <w:tcPr>
            <w:tcW w:w="4540" w:type="dxa"/>
            <w:vAlign w:val="bottom"/>
            <w:shd w:val="clear" w:color="auto" w:fill="CFF0FC"/>
          </w:tcPr>
          <w:p>
            <w:pPr>
              <w:spacing w:after="0"/>
              <w:rPr>
                <w:sz w:val="16"/>
                <w:szCs w:val="16"/>
                <w:color w:val="auto"/>
              </w:rPr>
            </w:pPr>
          </w:p>
        </w:tc>
        <w:tc>
          <w:tcPr>
            <w:tcW w:w="47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5100" w:type="dxa"/>
            <w:vAlign w:val="bottom"/>
            <w:gridSpan w:val="2"/>
          </w:tcPr>
          <w:p>
            <w:pPr>
              <w:jc w:val="right"/>
              <w:ind w:right="202"/>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43"/>
              <w:spacing w:after="0"/>
              <w:rPr>
                <w:sz w:val="20"/>
                <w:szCs w:val="20"/>
                <w:color w:val="auto"/>
              </w:rPr>
            </w:pPr>
            <w:r>
              <w:rPr>
                <w:rFonts w:ascii="Arial" w:cs="Arial" w:eastAsia="Arial" w:hAnsi="Arial"/>
                <w:sz w:val="16"/>
                <w:szCs w:val="16"/>
                <w:b w:val="1"/>
                <w:bCs w:val="1"/>
                <w:color w:val="auto"/>
              </w:rPr>
              <w:t>2,041</w:t>
            </w:r>
          </w:p>
        </w:tc>
      </w:tr>
      <w:tr>
        <w:trPr>
          <w:trHeight w:val="188"/>
        </w:trPr>
        <w:tc>
          <w:tcPr>
            <w:tcW w:w="45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Measurement period adjustment</w:t>
            </w:r>
          </w:p>
        </w:tc>
        <w:tc>
          <w:tcPr>
            <w:tcW w:w="47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25</w:t>
            </w:r>
          </w:p>
        </w:tc>
      </w:tr>
      <w:tr>
        <w:trPr>
          <w:trHeight w:val="188"/>
        </w:trPr>
        <w:tc>
          <w:tcPr>
            <w:tcW w:w="454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Walker Die Casting net working capital settlement</w:t>
            </w:r>
          </w:p>
        </w:tc>
        <w:tc>
          <w:tcPr>
            <w:tcW w:w="47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180"/>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impact to goodwill</w:t>
            </w:r>
          </w:p>
        </w:tc>
        <w:tc>
          <w:tcPr>
            <w:tcW w:w="4720" w:type="dxa"/>
            <w:vAlign w:val="bottom"/>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21</w:t>
            </w:r>
          </w:p>
        </w:tc>
      </w:tr>
      <w:tr>
        <w:trPr>
          <w:trHeight w:val="199"/>
        </w:trPr>
        <w:tc>
          <w:tcPr>
            <w:tcW w:w="4540" w:type="dxa"/>
            <w:vAlign w:val="bottom"/>
          </w:tcPr>
          <w:p>
            <w:pPr>
              <w:spacing w:after="0"/>
              <w:rPr>
                <w:sz w:val="20"/>
                <w:szCs w:val="20"/>
                <w:color w:val="auto"/>
              </w:rPr>
            </w:pPr>
            <w:r>
              <w:rPr>
                <w:rFonts w:ascii="Arial" w:cs="Arial" w:eastAsia="Arial" w:hAnsi="Arial"/>
                <w:sz w:val="16"/>
                <w:szCs w:val="16"/>
                <w:color w:val="auto"/>
              </w:rPr>
              <w:t>Balance at June 30, 2020</w:t>
            </w:r>
          </w:p>
        </w:tc>
        <w:tc>
          <w:tcPr>
            <w:tcW w:w="472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Pr>
          <w:p>
            <w:pPr>
              <w:jc w:val="right"/>
              <w:ind w:right="43"/>
              <w:spacing w:after="0"/>
              <w:rPr>
                <w:sz w:val="20"/>
                <w:szCs w:val="20"/>
                <w:color w:val="auto"/>
              </w:rPr>
            </w:pPr>
            <w:r>
              <w:rPr>
                <w:rFonts w:ascii="Arial" w:cs="Arial" w:eastAsia="Arial" w:hAnsi="Arial"/>
                <w:sz w:val="16"/>
                <w:szCs w:val="16"/>
                <w:b w:val="1"/>
                <w:bCs w:val="1"/>
                <w:color w:val="auto"/>
              </w:rPr>
              <w:t>2,062</w:t>
            </w:r>
          </w:p>
        </w:tc>
      </w:tr>
      <w:tr>
        <w:trPr>
          <w:trHeight w:val="484"/>
        </w:trPr>
        <w:tc>
          <w:tcPr>
            <w:tcW w:w="4540" w:type="dxa"/>
            <w:vAlign w:val="bottom"/>
          </w:tcPr>
          <w:p>
            <w:pPr>
              <w:spacing w:after="0"/>
              <w:rPr>
                <w:sz w:val="24"/>
                <w:szCs w:val="24"/>
                <w:color w:val="auto"/>
              </w:rPr>
            </w:pPr>
          </w:p>
        </w:tc>
        <w:tc>
          <w:tcPr>
            <w:tcW w:w="4720" w:type="dxa"/>
            <w:vAlign w:val="bottom"/>
          </w:tcPr>
          <w:p>
            <w:pPr>
              <w:jc w:val="right"/>
              <w:ind w:right="3462"/>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7"/>
        </w:trPr>
        <w:tc>
          <w:tcPr>
            <w:tcW w:w="454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left="780"/>
        <w:spacing w:after="0"/>
        <w:rPr>
          <w:sz w:val="20"/>
          <w:szCs w:val="20"/>
          <w:color w:val="auto"/>
        </w:rPr>
      </w:pPr>
      <w:r>
        <w:rPr>
          <w:rFonts w:ascii="Arial" w:cs="Arial" w:eastAsia="Arial" w:hAnsi="Arial"/>
          <w:sz w:val="16"/>
          <w:szCs w:val="16"/>
          <w:color w:val="212529"/>
        </w:rPr>
        <w:t>See NOTE T, "Acquisitions" for more information on certain changes in the Company's goodwill and other intangible assets.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F. FAIR VALUE OF FINANCIAL INSTRUMENTS</w:t>
      </w:r>
    </w:p>
    <w:p>
      <w:pPr>
        <w:spacing w:after="0" w:line="106" w:lineRule="exact"/>
        <w:rPr>
          <w:sz w:val="20"/>
          <w:szCs w:val="20"/>
          <w:color w:val="auto"/>
        </w:rPr>
      </w:pPr>
    </w:p>
    <w:p>
      <w:pPr>
        <w:ind w:right="20" w:firstLine="528"/>
        <w:spacing w:after="0" w:line="231"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85" w:lineRule="exact"/>
        <w:rPr>
          <w:sz w:val="20"/>
          <w:szCs w:val="20"/>
          <w:color w:val="auto"/>
        </w:rPr>
      </w:pPr>
    </w:p>
    <w:p>
      <w:pPr>
        <w:ind w:right="440" w:firstLine="528"/>
        <w:spacing w:after="0" w:line="234" w:lineRule="auto"/>
        <w:rPr>
          <w:sz w:val="20"/>
          <w:szCs w:val="20"/>
          <w:color w:val="auto"/>
        </w:rPr>
      </w:pPr>
      <w:r>
        <w:rPr>
          <w:rFonts w:ascii="Arial" w:cs="Arial" w:eastAsia="Arial" w:hAnsi="Arial"/>
          <w:sz w:val="16"/>
          <w:szCs w:val="16"/>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84" w:lineRule="exact"/>
        <w:rPr>
          <w:sz w:val="20"/>
          <w:szCs w:val="20"/>
          <w:color w:val="auto"/>
        </w:rPr>
      </w:pPr>
    </w:p>
    <w:p>
      <w:pPr>
        <w:ind w:right="80" w:firstLine="528"/>
        <w:spacing w:after="0" w:line="232"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84" w:lineRule="exact"/>
        <w:rPr>
          <w:sz w:val="20"/>
          <w:szCs w:val="20"/>
          <w:color w:val="auto"/>
        </w:rPr>
      </w:pPr>
    </w:p>
    <w:p>
      <w:pPr>
        <w:ind w:right="160" w:firstLine="528"/>
        <w:spacing w:after="0" w:line="233"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2020 and December 31, 2019, the Company did not have any Level 3 financial assets or liabilities.</w:t>
      </w:r>
    </w:p>
    <w:p>
      <w:pPr>
        <w:spacing w:after="0" w:line="84" w:lineRule="exact"/>
        <w:rPr>
          <w:sz w:val="20"/>
          <w:szCs w:val="20"/>
          <w:color w:val="auto"/>
        </w:rPr>
      </w:pPr>
    </w:p>
    <w:p>
      <w:pPr>
        <w:ind w:right="300" w:firstLine="528"/>
        <w:spacing w:after="0" w:line="233"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84" w:lineRule="exact"/>
        <w:rPr>
          <w:sz w:val="20"/>
          <w:szCs w:val="20"/>
          <w:color w:val="auto"/>
        </w:rPr>
      </w:pPr>
    </w:p>
    <w:p>
      <w:pPr>
        <w:ind w:right="20" w:firstLine="528"/>
        <w:spacing w:after="0" w:line="233" w:lineRule="auto"/>
        <w:rPr>
          <w:sz w:val="20"/>
          <w:szCs w:val="20"/>
          <w:color w:val="auto"/>
        </w:rPr>
      </w:pPr>
      <w:r>
        <w:rPr>
          <w:rFonts w:ascii="Arial" w:cs="Arial" w:eastAsia="Arial" w:hAnsi="Arial"/>
          <w:sz w:val="16"/>
          <w:szCs w:val="16"/>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84"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The Company uses valuations from the issuing financial institutions for the fair value measurement of interest rate swaps. The floating-to-fixed interest rate swaps are based on LIBOR, which is observable at commonly quoted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intervals. The fair values are included in other current and non-current assets and liabilities in the Condensed Consolidated Balance Sheets.</w:t>
      </w:r>
    </w:p>
    <w:p>
      <w:pPr>
        <w:spacing w:after="0" w:line="86" w:lineRule="exact"/>
        <w:rPr>
          <w:sz w:val="20"/>
          <w:szCs w:val="20"/>
          <w:color w:val="auto"/>
        </w:rPr>
      </w:pPr>
    </w:p>
    <w:p>
      <w:pPr>
        <w:ind w:right="320" w:firstLine="528"/>
        <w:spacing w:after="0" w:line="237" w:lineRule="auto"/>
        <w:rPr>
          <w:sz w:val="20"/>
          <w:szCs w:val="20"/>
          <w:color w:val="auto"/>
        </w:rPr>
      </w:pPr>
      <w:r>
        <w:rPr>
          <w:rFonts w:ascii="Arial" w:cs="Arial" w:eastAsia="Arial" w:hAnsi="Arial"/>
          <w:sz w:val="16"/>
          <w:szCs w:val="16"/>
          <w:color w:val="auto"/>
        </w:rPr>
        <w:t>The following table summarizes the fair value of the Company’s financial assets and (liabilities) as of June 30, 2020 and December 31, 2019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3"/>
                <w:szCs w:val="13"/>
                <w:b w:val="1"/>
                <w:bCs w:val="1"/>
                <w:color w:val="auto"/>
                <w:w w:val="95"/>
              </w:rPr>
              <w:t>Fair Value Measurements Using</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60" w:type="dxa"/>
            <w:vAlign w:val="bottom"/>
            <w:gridSpan w:val="4"/>
          </w:tcPr>
          <w:p>
            <w:pPr>
              <w:jc w:val="center"/>
              <w:ind w:right="266"/>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4"/>
          </w:tcPr>
          <w:p>
            <w:pPr>
              <w:jc w:val="center"/>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4"/>
          </w:tcPr>
          <w:p>
            <w:pPr>
              <w:jc w:val="center"/>
              <w:ind w:right="246"/>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95"/>
              </w:rPr>
              <w:t>Observable Inputs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center"/>
              <w:ind w:right="266"/>
              <w:spacing w:after="0"/>
              <w:rPr>
                <w:sz w:val="20"/>
                <w:szCs w:val="20"/>
                <w:color w:val="auto"/>
              </w:rPr>
            </w:pPr>
            <w:r>
              <w:rPr>
                <w:rFonts w:ascii="Arial" w:cs="Arial" w:eastAsia="Arial" w:hAnsi="Arial"/>
                <w:sz w:val="13"/>
                <w:szCs w:val="13"/>
                <w:b w:val="1"/>
                <w:bCs w:val="1"/>
                <w:color w:val="auto"/>
                <w:w w:val="96"/>
              </w:rPr>
              <w:t>Assets (Level 1)</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(Level 2)</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TOTAL</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1"/>
                <w:szCs w:val="11"/>
                <w:color w:val="auto"/>
              </w:rPr>
            </w:pPr>
          </w:p>
        </w:tc>
        <w:tc>
          <w:tcPr>
            <w:tcW w:w="1120" w:type="dxa"/>
            <w:vAlign w:val="bottom"/>
          </w:tcPr>
          <w:p>
            <w:pPr>
              <w:jc w:val="right"/>
              <w:ind w:right="206"/>
              <w:spacing w:after="0" w:line="133"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3"/>
                <w:szCs w:val="13"/>
                <w:b w:val="1"/>
                <w:bCs w:val="1"/>
                <w:color w:val="auto"/>
              </w:rPr>
              <w:t>June 30,</w:t>
            </w:r>
          </w:p>
        </w:tc>
        <w:tc>
          <w:tcPr>
            <w:tcW w:w="1260" w:type="dxa"/>
            <w:vAlign w:val="bottom"/>
            <w:gridSpan w:val="3"/>
          </w:tcPr>
          <w:p>
            <w:pPr>
              <w:jc w:val="right"/>
              <w:ind w:right="206"/>
              <w:spacing w:after="0" w:line="133"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225"/>
              <w:spacing w:after="0" w:line="133"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245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3"/>
            <w:shd w:val="clear" w:color="auto" w:fill="CFF0FC"/>
          </w:tcPr>
          <w:p>
            <w:pPr>
              <w:jc w:val="right"/>
              <w:ind w:right="37"/>
              <w:spacing w:after="0" w:line="180" w:lineRule="exact"/>
              <w:rPr>
                <w:sz w:val="20"/>
                <w:szCs w:val="20"/>
                <w:color w:val="auto"/>
              </w:rPr>
            </w:pPr>
            <w:r>
              <w:rPr>
                <w:rFonts w:ascii="Arial" w:cs="Arial" w:eastAsia="Arial" w:hAnsi="Arial"/>
                <w:sz w:val="16"/>
                <w:szCs w:val="16"/>
                <w:b w:val="1"/>
                <w:bCs w:val="1"/>
                <w:color w:val="auto"/>
              </w:rPr>
              <w:t>245</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Rabbi trust assets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6"/>
                <w:szCs w:val="16"/>
                <w:color w:val="auto"/>
              </w:rPr>
            </w:pPr>
          </w:p>
        </w:tc>
        <w:tc>
          <w:tcPr>
            <w:tcW w:w="460" w:type="dxa"/>
            <w:vAlign w:val="bottom"/>
            <w:gridSpan w:val="3"/>
          </w:tcPr>
          <w:p>
            <w:pPr>
              <w:jc w:val="right"/>
              <w:ind w:right="37"/>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Deferred compensation obligation</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spacing w:after="0"/>
              <w:rPr>
                <w:sz w:val="16"/>
                <w:szCs w:val="16"/>
                <w:color w:val="auto"/>
              </w:rPr>
            </w:pP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Derivative liabilities</w:t>
            </w:r>
          </w:p>
        </w:tc>
        <w:tc>
          <w:tcPr>
            <w:tcW w:w="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FF0FC"/>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(66)</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245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(66)</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05"/>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3"/>
            <w:shd w:val="clear" w:color="auto" w:fill="CFF0FC"/>
          </w:tcPr>
          <w:p>
            <w:pPr>
              <w:jc w:val="right"/>
              <w:ind w:right="37"/>
              <w:spacing w:after="0" w:line="180" w:lineRule="exact"/>
              <w:rPr>
                <w:sz w:val="20"/>
                <w:szCs w:val="20"/>
                <w:color w:val="auto"/>
              </w:rPr>
            </w:pPr>
            <w:r>
              <w:rPr>
                <w:rFonts w:ascii="Arial" w:cs="Arial" w:eastAsia="Arial" w:hAnsi="Arial"/>
                <w:sz w:val="16"/>
                <w:szCs w:val="16"/>
                <w:b w:val="1"/>
                <w:bCs w:val="1"/>
                <w:color w:val="auto"/>
              </w:rPr>
              <w:t>179</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NOTE G. DEBT</w:t>
            </w: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60" w:type="dxa"/>
            <w:vAlign w:val="bottom"/>
            <w:gridSpan w:val="7"/>
          </w:tcPr>
          <w:p>
            <w:pPr>
              <w:ind w:left="520"/>
              <w:spacing w:after="0"/>
              <w:rPr>
                <w:sz w:val="20"/>
                <w:szCs w:val="20"/>
                <w:color w:val="auto"/>
              </w:rPr>
            </w:pPr>
            <w:r>
              <w:rPr>
                <w:rFonts w:ascii="Arial" w:cs="Arial" w:eastAsia="Arial" w:hAnsi="Arial"/>
                <w:sz w:val="16"/>
                <w:szCs w:val="16"/>
                <w:color w:val="auto"/>
              </w:rPr>
              <w:t>Long-term debt and maturities are as follows (dollars in millions):</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right"/>
              <w:ind w:right="565"/>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right"/>
              <w:ind w:right="425"/>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0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Long-term debt: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Senior Notes, fixed 5.0%, due 2024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2"/>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45"/>
              <w:spacing w:after="0"/>
              <w:rPr>
                <w:sz w:val="20"/>
                <w:szCs w:val="20"/>
                <w:color w:val="auto"/>
              </w:rPr>
            </w:pPr>
            <w:r>
              <w:rPr>
                <w:rFonts w:ascii="Arial" w:cs="Arial" w:eastAsia="Arial" w:hAnsi="Arial"/>
                <w:sz w:val="16"/>
                <w:szCs w:val="16"/>
                <w:b w:val="1"/>
                <w:bCs w:val="1"/>
                <w:color w:val="auto"/>
              </w:rPr>
              <w:t>1,000</w:t>
            </w:r>
          </w:p>
        </w:tc>
        <w:tc>
          <w:tcPr>
            <w:tcW w:w="460" w:type="dxa"/>
            <w:vAlign w:val="bottom"/>
            <w:gridSpan w:val="3"/>
          </w:tcPr>
          <w:p>
            <w:pPr>
              <w:jc w:val="right"/>
              <w:ind w:right="13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8"/>
        </w:trPr>
        <w:tc>
          <w:tcPr>
            <w:tcW w:w="32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Revolving Credit Facility, variable, due 2024</w:t>
            </w: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275</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400" w:type="dxa"/>
            <w:vAlign w:val="bottom"/>
            <w:gridSpan w:val="5"/>
          </w:tcPr>
          <w:p>
            <w:pPr>
              <w:spacing w:after="0"/>
              <w:rPr>
                <w:sz w:val="20"/>
                <w:szCs w:val="20"/>
                <w:color w:val="auto"/>
              </w:rPr>
            </w:pPr>
            <w:r>
              <w:rPr>
                <w:rFonts w:ascii="Arial" w:cs="Arial" w:eastAsia="Arial" w:hAnsi="Arial"/>
                <w:sz w:val="16"/>
                <w:szCs w:val="16"/>
                <w:color w:val="auto"/>
              </w:rPr>
              <w:t>Senior Secured Credit Facility Term Loan, variable, due 2026</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45"/>
              <w:spacing w:after="0"/>
              <w:rPr>
                <w:sz w:val="20"/>
                <w:szCs w:val="20"/>
                <w:color w:val="auto"/>
              </w:rPr>
            </w:pPr>
            <w:r>
              <w:rPr>
                <w:rFonts w:ascii="Arial" w:cs="Arial" w:eastAsia="Arial" w:hAnsi="Arial"/>
                <w:sz w:val="16"/>
                <w:szCs w:val="16"/>
                <w:b w:val="1"/>
                <w:bCs w:val="1"/>
                <w:color w:val="auto"/>
              </w:rPr>
              <w:t>641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4.75%, due 2027</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400</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Senior Notes, fixed 5.875%, due 2029</w:t>
            </w:r>
          </w:p>
        </w:tc>
        <w:tc>
          <w:tcPr>
            <w:tcW w:w="6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11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11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500</w:t>
            </w:r>
          </w:p>
        </w:tc>
        <w:tc>
          <w:tcPr>
            <w:tcW w:w="1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long-term debt</w:t>
            </w: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2,816</w:t>
            </w:r>
          </w:p>
        </w:tc>
        <w:tc>
          <w:tcPr>
            <w:tcW w:w="460" w:type="dxa"/>
            <w:vAlign w:val="bottom"/>
            <w:gridSpan w:val="3"/>
            <w:shd w:val="clear" w:color="auto" w:fill="CFF0FC"/>
          </w:tcPr>
          <w:p>
            <w:pPr>
              <w:jc w:val="right"/>
              <w:ind w:right="137"/>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w w:val="99"/>
              </w:rPr>
              <w:t>Less: current maturities of long-term debt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45"/>
              <w:spacing w:after="0"/>
              <w:rPr>
                <w:sz w:val="20"/>
                <w:szCs w:val="20"/>
                <w:color w:val="auto"/>
              </w:rPr>
            </w:pPr>
            <w:r>
              <w:rPr>
                <w:rFonts w:ascii="Arial" w:cs="Arial" w:eastAsia="Arial" w:hAnsi="Arial"/>
                <w:sz w:val="16"/>
                <w:szCs w:val="16"/>
                <w:b w:val="1"/>
                <w:bCs w:val="1"/>
                <w:color w:val="auto"/>
              </w:rPr>
              <w:t>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financing costs, net</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24</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0"/>
        </w:trPr>
        <w:tc>
          <w:tcPr>
            <w:tcW w:w="2920" w:type="dxa"/>
            <w:vAlign w:val="bottom"/>
          </w:tcPr>
          <w:p>
            <w:pPr>
              <w:ind w:left="200"/>
              <w:spacing w:after="0" w:line="180" w:lineRule="exact"/>
              <w:rPr>
                <w:sz w:val="20"/>
                <w:szCs w:val="20"/>
                <w:color w:val="auto"/>
              </w:rPr>
            </w:pPr>
            <w:r>
              <w:rPr>
                <w:rFonts w:ascii="Arial" w:cs="Arial" w:eastAsia="Arial" w:hAnsi="Arial"/>
                <w:sz w:val="16"/>
                <w:szCs w:val="16"/>
                <w:color w:val="auto"/>
              </w:rPr>
              <w:t>Total long-term debt, net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5"/>
              <w:spacing w:after="0" w:line="180" w:lineRule="exact"/>
              <w:rPr>
                <w:sz w:val="20"/>
                <w:szCs w:val="20"/>
                <w:color w:val="auto"/>
              </w:rPr>
            </w:pPr>
            <w:r>
              <w:rPr>
                <w:rFonts w:ascii="Arial" w:cs="Arial" w:eastAsia="Arial" w:hAnsi="Arial"/>
                <w:sz w:val="16"/>
                <w:szCs w:val="16"/>
                <w:b w:val="1"/>
                <w:bCs w:val="1"/>
                <w:color w:val="auto"/>
              </w:rPr>
              <w:t>2,786</w:t>
            </w:r>
          </w:p>
        </w:tc>
        <w:tc>
          <w:tcPr>
            <w:tcW w:w="460" w:type="dxa"/>
            <w:vAlign w:val="bottom"/>
            <w:gridSpan w:val="3"/>
          </w:tcPr>
          <w:p>
            <w:pPr>
              <w:jc w:val="right"/>
              <w:ind w:right="137"/>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65"/>
              <w:spacing w:after="0" w:line="180" w:lineRule="exact"/>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528"/>
        <w:spacing w:after="0" w:line="232" w:lineRule="auto"/>
        <w:rPr>
          <w:sz w:val="20"/>
          <w:szCs w:val="20"/>
          <w:color w:val="auto"/>
        </w:rPr>
      </w:pPr>
      <w:r>
        <w:rPr>
          <w:rFonts w:ascii="Arial" w:cs="Arial" w:eastAsia="Arial" w:hAnsi="Arial"/>
          <w:sz w:val="16"/>
          <w:szCs w:val="16"/>
          <w:color w:val="auto"/>
        </w:rPr>
        <w:t>As of June 30, 2020, the Company had $2,816 million of indebtedness associated with Allison Transmission, Inc.’s (“ATI”), the Company’s wholly-owned subsidiary, 5.0% Senior Notes due September 2024 (“5.0% Senior Notes”), ATI’s 4.75% Senior Notes due October 2027 (“4.75% Senior Notes”), ATI’s 5.875% Senior Notes due June 2029 (“5.875% Senior Notes,” and, together with the 5.0% Senior Notes and 4.75% Senior Notes, the “Senior Notes”) and the Second Amended and Restated Credit Agreement dated as of March 29, 2019 (the “Credit Agreement”), governing ATI’s new term loan facility in the amount of $641 million due March 2026 (“New Term Loan”) and ATI’s new revolving credit facility with commitments in the amount of $600 million due September 2024 (“New Revolving Credit Facility” and, together with the New Term Loan, the “New Senior Secured Credit Facility”).</w:t>
      </w:r>
    </w:p>
    <w:p>
      <w:pPr>
        <w:spacing w:after="0" w:line="84" w:lineRule="exact"/>
        <w:rPr>
          <w:sz w:val="20"/>
          <w:szCs w:val="20"/>
          <w:color w:val="auto"/>
        </w:rPr>
      </w:pPr>
    </w:p>
    <w:p>
      <w:pPr>
        <w:ind w:firstLine="528"/>
        <w:spacing w:after="0" w:line="234" w:lineRule="auto"/>
        <w:rPr>
          <w:sz w:val="20"/>
          <w:szCs w:val="20"/>
          <w:color w:val="auto"/>
        </w:rPr>
      </w:pPr>
      <w:r>
        <w:rPr>
          <w:rFonts w:ascii="Arial" w:cs="Arial" w:eastAsia="Arial" w:hAnsi="Arial"/>
          <w:sz w:val="16"/>
          <w:szCs w:val="16"/>
          <w:color w:val="auto"/>
        </w:rPr>
        <w:t>The fair value of the Company’s long-term debt obligations as of June 30, 2020 was $2,811 million. The fair value is based on quoted Level 2 market prices of the Company’s debt as of June 30, 2020.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Senior Secured Credit Facility</w:t>
      </w:r>
    </w:p>
    <w:p>
      <w:pPr>
        <w:spacing w:after="0" w:line="104" w:lineRule="exact"/>
        <w:rPr>
          <w:sz w:val="20"/>
          <w:szCs w:val="20"/>
          <w:color w:val="auto"/>
        </w:rPr>
      </w:pPr>
    </w:p>
    <w:p>
      <w:pPr>
        <w:ind w:right="80" w:firstLine="528"/>
        <w:spacing w:after="0" w:line="248" w:lineRule="auto"/>
        <w:rPr>
          <w:sz w:val="20"/>
          <w:szCs w:val="20"/>
          <w:color w:val="auto"/>
        </w:rPr>
      </w:pPr>
      <w:r>
        <w:rPr>
          <w:rFonts w:ascii="Arial" w:cs="Arial" w:eastAsia="Arial" w:hAnsi="Arial"/>
          <w:sz w:val="15"/>
          <w:szCs w:val="15"/>
          <w:color w:val="auto"/>
        </w:rPr>
        <w:t>In March 2019, the Company and ATI entered into the Credit Agreement to reduce the commitments under the prior term loan due 2022 (“Prior Term Loan”) by $500 million and increase the commitments under the prior $550 million revolving credit facility due 2021 (“Prior Revolving Credit Facility” and, together with the Prior Term Loan, the “Prior Senior Secured Credit Facility”) by $50 million. The New Senior Secured Credit Facility also extended the maturity of the Prior Term Loan from 2022 to 2026 and extended the Prior Revolving Credit Facility termination date from 2021 to 2024. The New Senior Secured Credit Facility replaced the Prior Senior Secured Credit Facility, including the Prior Term Loan and Prior Revolving Credit Facility, on March 29, 2019. The Credit Agreement was treated as a modification to the Prior Senior Secured Credit Facility under GAAP, and thus the Company expensed $5 million of prior deferred financing fees and $1 million of related third party fees in the Condensed Consolidated Statement of Comprehensive Income for the six-months ended June 30, 2019 and recorded $5 million as new deferred financing fees in the Condensed Consolidated Balance Sheet in the first quarter of 2019.</w:t>
      </w:r>
    </w:p>
    <w:p>
      <w:pPr>
        <w:spacing w:after="0" w:line="77" w:lineRule="exact"/>
        <w:rPr>
          <w:sz w:val="20"/>
          <w:szCs w:val="20"/>
          <w:color w:val="auto"/>
        </w:rPr>
      </w:pPr>
    </w:p>
    <w:p>
      <w:pPr>
        <w:ind w:firstLine="528"/>
        <w:spacing w:after="0" w:line="234" w:lineRule="auto"/>
        <w:rPr>
          <w:sz w:val="20"/>
          <w:szCs w:val="20"/>
          <w:color w:val="auto"/>
        </w:rPr>
      </w:pPr>
      <w:r>
        <w:rPr>
          <w:rFonts w:ascii="Arial" w:cs="Arial" w:eastAsia="Arial" w:hAnsi="Arial"/>
          <w:sz w:val="16"/>
          <w:szCs w:val="16"/>
          <w:color w:val="auto"/>
        </w:rPr>
        <w:t>In October 2019, ATI entered into an amendment to the Credit Agreement with the lenders under its New Senior Secured Credit Facility to lower the applicable margins on the New Term Loan by 0.25%. The October 2019 amendment was treated as a modification to the New Senior Secured Credit Facility under GAAP.</w:t>
      </w:r>
    </w:p>
    <w:p>
      <w:pPr>
        <w:spacing w:after="0" w:line="84" w:lineRule="exact"/>
        <w:rPr>
          <w:sz w:val="20"/>
          <w:szCs w:val="20"/>
          <w:color w:val="auto"/>
        </w:rPr>
      </w:pPr>
    </w:p>
    <w:p>
      <w:pPr>
        <w:ind w:right="20" w:firstLine="528"/>
        <w:spacing w:after="0" w:line="230" w:lineRule="auto"/>
        <w:rPr>
          <w:sz w:val="20"/>
          <w:szCs w:val="20"/>
          <w:color w:val="auto"/>
        </w:rPr>
      </w:pPr>
      <w:r>
        <w:rPr>
          <w:rFonts w:ascii="Arial" w:cs="Arial" w:eastAsia="Arial" w:hAnsi="Arial"/>
          <w:sz w:val="16"/>
          <w:szCs w:val="16"/>
          <w:color w:val="auto"/>
        </w:rPr>
        <w:t>The borrowings under the New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New Term Loan, as of June 30, 2020,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June 30, 2020, the Company elected to pay the lowest all-in rate of LIBOR plus the applicable margin, or 1.94%, on the New Term Loan. The Credit Agreement requires minimum quarterly principal payments on the New Term Loan, as well as prepayments from certain net cash proceeds of non-ordinary course asset sales and casualty and condemnation events, the incurrence of certain debt and from a percentage of excess cash flow, if applicable. The minimum required quarterly principal payment on the New Term Loan through its maturity date of March 2026 is $2 million. As of June 30, 2020, there had been no payments required for certain net cash proceeds of non-ordinary course asset sales and casualty and condemnation events. The remaining principal balance is due upon maturity.</w:t>
      </w:r>
    </w:p>
    <w:p>
      <w:pPr>
        <w:spacing w:after="0" w:line="91" w:lineRule="exact"/>
        <w:rPr>
          <w:sz w:val="20"/>
          <w:szCs w:val="20"/>
          <w:color w:val="auto"/>
        </w:rPr>
      </w:pPr>
    </w:p>
    <w:p>
      <w:pPr>
        <w:ind w:right="100" w:firstLine="528"/>
        <w:spacing w:after="0" w:line="246" w:lineRule="auto"/>
        <w:rPr>
          <w:sz w:val="20"/>
          <w:szCs w:val="20"/>
          <w:color w:val="auto"/>
        </w:rPr>
      </w:pPr>
      <w:r>
        <w:rPr>
          <w:rFonts w:ascii="Arial" w:cs="Arial" w:eastAsia="Arial" w:hAnsi="Arial"/>
          <w:sz w:val="15"/>
          <w:szCs w:val="15"/>
          <w:color w:val="auto"/>
        </w:rPr>
        <w:t>The New Senior Secured Credit Facility also provides a New Revolving Credit Facility, net of an allowance for up to $75 million in outstanding letters of credit commitments. Throughout the six months ended June 30, 2020, the Company made periodic withdrawals and payments on the New Revolving Credit Facility as part of the Company's debt management plans. The maximum amount outstanding at any time during the six months ended June 30, 2020 was $500 million. As of June 30, 2020, the Company had $319 million available under the New Revolving Credit Facility, net of $275 million of revolving loans outstanding and $6 million in letters of credit. Borrowings under the New Revolving Credit Facility bear interest at a variable base rate plus an applicable margin based on the Company’s first lien net leverage ratio. When the Company’s first lien net leverage ratio is above 4.00x, interest on the New Revolving Credit Facility is (a) 0.75% over the Base Rate or (b) 1.75% over the LIBOR Rate; when the Company’s first lien net leverage ratio is equal to or less than 4.00x and above 3.50x, interest on the New Revolving Credit Facility is (i) 0.50% over the Base Rate or (ii) 1.50% over the LIBOR Rate; and when the Company’s first lien net leverage ratio is equal to or below 3.50x, interest on the New Revolving Credit Facility is (y) 0.25% over the Base Rate or (z) 1.25% over the LIBOR Rate. As of June 30, 2020, the Company elected to pay the lowest all-in rate of LIBOR plus the applicable margin, or 1.44%, on the New Revolving Credit Facility. In addition, there is an annual commitment fee, based on the Company’s first lien net leverage ratio, on the average unused revolving credit borrowings available under the New Revolving Credit Facility. As of June 30, 2020, the commitment fee is 0.25%. Borrowings under the New Revolving Credit Facility are payable at the option of the Company throughout the term of the New Senior Secured Credit Facility with the balance due in September 2024.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00" w:firstLine="528"/>
        <w:spacing w:after="0" w:line="232" w:lineRule="auto"/>
        <w:rPr>
          <w:sz w:val="20"/>
          <w:szCs w:val="20"/>
          <w:color w:val="auto"/>
        </w:rPr>
      </w:pPr>
      <w:r>
        <w:rPr>
          <w:rFonts w:ascii="Arial" w:cs="Arial" w:eastAsia="Arial" w:hAnsi="Arial"/>
          <w:sz w:val="16"/>
          <w:szCs w:val="16"/>
          <w:color w:val="auto"/>
        </w:rPr>
        <w:t>The New Senior Secured Credit Facility requires the Company to maintain a specified maximum first lien net leverage ratio of 5.50x when revolving loan commitments remain outstanding on the New Revolving Credit Facility at the end of a fiscal quarter. As of June 30, 2020, the Company had $275 million outstanding under the New Revolving Credit Facility and was in compliance with the maximum first lien net leverage ratio, achieving a 0.56x ratio. Additionally, within the terms of the New Senior Secured Credit Facility, a first lien net leverage ratio at or below 4.00x results in the elimination of excess cash flow payments on the New Senior Secured Credit Facility for the applicable year.</w:t>
      </w:r>
    </w:p>
    <w:p>
      <w:pPr>
        <w:spacing w:after="0" w:line="85" w:lineRule="exact"/>
        <w:rPr>
          <w:sz w:val="20"/>
          <w:szCs w:val="20"/>
          <w:color w:val="auto"/>
        </w:rPr>
      </w:pPr>
    </w:p>
    <w:p>
      <w:pPr>
        <w:ind w:right="280" w:firstLine="528"/>
        <w:spacing w:after="0" w:line="255" w:lineRule="auto"/>
        <w:rPr>
          <w:sz w:val="20"/>
          <w:szCs w:val="20"/>
          <w:color w:val="auto"/>
        </w:rPr>
      </w:pPr>
      <w:r>
        <w:rPr>
          <w:rFonts w:ascii="Arial" w:cs="Arial" w:eastAsia="Arial" w:hAnsi="Arial"/>
          <w:sz w:val="15"/>
          <w:szCs w:val="15"/>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June 30, 2020, the Company was in compliance with all covenants under the Credit Agreement.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5.0% Senior Notes</w:t>
      </w:r>
    </w:p>
    <w:p>
      <w:pPr>
        <w:spacing w:after="0" w:line="10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2020, the Company was in compliance with all covenants under the indenture governing the 5.0% Senior Notes.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4.75% Senior Notes</w:t>
      </w:r>
    </w:p>
    <w:p>
      <w:pPr>
        <w:spacing w:after="0" w:line="10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2020, the Company was in compliance with all covenants under the indenture governing the 4.75% Senior Notes.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5.875% Senior Notes</w:t>
      </w:r>
    </w:p>
    <w:p>
      <w:pPr>
        <w:spacing w:after="0" w:line="104" w:lineRule="exact"/>
        <w:rPr>
          <w:sz w:val="20"/>
          <w:szCs w:val="20"/>
          <w:color w:val="auto"/>
        </w:rPr>
      </w:pPr>
    </w:p>
    <w:p>
      <w:pPr>
        <w:ind w:right="140" w:firstLine="528"/>
        <w:spacing w:after="0" w:line="232" w:lineRule="auto"/>
        <w:rPr>
          <w:sz w:val="20"/>
          <w:szCs w:val="20"/>
          <w:color w:val="auto"/>
        </w:rPr>
      </w:pPr>
      <w:r>
        <w:rPr>
          <w:rFonts w:ascii="Arial" w:cs="Arial" w:eastAsia="Arial" w:hAnsi="Arial"/>
          <w:sz w:val="16"/>
          <w:szCs w:val="16"/>
          <w:color w:val="auto"/>
        </w:rPr>
        <w:t>In March 2019, ATI completed an offering of $500 million of the 5.875% Senior Notes. The 5.875% Senior Notes were offered in a private placement exempt from registration under the Securities Act of 1933, as amended. The net proceeds from the offering, together with borrowings under the New Senior Secured Credit Facility and cash on hand, were used to repay all of the outstanding borrowings under the Prior Term Loan plus accrued and unpaid interest and related transaction expenses. As a result of the offering, the Company recorded $6 million as deferred financing fees in the Condensed Consolidated Balance Sheet in the first quarter of 2019.</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40" w:firstLine="528"/>
        <w:spacing w:after="0" w:line="231" w:lineRule="auto"/>
        <w:rPr>
          <w:sz w:val="20"/>
          <w:szCs w:val="20"/>
          <w:color w:val="auto"/>
        </w:rPr>
      </w:pPr>
      <w:r>
        <w:rPr>
          <w:rFonts w:ascii="Arial" w:cs="Arial" w:eastAsia="Arial" w:hAnsi="Arial"/>
          <w:sz w:val="16"/>
          <w:szCs w:val="16"/>
          <w:color w:val="auto"/>
        </w:rPr>
        <w:t>The 5.875%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June 30, 2020, the Company was in compliance with all covenants under the indenture governing the 5.875% Senior Notes.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H. DERIVATIVES</w:t>
      </w:r>
    </w:p>
    <w:p>
      <w:pPr>
        <w:spacing w:after="0" w:line="106" w:lineRule="exact"/>
        <w:rPr>
          <w:sz w:val="20"/>
          <w:szCs w:val="20"/>
          <w:color w:val="auto"/>
        </w:rPr>
      </w:pPr>
    </w:p>
    <w:p>
      <w:pPr>
        <w:ind w:right="100" w:firstLine="528"/>
        <w:spacing w:after="0" w:line="231" w:lineRule="auto"/>
        <w:rPr>
          <w:sz w:val="20"/>
          <w:szCs w:val="20"/>
          <w:color w:val="auto"/>
        </w:rPr>
      </w:pPr>
      <w:r>
        <w:rPr>
          <w:rFonts w:ascii="Arial" w:cs="Arial" w:eastAsia="Arial" w:hAnsi="Arial"/>
          <w:sz w:val="16"/>
          <w:szCs w:val="16"/>
          <w:color w:val="auto"/>
        </w:rPr>
        <w:t>The Company is subject to interest rate risk related to the New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(“AOCL”) in the Condensed Consolidated Balance Sheets. Balances in AOCL are reclassified to earnings when transactions related to the underlying risk are settled. During the first quarter of 2019, the Company entered into $250 million of interest rate swaps and designated them as cash flow hedges under the hypothetical derivative method. As of June 30, 2020,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84" w:lineRule="exact"/>
        <w:rPr>
          <w:sz w:val="20"/>
          <w:szCs w:val="20"/>
          <w:color w:val="auto"/>
        </w:rPr>
      </w:pPr>
    </w:p>
    <w:p>
      <w:pPr>
        <w:ind w:right="120" w:firstLine="528"/>
        <w:spacing w:after="0" w:line="237" w:lineRule="auto"/>
        <w:rPr>
          <w:sz w:val="20"/>
          <w:szCs w:val="20"/>
          <w:color w:val="auto"/>
        </w:rPr>
      </w:pPr>
      <w:r>
        <w:rPr>
          <w:rFonts w:ascii="Arial" w:cs="Arial" w:eastAsia="Arial" w:hAnsi="Arial"/>
          <w:sz w:val="16"/>
          <w:szCs w:val="16"/>
          <w:color w:val="auto"/>
        </w:rPr>
        <w:t>The following tabular disclosures further describe the Company’s interest rate derivatives qualifying and designated for hedge accounting and their impact on the financial condition of the Company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w w:val="99"/>
              </w:rPr>
              <w:t>Fair Value</w:t>
            </w:r>
          </w:p>
        </w:tc>
        <w:tc>
          <w:tcPr>
            <w:tcW w:w="1280" w:type="dxa"/>
            <w:vAlign w:val="bottom"/>
            <w:tcBorders>
              <w:bottom w:val="single" w:sz="8" w:color="auto"/>
            </w:tcBorders>
          </w:tcPr>
          <w:p>
            <w:pPr>
              <w:spacing w:after="0"/>
              <w:rPr>
                <w:sz w:val="13"/>
                <w:szCs w:val="13"/>
                <w:color w:val="auto"/>
              </w:rPr>
            </w:pPr>
          </w:p>
        </w:tc>
      </w:tr>
      <w:tr>
        <w:trPr>
          <w:trHeight w:val="133"/>
        </w:trPr>
        <w:tc>
          <w:tcPr>
            <w:tcW w:w="50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52"/>
              <w:spacing w:after="0" w:line="133" w:lineRule="exact"/>
              <w:rPr>
                <w:sz w:val="20"/>
                <w:szCs w:val="20"/>
                <w:color w:val="auto"/>
              </w:rPr>
            </w:pPr>
            <w:r>
              <w:rPr>
                <w:rFonts w:ascii="Arial" w:cs="Arial" w:eastAsia="Arial" w:hAnsi="Arial"/>
                <w:sz w:val="13"/>
                <w:szCs w:val="13"/>
                <w:b w:val="1"/>
                <w:bCs w:val="1"/>
                <w:color w:val="auto"/>
              </w:rPr>
              <w:t>June 30,</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328"/>
              <w:spacing w:after="0" w:line="133" w:lineRule="exact"/>
              <w:rPr>
                <w:sz w:val="20"/>
                <w:szCs w:val="20"/>
                <w:color w:val="auto"/>
              </w:rPr>
            </w:pPr>
            <w:r>
              <w:rPr>
                <w:rFonts w:ascii="Arial" w:cs="Arial" w:eastAsia="Arial" w:hAnsi="Arial"/>
                <w:sz w:val="13"/>
                <w:szCs w:val="13"/>
                <w:b w:val="1"/>
                <w:bCs w:val="1"/>
                <w:color w:val="auto"/>
              </w:rPr>
              <w:t>December 31,</w:t>
            </w:r>
          </w:p>
        </w:tc>
      </w:tr>
      <w:tr>
        <w:trPr>
          <w:trHeight w:val="153"/>
        </w:trPr>
        <w:tc>
          <w:tcPr>
            <w:tcW w:w="5020" w:type="dxa"/>
            <w:vAlign w:val="bottom"/>
          </w:tcPr>
          <w:p>
            <w:pPr>
              <w:spacing w:after="0"/>
              <w:rPr>
                <w:sz w:val="13"/>
                <w:szCs w:val="13"/>
                <w:color w:val="auto"/>
              </w:rPr>
            </w:pPr>
          </w:p>
        </w:tc>
        <w:tc>
          <w:tcPr>
            <w:tcW w:w="2940" w:type="dxa"/>
            <w:vAlign w:val="bottom"/>
          </w:tcPr>
          <w:p>
            <w:pPr>
              <w:ind w:left="760"/>
              <w:spacing w:after="0"/>
              <w:rPr>
                <w:sz w:val="20"/>
                <w:szCs w:val="20"/>
                <w:color w:val="auto"/>
              </w:rPr>
            </w:pPr>
            <w:r>
              <w:rPr>
                <w:rFonts w:ascii="Arial" w:cs="Arial" w:eastAsia="Arial" w:hAnsi="Arial"/>
                <w:sz w:val="13"/>
                <w:szCs w:val="13"/>
                <w:b w:val="1"/>
                <w:bCs w:val="1"/>
                <w:color w:val="auto"/>
              </w:rPr>
              <w:t>Balance Sheet Location</w:t>
            </w:r>
          </w:p>
        </w:tc>
        <w:tc>
          <w:tcPr>
            <w:tcW w:w="1220" w:type="dxa"/>
            <w:vAlign w:val="bottom"/>
            <w:gridSpan w:val="2"/>
          </w:tcPr>
          <w:p>
            <w:pPr>
              <w:jc w:val="right"/>
              <w:ind w:right="172"/>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608"/>
              <w:spacing w:after="0"/>
              <w:rPr>
                <w:sz w:val="20"/>
                <w:szCs w:val="20"/>
                <w:color w:val="auto"/>
              </w:rPr>
            </w:pPr>
            <w:r>
              <w:rPr>
                <w:rFonts w:ascii="Arial" w:cs="Arial" w:eastAsia="Arial" w:hAnsi="Arial"/>
                <w:sz w:val="13"/>
                <w:szCs w:val="13"/>
                <w:b w:val="1"/>
                <w:bCs w:val="1"/>
                <w:color w:val="auto"/>
              </w:rPr>
              <w:t>2019</w:t>
            </w:r>
          </w:p>
        </w:tc>
      </w:tr>
      <w:tr>
        <w:trPr>
          <w:trHeight w:val="180"/>
        </w:trPr>
        <w:tc>
          <w:tcPr>
            <w:tcW w:w="50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Derivatives designated as hedging instruments:</w:t>
            </w:r>
          </w:p>
        </w:tc>
        <w:tc>
          <w:tcPr>
            <w:tcW w:w="29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r>
      <w:tr>
        <w:trPr>
          <w:trHeight w:val="188"/>
        </w:trPr>
        <w:tc>
          <w:tcPr>
            <w:tcW w:w="50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94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1220" w:type="dxa"/>
            <w:vAlign w:val="bottom"/>
            <w:gridSpan w:val="2"/>
          </w:tcPr>
          <w:p>
            <w:pPr>
              <w:jc w:val="right"/>
              <w:ind w:right="912"/>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ind w:left="140"/>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spacing w:after="0"/>
              <w:rPr>
                <w:sz w:val="16"/>
                <w:szCs w:val="16"/>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8"/>
              <w:spacing w:after="0"/>
              <w:rPr>
                <w:sz w:val="20"/>
                <w:szCs w:val="20"/>
                <w:color w:val="auto"/>
              </w:rPr>
            </w:pPr>
            <w:r>
              <w:rPr>
                <w:rFonts w:ascii="Arial" w:cs="Arial" w:eastAsia="Arial" w:hAnsi="Arial"/>
                <w:sz w:val="16"/>
                <w:szCs w:val="16"/>
                <w:color w:val="auto"/>
              </w:rPr>
              <w:t>7</w:t>
            </w:r>
          </w:p>
        </w:tc>
      </w:tr>
      <w:tr>
        <w:trPr>
          <w:trHeight w:val="188"/>
        </w:trPr>
        <w:tc>
          <w:tcPr>
            <w:tcW w:w="5020" w:type="dxa"/>
            <w:vAlign w:val="bottom"/>
            <w:shd w:val="clear" w:color="auto" w:fill="CFF0FC"/>
          </w:tcPr>
          <w:p>
            <w:pPr>
              <w:spacing w:after="0"/>
              <w:rPr>
                <w:sz w:val="16"/>
                <w:szCs w:val="16"/>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52</w:t>
            </w:r>
          </w:p>
        </w:tc>
        <w:tc>
          <w:tcPr>
            <w:tcW w:w="14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27</w:t>
            </w:r>
          </w:p>
        </w:tc>
      </w:tr>
      <w:tr>
        <w:trPr>
          <w:trHeight w:val="180"/>
        </w:trPr>
        <w:tc>
          <w:tcPr>
            <w:tcW w:w="5020" w:type="dxa"/>
            <w:vAlign w:val="bottom"/>
          </w:tcPr>
          <w:p>
            <w:pPr>
              <w:spacing w:after="0" w:line="180" w:lineRule="exact"/>
              <w:rPr>
                <w:sz w:val="20"/>
                <w:szCs w:val="20"/>
                <w:color w:val="auto"/>
              </w:rPr>
            </w:pPr>
            <w:r>
              <w:rPr>
                <w:rFonts w:ascii="Arial" w:cs="Arial" w:eastAsia="Arial" w:hAnsi="Arial"/>
                <w:sz w:val="16"/>
                <w:szCs w:val="16"/>
                <w:color w:val="auto"/>
              </w:rPr>
              <w:t>Total derivatives designated as hedging instruments</w:t>
            </w:r>
          </w:p>
        </w:tc>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right"/>
              <w:ind w:right="91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ind w:left="140"/>
              <w:spacing w:after="0" w:line="180" w:lineRule="exact"/>
              <w:rPr>
                <w:sz w:val="20"/>
                <w:szCs w:val="20"/>
                <w:color w:val="auto"/>
              </w:rPr>
            </w:pPr>
            <w:r>
              <w:rPr>
                <w:rFonts w:ascii="Arial" w:cs="Arial" w:eastAsia="Arial" w:hAnsi="Arial"/>
                <w:sz w:val="16"/>
                <w:szCs w:val="16"/>
                <w:b w:val="1"/>
                <w:bCs w:val="1"/>
                <w:color w:val="auto"/>
              </w:rPr>
              <w:t>66</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34</w:t>
            </w:r>
          </w:p>
        </w:tc>
      </w:tr>
      <w:tr>
        <w:trPr>
          <w:trHeight w:val="20"/>
        </w:trPr>
        <w:tc>
          <w:tcPr>
            <w:tcW w:w="50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20" w:firstLine="528"/>
        <w:spacing w:after="0" w:line="234" w:lineRule="auto"/>
        <w:rPr>
          <w:sz w:val="20"/>
          <w:szCs w:val="20"/>
          <w:color w:val="auto"/>
        </w:rPr>
      </w:pPr>
      <w:r>
        <w:rPr>
          <w:rFonts w:ascii="Arial" w:cs="Arial" w:eastAsia="Arial" w:hAnsi="Arial"/>
          <w:sz w:val="16"/>
          <w:szCs w:val="16"/>
          <w:color w:val="auto"/>
        </w:rPr>
        <w:t>The balance of derivative losses recorded in AOCL as of June 30, 2020 was $ 66 million. See NOTE O “Accumulated Other Comprehensive Loss” for information regarding activity recorded as a component of AOCL during the three and six months ended June 30, 2020. As June 30, 2020, the Company had $14 million of derivative losses recorded in AOCL expected to be reclassified to earnings within the next twelve months.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I. PRODUCT WARRANTY LIABILITIES</w:t>
      </w:r>
    </w:p>
    <w:p>
      <w:pPr>
        <w:spacing w:after="0" w:line="106" w:lineRule="exact"/>
        <w:rPr>
          <w:sz w:val="20"/>
          <w:szCs w:val="20"/>
          <w:color w:val="auto"/>
        </w:rPr>
      </w:pPr>
    </w:p>
    <w:p>
      <w:pPr>
        <w:ind w:right="260" w:firstLine="528"/>
        <w:spacing w:after="0" w:line="237" w:lineRule="auto"/>
        <w:rPr>
          <w:sz w:val="20"/>
          <w:szCs w:val="20"/>
          <w:color w:val="auto"/>
        </w:rPr>
      </w:pPr>
      <w:r>
        <w:rPr>
          <w:rFonts w:ascii="Arial" w:cs="Arial" w:eastAsia="Arial" w:hAnsi="Arial"/>
          <w:sz w:val="16"/>
          <w:szCs w:val="16"/>
          <w:color w:val="auto"/>
        </w:rPr>
        <w:t>As of June 30, 2020, current and non-current product warranty liabilities were $29 million and $19 million, respectively. As of June 30, 2019, current and non-current product warranty liabilities were $27 million and $32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Product warranty liability activities consist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20" w:type="dxa"/>
            <w:vAlign w:val="bottom"/>
            <w:gridSpan w:val="4"/>
          </w:tcPr>
          <w:p>
            <w:pPr>
              <w:jc w:val="right"/>
              <w:ind w:right="277"/>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Six Months Ended</w:t>
            </w:r>
          </w:p>
        </w:tc>
        <w:tc>
          <w:tcPr>
            <w:tcW w:w="860" w:type="dxa"/>
            <w:vAlign w:val="bottom"/>
          </w:tcPr>
          <w:p>
            <w:pPr>
              <w:spacing w:after="0"/>
              <w:rPr>
                <w:sz w:val="13"/>
                <w:szCs w:val="13"/>
                <w:color w:val="auto"/>
              </w:rPr>
            </w:pPr>
          </w:p>
        </w:tc>
      </w:tr>
      <w:tr>
        <w:trPr>
          <w:trHeight w:val="153"/>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80" w:type="dxa"/>
            <w:vAlign w:val="bottom"/>
            <w:gridSpan w:val="3"/>
          </w:tcPr>
          <w:p>
            <w:pPr>
              <w:jc w:val="right"/>
              <w:ind w:right="637"/>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June 30,</w:t>
            </w:r>
          </w:p>
        </w:tc>
        <w:tc>
          <w:tcPr>
            <w:tcW w:w="860" w:type="dxa"/>
            <w:vAlign w:val="bottom"/>
          </w:tcPr>
          <w:p>
            <w:pPr>
              <w:spacing w:after="0"/>
              <w:rPr>
                <w:sz w:val="13"/>
                <w:szCs w:val="13"/>
                <w:color w:val="auto"/>
              </w:rPr>
            </w:pPr>
          </w:p>
        </w:tc>
      </w:tr>
      <w:tr>
        <w:trPr>
          <w:trHeight w:val="153"/>
        </w:trPr>
        <w:tc>
          <w:tcPr>
            <w:tcW w:w="466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w w:val="89"/>
              </w:rPr>
              <w:t>2019</w:t>
            </w:r>
          </w:p>
        </w:tc>
      </w:tr>
      <w:tr>
        <w:trPr>
          <w:trHeight w:val="180"/>
        </w:trPr>
        <w:tc>
          <w:tcPr>
            <w:tcW w:w="4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51</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64</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47"/>
              <w:spacing w:after="0" w:line="180" w:lineRule="exact"/>
              <w:rPr>
                <w:sz w:val="20"/>
                <w:szCs w:val="20"/>
                <w:color w:val="auto"/>
              </w:rPr>
            </w:pPr>
            <w:r>
              <w:rPr>
                <w:rFonts w:ascii="Arial" w:cs="Arial" w:eastAsia="Arial" w:hAnsi="Arial"/>
                <w:sz w:val="16"/>
                <w:szCs w:val="16"/>
                <w:b w:val="1"/>
                <w:bCs w:val="1"/>
                <w:color w:val="auto"/>
                <w:w w:val="89"/>
              </w:rPr>
              <w:t>$</w:t>
            </w:r>
          </w:p>
        </w:tc>
        <w:tc>
          <w:tcPr>
            <w:tcW w:w="5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52</w:t>
            </w:r>
          </w:p>
        </w:tc>
        <w:tc>
          <w:tcPr>
            <w:tcW w:w="560" w:type="dxa"/>
            <w:vAlign w:val="bottom"/>
            <w:gridSpan w:val="2"/>
            <w:shd w:val="clear" w:color="auto" w:fill="CFF0FC"/>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66</w:t>
            </w: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Payments</w:t>
            </w: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(12)</w:t>
            </w:r>
          </w:p>
        </w:tc>
      </w:tr>
      <w:tr>
        <w:trPr>
          <w:trHeight w:val="188"/>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Increase in liability (warranty issued during period)</w:t>
            </w:r>
          </w:p>
        </w:tc>
        <w:tc>
          <w:tcPr>
            <w:tcW w:w="1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8</w:t>
            </w:r>
          </w:p>
        </w:tc>
        <w:tc>
          <w:tcPr>
            <w:tcW w:w="1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11</w:t>
            </w:r>
          </w:p>
        </w:tc>
      </w:tr>
      <w:tr>
        <w:trPr>
          <w:trHeight w:val="188"/>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adjustments to liability</w:t>
            </w:r>
          </w:p>
        </w:tc>
        <w:tc>
          <w:tcPr>
            <w:tcW w:w="116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w:t>
            </w:r>
          </w:p>
        </w:tc>
      </w:tr>
      <w:tr>
        <w:trPr>
          <w:trHeight w:val="180"/>
        </w:trPr>
        <w:tc>
          <w:tcPr>
            <w:tcW w:w="4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1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48</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59</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47"/>
              <w:spacing w:after="0" w:line="180" w:lineRule="exact"/>
              <w:rPr>
                <w:sz w:val="20"/>
                <w:szCs w:val="20"/>
                <w:color w:val="auto"/>
              </w:rPr>
            </w:pPr>
            <w:r>
              <w:rPr>
                <w:rFonts w:ascii="Arial" w:cs="Arial" w:eastAsia="Arial" w:hAnsi="Arial"/>
                <w:sz w:val="16"/>
                <w:szCs w:val="16"/>
                <w:b w:val="1"/>
                <w:bCs w:val="1"/>
                <w:color w:val="auto"/>
                <w:w w:val="89"/>
              </w:rPr>
              <w:t>$</w:t>
            </w:r>
          </w:p>
        </w:tc>
        <w:tc>
          <w:tcPr>
            <w:tcW w:w="5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48</w:t>
            </w:r>
          </w:p>
        </w:tc>
        <w:tc>
          <w:tcPr>
            <w:tcW w:w="560" w:type="dxa"/>
            <w:vAlign w:val="bottom"/>
            <w:gridSpan w:val="2"/>
            <w:shd w:val="clear" w:color="auto" w:fill="CFF0FC"/>
          </w:tcPr>
          <w:p>
            <w:pPr>
              <w:jc w:val="right"/>
              <w:ind w:right="340"/>
              <w:spacing w:after="0" w:line="180"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59</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J. DEFERRED REVENUE</w:t>
      </w:r>
    </w:p>
    <w:p>
      <w:pPr>
        <w:spacing w:after="0" w:line="106" w:lineRule="exact"/>
        <w:rPr>
          <w:sz w:val="20"/>
          <w:szCs w:val="20"/>
          <w:color w:val="auto"/>
        </w:rPr>
      </w:pPr>
    </w:p>
    <w:p>
      <w:pPr>
        <w:ind w:right="480" w:firstLine="528"/>
        <w:spacing w:after="0" w:line="237" w:lineRule="auto"/>
        <w:rPr>
          <w:sz w:val="20"/>
          <w:szCs w:val="20"/>
          <w:color w:val="auto"/>
        </w:rPr>
      </w:pPr>
      <w:r>
        <w:rPr>
          <w:rFonts w:ascii="Arial" w:cs="Arial" w:eastAsia="Arial" w:hAnsi="Arial"/>
          <w:sz w:val="16"/>
          <w:szCs w:val="16"/>
          <w:color w:val="auto"/>
        </w:rPr>
        <w:t>As of June 30, 2020, current and non-current deferred revenue was $34 million and $111 million, respectively. As of June 30, 2019, current and non-current deferred revenue was $34 million and $99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activity consists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60" w:type="dxa"/>
            <w:vAlign w:val="bottom"/>
            <w:gridSpan w:val="4"/>
          </w:tcPr>
          <w:p>
            <w:pPr>
              <w:jc w:val="right"/>
              <w:ind w:right="211"/>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Six Months Ended</w:t>
            </w:r>
          </w:p>
        </w:tc>
        <w:tc>
          <w:tcPr>
            <w:tcW w:w="840" w:type="dxa"/>
            <w:vAlign w:val="bottom"/>
          </w:tcPr>
          <w:p>
            <w:pPr>
              <w:spacing w:after="0"/>
              <w:rPr>
                <w:sz w:val="13"/>
                <w:szCs w:val="13"/>
                <w:color w:val="auto"/>
              </w:rPr>
            </w:pPr>
          </w:p>
        </w:tc>
      </w:tr>
      <w:tr>
        <w:trPr>
          <w:trHeight w:val="153"/>
        </w:trPr>
        <w:tc>
          <w:tcPr>
            <w:tcW w:w="3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gridSpan w:val="3"/>
          </w:tcPr>
          <w:p>
            <w:pPr>
              <w:jc w:val="right"/>
              <w:ind w:right="591"/>
              <w:spacing w:after="0"/>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gridSpan w:val="3"/>
          </w:tcPr>
          <w:p>
            <w:pPr>
              <w:jc w:val="right"/>
              <w:ind w:right="222"/>
              <w:spacing w:after="0"/>
              <w:rPr>
                <w:sz w:val="20"/>
                <w:szCs w:val="20"/>
                <w:color w:val="auto"/>
              </w:rPr>
            </w:pPr>
            <w:r>
              <w:rPr>
                <w:rFonts w:ascii="Arial" w:cs="Arial" w:eastAsia="Arial" w:hAnsi="Arial"/>
                <w:sz w:val="13"/>
                <w:szCs w:val="13"/>
                <w:b w:val="1"/>
                <w:bCs w:val="1"/>
                <w:color w:val="auto"/>
              </w:rPr>
              <w:t>June 30,</w:t>
            </w:r>
          </w:p>
        </w:tc>
        <w:tc>
          <w:tcPr>
            <w:tcW w:w="840" w:type="dxa"/>
            <w:vAlign w:val="bottom"/>
          </w:tcPr>
          <w:p>
            <w:pPr>
              <w:spacing w:after="0"/>
              <w:rPr>
                <w:sz w:val="13"/>
                <w:szCs w:val="13"/>
                <w:color w:val="auto"/>
              </w:rPr>
            </w:pPr>
          </w:p>
        </w:tc>
      </w:tr>
      <w:tr>
        <w:trPr>
          <w:trHeight w:val="153"/>
        </w:trPr>
        <w:tc>
          <w:tcPr>
            <w:tcW w:w="3560" w:type="dxa"/>
            <w:vAlign w:val="bottom"/>
          </w:tcPr>
          <w:p>
            <w:pPr>
              <w:spacing w:after="0"/>
              <w:rPr>
                <w:sz w:val="13"/>
                <w:szCs w:val="13"/>
                <w:color w:val="auto"/>
              </w:rPr>
            </w:pPr>
          </w:p>
        </w:tc>
        <w:tc>
          <w:tcPr>
            <w:tcW w:w="306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3"/>
                <w:szCs w:val="13"/>
                <w:b w:val="1"/>
                <w:bCs w:val="1"/>
                <w:color w:val="auto"/>
              </w:rPr>
              <w:t>2019</w:t>
            </w:r>
          </w:p>
        </w:tc>
        <w:tc>
          <w:tcPr>
            <w:tcW w:w="48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ind w:right="485"/>
              <w:spacing w:after="0"/>
              <w:rPr>
                <w:sz w:val="20"/>
                <w:szCs w:val="20"/>
                <w:color w:val="auto"/>
              </w:rPr>
            </w:pPr>
            <w:r>
              <w:rPr>
                <w:rFonts w:ascii="Arial" w:cs="Arial" w:eastAsia="Arial" w:hAnsi="Arial"/>
                <w:sz w:val="13"/>
                <w:szCs w:val="13"/>
                <w:b w:val="1"/>
                <w:bCs w:val="1"/>
                <w:color w:val="auto"/>
                <w:w w:val="89"/>
              </w:rPr>
              <w:t>2019</w:t>
            </w:r>
          </w:p>
        </w:tc>
      </w:tr>
      <w:tr>
        <w:trPr>
          <w:trHeight w:val="180"/>
        </w:trPr>
        <w:tc>
          <w:tcPr>
            <w:tcW w:w="35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228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631"/>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140</w:t>
            </w:r>
          </w:p>
        </w:tc>
        <w:tc>
          <w:tcPr>
            <w:tcW w:w="14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63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131</w:t>
            </w:r>
          </w:p>
        </w:tc>
        <w:tc>
          <w:tcPr>
            <w:tcW w:w="12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139</w:t>
            </w:r>
          </w:p>
        </w:tc>
        <w:tc>
          <w:tcPr>
            <w:tcW w:w="120" w:type="dxa"/>
            <w:vAlign w:val="bottom"/>
            <w:tcBorders>
              <w:top w:val="single" w:sz="8" w:color="CFF0FC"/>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jc w:val="right"/>
              <w:ind w:right="262"/>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122</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Increases</w:t>
            </w:r>
          </w:p>
        </w:tc>
        <w:tc>
          <w:tcPr>
            <w:tcW w:w="2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5"/>
              <w:spacing w:after="0"/>
              <w:rPr>
                <w:sz w:val="20"/>
                <w:szCs w:val="20"/>
                <w:color w:val="auto"/>
              </w:rPr>
            </w:pPr>
            <w:r>
              <w:rPr>
                <w:rFonts w:ascii="Arial" w:cs="Arial" w:eastAsia="Arial" w:hAnsi="Arial"/>
                <w:sz w:val="16"/>
                <w:szCs w:val="16"/>
                <w:b w:val="1"/>
                <w:bCs w:val="1"/>
                <w:color w:val="auto"/>
              </w:rPr>
              <w:t>13</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jc w:val="right"/>
              <w:ind w:right="47"/>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color w:val="auto"/>
              </w:rPr>
              <w:t>29</w:t>
            </w:r>
          </w:p>
        </w:tc>
      </w:tr>
      <w:tr>
        <w:trPr>
          <w:trHeight w:val="188"/>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Revenue earned</w:t>
            </w:r>
          </w:p>
        </w:tc>
        <w:tc>
          <w:tcPr>
            <w:tcW w:w="2280" w:type="dxa"/>
            <w:vAlign w:val="bottom"/>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180"/>
        </w:trPr>
        <w:tc>
          <w:tcPr>
            <w:tcW w:w="356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2280" w:type="dxa"/>
            <w:vAlign w:val="bottom"/>
          </w:tcPr>
          <w:p>
            <w:pPr>
              <w:spacing w:after="0"/>
              <w:rPr>
                <w:sz w:val="15"/>
                <w:szCs w:val="15"/>
                <w:color w:val="auto"/>
              </w:rPr>
            </w:pPr>
          </w:p>
        </w:tc>
        <w:tc>
          <w:tcPr>
            <w:tcW w:w="780" w:type="dxa"/>
            <w:vAlign w:val="bottom"/>
            <w:tcBorders>
              <w:bottom w:val="single" w:sz="8" w:color="auto"/>
            </w:tcBorders>
          </w:tcPr>
          <w:p>
            <w:pPr>
              <w:jc w:val="right"/>
              <w:ind w:right="631"/>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b w:val="1"/>
                <w:bCs w:val="1"/>
                <w:color w:val="auto"/>
              </w:rPr>
              <w:t>145</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631"/>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133</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145</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2"/>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color w:val="auto"/>
              </w:rPr>
              <w:t>133</w:t>
            </w:r>
          </w:p>
        </w:tc>
      </w:tr>
      <w:tr>
        <w:trPr>
          <w:trHeight w:val="20"/>
        </w:trPr>
        <w:tc>
          <w:tcPr>
            <w:tcW w:w="3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firstLine="528"/>
        <w:spacing w:after="0" w:line="237" w:lineRule="auto"/>
        <w:rPr>
          <w:sz w:val="20"/>
          <w:szCs w:val="20"/>
          <w:color w:val="auto"/>
        </w:rPr>
      </w:pPr>
      <w:r>
        <w:rPr>
          <w:rFonts w:ascii="Arial" w:cs="Arial" w:eastAsia="Arial" w:hAnsi="Arial"/>
          <w:sz w:val="16"/>
          <w:szCs w:val="16"/>
          <w:color w:val="auto"/>
        </w:rPr>
        <w:t>Deferred revenue recorded in current and non-current liabilities related to ETC as of June 30, 2020 was $27 million and $93 million, respectively. Deferred revenue recorded in current and non-current liabilities related to ETC as of June 30, 2019 was $29 million and $77 million, respectively.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K. LEASES</w:t>
      </w:r>
    </w:p>
    <w:p>
      <w:pPr>
        <w:spacing w:after="0" w:line="106" w:lineRule="exact"/>
        <w:rPr>
          <w:sz w:val="20"/>
          <w:szCs w:val="20"/>
          <w:color w:val="auto"/>
        </w:rPr>
      </w:pPr>
    </w:p>
    <w:p>
      <w:pPr>
        <w:ind w:right="20" w:firstLine="528"/>
        <w:spacing w:after="0" w:line="232" w:lineRule="auto"/>
        <w:rPr>
          <w:sz w:val="20"/>
          <w:szCs w:val="20"/>
          <w:color w:val="auto"/>
        </w:rPr>
      </w:pPr>
      <w:r>
        <w:rPr>
          <w:rFonts w:ascii="Arial" w:cs="Arial" w:eastAsia="Arial" w:hAnsi="Arial"/>
          <w:sz w:val="16"/>
          <w:szCs w:val="16"/>
          <w:color w:val="auto"/>
        </w:rPr>
        <w:t>Contracts are assessed by the Company to determine if the contract conveys the right to control an identified asset in exchange for consideration during a period of time. The Company classifies all identified leases as operating or finance leases. As of June 30, 2020,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84" w:lineRule="exact"/>
        <w:rPr>
          <w:sz w:val="20"/>
          <w:szCs w:val="20"/>
          <w:color w:val="auto"/>
        </w:rPr>
      </w:pPr>
    </w:p>
    <w:p>
      <w:pPr>
        <w:jc w:val="both"/>
        <w:ind w:right="40" w:firstLine="528"/>
        <w:spacing w:after="0" w:line="234" w:lineRule="auto"/>
        <w:rPr>
          <w:sz w:val="20"/>
          <w:szCs w:val="20"/>
          <w:color w:val="auto"/>
        </w:rPr>
      </w:pPr>
      <w:r>
        <w:rPr>
          <w:rFonts w:ascii="Arial" w:cs="Arial" w:eastAsia="Arial" w:hAnsi="Arial"/>
          <w:sz w:val="16"/>
          <w:szCs w:val="16"/>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84" w:lineRule="exact"/>
        <w:rPr>
          <w:sz w:val="20"/>
          <w:szCs w:val="20"/>
          <w:color w:val="auto"/>
        </w:rPr>
      </w:pPr>
    </w:p>
    <w:p>
      <w:pPr>
        <w:ind w:right="40" w:firstLine="528"/>
        <w:spacing w:after="0" w:line="232" w:lineRule="auto"/>
        <w:rPr>
          <w:sz w:val="20"/>
          <w:szCs w:val="20"/>
          <w:color w:val="auto"/>
        </w:rPr>
      </w:pPr>
      <w:r>
        <w:rPr>
          <w:rFonts w:ascii="Arial" w:cs="Arial" w:eastAsia="Arial" w:hAnsi="Arial"/>
          <w:sz w:val="16"/>
          <w:szCs w:val="16"/>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New Term Loan. The Company believes this rate effectively represents a borrowing rate the Company could obtain on a debt instrument possessing similar terms as the lease. The lease liability is classified between current and non-current liabilities based on the terms of the underlying leases. The weighted average discount rate on operating leases as of both June 30, 2020 and December 31, 2019 was 4.36%.</w:t>
      </w:r>
    </w:p>
    <w:p>
      <w:pPr>
        <w:spacing w:after="0" w:line="85" w:lineRule="exact"/>
        <w:rPr>
          <w:sz w:val="20"/>
          <w:szCs w:val="20"/>
          <w:color w:val="auto"/>
        </w:rPr>
      </w:pPr>
    </w:p>
    <w:p>
      <w:pPr>
        <w:ind w:right="520" w:firstLine="522"/>
        <w:spacing w:after="0" w:line="234" w:lineRule="auto"/>
        <w:rPr>
          <w:sz w:val="20"/>
          <w:szCs w:val="20"/>
          <w:color w:val="auto"/>
        </w:rPr>
      </w:pPr>
      <w:r>
        <w:rPr>
          <w:rFonts w:ascii="Arial" w:cs="Arial" w:eastAsia="Arial" w:hAnsi="Arial"/>
          <w:sz w:val="16"/>
          <w:szCs w:val="16"/>
          <w:color w:val="auto"/>
        </w:rPr>
        <w:t>As of June 30, 2020, the Company recorded current and non-current operating lease liabilities of $5 million and $17 million, respectively. As of December 31, 2019, the Company recorded current and non-current operating lease liabilities of $5 million and $18 million, respectively. The following table reconciles total operating lease liabilities as of June 30, 2020 to future undiscounted cash flows for operating leases: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right"/>
              <w:ind w:right="725"/>
              <w:spacing w:after="0"/>
              <w:rPr>
                <w:sz w:val="20"/>
                <w:szCs w:val="20"/>
                <w:color w:val="auto"/>
              </w:rPr>
            </w:pPr>
            <w:r>
              <w:rPr>
                <w:rFonts w:ascii="Arial" w:cs="Arial" w:eastAsia="Arial" w:hAnsi="Arial"/>
                <w:sz w:val="13"/>
                <w:szCs w:val="13"/>
                <w:b w:val="1"/>
                <w:bCs w:val="1"/>
                <w:color w:val="auto"/>
              </w:rPr>
              <w:t>June 30,</w:t>
            </w:r>
          </w:p>
        </w:tc>
      </w:tr>
      <w:tr>
        <w:trPr>
          <w:trHeight w:val="153"/>
        </w:trPr>
        <w:tc>
          <w:tcPr>
            <w:tcW w:w="9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845"/>
              <w:spacing w:after="0"/>
              <w:rPr>
                <w:sz w:val="20"/>
                <w:szCs w:val="20"/>
                <w:color w:val="auto"/>
              </w:rPr>
            </w:pPr>
            <w:r>
              <w:rPr>
                <w:rFonts w:ascii="Arial" w:cs="Arial" w:eastAsia="Arial" w:hAnsi="Arial"/>
                <w:sz w:val="13"/>
                <w:szCs w:val="13"/>
                <w:b w:val="1"/>
                <w:bCs w:val="1"/>
                <w:color w:val="auto"/>
              </w:rPr>
              <w:t>2020</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2020</w:t>
            </w:r>
          </w:p>
        </w:tc>
        <w:tc>
          <w:tcPr>
            <w:tcW w:w="400" w:type="dxa"/>
            <w:vAlign w:val="bottom"/>
            <w:shd w:val="clear" w:color="auto" w:fill="CFF0FC"/>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5</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2021</w:t>
            </w:r>
          </w:p>
        </w:tc>
        <w:tc>
          <w:tcPr>
            <w:tcW w:w="400" w:type="dxa"/>
            <w:vAlign w:val="bottom"/>
          </w:tcPr>
          <w:p>
            <w:pPr>
              <w:spacing w:after="0"/>
              <w:rPr>
                <w:sz w:val="16"/>
                <w:szCs w:val="16"/>
                <w:color w:val="auto"/>
              </w:rPr>
            </w:pPr>
          </w:p>
        </w:tc>
        <w:tc>
          <w:tcPr>
            <w:tcW w:w="1600" w:type="dxa"/>
            <w:vAlign w:val="bottom"/>
          </w:tcPr>
          <w:p>
            <w:pPr>
              <w:jc w:val="right"/>
              <w:ind w:right="45"/>
              <w:spacing w:after="0"/>
              <w:rPr>
                <w:sz w:val="20"/>
                <w:szCs w:val="20"/>
                <w:color w:val="auto"/>
              </w:rPr>
            </w:pPr>
            <w:r>
              <w:rPr>
                <w:rFonts w:ascii="Arial" w:cs="Arial" w:eastAsia="Arial" w:hAnsi="Arial"/>
                <w:sz w:val="16"/>
                <w:szCs w:val="16"/>
                <w:b w:val="1"/>
                <w:bCs w:val="1"/>
                <w:color w:val="auto"/>
              </w:rPr>
              <w:t>4</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40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16"/>
                <w:szCs w:val="16"/>
                <w:color w:val="auto"/>
              </w:rPr>
            </w:pPr>
          </w:p>
        </w:tc>
        <w:tc>
          <w:tcPr>
            <w:tcW w:w="1600" w:type="dxa"/>
            <w:vAlign w:val="bottom"/>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40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9</w:t>
            </w:r>
          </w:p>
        </w:tc>
      </w:tr>
      <w:tr>
        <w:trPr>
          <w:trHeight w:val="180"/>
        </w:trPr>
        <w:tc>
          <w:tcPr>
            <w:tcW w:w="92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lease payments</w:t>
            </w:r>
          </w:p>
        </w:tc>
        <w:tc>
          <w:tcPr>
            <w:tcW w:w="400" w:type="dxa"/>
            <w:vAlign w:val="bottom"/>
            <w:shd w:val="clear" w:color="auto" w:fill="CFF0FC"/>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25</w:t>
            </w:r>
          </w:p>
        </w:tc>
      </w:tr>
      <w:tr>
        <w:trPr>
          <w:trHeight w:val="188"/>
        </w:trPr>
        <w:tc>
          <w:tcPr>
            <w:tcW w:w="92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Less: Interest</w:t>
            </w: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0"/>
        </w:trPr>
        <w:tc>
          <w:tcPr>
            <w:tcW w:w="92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Present value of lease liabilities</w:t>
            </w:r>
          </w:p>
        </w:tc>
        <w:tc>
          <w:tcPr>
            <w:tcW w:w="400" w:type="dxa"/>
            <w:vAlign w:val="bottom"/>
            <w:tcBorders>
              <w:bottom w:val="single" w:sz="8" w:color="auto"/>
            </w:tcBorders>
            <w:shd w:val="clear" w:color="auto" w:fill="CFF0FC"/>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22</w:t>
            </w: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firstLine="528"/>
        <w:spacing w:after="0" w:line="237" w:lineRule="auto"/>
        <w:rPr>
          <w:sz w:val="20"/>
          <w:szCs w:val="20"/>
          <w:color w:val="auto"/>
        </w:rPr>
      </w:pPr>
      <w:r>
        <w:rPr>
          <w:rFonts w:ascii="Arial" w:cs="Arial" w:eastAsia="Arial" w:hAnsi="Arial"/>
          <w:sz w:val="16"/>
          <w:szCs w:val="16"/>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jc w:val="right"/>
              <w:ind w:right="727"/>
              <w:spacing w:after="0"/>
              <w:rPr>
                <w:sz w:val="20"/>
                <w:szCs w:val="20"/>
                <w:color w:val="auto"/>
              </w:rPr>
            </w:pPr>
            <w:r>
              <w:rPr>
                <w:rFonts w:ascii="Arial" w:cs="Arial" w:eastAsia="Arial" w:hAnsi="Arial"/>
                <w:sz w:val="13"/>
                <w:szCs w:val="13"/>
                <w:b w:val="1"/>
                <w:bCs w:val="1"/>
                <w:color w:val="auto"/>
              </w:rPr>
              <w:t>June 30,</w:t>
            </w:r>
          </w:p>
        </w:tc>
      </w:tr>
      <w:tr>
        <w:trPr>
          <w:trHeight w:val="153"/>
        </w:trPr>
        <w:tc>
          <w:tcPr>
            <w:tcW w:w="9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847"/>
              <w:spacing w:after="0"/>
              <w:rPr>
                <w:sz w:val="20"/>
                <w:szCs w:val="20"/>
                <w:color w:val="auto"/>
              </w:rPr>
            </w:pPr>
            <w:r>
              <w:rPr>
                <w:rFonts w:ascii="Arial" w:cs="Arial" w:eastAsia="Arial" w:hAnsi="Arial"/>
                <w:sz w:val="13"/>
                <w:szCs w:val="13"/>
                <w:b w:val="1"/>
                <w:bCs w:val="1"/>
                <w:color w:val="auto"/>
              </w:rPr>
              <w:t>2020</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Buildings</w:t>
            </w:r>
          </w:p>
        </w:tc>
        <w:tc>
          <w:tcPr>
            <w:tcW w:w="400" w:type="dxa"/>
            <w:vAlign w:val="bottom"/>
            <w:shd w:val="clear" w:color="auto" w:fill="CFF0FC"/>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20</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Land</w:t>
            </w:r>
          </w:p>
        </w:tc>
        <w:tc>
          <w:tcPr>
            <w:tcW w:w="400" w:type="dxa"/>
            <w:vAlign w:val="bottom"/>
          </w:tcPr>
          <w:p>
            <w:pPr>
              <w:spacing w:after="0"/>
              <w:rPr>
                <w:sz w:val="16"/>
                <w:szCs w:val="16"/>
                <w:color w:val="auto"/>
              </w:rPr>
            </w:pPr>
          </w:p>
        </w:tc>
        <w:tc>
          <w:tcPr>
            <w:tcW w:w="1600" w:type="dxa"/>
            <w:vAlign w:val="bottom"/>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40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0"/>
        </w:trPr>
        <w:tc>
          <w:tcPr>
            <w:tcW w:w="9260" w:type="dxa"/>
            <w:vAlign w:val="bottom"/>
          </w:tcPr>
          <w:p>
            <w:pPr>
              <w:spacing w:after="0" w:line="180" w:lineRule="exact"/>
              <w:rPr>
                <w:sz w:val="20"/>
                <w:szCs w:val="20"/>
                <w:color w:val="auto"/>
              </w:rPr>
            </w:pPr>
            <w:r>
              <w:rPr>
                <w:rFonts w:ascii="Arial" w:cs="Arial" w:eastAsia="Arial" w:hAnsi="Arial"/>
                <w:sz w:val="16"/>
                <w:szCs w:val="16"/>
                <w:color w:val="auto"/>
              </w:rPr>
              <w:t>Total right-of-use assets</w:t>
            </w:r>
          </w:p>
        </w:tc>
        <w:tc>
          <w:tcPr>
            <w:tcW w:w="400" w:type="dxa"/>
            <w:vAlign w:val="bottom"/>
            <w:tcBorders>
              <w:bottom w:val="single" w:sz="8" w:color="auto"/>
            </w:tcBorders>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22</w:t>
            </w:r>
          </w:p>
        </w:tc>
      </w:tr>
      <w:tr>
        <w:trPr>
          <w:trHeight w:val="20"/>
        </w:trPr>
        <w:tc>
          <w:tcPr>
            <w:tcW w:w="9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remaining lease term as of June 30, 2020 and June 30, 2019 was 7.54 years and 7.08 years, respectively.</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340" w:firstLine="528"/>
        <w:spacing w:after="0" w:line="234" w:lineRule="auto"/>
        <w:rPr>
          <w:sz w:val="20"/>
          <w:szCs w:val="20"/>
          <w:color w:val="auto"/>
        </w:rPr>
      </w:pPr>
      <w:r>
        <w:rPr>
          <w:rFonts w:ascii="Arial" w:cs="Arial" w:eastAsia="Arial" w:hAnsi="Arial"/>
          <w:sz w:val="16"/>
          <w:szCs w:val="16"/>
          <w:color w:val="auto"/>
        </w:rPr>
        <w:t>Operating lease expense was $2 million and $3 million for the three and six months ended, respectively, for each of June 30, 2020 and 2019, recorded within Selling, general and administrative expense and Engineering - research and development on the Company's Condensed Consolidated Statements of Comprehensive Income. There was no short-term operating lease expense for the three and six months ended June 30, 2020 and 2019.</w:t>
      </w:r>
    </w:p>
    <w:p>
      <w:pPr>
        <w:spacing w:after="0" w:line="84" w:lineRule="exact"/>
        <w:rPr>
          <w:sz w:val="20"/>
          <w:szCs w:val="20"/>
          <w:color w:val="auto"/>
        </w:rPr>
      </w:pPr>
    </w:p>
    <w:p>
      <w:pPr>
        <w:jc w:val="both"/>
        <w:ind w:right="100" w:firstLine="528"/>
        <w:spacing w:after="0" w:line="234" w:lineRule="auto"/>
        <w:rPr>
          <w:sz w:val="20"/>
          <w:szCs w:val="20"/>
          <w:color w:val="auto"/>
        </w:rPr>
      </w:pPr>
      <w:r>
        <w:rPr>
          <w:rFonts w:ascii="Arial" w:cs="Arial" w:eastAsia="Arial" w:hAnsi="Arial"/>
          <w:sz w:val="16"/>
          <w:szCs w:val="16"/>
          <w:color w:val="auto"/>
        </w:rPr>
        <w:t>The calculation of the Company's ROU assets and lease liabilities did not include cash consideration as of June 30, 2020 and December 31, 2019. During the six months ended June 30, 2020 and 2019, the Company recorded $1 million and $8 million, respectively, of new ROU assets obtained in exchange for lease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L. OTHER CURRENT LIABILITIES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current liabilities consist of the following (dollars in millions):</w:t>
      </w:r>
    </w:p>
    <w:tbl>
      <w:tblPr>
        <w:tblLayout w:type="fixed"/>
        <w:tblInd w:w="0" w:type="dxa"/>
        <w:tblCellMar>
          <w:top w:w="0" w:type="dxa"/>
          <w:left w:w="0" w:type="dxa"/>
          <w:bottom w:w="0" w:type="dxa"/>
          <w:right w:w="0" w:type="dxa"/>
        </w:tblCellMar>
      </w:tblPr>
      <w:tr>
        <w:trPr>
          <w:trHeight w:val="134"/>
        </w:trPr>
        <w:tc>
          <w:tcPr>
            <w:tcW w:w="7740" w:type="dxa"/>
            <w:vAlign w:val="bottom"/>
          </w:tcPr>
          <w:p>
            <w:pPr>
              <w:spacing w:after="0"/>
              <w:rPr>
                <w:sz w:val="11"/>
                <w:szCs w:val="11"/>
                <w:color w:val="auto"/>
              </w:rPr>
            </w:pPr>
          </w:p>
        </w:tc>
        <w:tc>
          <w:tcPr>
            <w:tcW w:w="1160" w:type="dxa"/>
            <w:vAlign w:val="bottom"/>
          </w:tcPr>
          <w:p>
            <w:pPr>
              <w:jc w:val="right"/>
              <w:ind w:right="70"/>
              <w:spacing w:after="0" w:line="134"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jc w:val="right"/>
              <w:ind w:right="424"/>
              <w:spacing w:after="0" w:line="134" w:lineRule="exact"/>
              <w:rPr>
                <w:sz w:val="20"/>
                <w:szCs w:val="20"/>
                <w:color w:val="auto"/>
              </w:rPr>
            </w:pPr>
            <w:r>
              <w:rPr>
                <w:rFonts w:ascii="Arial" w:cs="Arial" w:eastAsia="Arial" w:hAnsi="Arial"/>
                <w:sz w:val="13"/>
                <w:szCs w:val="13"/>
                <w:b w:val="1"/>
                <w:bCs w:val="1"/>
                <w:color w:val="auto"/>
              </w:rPr>
              <w:t>December 31,</w:t>
            </w:r>
          </w:p>
        </w:tc>
      </w:tr>
      <w:tr>
        <w:trPr>
          <w:trHeight w:val="153"/>
        </w:trPr>
        <w:tc>
          <w:tcPr>
            <w:tcW w:w="77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4"/>
              <w:spacing w:after="0"/>
              <w:rPr>
                <w:sz w:val="20"/>
                <w:szCs w:val="20"/>
                <w:color w:val="auto"/>
              </w:rPr>
            </w:pPr>
            <w:r>
              <w:rPr>
                <w:rFonts w:ascii="Arial" w:cs="Arial" w:eastAsia="Arial" w:hAnsi="Arial"/>
                <w:sz w:val="13"/>
                <w:szCs w:val="13"/>
                <w:b w:val="1"/>
                <w:bCs w:val="1"/>
                <w:color w:val="auto"/>
              </w:rPr>
              <w:t>2019</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Payroll and related costs</w:t>
            </w:r>
          </w:p>
        </w:tc>
        <w:tc>
          <w:tcPr>
            <w:tcW w:w="1160" w:type="dxa"/>
            <w:vAlign w:val="bottom"/>
            <w:shd w:val="clear" w:color="auto" w:fill="CFF0FC"/>
          </w:tcPr>
          <w:p>
            <w:pPr>
              <w:jc w:val="right"/>
              <w:ind w:right="99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42</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87</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Sales allowances</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22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32</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payable</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21</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21</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Vendor buyback obligation</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15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16</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14</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7</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Taxes payable</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11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12</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5</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Construction liability</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4</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Vendor liability</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3</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Non-trade payables</w:t>
            </w:r>
          </w:p>
        </w:tc>
        <w:tc>
          <w:tcPr>
            <w:tcW w:w="116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4"/>
              <w:spacing w:after="0"/>
              <w:rPr>
                <w:sz w:val="20"/>
                <w:szCs w:val="20"/>
                <w:color w:val="auto"/>
              </w:rPr>
            </w:pPr>
            <w:r>
              <w:rPr>
                <w:rFonts w:ascii="Arial" w:cs="Arial" w:eastAsia="Arial" w:hAnsi="Arial"/>
                <w:sz w:val="16"/>
                <w:szCs w:val="16"/>
                <w:color w:val="auto"/>
              </w:rPr>
              <w:t>2</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Other accruals</w:t>
            </w:r>
          </w:p>
        </w:tc>
        <w:tc>
          <w:tcPr>
            <w:tcW w:w="116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11</w:t>
            </w:r>
          </w:p>
        </w:tc>
        <w:tc>
          <w:tcPr>
            <w:tcW w:w="1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13</w:t>
            </w:r>
          </w:p>
        </w:tc>
      </w:tr>
      <w:tr>
        <w:trPr>
          <w:trHeight w:val="180"/>
        </w:trPr>
        <w:tc>
          <w:tcPr>
            <w:tcW w:w="77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990"/>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149</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64"/>
              <w:spacing w:after="0" w:line="180" w:lineRule="exact"/>
              <w:rPr>
                <w:sz w:val="20"/>
                <w:szCs w:val="20"/>
                <w:color w:val="auto"/>
              </w:rPr>
            </w:pPr>
            <w:r>
              <w:rPr>
                <w:rFonts w:ascii="Arial" w:cs="Arial" w:eastAsia="Arial" w:hAnsi="Arial"/>
                <w:sz w:val="16"/>
                <w:szCs w:val="16"/>
                <w:color w:val="auto"/>
              </w:rPr>
              <w:t>202</w:t>
            </w:r>
          </w:p>
        </w:tc>
      </w:tr>
      <w:tr>
        <w:trPr>
          <w:trHeight w:val="20"/>
        </w:trPr>
        <w:tc>
          <w:tcPr>
            <w:tcW w:w="7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M. EMPLOYEE BENEFIT PLANS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Components of net periodic benefit cost (credit) consist of the following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391"/>
              <w:spacing w:after="0"/>
              <w:rPr>
                <w:sz w:val="20"/>
                <w:szCs w:val="20"/>
                <w:color w:val="auto"/>
              </w:rPr>
            </w:pPr>
            <w:r>
              <w:rPr>
                <w:rFonts w:ascii="Arial" w:cs="Arial" w:eastAsia="Arial" w:hAnsi="Arial"/>
                <w:sz w:val="13"/>
                <w:szCs w:val="13"/>
                <w:b w:val="1"/>
                <w:bCs w:val="1"/>
                <w:color w:val="auto"/>
                <w:w w:val="94"/>
              </w:rPr>
              <w:t>Pension Plans</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Borders>
              <w:bottom w:val="single" w:sz="8" w:color="auto"/>
            </w:tcBorders>
            <w:gridSpan w:val="4"/>
          </w:tcPr>
          <w:p>
            <w:pPr>
              <w:jc w:val="center"/>
              <w:ind w:left="234"/>
              <w:spacing w:after="0"/>
              <w:rPr>
                <w:sz w:val="20"/>
                <w:szCs w:val="20"/>
                <w:color w:val="auto"/>
              </w:rPr>
            </w:pPr>
            <w:r>
              <w:rPr>
                <w:rFonts w:ascii="Arial" w:cs="Arial" w:eastAsia="Arial" w:hAnsi="Arial"/>
                <w:sz w:val="13"/>
                <w:szCs w:val="13"/>
                <w:b w:val="1"/>
                <w:bCs w:val="1"/>
                <w:color w:val="auto"/>
                <w:w w:val="96"/>
              </w:rPr>
              <w:t>Post-retirement Benefits</w:t>
            </w:r>
          </w:p>
        </w:tc>
        <w:tc>
          <w:tcPr>
            <w:tcW w:w="420" w:type="dxa"/>
            <w:vAlign w:val="bottom"/>
            <w:tcBorders>
              <w:bottom w:val="single" w:sz="8" w:color="auto"/>
            </w:tcBorders>
          </w:tcPr>
          <w:p>
            <w:pPr>
              <w:spacing w:after="0"/>
              <w:rPr>
                <w:sz w:val="13"/>
                <w:szCs w:val="13"/>
                <w:color w:val="auto"/>
              </w:rPr>
            </w:pPr>
          </w:p>
        </w:tc>
      </w:tr>
      <w:tr>
        <w:trPr>
          <w:trHeight w:val="133"/>
        </w:trPr>
        <w:tc>
          <w:tcPr>
            <w:tcW w:w="4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20" w:type="dxa"/>
            <w:vAlign w:val="bottom"/>
            <w:gridSpan w:val="4"/>
          </w:tcPr>
          <w:p>
            <w:pPr>
              <w:jc w:val="center"/>
              <w:ind w:left="232"/>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4"/>
          </w:tcPr>
          <w:p>
            <w:pPr>
              <w:jc w:val="center"/>
              <w:ind w:left="214"/>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420" w:type="dxa"/>
            <w:vAlign w:val="bottom"/>
          </w:tcPr>
          <w:p>
            <w:pPr>
              <w:spacing w:after="0"/>
              <w:rPr>
                <w:sz w:val="11"/>
                <w:szCs w:val="11"/>
                <w:color w:val="auto"/>
              </w:rPr>
            </w:pPr>
          </w:p>
        </w:tc>
      </w:tr>
      <w:tr>
        <w:trPr>
          <w:trHeight w:val="153"/>
        </w:trPr>
        <w:tc>
          <w:tcPr>
            <w:tcW w:w="4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60" w:type="dxa"/>
            <w:vAlign w:val="bottom"/>
            <w:gridSpan w:val="3"/>
          </w:tcPr>
          <w:p>
            <w:pPr>
              <w:jc w:val="center"/>
              <w:ind w:right="391"/>
              <w:spacing w:after="0"/>
              <w:rPr>
                <w:sz w:val="20"/>
                <w:szCs w:val="20"/>
                <w:color w:val="auto"/>
              </w:rPr>
            </w:pPr>
            <w:r>
              <w:rPr>
                <w:rFonts w:ascii="Arial" w:cs="Arial" w:eastAsia="Arial" w:hAnsi="Arial"/>
                <w:sz w:val="13"/>
                <w:szCs w:val="13"/>
                <w:b w:val="1"/>
                <w:bCs w:val="1"/>
                <w:color w:val="auto"/>
                <w:w w:val="96"/>
              </w:rPr>
              <w:t>Ended 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gridSpan w:val="3"/>
          </w:tcPr>
          <w:p>
            <w:pPr>
              <w:jc w:val="center"/>
              <w:ind w:right="407"/>
              <w:spacing w:after="0"/>
              <w:rPr>
                <w:sz w:val="20"/>
                <w:szCs w:val="20"/>
                <w:color w:val="auto"/>
              </w:rPr>
            </w:pPr>
            <w:r>
              <w:rPr>
                <w:rFonts w:ascii="Arial" w:cs="Arial" w:eastAsia="Arial" w:hAnsi="Arial"/>
                <w:sz w:val="13"/>
                <w:szCs w:val="13"/>
                <w:b w:val="1"/>
                <w:bCs w:val="1"/>
                <w:color w:val="auto"/>
                <w:w w:val="96"/>
              </w:rPr>
              <w:t>Ended June 30,</w:t>
            </w:r>
          </w:p>
        </w:tc>
        <w:tc>
          <w:tcPr>
            <w:tcW w:w="420" w:type="dxa"/>
            <w:vAlign w:val="bottom"/>
          </w:tcPr>
          <w:p>
            <w:pPr>
              <w:spacing w:after="0"/>
              <w:rPr>
                <w:sz w:val="13"/>
                <w:szCs w:val="13"/>
                <w:color w:val="auto"/>
              </w:rPr>
            </w:pPr>
          </w:p>
        </w:tc>
      </w:tr>
      <w:tr>
        <w:trPr>
          <w:trHeight w:val="153"/>
        </w:trPr>
        <w:tc>
          <w:tcPr>
            <w:tcW w:w="4020" w:type="dxa"/>
            <w:vAlign w:val="bottom"/>
          </w:tcPr>
          <w:p>
            <w:pPr>
              <w:spacing w:after="0"/>
              <w:rPr>
                <w:sz w:val="13"/>
                <w:szCs w:val="13"/>
                <w:color w:val="auto"/>
              </w:rPr>
            </w:pPr>
          </w:p>
        </w:tc>
        <w:tc>
          <w:tcPr>
            <w:tcW w:w="25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1"/>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67"/>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3"/>
                <w:szCs w:val="13"/>
                <w:color w:val="auto"/>
              </w:rPr>
            </w:pPr>
          </w:p>
        </w:tc>
      </w:tr>
      <w:tr>
        <w:trPr>
          <w:trHeight w:val="180"/>
        </w:trPr>
        <w:tc>
          <w:tcPr>
            <w:tcW w:w="40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w:t>
            </w:r>
          </w:p>
        </w:tc>
        <w:tc>
          <w:tcPr>
            <w:tcW w:w="182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r>
      <w:tr>
        <w:trPr>
          <w:trHeight w:val="188"/>
        </w:trPr>
        <w:tc>
          <w:tcPr>
            <w:tcW w:w="4020" w:type="dxa"/>
            <w:vAlign w:val="bottom"/>
          </w:tcPr>
          <w:p>
            <w:pPr>
              <w:spacing w:after="0"/>
              <w:rPr>
                <w:sz w:val="20"/>
                <w:szCs w:val="20"/>
                <w:color w:val="auto"/>
              </w:rPr>
            </w:pPr>
            <w:r>
              <w:rPr>
                <w:rFonts w:ascii="Arial" w:cs="Arial" w:eastAsia="Arial" w:hAnsi="Arial"/>
                <w:sz w:val="16"/>
                <w:szCs w:val="16"/>
                <w:color w:val="auto"/>
              </w:rPr>
              <w:t>Service cost</w:t>
            </w:r>
          </w:p>
        </w:tc>
        <w:tc>
          <w:tcPr>
            <w:tcW w:w="2580" w:type="dxa"/>
            <w:vAlign w:val="bottom"/>
            <w:gridSpan w:val="2"/>
          </w:tcPr>
          <w:p>
            <w:pPr>
              <w:jc w:val="right"/>
              <w:ind w:right="61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46"/>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6"/>
                <w:szCs w:val="16"/>
                <w:color w:val="auto"/>
              </w:rPr>
            </w:pPr>
          </w:p>
        </w:tc>
        <w:tc>
          <w:tcPr>
            <w:tcW w:w="840" w:type="dxa"/>
            <w:vAlign w:val="bottom"/>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88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687"/>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1</w:t>
            </w:r>
          </w:p>
        </w:tc>
      </w:tr>
      <w:tr>
        <w:trPr>
          <w:trHeight w:val="188"/>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r>
      <w:tr>
        <w:trPr>
          <w:trHeight w:val="188"/>
        </w:trPr>
        <w:tc>
          <w:tcPr>
            <w:tcW w:w="402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r>
      <w:tr>
        <w:trPr>
          <w:trHeight w:val="180"/>
        </w:trPr>
        <w:tc>
          <w:tcPr>
            <w:tcW w:w="4020" w:type="dxa"/>
            <w:vAlign w:val="bottom"/>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8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687"/>
              <w:spacing w:after="0" w:line="180" w:lineRule="exact"/>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w:t>
            </w:r>
          </w:p>
        </w:tc>
      </w:tr>
      <w:tr>
        <w:trPr>
          <w:trHeight w:val="20"/>
        </w:trPr>
        <w:tc>
          <w:tcPr>
            <w:tcW w:w="4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598"/>
        </w:trPr>
        <w:tc>
          <w:tcPr>
            <w:tcW w:w="4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391"/>
              <w:spacing w:after="0"/>
              <w:rPr>
                <w:sz w:val="20"/>
                <w:szCs w:val="20"/>
                <w:color w:val="auto"/>
              </w:rPr>
            </w:pPr>
            <w:r>
              <w:rPr>
                <w:rFonts w:ascii="Arial" w:cs="Arial" w:eastAsia="Arial" w:hAnsi="Arial"/>
                <w:sz w:val="13"/>
                <w:szCs w:val="13"/>
                <w:b w:val="1"/>
                <w:bCs w:val="1"/>
                <w:color w:val="auto"/>
                <w:w w:val="94"/>
              </w:rPr>
              <w:t>Pension Plans</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auto"/>
            </w:tcBorders>
            <w:gridSpan w:val="4"/>
          </w:tcPr>
          <w:p>
            <w:pPr>
              <w:jc w:val="center"/>
              <w:ind w:left="214"/>
              <w:spacing w:after="0"/>
              <w:rPr>
                <w:sz w:val="20"/>
                <w:szCs w:val="20"/>
                <w:color w:val="auto"/>
              </w:rPr>
            </w:pPr>
            <w:r>
              <w:rPr>
                <w:rFonts w:ascii="Arial" w:cs="Arial" w:eastAsia="Arial" w:hAnsi="Arial"/>
                <w:sz w:val="13"/>
                <w:szCs w:val="13"/>
                <w:b w:val="1"/>
                <w:bCs w:val="1"/>
                <w:color w:val="auto"/>
                <w:w w:val="95"/>
              </w:rPr>
              <w:t>Post-retirement Benefits</w:t>
            </w:r>
          </w:p>
        </w:tc>
        <w:tc>
          <w:tcPr>
            <w:tcW w:w="420" w:type="dxa"/>
            <w:vAlign w:val="bottom"/>
            <w:tcBorders>
              <w:bottom w:val="single" w:sz="8" w:color="auto"/>
            </w:tcBorders>
          </w:tcPr>
          <w:p>
            <w:pPr>
              <w:spacing w:after="0"/>
              <w:rPr>
                <w:sz w:val="24"/>
                <w:szCs w:val="24"/>
                <w:color w:val="auto"/>
              </w:rPr>
            </w:pPr>
          </w:p>
        </w:tc>
      </w:tr>
      <w:tr>
        <w:trPr>
          <w:trHeight w:val="133"/>
        </w:trPr>
        <w:tc>
          <w:tcPr>
            <w:tcW w:w="4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20" w:type="dxa"/>
            <w:vAlign w:val="bottom"/>
            <w:gridSpan w:val="4"/>
          </w:tcPr>
          <w:p>
            <w:pPr>
              <w:jc w:val="center"/>
              <w:ind w:left="232"/>
              <w:spacing w:after="0" w:line="133" w:lineRule="exact"/>
              <w:rPr>
                <w:sz w:val="20"/>
                <w:szCs w:val="20"/>
                <w:color w:val="auto"/>
              </w:rPr>
            </w:pPr>
            <w:r>
              <w:rPr>
                <w:rFonts w:ascii="Arial" w:cs="Arial" w:eastAsia="Arial" w:hAnsi="Arial"/>
                <w:sz w:val="13"/>
                <w:szCs w:val="13"/>
                <w:b w:val="1"/>
                <w:bCs w:val="1"/>
                <w:color w:val="auto"/>
                <w:w w:val="95"/>
              </w:rPr>
              <w:t>For the Six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4"/>
          </w:tcPr>
          <w:p>
            <w:pPr>
              <w:jc w:val="center"/>
              <w:ind w:left="214"/>
              <w:spacing w:after="0" w:line="133" w:lineRule="exact"/>
              <w:rPr>
                <w:sz w:val="20"/>
                <w:szCs w:val="20"/>
                <w:color w:val="auto"/>
              </w:rPr>
            </w:pPr>
            <w:r>
              <w:rPr>
                <w:rFonts w:ascii="Arial" w:cs="Arial" w:eastAsia="Arial" w:hAnsi="Arial"/>
                <w:sz w:val="13"/>
                <w:szCs w:val="13"/>
                <w:b w:val="1"/>
                <w:bCs w:val="1"/>
                <w:color w:val="auto"/>
                <w:w w:val="95"/>
              </w:rPr>
              <w:t>For the Six Months</w:t>
            </w:r>
          </w:p>
        </w:tc>
        <w:tc>
          <w:tcPr>
            <w:tcW w:w="420" w:type="dxa"/>
            <w:vAlign w:val="bottom"/>
          </w:tcPr>
          <w:p>
            <w:pPr>
              <w:spacing w:after="0"/>
              <w:rPr>
                <w:sz w:val="11"/>
                <w:szCs w:val="11"/>
                <w:color w:val="auto"/>
              </w:rPr>
            </w:pPr>
          </w:p>
        </w:tc>
      </w:tr>
      <w:tr>
        <w:trPr>
          <w:trHeight w:val="153"/>
        </w:trPr>
        <w:tc>
          <w:tcPr>
            <w:tcW w:w="4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60" w:type="dxa"/>
            <w:vAlign w:val="bottom"/>
            <w:gridSpan w:val="3"/>
          </w:tcPr>
          <w:p>
            <w:pPr>
              <w:jc w:val="center"/>
              <w:ind w:right="391"/>
              <w:spacing w:after="0"/>
              <w:rPr>
                <w:sz w:val="20"/>
                <w:szCs w:val="20"/>
                <w:color w:val="auto"/>
              </w:rPr>
            </w:pPr>
            <w:r>
              <w:rPr>
                <w:rFonts w:ascii="Arial" w:cs="Arial" w:eastAsia="Arial" w:hAnsi="Arial"/>
                <w:sz w:val="13"/>
                <w:szCs w:val="13"/>
                <w:b w:val="1"/>
                <w:bCs w:val="1"/>
                <w:color w:val="auto"/>
                <w:w w:val="96"/>
              </w:rPr>
              <w:t>Ended 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gridSpan w:val="3"/>
          </w:tcPr>
          <w:p>
            <w:pPr>
              <w:jc w:val="center"/>
              <w:ind w:right="407"/>
              <w:spacing w:after="0"/>
              <w:rPr>
                <w:sz w:val="20"/>
                <w:szCs w:val="20"/>
                <w:color w:val="auto"/>
              </w:rPr>
            </w:pPr>
            <w:r>
              <w:rPr>
                <w:rFonts w:ascii="Arial" w:cs="Arial" w:eastAsia="Arial" w:hAnsi="Arial"/>
                <w:sz w:val="13"/>
                <w:szCs w:val="13"/>
                <w:b w:val="1"/>
                <w:bCs w:val="1"/>
                <w:color w:val="auto"/>
                <w:w w:val="96"/>
              </w:rPr>
              <w:t>Ended June 30,</w:t>
            </w:r>
          </w:p>
        </w:tc>
        <w:tc>
          <w:tcPr>
            <w:tcW w:w="420" w:type="dxa"/>
            <w:vAlign w:val="bottom"/>
          </w:tcPr>
          <w:p>
            <w:pPr>
              <w:spacing w:after="0"/>
              <w:rPr>
                <w:sz w:val="13"/>
                <w:szCs w:val="13"/>
                <w:color w:val="auto"/>
              </w:rPr>
            </w:pPr>
          </w:p>
        </w:tc>
      </w:tr>
      <w:tr>
        <w:trPr>
          <w:trHeight w:val="153"/>
        </w:trPr>
        <w:tc>
          <w:tcPr>
            <w:tcW w:w="4020" w:type="dxa"/>
            <w:vAlign w:val="bottom"/>
          </w:tcPr>
          <w:p>
            <w:pPr>
              <w:spacing w:after="0"/>
              <w:rPr>
                <w:sz w:val="13"/>
                <w:szCs w:val="13"/>
                <w:color w:val="auto"/>
              </w:rPr>
            </w:pPr>
          </w:p>
        </w:tc>
        <w:tc>
          <w:tcPr>
            <w:tcW w:w="25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1"/>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67"/>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3"/>
                <w:szCs w:val="13"/>
                <w:color w:val="auto"/>
              </w:rPr>
            </w:pPr>
          </w:p>
        </w:tc>
      </w:tr>
      <w:tr>
        <w:trPr>
          <w:trHeight w:val="180"/>
        </w:trPr>
        <w:tc>
          <w:tcPr>
            <w:tcW w:w="40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w:t>
            </w:r>
          </w:p>
        </w:tc>
        <w:tc>
          <w:tcPr>
            <w:tcW w:w="182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r>
      <w:tr>
        <w:trPr>
          <w:trHeight w:val="188"/>
        </w:trPr>
        <w:tc>
          <w:tcPr>
            <w:tcW w:w="4020" w:type="dxa"/>
            <w:vAlign w:val="bottom"/>
          </w:tcPr>
          <w:p>
            <w:pPr>
              <w:spacing w:after="0"/>
              <w:rPr>
                <w:sz w:val="20"/>
                <w:szCs w:val="20"/>
                <w:color w:val="auto"/>
              </w:rPr>
            </w:pPr>
            <w:r>
              <w:rPr>
                <w:rFonts w:ascii="Arial" w:cs="Arial" w:eastAsia="Arial" w:hAnsi="Arial"/>
                <w:sz w:val="16"/>
                <w:szCs w:val="16"/>
                <w:color w:val="auto"/>
              </w:rPr>
              <w:t>Service cost</w:t>
            </w:r>
          </w:p>
        </w:tc>
        <w:tc>
          <w:tcPr>
            <w:tcW w:w="2580" w:type="dxa"/>
            <w:vAlign w:val="bottom"/>
            <w:gridSpan w:val="2"/>
          </w:tcPr>
          <w:p>
            <w:pPr>
              <w:jc w:val="right"/>
              <w:ind w:right="61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46"/>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6"/>
                <w:szCs w:val="16"/>
                <w:color w:val="auto"/>
              </w:rPr>
            </w:pPr>
          </w:p>
        </w:tc>
        <w:tc>
          <w:tcPr>
            <w:tcW w:w="840" w:type="dxa"/>
            <w:vAlign w:val="bottom"/>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88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687"/>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62"/>
              <w:spacing w:after="0"/>
              <w:rPr>
                <w:sz w:val="20"/>
                <w:szCs w:val="20"/>
                <w:color w:val="auto"/>
              </w:rPr>
            </w:pPr>
            <w:r>
              <w:rPr>
                <w:rFonts w:ascii="Arial" w:cs="Arial" w:eastAsia="Arial" w:hAnsi="Arial"/>
                <w:sz w:val="16"/>
                <w:szCs w:val="16"/>
                <w:color w:val="auto"/>
              </w:rPr>
              <w:t>1</w:t>
            </w:r>
          </w:p>
        </w:tc>
      </w:tr>
      <w:tr>
        <w:trPr>
          <w:trHeight w:val="188"/>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w:t>
            </w:r>
          </w:p>
        </w:tc>
      </w:tr>
      <w:tr>
        <w:trPr>
          <w:trHeight w:val="188"/>
        </w:trPr>
        <w:tc>
          <w:tcPr>
            <w:tcW w:w="402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spacing w:after="0"/>
              <w:rPr>
                <w:sz w:val="16"/>
                <w:szCs w:val="16"/>
                <w:color w:val="auto"/>
              </w:rPr>
            </w:pPr>
          </w:p>
        </w:tc>
        <w:tc>
          <w:tcPr>
            <w:tcW w:w="420" w:type="dxa"/>
            <w:vAlign w:val="bottom"/>
          </w:tcPr>
          <w:p>
            <w:pPr>
              <w:jc w:val="right"/>
              <w:ind w:right="62"/>
              <w:spacing w:after="0"/>
              <w:rPr>
                <w:sz w:val="20"/>
                <w:szCs w:val="20"/>
                <w:color w:val="auto"/>
              </w:rPr>
            </w:pPr>
            <w:r>
              <w:rPr>
                <w:rFonts w:ascii="Arial" w:cs="Arial" w:eastAsia="Arial" w:hAnsi="Arial"/>
                <w:sz w:val="16"/>
                <w:szCs w:val="16"/>
                <w:color w:val="auto"/>
              </w:rPr>
              <w:t>—</w:t>
            </w:r>
          </w:p>
        </w:tc>
      </w:tr>
      <w:tr>
        <w:trPr>
          <w:trHeight w:val="188"/>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(7)</w:t>
            </w:r>
          </w:p>
        </w:tc>
      </w:tr>
      <w:tr>
        <w:trPr>
          <w:trHeight w:val="180"/>
        </w:trPr>
        <w:tc>
          <w:tcPr>
            <w:tcW w:w="4020" w:type="dxa"/>
            <w:vAlign w:val="bottom"/>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8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4</w:t>
            </w:r>
          </w:p>
        </w:tc>
        <w:tc>
          <w:tcPr>
            <w:tcW w:w="1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687"/>
              <w:spacing w:after="0" w:line="180" w:lineRule="exact"/>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(4)</w:t>
            </w:r>
          </w:p>
        </w:tc>
      </w:tr>
      <w:tr>
        <w:trPr>
          <w:trHeight w:val="20"/>
        </w:trPr>
        <w:tc>
          <w:tcPr>
            <w:tcW w:w="4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60" w:firstLine="528"/>
        <w:spacing w:after="0" w:line="237" w:lineRule="auto"/>
        <w:rPr>
          <w:sz w:val="20"/>
          <w:szCs w:val="20"/>
          <w:color w:val="auto"/>
        </w:rPr>
      </w:pPr>
      <w:r>
        <w:rPr>
          <w:rFonts w:ascii="Arial" w:cs="Arial" w:eastAsia="Arial" w:hAnsi="Arial"/>
          <w:sz w:val="16"/>
          <w:szCs w:val="16"/>
          <w:color w:val="auto"/>
        </w:rPr>
        <w:t>The components of net periodic benefit cost (credit) other than the service cost component are included in Other income, net in the Condensed Consolidated Statements of Comprehensive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N. INCOME TAXES</w:t>
      </w:r>
    </w:p>
    <w:p>
      <w:pPr>
        <w:spacing w:after="0" w:line="106" w:lineRule="exact"/>
        <w:rPr>
          <w:sz w:val="20"/>
          <w:szCs w:val="20"/>
          <w:color w:val="auto"/>
        </w:rPr>
      </w:pPr>
    </w:p>
    <w:p>
      <w:pPr>
        <w:ind w:right="160" w:firstLine="528"/>
        <w:spacing w:after="0" w:line="255" w:lineRule="auto"/>
        <w:rPr>
          <w:sz w:val="20"/>
          <w:szCs w:val="20"/>
          <w:color w:val="auto"/>
        </w:rPr>
      </w:pPr>
      <w:r>
        <w:rPr>
          <w:rFonts w:ascii="Arial" w:cs="Arial" w:eastAsia="Arial" w:hAnsi="Arial"/>
          <w:sz w:val="15"/>
          <w:szCs w:val="15"/>
          <w:color w:val="auto"/>
        </w:rPr>
        <w:t>For the three and six months ended June 30, 2020, the Company recorded total tax expense of $7 million and $49 million, respectively. The effective tax rate for both the three and six months ended June 30, 2020 was 23%. For the three and six months ended June 30, 2019, the Company recorded total tax expense of $48 million and $92 million, respectively. The effective tax rate for both the three and six months ended June 30, 2019 was 21%.</w:t>
      </w:r>
    </w:p>
    <w:p>
      <w:pPr>
        <w:spacing w:after="0" w:line="73"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making several changes to the U.S. tax code. The changes include, but are not limited to, increasing the threshold on the amount of deductible interest expense, allowing companies to carryback certain net operating losses, increasing the amount of net operating loss carryforwards that corporations can use to offset taxable income, and making technical changes related to the accounting of qualified improvement property. Some of the tax law changes included in the CARES Act are retroactive. While the Company has reviewed the elections set forth in the CARES Act, its provision for income taxes for the three and six months ended June 30, 2020 does not reflect the effect of any of these elections. The effects, both individually and in the aggregate, are not expected to be material at this time.</w:t>
      </w:r>
    </w:p>
    <w:p>
      <w:pPr>
        <w:spacing w:after="0" w:line="84" w:lineRule="exact"/>
        <w:rPr>
          <w:sz w:val="20"/>
          <w:szCs w:val="20"/>
          <w:color w:val="auto"/>
        </w:rPr>
      </w:pPr>
    </w:p>
    <w:p>
      <w:pPr>
        <w:ind w:right="40" w:firstLine="528"/>
        <w:spacing w:after="0" w:line="232"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85" w:lineRule="exact"/>
        <w:rPr>
          <w:sz w:val="20"/>
          <w:szCs w:val="20"/>
          <w:color w:val="auto"/>
        </w:rPr>
      </w:pPr>
    </w:p>
    <w:p>
      <w:pPr>
        <w:ind w:right="80" w:firstLine="528"/>
        <w:spacing w:after="0" w:line="234" w:lineRule="auto"/>
        <w:rPr>
          <w:sz w:val="20"/>
          <w:szCs w:val="20"/>
          <w:color w:val="auto"/>
        </w:rPr>
      </w:pPr>
      <w:r>
        <w:rPr>
          <w:rFonts w:ascii="Arial" w:cs="Arial" w:eastAsia="Arial" w:hAnsi="Arial"/>
          <w:sz w:val="16"/>
          <w:szCs w:val="16"/>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8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In accordance with the FASB’s authoritative guidance on accounting for income taxes, the Company has recorded a liability for unrecognized tax benefits related to a 2010 Research and Development Credit as of June 30, 2020 and December 31, 2019.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 ACCUMULATED OTHER COMPREHENSIVE LOSS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reconcile changes in AOCL by component (net of tax,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96"/>
              </w:rPr>
              <w:t>Three months ended</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33"/>
        </w:trPr>
        <w:tc>
          <w:tcPr>
            <w:tcW w:w="5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87"/>
              <w:spacing w:after="0" w:line="133" w:lineRule="exact"/>
              <w:rPr>
                <w:sz w:val="20"/>
                <w:szCs w:val="20"/>
                <w:color w:val="auto"/>
              </w:rPr>
            </w:pPr>
            <w:r>
              <w:rPr>
                <w:rFonts w:ascii="Arial" w:cs="Arial" w:eastAsia="Arial" w:hAnsi="Arial"/>
                <w:sz w:val="13"/>
                <w:szCs w:val="13"/>
                <w:b w:val="1"/>
                <w:bCs w:val="1"/>
                <w:color w:val="auto"/>
                <w:w w:val="94"/>
              </w:rPr>
              <w:t>Available-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jc w:val="center"/>
              <w:ind w:left="132"/>
              <w:spacing w:after="0" w:line="141" w:lineRule="exact"/>
              <w:rPr>
                <w:sz w:val="20"/>
                <w:szCs w:val="20"/>
                <w:color w:val="auto"/>
              </w:rPr>
            </w:pPr>
            <w:r>
              <w:rPr>
                <w:rFonts w:ascii="Arial" w:cs="Arial" w:eastAsia="Arial" w:hAnsi="Arial"/>
                <w:sz w:val="13"/>
                <w:szCs w:val="13"/>
                <w:b w:val="1"/>
                <w:bCs w:val="1"/>
                <w:color w:val="auto"/>
                <w:w w:val="94"/>
              </w:rPr>
              <w:t>Pension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7"/>
              </w:rPr>
              <w:t>for-sale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jc w:val="center"/>
              <w:ind w:left="152"/>
              <w:spacing w:after="0" w:line="141" w:lineRule="exact"/>
              <w:rPr>
                <w:sz w:val="20"/>
                <w:szCs w:val="20"/>
                <w:color w:val="auto"/>
              </w:rPr>
            </w:pPr>
            <w:r>
              <w:rPr>
                <w:rFonts w:ascii="Arial" w:cs="Arial" w:eastAsia="Arial" w:hAnsi="Arial"/>
                <w:sz w:val="13"/>
                <w:szCs w:val="13"/>
                <w:b w:val="1"/>
                <w:bCs w:val="1"/>
                <w:color w:val="auto"/>
                <w:w w:val="97"/>
              </w:rPr>
              <w:t>and OPEB</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5"/>
              </w:rPr>
              <w:t>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jc w:val="center"/>
              <w:ind w:left="132"/>
              <w:spacing w:after="0" w:line="141" w:lineRule="exact"/>
              <w:rPr>
                <w:sz w:val="20"/>
                <w:szCs w:val="20"/>
                <w:color w:val="auto"/>
              </w:rPr>
            </w:pPr>
            <w:r>
              <w:rPr>
                <w:rFonts w:ascii="Arial" w:cs="Arial" w:eastAsia="Arial" w:hAnsi="Arial"/>
                <w:sz w:val="13"/>
                <w:szCs w:val="13"/>
                <w:b w:val="1"/>
                <w:bCs w:val="1"/>
                <w:color w:val="auto"/>
                <w:w w:val="98"/>
              </w:rPr>
              <w:t>liability</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07"/>
              <w:spacing w:after="0" w:line="141" w:lineRule="exact"/>
              <w:rPr>
                <w:sz w:val="20"/>
                <w:szCs w:val="20"/>
                <w:color w:val="auto"/>
              </w:rPr>
            </w:pPr>
            <w:r>
              <w:rPr>
                <w:rFonts w:ascii="Arial" w:cs="Arial" w:eastAsia="Arial" w:hAnsi="Arial"/>
                <w:sz w:val="13"/>
                <w:szCs w:val="13"/>
                <w:b w:val="1"/>
                <w:bCs w:val="1"/>
                <w:color w:val="auto"/>
                <w:w w:val="97"/>
              </w:rPr>
              <w:t>and 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50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52"/>
              <w:spacing w:after="0"/>
              <w:rPr>
                <w:sz w:val="20"/>
                <w:szCs w:val="20"/>
                <w:color w:val="auto"/>
              </w:rPr>
            </w:pPr>
            <w:r>
              <w:rPr>
                <w:rFonts w:ascii="Arial" w:cs="Arial" w:eastAsia="Arial" w:hAnsi="Arial"/>
                <w:sz w:val="13"/>
                <w:szCs w:val="13"/>
                <w:b w:val="1"/>
                <w:bCs w:val="1"/>
                <w:color w:val="auto"/>
                <w:w w:val="95"/>
              </w:rPr>
              <w:t>adjustment</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07"/>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9"/>
              </w:rPr>
              <w:t>items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March 31, 2019</w:t>
            </w:r>
          </w:p>
        </w:tc>
        <w:tc>
          <w:tcPr>
            <w:tcW w:w="1680" w:type="dxa"/>
            <w:vAlign w:val="bottom"/>
            <w:gridSpan w:val="2"/>
            <w:shd w:val="clear" w:color="auto" w:fill="CFF0FC"/>
          </w:tcPr>
          <w:p>
            <w:pPr>
              <w:jc w:val="right"/>
              <w:ind w:right="772"/>
              <w:spacing w:after="0" w:line="180"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(16)</w:t>
            </w:r>
          </w:p>
        </w:tc>
        <w:tc>
          <w:tcPr>
            <w:tcW w:w="320" w:type="dxa"/>
            <w:vAlign w:val="bottom"/>
            <w:gridSpan w:val="2"/>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(33)</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(loss) income before reclassifications</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(14)</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(4)</w:t>
            </w:r>
          </w:p>
        </w:tc>
      </w:tr>
      <w:tr>
        <w:trPr>
          <w:trHeight w:val="188"/>
        </w:trPr>
        <w:tc>
          <w:tcPr>
            <w:tcW w:w="50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Income tax</w:t>
            </w:r>
          </w:p>
        </w:tc>
        <w:tc>
          <w:tcPr>
            <w:tcW w:w="76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760" w:type="dxa"/>
            <w:vAlign w:val="bottom"/>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(14)</w:t>
            </w:r>
          </w:p>
        </w:tc>
      </w:tr>
      <w:tr>
        <w:trPr>
          <w:trHeight w:val="220"/>
        </w:trPr>
        <w:tc>
          <w:tcPr>
            <w:tcW w:w="508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AOCL as of June 30, 2019</w:t>
            </w:r>
          </w:p>
        </w:tc>
        <w:tc>
          <w:tcPr>
            <w:tcW w:w="7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77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12</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(47)</w:t>
            </w:r>
          </w:p>
        </w:tc>
      </w:tr>
      <w:tr>
        <w:trPr>
          <w:trHeight w:val="163"/>
        </w:trPr>
        <w:tc>
          <w:tcPr>
            <w:tcW w:w="508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AOCL as of March 31, 2020</w:t>
            </w:r>
          </w:p>
        </w:tc>
        <w:tc>
          <w:tcPr>
            <w:tcW w:w="1680" w:type="dxa"/>
            <w:vAlign w:val="bottom"/>
            <w:gridSpan w:val="2"/>
            <w:shd w:val="clear" w:color="auto" w:fill="CFF0FC"/>
          </w:tcPr>
          <w:p>
            <w:pPr>
              <w:jc w:val="right"/>
              <w:ind w:right="772"/>
              <w:spacing w:after="0" w:line="16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42"/>
              <w:spacing w:after="0" w:line="163" w:lineRule="exact"/>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(49)</w:t>
            </w:r>
          </w:p>
        </w:tc>
        <w:tc>
          <w:tcPr>
            <w:tcW w:w="320" w:type="dxa"/>
            <w:vAlign w:val="bottom"/>
            <w:gridSpan w:val="2"/>
            <w:shd w:val="clear" w:color="auto" w:fill="CFF0FC"/>
          </w:tcPr>
          <w:p>
            <w:pPr>
              <w:jc w:val="right"/>
              <w:ind w:right="47"/>
              <w:spacing w:after="0" w:line="16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
              <w:spacing w:after="0" w:line="163" w:lineRule="exact"/>
              <w:rPr>
                <w:sz w:val="20"/>
                <w:szCs w:val="20"/>
                <w:color w:val="auto"/>
              </w:rPr>
            </w:pPr>
            <w:r>
              <w:rPr>
                <w:rFonts w:ascii="Arial" w:cs="Arial" w:eastAsia="Arial" w:hAnsi="Arial"/>
                <w:sz w:val="16"/>
                <w:szCs w:val="16"/>
                <w:color w:val="auto"/>
              </w:rPr>
              <w:t>(81)</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(3)</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b w:val="1"/>
                <w:bCs w:val="1"/>
                <w:color w:val="auto"/>
              </w:rPr>
              <w:t>(3)</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jc w:val="right"/>
              <w:ind w:right="42"/>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6"/>
                <w:szCs w:val="16"/>
                <w:b w:val="1"/>
                <w:bCs w:val="1"/>
                <w:color w:val="auto"/>
              </w:rPr>
              <w:t>2</w:t>
            </w:r>
          </w:p>
        </w:tc>
      </w:tr>
      <w:tr>
        <w:trPr>
          <w:trHeight w:val="180"/>
        </w:trPr>
        <w:tc>
          <w:tcPr>
            <w:tcW w:w="50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760" w:type="dxa"/>
            <w:vAlign w:val="bottom"/>
            <w:tcBorders>
              <w:top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ind w:right="77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b w:val="1"/>
                <w:bCs w:val="1"/>
                <w:color w:val="auto"/>
              </w:rPr>
              <w:t>(4)</w:t>
            </w:r>
          </w:p>
        </w:tc>
      </w:tr>
      <w:tr>
        <w:trPr>
          <w:trHeight w:val="180"/>
        </w:trPr>
        <w:tc>
          <w:tcPr>
            <w:tcW w:w="5080" w:type="dxa"/>
            <w:vAlign w:val="bottom"/>
          </w:tcPr>
          <w:p>
            <w:pPr>
              <w:spacing w:after="0" w:line="180" w:lineRule="exact"/>
              <w:rPr>
                <w:sz w:val="20"/>
                <w:szCs w:val="20"/>
                <w:color w:val="auto"/>
              </w:rPr>
            </w:pPr>
            <w:r>
              <w:rPr>
                <w:rFonts w:ascii="Arial" w:cs="Arial" w:eastAsia="Arial" w:hAnsi="Arial"/>
                <w:sz w:val="16"/>
                <w:szCs w:val="16"/>
                <w:color w:val="auto"/>
              </w:rPr>
              <w:t>AOCL as of June 30, 2020</w:t>
            </w:r>
          </w:p>
        </w:tc>
        <w:tc>
          <w:tcPr>
            <w:tcW w:w="760" w:type="dxa"/>
            <w:vAlign w:val="bottom"/>
          </w:tcPr>
          <w:p>
            <w:pPr>
              <w:spacing w:after="0"/>
              <w:rPr>
                <w:sz w:val="15"/>
                <w:szCs w:val="15"/>
                <w:color w:val="auto"/>
              </w:rPr>
            </w:pPr>
          </w:p>
        </w:tc>
        <w:tc>
          <w:tcPr>
            <w:tcW w:w="920" w:type="dxa"/>
            <w:vAlign w:val="bottom"/>
            <w:tcBorders>
              <w:bottom w:val="single" w:sz="8" w:color="auto"/>
            </w:tcBorders>
          </w:tcPr>
          <w:p>
            <w:pPr>
              <w:jc w:val="right"/>
              <w:ind w:right="77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(51)</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(36)</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b w:val="1"/>
                <w:bCs w:val="1"/>
                <w:color w:val="auto"/>
              </w:rPr>
              <w:t>(85)</w:t>
            </w:r>
          </w:p>
        </w:tc>
      </w:tr>
      <w:tr>
        <w:trPr>
          <w:trHeight w:val="20"/>
        </w:trPr>
        <w:tc>
          <w:tcPr>
            <w:tcW w:w="5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98"/>
        </w:trPr>
        <w:tc>
          <w:tcPr>
            <w:tcW w:w="5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96"/>
              </w:rPr>
              <w:t>Six months ended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3"/>
        </w:trPr>
        <w:tc>
          <w:tcPr>
            <w:tcW w:w="5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187"/>
              <w:spacing w:after="0" w:line="133" w:lineRule="exact"/>
              <w:rPr>
                <w:sz w:val="20"/>
                <w:szCs w:val="20"/>
                <w:color w:val="auto"/>
              </w:rPr>
            </w:pPr>
            <w:r>
              <w:rPr>
                <w:rFonts w:ascii="Arial" w:cs="Arial" w:eastAsia="Arial" w:hAnsi="Arial"/>
                <w:sz w:val="13"/>
                <w:szCs w:val="13"/>
                <w:b w:val="1"/>
                <w:bCs w:val="1"/>
                <w:color w:val="auto"/>
                <w:w w:val="94"/>
              </w:rPr>
              <w:t>Available-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jc w:val="center"/>
              <w:ind w:left="132"/>
              <w:spacing w:after="0" w:line="141" w:lineRule="exact"/>
              <w:rPr>
                <w:sz w:val="20"/>
                <w:szCs w:val="20"/>
                <w:color w:val="auto"/>
              </w:rPr>
            </w:pPr>
            <w:r>
              <w:rPr>
                <w:rFonts w:ascii="Arial" w:cs="Arial" w:eastAsia="Arial" w:hAnsi="Arial"/>
                <w:sz w:val="13"/>
                <w:szCs w:val="13"/>
                <w:b w:val="1"/>
                <w:bCs w:val="1"/>
                <w:color w:val="auto"/>
                <w:w w:val="94"/>
              </w:rPr>
              <w:t>Pension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7"/>
              </w:rPr>
              <w:t>for-sale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jc w:val="center"/>
              <w:ind w:left="152"/>
              <w:spacing w:after="0" w:line="141" w:lineRule="exact"/>
              <w:rPr>
                <w:sz w:val="20"/>
                <w:szCs w:val="20"/>
                <w:color w:val="auto"/>
              </w:rPr>
            </w:pPr>
            <w:r>
              <w:rPr>
                <w:rFonts w:ascii="Arial" w:cs="Arial" w:eastAsia="Arial" w:hAnsi="Arial"/>
                <w:sz w:val="13"/>
                <w:szCs w:val="13"/>
                <w:b w:val="1"/>
                <w:bCs w:val="1"/>
                <w:color w:val="auto"/>
                <w:w w:val="97"/>
              </w:rPr>
              <w:t>and OPEB</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5"/>
              </w:rPr>
              <w:t>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jc w:val="center"/>
              <w:ind w:left="132"/>
              <w:spacing w:after="0" w:line="141" w:lineRule="exact"/>
              <w:rPr>
                <w:sz w:val="20"/>
                <w:szCs w:val="20"/>
                <w:color w:val="auto"/>
              </w:rPr>
            </w:pPr>
            <w:r>
              <w:rPr>
                <w:rFonts w:ascii="Arial" w:cs="Arial" w:eastAsia="Arial" w:hAnsi="Arial"/>
                <w:sz w:val="13"/>
                <w:szCs w:val="13"/>
                <w:b w:val="1"/>
                <w:bCs w:val="1"/>
                <w:color w:val="auto"/>
                <w:w w:val="98"/>
              </w:rPr>
              <w:t>liability</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07"/>
              <w:spacing w:after="0" w:line="141" w:lineRule="exact"/>
              <w:rPr>
                <w:sz w:val="20"/>
                <w:szCs w:val="20"/>
                <w:color w:val="auto"/>
              </w:rPr>
            </w:pPr>
            <w:r>
              <w:rPr>
                <w:rFonts w:ascii="Arial" w:cs="Arial" w:eastAsia="Arial" w:hAnsi="Arial"/>
                <w:sz w:val="13"/>
                <w:szCs w:val="13"/>
                <w:b w:val="1"/>
                <w:bCs w:val="1"/>
                <w:color w:val="auto"/>
                <w:w w:val="97"/>
              </w:rPr>
              <w:t>and 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50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52"/>
              <w:spacing w:after="0"/>
              <w:rPr>
                <w:sz w:val="20"/>
                <w:szCs w:val="20"/>
                <w:color w:val="auto"/>
              </w:rPr>
            </w:pPr>
            <w:r>
              <w:rPr>
                <w:rFonts w:ascii="Arial" w:cs="Arial" w:eastAsia="Arial" w:hAnsi="Arial"/>
                <w:sz w:val="13"/>
                <w:szCs w:val="13"/>
                <w:b w:val="1"/>
                <w:bCs w:val="1"/>
                <w:color w:val="auto"/>
                <w:w w:val="95"/>
              </w:rPr>
              <w:t>adjustment</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07"/>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9"/>
              </w:rPr>
              <w:t>items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December 31, 2018</w:t>
            </w:r>
          </w:p>
        </w:tc>
        <w:tc>
          <w:tcPr>
            <w:tcW w:w="1680" w:type="dxa"/>
            <w:vAlign w:val="bottom"/>
            <w:gridSpan w:val="2"/>
            <w:shd w:val="clear" w:color="auto" w:fill="CFF0FC"/>
          </w:tcPr>
          <w:p>
            <w:pPr>
              <w:jc w:val="right"/>
              <w:ind w:right="772"/>
              <w:spacing w:after="0" w:line="180"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(7)</w:t>
            </w:r>
          </w:p>
        </w:tc>
        <w:tc>
          <w:tcPr>
            <w:tcW w:w="320" w:type="dxa"/>
            <w:vAlign w:val="bottom"/>
            <w:gridSpan w:val="2"/>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(30)</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(loss) income before reclassifications</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(24)</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(7)</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7</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Reclassification of stranded tax effects</w:t>
            </w:r>
          </w:p>
        </w:tc>
        <w:tc>
          <w:tcPr>
            <w:tcW w:w="760" w:type="dxa"/>
            <w:vAlign w:val="bottom"/>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7</w:t>
            </w:r>
          </w:p>
        </w:tc>
      </w:tr>
      <w:tr>
        <w:trPr>
          <w:trHeight w:val="180"/>
        </w:trPr>
        <w:tc>
          <w:tcPr>
            <w:tcW w:w="508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other comprehensive income (loss)</w:t>
            </w:r>
          </w:p>
        </w:tc>
        <w:tc>
          <w:tcPr>
            <w:tcW w:w="76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77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(21)</w:t>
            </w: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(17)</w:t>
            </w:r>
          </w:p>
        </w:tc>
      </w:tr>
      <w:tr>
        <w:trPr>
          <w:trHeight w:val="180"/>
        </w:trPr>
        <w:tc>
          <w:tcPr>
            <w:tcW w:w="50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AOCL as of June 30, 2019</w:t>
            </w:r>
          </w:p>
        </w:tc>
        <w:tc>
          <w:tcPr>
            <w:tcW w:w="7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12</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(28)</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(31)</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(47)</w:t>
            </w:r>
          </w:p>
        </w:tc>
      </w:tr>
      <w:tr>
        <w:trPr>
          <w:trHeight w:val="20"/>
        </w:trPr>
        <w:tc>
          <w:tcPr>
            <w:tcW w:w="5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5080" w:type="dxa"/>
            <w:vAlign w:val="bottom"/>
          </w:tcPr>
          <w:p>
            <w:pPr>
              <w:spacing w:after="0" w:line="163" w:lineRule="exact"/>
              <w:rPr>
                <w:sz w:val="20"/>
                <w:szCs w:val="20"/>
                <w:color w:val="auto"/>
              </w:rPr>
            </w:pPr>
            <w:r>
              <w:rPr>
                <w:rFonts w:ascii="Arial" w:cs="Arial" w:eastAsia="Arial" w:hAnsi="Arial"/>
                <w:sz w:val="16"/>
                <w:szCs w:val="16"/>
                <w:color w:val="auto"/>
              </w:rPr>
              <w:t>AOCL as of December 31, 2019</w:t>
            </w:r>
          </w:p>
        </w:tc>
        <w:tc>
          <w:tcPr>
            <w:tcW w:w="1680" w:type="dxa"/>
            <w:vAlign w:val="bottom"/>
            <w:gridSpan w:val="2"/>
          </w:tcPr>
          <w:p>
            <w:pPr>
              <w:jc w:val="right"/>
              <w:ind w:right="772"/>
              <w:spacing w:after="0" w:line="163" w:lineRule="exact"/>
              <w:rPr>
                <w:sz w:val="20"/>
                <w:szCs w:val="20"/>
                <w:color w:val="auto"/>
              </w:rPr>
            </w:pPr>
            <w:r>
              <w:rPr>
                <w:rFonts w:ascii="Arial" w:cs="Arial" w:eastAsia="Arial" w:hAnsi="Arial"/>
                <w:sz w:val="16"/>
                <w:szCs w:val="16"/>
                <w:color w:val="auto"/>
              </w:rPr>
              <w:t>$</w:t>
            </w:r>
          </w:p>
        </w:tc>
        <w:tc>
          <w:tcPr>
            <w:tcW w:w="320" w:type="dxa"/>
            <w:vAlign w:val="bottom"/>
          </w:tcPr>
          <w:p>
            <w:pPr>
              <w:jc w:val="right"/>
              <w:ind w:right="42"/>
              <w:spacing w:after="0" w:line="163" w:lineRule="exact"/>
              <w:rPr>
                <w:sz w:val="20"/>
                <w:szCs w:val="20"/>
                <w:color w:val="auto"/>
              </w:rPr>
            </w:pPr>
            <w:r>
              <w:rPr>
                <w:rFonts w:ascii="Arial" w:cs="Arial" w:eastAsia="Arial" w:hAnsi="Arial"/>
                <w:sz w:val="16"/>
                <w:szCs w:val="16"/>
                <w:color w:val="auto"/>
              </w:rPr>
              <w:t>8</w:t>
            </w:r>
          </w:p>
        </w:tc>
        <w:tc>
          <w:tcPr>
            <w:tcW w:w="140" w:type="dxa"/>
            <w:vAlign w:val="bottom"/>
          </w:tcPr>
          <w:p>
            <w:pPr>
              <w:spacing w:after="0"/>
              <w:rPr>
                <w:sz w:val="14"/>
                <w:szCs w:val="14"/>
                <w:color w:val="auto"/>
              </w:rPr>
            </w:pPr>
          </w:p>
        </w:tc>
        <w:tc>
          <w:tcPr>
            <w:tcW w:w="14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63" w:lineRule="exact"/>
              <w:rPr>
                <w:sz w:val="20"/>
                <w:szCs w:val="20"/>
                <w:color w:val="auto"/>
              </w:rPr>
            </w:pPr>
            <w:r>
              <w:rPr>
                <w:rFonts w:ascii="Arial" w:cs="Arial" w:eastAsia="Arial" w:hAnsi="Arial"/>
                <w:sz w:val="16"/>
                <w:szCs w:val="16"/>
                <w:color w:val="auto"/>
              </w:rPr>
              <w:t>(26)</w:t>
            </w:r>
          </w:p>
        </w:tc>
        <w:tc>
          <w:tcPr>
            <w:tcW w:w="320" w:type="dxa"/>
            <w:vAlign w:val="bottom"/>
            <w:gridSpan w:val="2"/>
          </w:tcPr>
          <w:p>
            <w:pPr>
              <w:jc w:val="right"/>
              <w:ind w:right="47"/>
              <w:spacing w:after="0" w:line="16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63" w:lineRule="exact"/>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260" w:type="dxa"/>
            <w:vAlign w:val="bottom"/>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
              <w:spacing w:after="0" w:line="163" w:lineRule="exact"/>
              <w:rPr>
                <w:sz w:val="20"/>
                <w:szCs w:val="20"/>
                <w:color w:val="auto"/>
              </w:rPr>
            </w:pPr>
            <w:r>
              <w:rPr>
                <w:rFonts w:ascii="Arial" w:cs="Arial" w:eastAsia="Arial" w:hAnsi="Arial"/>
                <w:sz w:val="16"/>
                <w:szCs w:val="16"/>
                <w:color w:val="auto"/>
              </w:rPr>
              <w:t>(52)</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7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
              <w:spacing w:after="0"/>
              <w:rPr>
                <w:sz w:val="20"/>
                <w:szCs w:val="20"/>
                <w:color w:val="auto"/>
              </w:rPr>
            </w:pPr>
            <w:r>
              <w:rPr>
                <w:rFonts w:ascii="Arial" w:cs="Arial" w:eastAsia="Arial" w:hAnsi="Arial"/>
                <w:sz w:val="16"/>
                <w:szCs w:val="16"/>
                <w:b w:val="1"/>
                <w:bCs w:val="1"/>
                <w:color w:val="auto"/>
              </w:rPr>
              <w:t>(34)</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(8)</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w:t>
            </w:r>
          </w:p>
        </w:tc>
        <w:tc>
          <w:tcPr>
            <w:tcW w:w="7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3"/>
              <w:spacing w:after="0"/>
              <w:rPr>
                <w:sz w:val="20"/>
                <w:szCs w:val="20"/>
                <w:color w:val="auto"/>
              </w:rPr>
            </w:pPr>
            <w:r>
              <w:rPr>
                <w:rFonts w:ascii="Arial" w:cs="Arial" w:eastAsia="Arial" w:hAnsi="Arial"/>
                <w:sz w:val="16"/>
                <w:szCs w:val="16"/>
                <w:b w:val="1"/>
                <w:bCs w:val="1"/>
                <w:color w:val="auto"/>
              </w:rPr>
              <w:t>9</w:t>
            </w:r>
          </w:p>
        </w:tc>
      </w:tr>
      <w:tr>
        <w:trPr>
          <w:trHeight w:val="180"/>
        </w:trPr>
        <w:tc>
          <w:tcPr>
            <w:tcW w:w="508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76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(6)</w:t>
            </w:r>
          </w:p>
        </w:tc>
        <w:tc>
          <w:tcPr>
            <w:tcW w:w="1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(25)</w:t>
            </w:r>
          </w:p>
        </w:tc>
        <w:tc>
          <w:tcPr>
            <w:tcW w:w="1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3"/>
              <w:spacing w:after="0" w:line="180" w:lineRule="exact"/>
              <w:rPr>
                <w:sz w:val="20"/>
                <w:szCs w:val="20"/>
                <w:color w:val="auto"/>
              </w:rPr>
            </w:pPr>
            <w:r>
              <w:rPr>
                <w:rFonts w:ascii="Arial" w:cs="Arial" w:eastAsia="Arial" w:hAnsi="Arial"/>
                <w:sz w:val="16"/>
                <w:szCs w:val="16"/>
                <w:b w:val="1"/>
                <w:bCs w:val="1"/>
                <w:color w:val="auto"/>
              </w:rPr>
              <w:t>(33)</w:t>
            </w:r>
          </w:p>
        </w:tc>
      </w:tr>
      <w:tr>
        <w:trPr>
          <w:trHeight w:val="180"/>
        </w:trPr>
        <w:tc>
          <w:tcPr>
            <w:tcW w:w="50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AOCL as of June 30, 2020</w:t>
            </w:r>
          </w:p>
        </w:tc>
        <w:tc>
          <w:tcPr>
            <w:tcW w:w="7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(51)</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b w:val="1"/>
                <w:bCs w:val="1"/>
                <w:color w:val="auto"/>
              </w:rPr>
              <w:t>(85)</w:t>
            </w:r>
          </w:p>
        </w:tc>
      </w:tr>
      <w:tr>
        <w:trPr>
          <w:trHeight w:val="20"/>
        </w:trPr>
        <w:tc>
          <w:tcPr>
            <w:tcW w:w="5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firstLine="528"/>
        <w:spacing w:after="0" w:line="234" w:lineRule="auto"/>
        <w:rPr>
          <w:sz w:val="20"/>
          <w:szCs w:val="20"/>
          <w:color w:val="auto"/>
        </w:rPr>
      </w:pPr>
      <w:r>
        <w:rPr>
          <w:rFonts w:ascii="Arial" w:cs="Arial" w:eastAsia="Arial" w:hAnsi="Arial"/>
          <w:sz w:val="16"/>
          <w:szCs w:val="16"/>
          <w:color w:val="auto"/>
        </w:rPr>
        <w:t>The Company reclassified approximately $7 million, as of January 1, 2019, from AOCL to retained earnings for the stranded tax effects resulting from the U.S. Tax Cuts and Jobs Act. This reclassification had zero net effect on total stockholders' equity. The Company utilizes the portfolio securities approach when releasing income tax effects from AOCL for its investment securities.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3"/>
                <w:szCs w:val="13"/>
                <w:b w:val="1"/>
                <w:bCs w:val="1"/>
                <w:color w:val="auto"/>
              </w:rPr>
              <w:t>Amounts reclassified from AOCL</w:t>
            </w:r>
          </w:p>
        </w:tc>
        <w:tc>
          <w:tcPr>
            <w:tcW w:w="34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70"/>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5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11"/>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3360" w:type="dxa"/>
            <w:vAlign w:val="bottom"/>
          </w:tcPr>
          <w:p>
            <w:pPr>
              <w:jc w:val="center"/>
              <w:ind w:left="70"/>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June 30, 2020</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June 30, 2019</w:t>
            </w:r>
          </w:p>
        </w:tc>
        <w:tc>
          <w:tcPr>
            <w:tcW w:w="34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70"/>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benefit items:</w:t>
            </w:r>
          </w:p>
        </w:tc>
        <w:tc>
          <w:tcPr>
            <w:tcW w:w="1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cost</w:t>
            </w:r>
          </w:p>
        </w:tc>
        <w:tc>
          <w:tcPr>
            <w:tcW w:w="1580" w:type="dxa"/>
            <w:vAlign w:val="bottom"/>
            <w:tcBorders>
              <w:bottom w:val="single" w:sz="8" w:color="auto"/>
            </w:tcBorders>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580" w:type="dxa"/>
            <w:vAlign w:val="bottom"/>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net of tax</w:t>
            </w:r>
          </w:p>
        </w:tc>
        <w:tc>
          <w:tcPr>
            <w:tcW w:w="1580" w:type="dxa"/>
            <w:vAlign w:val="bottom"/>
            <w:tcBorders>
              <w:bottom w:val="single" w:sz="8" w:color="auto"/>
            </w:tcBorders>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w:t>
            </w:r>
          </w:p>
        </w:tc>
        <w:tc>
          <w:tcPr>
            <w:tcW w:w="18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3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3"/>
                <w:szCs w:val="13"/>
                <w:b w:val="1"/>
                <w:bCs w:val="1"/>
                <w:color w:val="auto"/>
              </w:rPr>
              <w:t>Amounts reclassified from AOCL</w:t>
            </w:r>
          </w:p>
        </w:tc>
        <w:tc>
          <w:tcPr>
            <w:tcW w:w="38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68"/>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560" w:type="dxa"/>
            <w:vAlign w:val="bottom"/>
          </w:tcPr>
          <w:p>
            <w:pPr>
              <w:jc w:val="right"/>
              <w:ind w:right="52"/>
              <w:spacing w:after="0" w:line="141" w:lineRule="exact"/>
              <w:rPr>
                <w:sz w:val="20"/>
                <w:szCs w:val="20"/>
                <w:color w:val="auto"/>
              </w:rPr>
            </w:pPr>
            <w:r>
              <w:rPr>
                <w:rFonts w:ascii="Arial" w:cs="Arial" w:eastAsia="Arial" w:hAnsi="Arial"/>
                <w:sz w:val="13"/>
                <w:szCs w:val="13"/>
                <w:b w:val="1"/>
                <w:bCs w:val="1"/>
                <w:color w:val="auto"/>
              </w:rPr>
              <w:t>Six months ended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right"/>
              <w:ind w:right="31"/>
              <w:spacing w:after="0" w:line="141" w:lineRule="exact"/>
              <w:rPr>
                <w:sz w:val="20"/>
                <w:szCs w:val="20"/>
                <w:color w:val="auto"/>
              </w:rPr>
            </w:pPr>
            <w:r>
              <w:rPr>
                <w:rFonts w:ascii="Arial" w:cs="Arial" w:eastAsia="Arial" w:hAnsi="Arial"/>
                <w:sz w:val="13"/>
                <w:szCs w:val="13"/>
                <w:b w:val="1"/>
                <w:bCs w:val="1"/>
                <w:color w:val="auto"/>
              </w:rPr>
              <w:t>Six months ended</w:t>
            </w:r>
          </w:p>
        </w:tc>
        <w:tc>
          <w:tcPr>
            <w:tcW w:w="380" w:type="dxa"/>
            <w:vAlign w:val="bottom"/>
          </w:tcPr>
          <w:p>
            <w:pPr>
              <w:spacing w:after="0"/>
              <w:rPr>
                <w:sz w:val="12"/>
                <w:szCs w:val="12"/>
                <w:color w:val="auto"/>
              </w:rPr>
            </w:pPr>
          </w:p>
        </w:tc>
        <w:tc>
          <w:tcPr>
            <w:tcW w:w="3360" w:type="dxa"/>
            <w:vAlign w:val="bottom"/>
          </w:tcPr>
          <w:p>
            <w:pPr>
              <w:jc w:val="center"/>
              <w:ind w:left="68"/>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June 30, 2020</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June 30, 2019</w:t>
            </w:r>
          </w:p>
        </w:tc>
        <w:tc>
          <w:tcPr>
            <w:tcW w:w="38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68"/>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benefit items:</w:t>
            </w:r>
          </w:p>
        </w:tc>
        <w:tc>
          <w:tcPr>
            <w:tcW w:w="1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cost</w:t>
            </w:r>
          </w:p>
        </w:tc>
        <w:tc>
          <w:tcPr>
            <w:tcW w:w="1560" w:type="dxa"/>
            <w:vAlign w:val="bottom"/>
            <w:tcBorders>
              <w:bottom w:val="single" w:sz="8" w:color="auto"/>
            </w:tcBorders>
          </w:tcPr>
          <w:p>
            <w:pPr>
              <w:jc w:val="right"/>
              <w:ind w:right="1412"/>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w:t>
            </w:r>
          </w:p>
        </w:tc>
        <w:tc>
          <w:tcPr>
            <w:tcW w:w="180" w:type="dxa"/>
            <w:vAlign w:val="bottom"/>
            <w:tcBorders>
              <w:bottom w:val="single" w:sz="8" w:color="CFF0FC"/>
            </w:tcBorders>
          </w:tcPr>
          <w:p>
            <w:pPr>
              <w:spacing w:after="0"/>
              <w:rPr>
                <w:sz w:val="16"/>
                <w:szCs w:val="16"/>
                <w:color w:val="auto"/>
              </w:rPr>
            </w:pPr>
          </w:p>
        </w:tc>
        <w:tc>
          <w:tcPr>
            <w:tcW w:w="1540" w:type="dxa"/>
            <w:vAlign w:val="bottom"/>
            <w:tcBorders>
              <w:bottom w:val="single" w:sz="8" w:color="auto"/>
            </w:tcBorders>
          </w:tcPr>
          <w:p>
            <w:pPr>
              <w:jc w:val="right"/>
              <w:ind w:right="139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560" w:type="dxa"/>
            <w:vAlign w:val="bottom"/>
            <w:shd w:val="clear" w:color="auto" w:fill="CFF0FC"/>
          </w:tcPr>
          <w:p>
            <w:pPr>
              <w:jc w:val="right"/>
              <w:ind w:right="1412"/>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8</w:t>
            </w: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391"/>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7</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80" w:type="dxa"/>
            <w:vAlign w:val="bottom"/>
            <w:tcBorders>
              <w:bottom w:val="single" w:sz="8" w:color="CFF0FC"/>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1560" w:type="dxa"/>
            <w:vAlign w:val="bottom"/>
            <w:tcBorders>
              <w:bottom w:val="single" w:sz="8" w:color="auto"/>
            </w:tcBorders>
            <w:shd w:val="clear" w:color="auto" w:fill="CFF0FC"/>
          </w:tcPr>
          <w:p>
            <w:pPr>
              <w:jc w:val="right"/>
              <w:ind w:right="1412"/>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w:t>
            </w:r>
          </w:p>
        </w:tc>
        <w:tc>
          <w:tcPr>
            <w:tcW w:w="18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ind w:right="139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5</w:t>
            </w:r>
          </w:p>
        </w:tc>
        <w:tc>
          <w:tcPr>
            <w:tcW w:w="3360" w:type="dxa"/>
            <w:vAlign w:val="bottom"/>
            <w:tcBorders>
              <w:bottom w:val="single" w:sz="8" w:color="CFF0FC"/>
            </w:tcBorders>
            <w:shd w:val="clear" w:color="auto" w:fill="CFF0FC"/>
          </w:tcPr>
          <w:p>
            <w:pPr>
              <w:ind w:left="160"/>
              <w:spacing w:after="0" w:line="180" w:lineRule="exact"/>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528"/>
        <w:spacing w:after="0" w:line="237" w:lineRule="auto"/>
        <w:rPr>
          <w:sz w:val="20"/>
          <w:szCs w:val="20"/>
          <w:color w:val="auto"/>
        </w:rPr>
      </w:pPr>
      <w:r>
        <w:rPr>
          <w:rFonts w:ascii="Arial" w:cs="Arial" w:eastAsia="Arial" w:hAnsi="Arial"/>
          <w:sz w:val="16"/>
          <w:szCs w:val="16"/>
          <w:color w:val="auto"/>
        </w:rPr>
        <w:t>Prior service cost and actuarial loss are included in the computation of the Company’s net periodic benefit cost. See NOTE M, “Employee Benefit Plans” for additional details.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 COMMITMENTS AND CONTINGENCIES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04" w:lineRule="exact"/>
        <w:rPr>
          <w:sz w:val="20"/>
          <w:szCs w:val="20"/>
          <w:color w:val="auto"/>
        </w:rPr>
      </w:pPr>
    </w:p>
    <w:p>
      <w:pPr>
        <w:ind w:right="720" w:firstLine="528"/>
        <w:spacing w:after="0" w:line="233" w:lineRule="auto"/>
        <w:rPr>
          <w:sz w:val="20"/>
          <w:szCs w:val="20"/>
          <w:color w:val="auto"/>
        </w:rPr>
      </w:pPr>
      <w:r>
        <w:rPr>
          <w:rFonts w:ascii="Arial" w:cs="Arial" w:eastAsia="Arial" w:hAnsi="Arial"/>
          <w:sz w:val="16"/>
          <w:szCs w:val="16"/>
          <w:color w:val="auto"/>
        </w:rPr>
        <w:t>The Company has an agreement with the Environmental Protection Agency to perform remedial activities at the Company’s Indianapolis, Indiana manufacturing facilities related to historical soil and groundwater contamination. In the fourth quarter of 2019, the EPA accepted a proposal to reduce the Company’s ongoing responsibilities for operating, monitoring and maintaining the ongoing activities, resulting in the Company reducing its associated undiscounted liability to $3 million to complete the future operating, monitoring and maintenance activities over the next 30 years.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Claims, Disputes, and Litigation</w:t>
      </w:r>
    </w:p>
    <w:p>
      <w:pPr>
        <w:spacing w:after="0" w:line="104" w:lineRule="exact"/>
        <w:rPr>
          <w:sz w:val="20"/>
          <w:szCs w:val="20"/>
          <w:color w:val="auto"/>
        </w:rPr>
      </w:pPr>
    </w:p>
    <w:p>
      <w:pPr>
        <w:ind w:right="120" w:firstLine="528"/>
        <w:spacing w:after="0" w:line="252" w:lineRule="auto"/>
        <w:rPr>
          <w:sz w:val="20"/>
          <w:szCs w:val="20"/>
          <w:color w:val="auto"/>
        </w:rPr>
      </w:pPr>
      <w:r>
        <w:rPr>
          <w:rFonts w:ascii="Arial" w:cs="Arial" w:eastAsia="Arial" w:hAnsi="Arial"/>
          <w:sz w:val="15"/>
          <w:szCs w:val="15"/>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Q. EARNINGS PER SHARE</w:t>
      </w:r>
    </w:p>
    <w:p>
      <w:pPr>
        <w:spacing w:after="0" w:line="106" w:lineRule="exact"/>
        <w:rPr>
          <w:sz w:val="20"/>
          <w:szCs w:val="20"/>
          <w:color w:val="auto"/>
        </w:rPr>
      </w:pPr>
    </w:p>
    <w:p>
      <w:pPr>
        <w:ind w:right="140" w:firstLine="528"/>
        <w:spacing w:after="0" w:line="231"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each of the three and six months ended June 30, 2020, there were 1 million outstanding stock options excluded from the diluted EPS calculation because they were anti-dilutive. For each of the three and six months ended June 30, 2019, there were no outstanding stock options excluded from the diluted EPS calculation because they were anti-dilutive.</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2120" w:type="dxa"/>
            <w:vAlign w:val="bottom"/>
            <w:gridSpan w:val="4"/>
          </w:tcPr>
          <w:p>
            <w:pPr>
              <w:jc w:val="right"/>
              <w:ind w:right="190"/>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Six Months Ended</w:t>
            </w:r>
          </w:p>
        </w:tc>
        <w:tc>
          <w:tcPr>
            <w:tcW w:w="860" w:type="dxa"/>
            <w:vAlign w:val="bottom"/>
          </w:tcPr>
          <w:p>
            <w:pPr>
              <w:spacing w:after="0"/>
              <w:rPr>
                <w:sz w:val="13"/>
                <w:szCs w:val="13"/>
                <w:color w:val="auto"/>
              </w:rPr>
            </w:pPr>
          </w:p>
        </w:tc>
      </w:tr>
      <w:tr>
        <w:trPr>
          <w:trHeight w:val="153"/>
        </w:trPr>
        <w:tc>
          <w:tcPr>
            <w:tcW w:w="5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jc w:val="right"/>
              <w:ind w:right="550"/>
              <w:spacing w:after="0"/>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gridSpan w:val="3"/>
          </w:tcPr>
          <w:p>
            <w:pPr>
              <w:jc w:val="right"/>
              <w:ind w:right="227"/>
              <w:spacing w:after="0"/>
              <w:rPr>
                <w:sz w:val="20"/>
                <w:szCs w:val="20"/>
                <w:color w:val="auto"/>
              </w:rPr>
            </w:pPr>
            <w:r>
              <w:rPr>
                <w:rFonts w:ascii="Arial" w:cs="Arial" w:eastAsia="Arial" w:hAnsi="Arial"/>
                <w:sz w:val="13"/>
                <w:szCs w:val="13"/>
                <w:b w:val="1"/>
                <w:bCs w:val="1"/>
                <w:color w:val="auto"/>
              </w:rPr>
              <w:t>June 30,</w:t>
            </w:r>
          </w:p>
        </w:tc>
        <w:tc>
          <w:tcPr>
            <w:tcW w:w="860" w:type="dxa"/>
            <w:vAlign w:val="bottom"/>
          </w:tcPr>
          <w:p>
            <w:pPr>
              <w:spacing w:after="0"/>
              <w:rPr>
                <w:sz w:val="13"/>
                <w:szCs w:val="13"/>
                <w:color w:val="auto"/>
              </w:rPr>
            </w:pPr>
          </w:p>
        </w:tc>
      </w:tr>
      <w:tr>
        <w:trPr>
          <w:trHeight w:val="153"/>
        </w:trPr>
        <w:tc>
          <w:tcPr>
            <w:tcW w:w="58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w w:val="89"/>
              </w:rPr>
              <w:t>2019</w:t>
            </w:r>
          </w:p>
        </w:tc>
      </w:tr>
      <w:tr>
        <w:trPr>
          <w:trHeight w:val="180"/>
        </w:trPr>
        <w:tc>
          <w:tcPr>
            <w:tcW w:w="58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auto"/>
            </w:tcBorders>
            <w:shd w:val="clear" w:color="auto" w:fill="CFF0FC"/>
          </w:tcPr>
          <w:p>
            <w:pPr>
              <w:jc w:val="right"/>
              <w:ind w:right="61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181</w:t>
            </w: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162</w:t>
            </w:r>
          </w:p>
        </w:tc>
        <w:tc>
          <w:tcPr>
            <w:tcW w:w="1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348</w:t>
            </w: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3"/>
        </w:trPr>
        <w:tc>
          <w:tcPr>
            <w:tcW w:w="5820" w:type="dxa"/>
            <w:vAlign w:val="bottom"/>
          </w:tcPr>
          <w:p>
            <w:pPr>
              <w:spacing w:after="0" w:line="163" w:lineRule="exact"/>
              <w:rPr>
                <w:sz w:val="20"/>
                <w:szCs w:val="20"/>
                <w:color w:val="auto"/>
              </w:rPr>
            </w:pPr>
            <w:r>
              <w:rPr>
                <w:rFonts w:ascii="Arial" w:cs="Arial" w:eastAsia="Arial" w:hAnsi="Arial"/>
                <w:sz w:val="16"/>
                <w:szCs w:val="16"/>
                <w:color w:val="auto"/>
              </w:rPr>
              <w:t>Weighted average shares of common stock outstanding</w:t>
            </w:r>
          </w:p>
        </w:tc>
        <w:tc>
          <w:tcPr>
            <w:tcW w:w="760" w:type="dxa"/>
            <w:vAlign w:val="bottom"/>
          </w:tcPr>
          <w:p>
            <w:pPr>
              <w:spacing w:after="0"/>
              <w:rPr>
                <w:sz w:val="14"/>
                <w:szCs w:val="14"/>
                <w:color w:val="auto"/>
              </w:rPr>
            </w:pPr>
          </w:p>
        </w:tc>
        <w:tc>
          <w:tcPr>
            <w:tcW w:w="480" w:type="dxa"/>
            <w:vAlign w:val="bottom"/>
          </w:tcPr>
          <w:p>
            <w:pPr>
              <w:jc w:val="right"/>
              <w:ind w:right="44"/>
              <w:spacing w:after="0" w:line="163" w:lineRule="exact"/>
              <w:rPr>
                <w:sz w:val="20"/>
                <w:szCs w:val="20"/>
                <w:color w:val="auto"/>
              </w:rPr>
            </w:pPr>
            <w:r>
              <w:rPr>
                <w:rFonts w:ascii="Arial" w:cs="Arial" w:eastAsia="Arial" w:hAnsi="Arial"/>
                <w:sz w:val="16"/>
                <w:szCs w:val="16"/>
                <w:b w:val="1"/>
                <w:bCs w:val="1"/>
                <w:color w:val="auto"/>
              </w:rPr>
              <w:t>113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42"/>
              <w:spacing w:after="0" w:line="163" w:lineRule="exact"/>
              <w:rPr>
                <w:sz w:val="20"/>
                <w:szCs w:val="20"/>
                <w:color w:val="auto"/>
              </w:rPr>
            </w:pPr>
            <w:r>
              <w:rPr>
                <w:rFonts w:ascii="Arial" w:cs="Arial" w:eastAsia="Arial" w:hAnsi="Arial"/>
                <w:sz w:val="16"/>
                <w:szCs w:val="16"/>
                <w:color w:val="auto"/>
              </w:rPr>
              <w:t>123</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right"/>
              <w:ind w:right="46"/>
              <w:spacing w:after="0" w:line="163" w:lineRule="exact"/>
              <w:rPr>
                <w:sz w:val="20"/>
                <w:szCs w:val="20"/>
                <w:color w:val="auto"/>
              </w:rPr>
            </w:pPr>
            <w:r>
              <w:rPr>
                <w:rFonts w:ascii="Arial" w:cs="Arial" w:eastAsia="Arial" w:hAnsi="Arial"/>
                <w:sz w:val="16"/>
                <w:szCs w:val="16"/>
                <w:b w:val="1"/>
                <w:bCs w:val="1"/>
                <w:color w:val="auto"/>
              </w:rPr>
              <w:t>114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4"/>
              <w:spacing w:after="0" w:line="163" w:lineRule="exact"/>
              <w:rPr>
                <w:sz w:val="20"/>
                <w:szCs w:val="20"/>
                <w:color w:val="auto"/>
              </w:rPr>
            </w:pPr>
            <w:r>
              <w:rPr>
                <w:rFonts w:ascii="Arial" w:cs="Arial" w:eastAsia="Arial" w:hAnsi="Arial"/>
                <w:sz w:val="16"/>
                <w:szCs w:val="16"/>
                <w:color w:val="auto"/>
              </w:rPr>
              <w:t>124</w:t>
            </w:r>
          </w:p>
        </w:tc>
      </w:tr>
      <w:tr>
        <w:trPr>
          <w:trHeight w:val="188"/>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of stock-based awards</w:t>
            </w:r>
          </w:p>
        </w:tc>
        <w:tc>
          <w:tcPr>
            <w:tcW w:w="76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r>
      <w:tr>
        <w:trPr>
          <w:trHeight w:val="220"/>
        </w:trPr>
        <w:tc>
          <w:tcPr>
            <w:tcW w:w="5820" w:type="dxa"/>
            <w:vAlign w:val="bottom"/>
            <w:tcBorders>
              <w:bottom w:val="single" w:sz="8" w:color="CFF0FC"/>
            </w:tcBorders>
          </w:tcPr>
          <w:p>
            <w:pPr>
              <w:ind w:left="200"/>
              <w:spacing w:after="0" w:line="180" w:lineRule="exact"/>
              <w:rPr>
                <w:sz w:val="20"/>
                <w:szCs w:val="20"/>
                <w:color w:val="auto"/>
              </w:rPr>
            </w:pPr>
            <w:r>
              <w:rPr>
                <w:rFonts w:ascii="Arial" w:cs="Arial" w:eastAsia="Arial" w:hAnsi="Arial"/>
                <w:sz w:val="16"/>
                <w:szCs w:val="16"/>
                <w:color w:val="auto"/>
              </w:rPr>
              <w:t>Diluted weighted average shares of common stock outstanding</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124</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115</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125</w:t>
            </w:r>
          </w:p>
        </w:tc>
      </w:tr>
      <w:tr>
        <w:trPr>
          <w:trHeight w:val="163"/>
        </w:trPr>
        <w:tc>
          <w:tcPr>
            <w:tcW w:w="5820" w:type="dxa"/>
            <w:vAlign w:val="bottom"/>
            <w:tcBorders>
              <w:bottom w:val="single" w:sz="8" w:color="CFF0FC"/>
            </w:tcBorders>
            <w:shd w:val="clear" w:color="auto" w:fill="CFF0FC"/>
          </w:tcPr>
          <w:p>
            <w:pPr>
              <w:spacing w:after="0" w:line="163" w:lineRule="exact"/>
              <w:rPr>
                <w:sz w:val="20"/>
                <w:szCs w:val="20"/>
                <w:color w:val="auto"/>
              </w:rPr>
            </w:pPr>
            <w:r>
              <w:rPr>
                <w:rFonts w:ascii="Arial" w:cs="Arial" w:eastAsia="Arial" w:hAnsi="Arial"/>
                <w:sz w:val="16"/>
                <w:szCs w:val="16"/>
                <w:color w:val="auto"/>
              </w:rPr>
              <w:t>Basic earnings per share attributable to common stockholders</w:t>
            </w:r>
          </w:p>
        </w:tc>
        <w:tc>
          <w:tcPr>
            <w:tcW w:w="760" w:type="dxa"/>
            <w:vAlign w:val="bottom"/>
            <w:tcBorders>
              <w:bottom w:val="single" w:sz="8" w:color="auto"/>
            </w:tcBorders>
            <w:shd w:val="clear" w:color="auto" w:fill="CFF0FC"/>
          </w:tcPr>
          <w:p>
            <w:pPr>
              <w:jc w:val="right"/>
              <w:ind w:right="611"/>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FF0FC"/>
          </w:tcPr>
          <w:p>
            <w:pPr>
              <w:jc w:val="right"/>
              <w:ind w:right="44"/>
              <w:spacing w:after="0" w:line="163" w:lineRule="exact"/>
              <w:rPr>
                <w:sz w:val="20"/>
                <w:szCs w:val="20"/>
                <w:color w:val="auto"/>
              </w:rPr>
            </w:pPr>
            <w:r>
              <w:rPr>
                <w:rFonts w:ascii="Arial" w:cs="Arial" w:eastAsia="Arial" w:hAnsi="Arial"/>
                <w:sz w:val="16"/>
                <w:szCs w:val="16"/>
                <w:b w:val="1"/>
                <w:bCs w:val="1"/>
                <w:color w:val="auto"/>
              </w:rPr>
              <w:t>0.20</w:t>
            </w: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10"/>
              <w:spacing w:after="0" w:line="163"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42"/>
              <w:spacing w:after="0" w:line="163" w:lineRule="exact"/>
              <w:rPr>
                <w:sz w:val="20"/>
                <w:szCs w:val="20"/>
                <w:color w:val="auto"/>
              </w:rPr>
            </w:pPr>
            <w:r>
              <w:rPr>
                <w:rFonts w:ascii="Arial" w:cs="Arial" w:eastAsia="Arial" w:hAnsi="Arial"/>
                <w:sz w:val="16"/>
                <w:szCs w:val="16"/>
                <w:color w:val="auto"/>
              </w:rPr>
              <w:t>1.47</w:t>
            </w:r>
          </w:p>
        </w:tc>
        <w:tc>
          <w:tcPr>
            <w:tcW w:w="14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70"/>
              <w:spacing w:after="0" w:line="163" w:lineRule="exact"/>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FF0FC"/>
          </w:tcPr>
          <w:p>
            <w:pPr>
              <w:jc w:val="right"/>
              <w:ind w:right="46"/>
              <w:spacing w:after="0" w:line="163" w:lineRule="exact"/>
              <w:rPr>
                <w:sz w:val="20"/>
                <w:szCs w:val="20"/>
                <w:color w:val="auto"/>
              </w:rPr>
            </w:pPr>
            <w:r>
              <w:rPr>
                <w:rFonts w:ascii="Arial" w:cs="Arial" w:eastAsia="Arial" w:hAnsi="Arial"/>
                <w:sz w:val="16"/>
                <w:szCs w:val="16"/>
                <w:b w:val="1"/>
                <w:bCs w:val="1"/>
                <w:color w:val="auto"/>
              </w:rPr>
              <w:t>1.42</w:t>
            </w: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ind w:right="287"/>
              <w:spacing w:after="0" w:line="163"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44"/>
              <w:spacing w:after="0" w:line="163" w:lineRule="exact"/>
              <w:rPr>
                <w:sz w:val="20"/>
                <w:szCs w:val="20"/>
                <w:color w:val="auto"/>
              </w:rPr>
            </w:pPr>
            <w:r>
              <w:rPr>
                <w:rFonts w:ascii="Arial" w:cs="Arial" w:eastAsia="Arial" w:hAnsi="Arial"/>
                <w:sz w:val="16"/>
                <w:szCs w:val="16"/>
                <w:color w:val="auto"/>
              </w:rPr>
              <w:t>2.81</w:t>
            </w: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3"/>
        </w:trPr>
        <w:tc>
          <w:tcPr>
            <w:tcW w:w="5820" w:type="dxa"/>
            <w:vAlign w:val="bottom"/>
          </w:tcPr>
          <w:p>
            <w:pPr>
              <w:ind w:left="200"/>
              <w:spacing w:after="0" w:line="163" w:lineRule="exact"/>
              <w:rPr>
                <w:sz w:val="20"/>
                <w:szCs w:val="20"/>
                <w:color w:val="auto"/>
              </w:rPr>
            </w:pPr>
            <w:r>
              <w:rPr>
                <w:rFonts w:ascii="Arial" w:cs="Arial" w:eastAsia="Arial" w:hAnsi="Arial"/>
                <w:sz w:val="16"/>
                <w:szCs w:val="16"/>
                <w:color w:val="auto"/>
              </w:rPr>
              <w:t>Diluted earnings per share attributable to common stockholders</w:t>
            </w:r>
          </w:p>
        </w:tc>
        <w:tc>
          <w:tcPr>
            <w:tcW w:w="760" w:type="dxa"/>
            <w:vAlign w:val="bottom"/>
            <w:tcBorders>
              <w:bottom w:val="single" w:sz="8" w:color="auto"/>
            </w:tcBorders>
          </w:tcPr>
          <w:p>
            <w:pPr>
              <w:jc w:val="right"/>
              <w:ind w:right="611"/>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ind w:right="44"/>
              <w:spacing w:after="0" w:line="163" w:lineRule="exact"/>
              <w:rPr>
                <w:sz w:val="20"/>
                <w:szCs w:val="20"/>
                <w:color w:val="auto"/>
              </w:rPr>
            </w:pPr>
            <w:r>
              <w:rPr>
                <w:rFonts w:ascii="Arial" w:cs="Arial" w:eastAsia="Arial" w:hAnsi="Arial"/>
                <w:sz w:val="16"/>
                <w:szCs w:val="16"/>
                <w:b w:val="1"/>
                <w:bCs w:val="1"/>
                <w:color w:val="auto"/>
              </w:rPr>
              <w:t>0.20</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610"/>
              <w:spacing w:after="0" w:line="163"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42"/>
              <w:spacing w:after="0" w:line="163" w:lineRule="exact"/>
              <w:rPr>
                <w:sz w:val="20"/>
                <w:szCs w:val="20"/>
                <w:color w:val="auto"/>
              </w:rPr>
            </w:pPr>
            <w:r>
              <w:rPr>
                <w:rFonts w:ascii="Arial" w:cs="Arial" w:eastAsia="Arial" w:hAnsi="Arial"/>
                <w:sz w:val="16"/>
                <w:szCs w:val="16"/>
                <w:color w:val="auto"/>
              </w:rPr>
              <w:t>1.46</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ind w:right="570"/>
              <w:spacing w:after="0" w:line="163" w:lineRule="exact"/>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ind w:right="46"/>
              <w:spacing w:after="0" w:line="163" w:lineRule="exact"/>
              <w:rPr>
                <w:sz w:val="20"/>
                <w:szCs w:val="20"/>
                <w:color w:val="auto"/>
              </w:rPr>
            </w:pPr>
            <w:r>
              <w:rPr>
                <w:rFonts w:ascii="Arial" w:cs="Arial" w:eastAsia="Arial" w:hAnsi="Arial"/>
                <w:sz w:val="16"/>
                <w:szCs w:val="16"/>
                <w:b w:val="1"/>
                <w:bCs w:val="1"/>
                <w:color w:val="auto"/>
              </w:rPr>
              <w:t>1.41</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87"/>
              <w:spacing w:after="0" w:line="163"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44"/>
              <w:spacing w:after="0" w:line="163" w:lineRule="exact"/>
              <w:rPr>
                <w:sz w:val="20"/>
                <w:szCs w:val="20"/>
                <w:color w:val="auto"/>
              </w:rPr>
            </w:pPr>
            <w:r>
              <w:rPr>
                <w:rFonts w:ascii="Arial" w:cs="Arial" w:eastAsia="Arial" w:hAnsi="Arial"/>
                <w:sz w:val="16"/>
                <w:szCs w:val="16"/>
                <w:color w:val="auto"/>
              </w:rPr>
              <w:t>2.78</w:t>
            </w: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 COMMON STOCK</w:t>
      </w:r>
    </w:p>
    <w:p>
      <w:pPr>
        <w:spacing w:after="0" w:line="106" w:lineRule="exact"/>
        <w:rPr>
          <w:sz w:val="20"/>
          <w:szCs w:val="20"/>
          <w:color w:val="auto"/>
        </w:rPr>
      </w:pPr>
    </w:p>
    <w:p>
      <w:pPr>
        <w:ind w:right="60" w:firstLine="528"/>
        <w:spacing w:after="0" w:line="232" w:lineRule="auto"/>
        <w:rPr>
          <w:sz w:val="20"/>
          <w:szCs w:val="20"/>
          <w:color w:val="auto"/>
        </w:rPr>
      </w:pPr>
      <w:r>
        <w:rPr>
          <w:rFonts w:ascii="Arial" w:cs="Arial" w:eastAsia="Arial" w:hAnsi="Arial"/>
          <w:sz w:val="16"/>
          <w:szCs w:val="16"/>
          <w:color w:val="auto"/>
        </w:rPr>
        <w:t>The Company’s current stock repurchase program (the “Repurchase Program”) was announced on November 14, 2016 when the Board of Directors authorized the Company to repurchase up to $1,000 million of its common stock on the open market or through privately negotiated transactions. On November 8, 2017, July 30, 2018 and May 9, 2019, the Board of Directors authorized the Company to repurchase an additional $500 million, $500 million and $1,000 million, respectively, of its common stock, bringing the total amount authorized under the Repurchase Program to $3,000 million. The Repurchase Program has no termination date. The timing and amount of stock purchases are subject to market conditions and corporate needs. The Repurchase Program may be modified, suspended or discontinued at any time at the Company’s discretion.</w:t>
      </w:r>
    </w:p>
    <w:p>
      <w:pPr>
        <w:spacing w:after="0" w:line="84" w:lineRule="exact"/>
        <w:rPr>
          <w:sz w:val="20"/>
          <w:szCs w:val="20"/>
          <w:color w:val="auto"/>
        </w:rPr>
      </w:pPr>
    </w:p>
    <w:p>
      <w:pPr>
        <w:ind w:right="160" w:firstLine="528"/>
        <w:spacing w:after="0" w:line="237" w:lineRule="auto"/>
        <w:rPr>
          <w:sz w:val="20"/>
          <w:szCs w:val="20"/>
          <w:color w:val="auto"/>
        </w:rPr>
      </w:pPr>
      <w:r>
        <w:rPr>
          <w:rFonts w:ascii="Arial" w:cs="Arial" w:eastAsia="Arial" w:hAnsi="Arial"/>
          <w:sz w:val="16"/>
          <w:szCs w:val="16"/>
          <w:color w:val="auto"/>
        </w:rPr>
        <w:t>During the three and six months ended June 30, 2020, the Company repurchased zero and approximately $180 million, respectively, of its common stock under the Repurchase Program, leaving $872 million of authorized repurchases remaining under the Repurchase Program as of June 30, 2020.</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S. CERTAIN RELATIONSHIPS AND RELATED PARTY TRANSACTIONS</w:t>
      </w:r>
    </w:p>
    <w:p>
      <w:pPr>
        <w:spacing w:after="0" w:line="106" w:lineRule="exact"/>
        <w:rPr>
          <w:sz w:val="20"/>
          <w:szCs w:val="20"/>
          <w:color w:val="auto"/>
        </w:rPr>
      </w:pPr>
    </w:p>
    <w:p>
      <w:pPr>
        <w:ind w:right="160" w:firstLine="528"/>
        <w:spacing w:after="0" w:line="233" w:lineRule="auto"/>
        <w:rPr>
          <w:sz w:val="20"/>
          <w:szCs w:val="20"/>
          <w:color w:val="auto"/>
        </w:rPr>
      </w:pPr>
      <w:r>
        <w:rPr>
          <w:rFonts w:ascii="Arial" w:cs="Arial" w:eastAsia="Arial" w:hAnsi="Arial"/>
          <w:sz w:val="16"/>
          <w:szCs w:val="16"/>
          <w:color w:val="auto"/>
        </w:rPr>
        <w:t>On May 7, 2019, the Company entered into a stock repurchase agreement with Ashe Capital Management, LP to repurchase 4,977,043 shares of the Company's common stock for approximately $ 232 million. William Harker, a member of the Company's Board of Directors until May 9, 2019, is the President and Co-Founder of Ashe Capital Management, LP. The shares were repurchased under the Repurchase Program. The purchase was funded with cash on hand and borrowings under the New Revolving Credit Facility. The shares were subsequently retired.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 ACQUISITIONS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AxleTech Electric Vehicle Systems Division Acquisition</w:t>
      </w:r>
    </w:p>
    <w:p>
      <w:pPr>
        <w:spacing w:after="0" w:line="151" w:lineRule="exact"/>
        <w:rPr>
          <w:sz w:val="20"/>
          <w:szCs w:val="20"/>
          <w:color w:val="auto"/>
        </w:rPr>
      </w:pPr>
    </w:p>
    <w:p>
      <w:pPr>
        <w:ind w:firstLine="528"/>
        <w:spacing w:after="0" w:line="233" w:lineRule="auto"/>
        <w:rPr>
          <w:sz w:val="20"/>
          <w:szCs w:val="20"/>
          <w:color w:val="auto"/>
        </w:rPr>
      </w:pPr>
      <w:r>
        <w:rPr>
          <w:rFonts w:ascii="Arial" w:cs="Arial" w:eastAsia="Arial" w:hAnsi="Arial"/>
          <w:sz w:val="16"/>
          <w:szCs w:val="16"/>
          <w:color w:val="auto"/>
        </w:rPr>
        <w:t>In the second quarter of 2020, the Company finalized its purchase price allocation related to the acquisition of the AxleTech electric vehicle systems division by recording a measurement period adjustment which resulted in a $25 million increase to goodwill and a corresponding decrease to in-process research and development as of June 30, 2020. The measurement period adjustment reflects facts and circumstances that existed as of the date of acquisition. The measurement period has ended for this acquisition.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Walker Die Casting Acquisition</w:t>
      </w:r>
    </w:p>
    <w:p>
      <w:pPr>
        <w:spacing w:after="0" w:line="151" w:lineRule="exact"/>
        <w:rPr>
          <w:sz w:val="20"/>
          <w:szCs w:val="20"/>
          <w:color w:val="auto"/>
        </w:rPr>
      </w:pPr>
    </w:p>
    <w:p>
      <w:pPr>
        <w:ind w:right="20" w:firstLine="528"/>
        <w:spacing w:after="0" w:line="232" w:lineRule="auto"/>
        <w:rPr>
          <w:sz w:val="20"/>
          <w:szCs w:val="20"/>
          <w:color w:val="auto"/>
        </w:rPr>
      </w:pPr>
      <w:r>
        <w:rPr>
          <w:rFonts w:ascii="Arial" w:cs="Arial" w:eastAsia="Arial" w:hAnsi="Arial"/>
          <w:sz w:val="16"/>
          <w:szCs w:val="16"/>
          <w:color w:val="auto"/>
        </w:rPr>
        <w:t>On September 9, 2019, the Company acquired the assets of Walker Die Casting, Inc. (“Walker Die Casting”), an aluminum castings company, and C&amp;R Tool and Engineering, Inc. (“C&amp;R Tool and Engineering”), a supplier of metal-working tools, for approximately $103 million in cash. In the second quarter of 2020, the Company received a $ 4 million net working capital settlement from Walker Die Casting, reducing the purchase price to $95 million. The initial accounting is complete for the fair value of the acquired assets and liabilities. Any further adjustments identified in the measurement period, not to exceed one year from the acquisition date, will be accounted for in accordance with the applicable authoritative guidance.</w:t>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23" w:lineRule="exact"/>
        <w:rPr>
          <w:sz w:val="20"/>
          <w:szCs w:val="20"/>
          <w:color w:val="auto"/>
        </w:rPr>
      </w:pPr>
    </w:p>
    <w:p>
      <w:pPr>
        <w:jc w:val="both"/>
        <w:ind w:right="20" w:firstLine="528"/>
        <w:spacing w:after="0" w:line="242"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6" w:lineRule="exact"/>
        <w:rPr>
          <w:sz w:val="20"/>
          <w:szCs w:val="20"/>
          <w:color w:val="auto"/>
        </w:rPr>
      </w:pPr>
    </w:p>
    <w:p>
      <w:pPr>
        <w:ind w:firstLine="528"/>
        <w:spacing w:after="0" w:line="235"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in Part I, Item 1A "Risk Factors" in our Annual Report on Form 10-K for the year ended December 31, 2019 as filed with the Securities and Exchange Commission ("SEC") on February 27, 2020, and Part II, Item 1A “Risk Factors” in our Quarterly Report on Form 10-Q for the quarter ended March 31, 2020 filed with the SEC on May 5, 2020. Our actual results may differ materially from those contained in or implied by any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3" w:lineRule="exact"/>
        <w:rPr>
          <w:sz w:val="20"/>
          <w:szCs w:val="20"/>
          <w:color w:val="auto"/>
        </w:rPr>
      </w:pPr>
    </w:p>
    <w:p>
      <w:pPr>
        <w:ind w:right="20" w:firstLine="522"/>
        <w:spacing w:after="0" w:line="252" w:lineRule="auto"/>
        <w:rPr>
          <w:sz w:val="20"/>
          <w:szCs w:val="20"/>
          <w:color w:val="auto"/>
        </w:rPr>
      </w:pPr>
      <w:r>
        <w:rPr>
          <w:rFonts w:ascii="Arial" w:cs="Arial" w:eastAsia="Arial" w:hAnsi="Arial"/>
          <w:sz w:val="15"/>
          <w:szCs w:val="15"/>
          <w:color w:val="auto"/>
        </w:rPr>
        <w:t>Allison Transmission Holdings, Inc. and its subsidiaries (“Allison,” the “Company,” “we,” “us” or “our”) design and manufacture vehicle propulsion solutions, including commercial 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80" w:firstLine="528"/>
        <w:spacing w:after="0" w:line="266" w:lineRule="auto"/>
        <w:rPr>
          <w:sz w:val="20"/>
          <w:szCs w:val="20"/>
          <w:color w:val="auto"/>
        </w:rPr>
      </w:pPr>
      <w:r>
        <w:rPr>
          <w:rFonts w:ascii="Arial" w:cs="Arial" w:eastAsia="Arial" w:hAnsi="Arial"/>
          <w:sz w:val="15"/>
          <w:szCs w:val="15"/>
          <w:color w:val="auto"/>
        </w:rPr>
        <w:t>Although approximately 77% of revenues were generated in North America in 2019, we have a global presence by serving customers in Europe, Asia, South America and Africa. We serve customers through an independent network of approximately 1,500 independent distributor and dealer locations worldwide.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Impacting Our Business</w:t>
      </w:r>
    </w:p>
    <w:p>
      <w:pPr>
        <w:spacing w:after="0" w:line="106" w:lineRule="exact"/>
        <w:rPr>
          <w:sz w:val="20"/>
          <w:szCs w:val="20"/>
          <w:color w:val="auto"/>
        </w:rPr>
      </w:pPr>
    </w:p>
    <w:p>
      <w:pPr>
        <w:ind w:right="80" w:firstLine="528"/>
        <w:spacing w:after="0" w:line="232"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In March 2020, the World Health Organization categorized the novel coronavirus ("COVID-19") as a pandemic, and it continues to impact the United States and other major markets in which we operate across the world, resulting in severe disruptions to global markets and supply chains, significant uncertainty and a weaker global outlook. The effects of the pandemic on the global economy had a material impact on demand for our products and to our results of operations during the second quarter 2020 as our suppliers and customers reduced or halted production.</w:t>
      </w:r>
    </w:p>
    <w:p>
      <w:pPr>
        <w:spacing w:after="0" w:line="85" w:lineRule="exact"/>
        <w:rPr>
          <w:sz w:val="20"/>
          <w:szCs w:val="20"/>
          <w:color w:val="auto"/>
        </w:rPr>
      </w:pPr>
    </w:p>
    <w:p>
      <w:pPr>
        <w:ind w:right="40" w:firstLine="528"/>
        <w:spacing w:after="0" w:line="231" w:lineRule="auto"/>
        <w:rPr>
          <w:sz w:val="20"/>
          <w:szCs w:val="20"/>
          <w:color w:val="auto"/>
        </w:rPr>
      </w:pPr>
      <w:r>
        <w:rPr>
          <w:rFonts w:ascii="Arial" w:cs="Arial" w:eastAsia="Arial" w:hAnsi="Arial"/>
          <w:sz w:val="16"/>
          <w:szCs w:val="16"/>
          <w:color w:val="auto"/>
        </w:rPr>
        <w:t>To limit the spread of COVID-19, governments have taken various actions including travel bans and restrictions, quarantines, curfews, stay-at-home orders, social distancing guidelines and business shutdowns and closures. Despite these ongoing disruptions, we have continued our manufacturing operations throughout 2020 allowing us to deliver our products to customers without interruption. However, our manufacturing facilities in Hungary, India, and Tennessee suspended operations, for varying lengths of time, and our global manufacturing facilities have cut back on operating levels and shifts as a result of government orders, our inability to obtain component parts from suppliers and/or decreased customer demand. Additional suspensions and cutbacks of our manufacturing operations may occur as the impacts from COVID-19 and related responses continue to develop within our global supply chains and customer base, and additional production slowdowns and shutdowns by our global suppliers and customers may continue and could continue to have a material impact to our financial results.</w:t>
      </w:r>
    </w:p>
    <w:p>
      <w:pPr>
        <w:spacing w:after="0" w:line="86" w:lineRule="exact"/>
        <w:rPr>
          <w:sz w:val="20"/>
          <w:szCs w:val="20"/>
          <w:color w:val="auto"/>
        </w:rPr>
      </w:pPr>
    </w:p>
    <w:p>
      <w:pPr>
        <w:ind w:right="60" w:firstLine="528"/>
        <w:spacing w:after="0" w:line="234" w:lineRule="auto"/>
        <w:rPr>
          <w:sz w:val="20"/>
          <w:szCs w:val="20"/>
          <w:color w:val="auto"/>
        </w:rPr>
      </w:pPr>
      <w:r>
        <w:rPr>
          <w:rFonts w:ascii="Arial" w:cs="Arial" w:eastAsia="Arial" w:hAnsi="Arial"/>
          <w:sz w:val="16"/>
          <w:szCs w:val="16"/>
          <w:color w:val="auto"/>
        </w:rPr>
        <w:t>We are taking a variety of measures to promote the safety and security of our employees and to maintain operations with as minimal impact as possible to our stakeholders, including increased frequency of cleaning and disinfecting of facilities, social distancing, remote working when possible, travel restrictions and limitations on visitor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access to facilities. We are also working to align operations, programs and spending across our entire business with current conditions, including reduced compensation expense through restructuring initiatives of both hourly and salary employees related to voluntary and involuntary separation programs, furloughs of a portion of our workforce, reducing overtime, and assessing the timing and cadence of various capital investments and product development initiatives.</w:t>
      </w:r>
    </w:p>
    <w:p>
      <w:pPr>
        <w:spacing w:after="0" w:line="73" w:lineRule="exact"/>
        <w:rPr>
          <w:sz w:val="20"/>
          <w:szCs w:val="20"/>
          <w:color w:val="auto"/>
        </w:rPr>
      </w:pPr>
    </w:p>
    <w:p>
      <w:pPr>
        <w:ind w:right="100" w:firstLine="528"/>
        <w:spacing w:after="0" w:line="233" w:lineRule="auto"/>
        <w:rPr>
          <w:sz w:val="20"/>
          <w:szCs w:val="20"/>
          <w:color w:val="auto"/>
        </w:rPr>
      </w:pPr>
      <w:r>
        <w:rPr>
          <w:rFonts w:ascii="Arial" w:cs="Arial" w:eastAsia="Arial" w:hAnsi="Arial"/>
          <w:sz w:val="16"/>
          <w:szCs w:val="16"/>
          <w:color w:val="auto"/>
        </w:rPr>
        <w:t>Our Net Sales were materially impacted during the second quarter of 2020 by the ongoing COVID-19 outbreak, and we expect that our Net Sales will continue to be impacted for the third quarter 2020 and likely beyond. The extent to which our future operations will continue to be impacted by the outbreak will depend largely on future developments, which are highly uncertain and cannot be accurately predicted, including continuing efforts by governmental authorities to stall the spread and limit the impact of COVID-19, and the timing of such developments.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Second Quarter Net Sales by End Market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980" w:type="dxa"/>
            <w:vAlign w:val="bottom"/>
          </w:tcPr>
          <w:p>
            <w:pPr>
              <w:jc w:val="right"/>
              <w:ind w:right="12"/>
              <w:spacing w:after="0"/>
              <w:rPr>
                <w:sz w:val="20"/>
                <w:szCs w:val="20"/>
                <w:color w:val="auto"/>
              </w:rPr>
            </w:pPr>
            <w:r>
              <w:rPr>
                <w:rFonts w:ascii="Arial" w:cs="Arial" w:eastAsia="Arial" w:hAnsi="Arial"/>
                <w:sz w:val="13"/>
                <w:szCs w:val="13"/>
                <w:b w:val="1"/>
                <w:bCs w:val="1"/>
                <w:color w:val="auto"/>
              </w:rPr>
              <w:t>Q2 2020</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65"/>
              <w:spacing w:after="0"/>
              <w:rPr>
                <w:sz w:val="20"/>
                <w:szCs w:val="20"/>
                <w:color w:val="auto"/>
              </w:rPr>
            </w:pPr>
            <w:r>
              <w:rPr>
                <w:rFonts w:ascii="Arial" w:cs="Arial" w:eastAsia="Arial" w:hAnsi="Arial"/>
                <w:sz w:val="13"/>
                <w:szCs w:val="13"/>
                <w:b w:val="1"/>
                <w:bCs w:val="1"/>
                <w:color w:val="auto"/>
              </w:rPr>
              <w:t>Q2 2019</w:t>
            </w: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Sales</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Net Sales</w:t>
            </w:r>
          </w:p>
        </w:tc>
        <w:tc>
          <w:tcPr>
            <w:tcW w:w="1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 Variance</w:t>
            </w:r>
          </w:p>
        </w:tc>
      </w:tr>
      <w:tr>
        <w:trPr>
          <w:trHeight w:val="180"/>
        </w:trPr>
        <w:tc>
          <w:tcPr>
            <w:tcW w:w="6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980" w:type="dxa"/>
            <w:vAlign w:val="bottom"/>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164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398</w:t>
            </w:r>
          </w:p>
        </w:tc>
        <w:tc>
          <w:tcPr>
            <w:tcW w:w="16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(59)%</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(67)%</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42</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37</w:t>
            </w:r>
          </w:p>
        </w:tc>
        <w:tc>
          <w:tcPr>
            <w:tcW w:w="1680" w:type="dxa"/>
            <w:vAlign w:val="bottom"/>
            <w:gridSpan w:val="2"/>
            <w:shd w:val="clear" w:color="auto" w:fill="CFF0FC"/>
          </w:tcPr>
          <w:p>
            <w:pPr>
              <w:jc w:val="right"/>
              <w:ind w:right="17"/>
              <w:spacing w:after="0"/>
              <w:rPr>
                <w:sz w:val="20"/>
                <w:szCs w:val="20"/>
                <w:color w:val="auto"/>
              </w:rPr>
            </w:pPr>
            <w:r>
              <w:rPr>
                <w:rFonts w:ascii="Arial" w:cs="Arial" w:eastAsia="Arial" w:hAnsi="Arial"/>
                <w:sz w:val="16"/>
                <w:szCs w:val="16"/>
                <w:color w:val="auto"/>
              </w:rPr>
              <w:t>14%</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60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106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19</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w:t>
            </w:r>
          </w:p>
        </w:tc>
      </w:tr>
      <w:tr>
        <w:trPr>
          <w:trHeight w:val="188"/>
        </w:trPr>
        <w:tc>
          <w:tcPr>
            <w:tcW w:w="6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89</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147</w:t>
            </w:r>
          </w:p>
        </w:tc>
        <w:tc>
          <w:tcPr>
            <w:tcW w:w="168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(39)%</w:t>
            </w:r>
          </w:p>
        </w:tc>
      </w:tr>
      <w:tr>
        <w:trPr>
          <w:trHeight w:val="180"/>
        </w:trPr>
        <w:tc>
          <w:tcPr>
            <w:tcW w:w="65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98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377</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737</w:t>
            </w:r>
          </w:p>
        </w:tc>
        <w:tc>
          <w:tcPr>
            <w:tcW w:w="1680" w:type="dxa"/>
            <w:vAlign w:val="bottom"/>
            <w:tcBorders>
              <w:bottom w:val="single" w:sz="8" w:color="CFF0FC"/>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(49)%</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528"/>
        <w:spacing w:after="0" w:line="237" w:lineRule="auto"/>
        <w:rPr>
          <w:sz w:val="20"/>
          <w:szCs w:val="20"/>
          <w:color w:val="auto"/>
        </w:rPr>
      </w:pPr>
      <w:r>
        <w:rPr>
          <w:rFonts w:ascii="Arial" w:cs="Arial" w:eastAsia="Arial" w:hAnsi="Arial"/>
          <w:sz w:val="16"/>
          <w:szCs w:val="16"/>
          <w:color w:val="auto"/>
        </w:rPr>
        <w:t>North America On-Highway end market net sales were down 59% for the second quarter 2020 compared to the second quarter 2019, principally driven by lower demand for Rugged Duty Series and Highway Series models primarily due to the effects of the COVID-19 pandemic.</w:t>
      </w:r>
    </w:p>
    <w:p>
      <w:pPr>
        <w:spacing w:after="0" w:line="83" w:lineRule="exact"/>
        <w:rPr>
          <w:sz w:val="20"/>
          <w:szCs w:val="20"/>
          <w:color w:val="auto"/>
        </w:rPr>
      </w:pPr>
    </w:p>
    <w:p>
      <w:pPr>
        <w:ind w:right="440" w:firstLine="528"/>
        <w:spacing w:after="0" w:line="237" w:lineRule="auto"/>
        <w:rPr>
          <w:sz w:val="20"/>
          <w:szCs w:val="20"/>
          <w:color w:val="auto"/>
        </w:rPr>
      </w:pPr>
      <w:r>
        <w:rPr>
          <w:rFonts w:ascii="Arial" w:cs="Arial" w:eastAsia="Arial" w:hAnsi="Arial"/>
          <w:sz w:val="16"/>
          <w:szCs w:val="16"/>
          <w:color w:val="auto"/>
        </w:rPr>
        <w:t>North America Off-Highway end market net sales were down $6 million for the second quarter 2020 compared to the second quarter 2019, principally driven by lower demand for hydraulic fracturing applications.</w:t>
      </w:r>
    </w:p>
    <w:p>
      <w:pPr>
        <w:spacing w:after="0" w:line="83" w:lineRule="exact"/>
        <w:rPr>
          <w:sz w:val="20"/>
          <w:szCs w:val="20"/>
          <w:color w:val="auto"/>
        </w:rPr>
      </w:pPr>
    </w:p>
    <w:p>
      <w:pPr>
        <w:ind w:right="480" w:firstLine="528"/>
        <w:spacing w:after="0" w:line="237" w:lineRule="auto"/>
        <w:rPr>
          <w:sz w:val="20"/>
          <w:szCs w:val="20"/>
          <w:color w:val="auto"/>
        </w:rPr>
      </w:pPr>
      <w:r>
        <w:rPr>
          <w:rFonts w:ascii="Arial" w:cs="Arial" w:eastAsia="Arial" w:hAnsi="Arial"/>
          <w:sz w:val="16"/>
          <w:szCs w:val="16"/>
          <w:color w:val="auto"/>
        </w:rPr>
        <w:t>Defense end market net sales were up 14% for the second quarter 2020 compared to the second quarter 2019, principally driven by Tracked vehicle demand.</w:t>
      </w:r>
    </w:p>
    <w:p>
      <w:pPr>
        <w:spacing w:after="0" w:line="83" w:lineRule="exact"/>
        <w:rPr>
          <w:sz w:val="20"/>
          <w:szCs w:val="20"/>
          <w:color w:val="auto"/>
        </w:rPr>
      </w:pPr>
    </w:p>
    <w:p>
      <w:pPr>
        <w:ind w:right="200" w:firstLine="528"/>
        <w:spacing w:after="0" w:line="237" w:lineRule="auto"/>
        <w:rPr>
          <w:sz w:val="20"/>
          <w:szCs w:val="20"/>
          <w:color w:val="auto"/>
        </w:rPr>
      </w:pPr>
      <w:r>
        <w:rPr>
          <w:rFonts w:ascii="Arial" w:cs="Arial" w:eastAsia="Arial" w:hAnsi="Arial"/>
          <w:sz w:val="16"/>
          <w:szCs w:val="16"/>
          <w:color w:val="auto"/>
        </w:rPr>
        <w:t>Outside North America On-Highway end market net sales were down 43% for the second quarter 2020 compared to the second quarter 2019, principally driven by lower global demand due to the effects of the COVID-19 pandemic.</w:t>
      </w:r>
    </w:p>
    <w:p>
      <w:pPr>
        <w:spacing w:after="0" w:line="83" w:lineRule="exact"/>
        <w:rPr>
          <w:sz w:val="20"/>
          <w:szCs w:val="20"/>
          <w:color w:val="auto"/>
        </w:rPr>
      </w:pPr>
    </w:p>
    <w:p>
      <w:pPr>
        <w:ind w:right="500" w:firstLine="528"/>
        <w:spacing w:after="0" w:line="237" w:lineRule="auto"/>
        <w:rPr>
          <w:sz w:val="20"/>
          <w:szCs w:val="20"/>
          <w:color w:val="auto"/>
        </w:rPr>
      </w:pPr>
      <w:r>
        <w:rPr>
          <w:rFonts w:ascii="Arial" w:cs="Arial" w:eastAsia="Arial" w:hAnsi="Arial"/>
          <w:sz w:val="16"/>
          <w:szCs w:val="16"/>
          <w:color w:val="auto"/>
        </w:rPr>
        <w:t>Outside North America Off-Highway end market net sales were down $21 million for the second quarter 2020 compared to the second quarter 2019, principally driven by lower demand in the energy, mining and construction sectors.</w:t>
      </w:r>
    </w:p>
    <w:p>
      <w:pPr>
        <w:spacing w:after="0" w:line="83" w:lineRule="exact"/>
        <w:rPr>
          <w:sz w:val="20"/>
          <w:szCs w:val="20"/>
          <w:color w:val="auto"/>
        </w:rPr>
      </w:pPr>
    </w:p>
    <w:p>
      <w:pPr>
        <w:ind w:right="180" w:firstLine="528"/>
        <w:spacing w:after="0" w:line="234" w:lineRule="auto"/>
        <w:rPr>
          <w:sz w:val="20"/>
          <w:szCs w:val="20"/>
          <w:color w:val="auto"/>
        </w:rPr>
      </w:pPr>
      <w:r>
        <w:rPr>
          <w:rFonts w:ascii="Arial" w:cs="Arial" w:eastAsia="Arial" w:hAnsi="Arial"/>
          <w:sz w:val="16"/>
          <w:szCs w:val="16"/>
          <w:color w:val="auto"/>
        </w:rPr>
        <w:t>Service Parts, Support Equipment and Other end market net sales were down 39% for the second quarter 2020 compared to the second quarter 2019, principally driven by lower demand for North America service parts and support equipment primarily due to the effects of the COVID-19 pandemic, partially offset by aluminum die cast component volume associated with the acquisition of Walker Die Casting, Inc. (“Walker Die Casting”).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260" w:firstLine="528"/>
        <w:spacing w:after="0" w:line="232" w:lineRule="auto"/>
        <w:rPr>
          <w:sz w:val="20"/>
          <w:szCs w:val="20"/>
          <w:color w:val="auto"/>
        </w:rPr>
      </w:pPr>
      <w:r>
        <w:rPr>
          <w:rFonts w:ascii="Arial" w:cs="Arial" w:eastAsia="Arial" w:hAnsi="Arial"/>
          <w:sz w:val="16"/>
          <w:szCs w:val="16"/>
          <w:color w:val="auto"/>
        </w:rPr>
        <w:t>We generate our net sales primarily from the sale of vehicle propulsion solutions, service and component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six months ended June 30, 2020, direct material costs were approximately 64%, overhead costs were approximately 27%, and direct labor costs were approximately 9% of total cost of sales. We are subject to changes in our cost of sales caused by movements in underlying commodity prices. We seek to hedge against this risk by using long-term agreements, as appropriate. See Part I, Item 3 “Quantitative and Qualitative Disclosures about Market Risk—Commodity Price Risk” included below.</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760" w:firstLine="528"/>
        <w:spacing w:after="0" w:line="266" w:lineRule="auto"/>
        <w:rPr>
          <w:sz w:val="20"/>
          <w:szCs w:val="20"/>
          <w:color w:val="auto"/>
        </w:rPr>
      </w:pPr>
      <w:r>
        <w:rPr>
          <w:rFonts w:ascii="Arial" w:cs="Arial" w:eastAsia="Arial" w:hAnsi="Arial"/>
          <w:sz w:val="15"/>
          <w:szCs w:val="15"/>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280" w:firstLine="528"/>
        <w:spacing w:after="0" w:line="237"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51" w:lineRule="exact"/>
        <w:rPr>
          <w:sz w:val="20"/>
          <w:szCs w:val="20"/>
          <w:color w:val="auto"/>
        </w:rPr>
      </w:pPr>
    </w:p>
    <w:p>
      <w:pPr>
        <w:ind w:right="20" w:firstLine="522"/>
        <w:spacing w:after="0" w:line="247" w:lineRule="auto"/>
        <w:rPr>
          <w:sz w:val="20"/>
          <w:szCs w:val="20"/>
          <w:color w:val="auto"/>
        </w:rPr>
      </w:pPr>
      <w:r>
        <w:rPr>
          <w:rFonts w:ascii="Arial" w:cs="Arial" w:eastAsia="Arial" w:hAnsi="Arial"/>
          <w:sz w:val="15"/>
          <w:szCs w:val="15"/>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Second Amended and Restated Credit Agreement dated as of March 29, 2019 (the “Credit Agreement”) governing Allison Transmission, Inc.’s (“ATI”), our wholly-owned subsidiary, term loan facility in the amount of $641 million due March 2026 (“New Term Loan”). Adjusted EBITDA as a percent of net sales is calculated as Adjusted EBITDA divided by net sales.</w:t>
      </w:r>
    </w:p>
    <w:p>
      <w:pPr>
        <w:spacing w:after="0" w:line="128" w:lineRule="exact"/>
        <w:rPr>
          <w:sz w:val="20"/>
          <w:szCs w:val="20"/>
          <w:color w:val="auto"/>
        </w:rPr>
      </w:pPr>
    </w:p>
    <w:p>
      <w:pPr>
        <w:ind w:right="40" w:firstLine="522"/>
        <w:spacing w:after="0" w:line="232"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excluding non-recurring restructuring charges, after additions of long-lived assets.</w:t>
      </w:r>
    </w:p>
    <w:p>
      <w:pPr>
        <w:spacing w:after="0" w:line="84" w:lineRule="exact"/>
        <w:rPr>
          <w:sz w:val="20"/>
          <w:szCs w:val="20"/>
          <w:color w:val="auto"/>
        </w:rPr>
      </w:pPr>
    </w:p>
    <w:p>
      <w:pPr>
        <w:ind w:right="340" w:firstLine="528"/>
        <w:spacing w:after="0" w:line="237" w:lineRule="auto"/>
        <w:rPr>
          <w:sz w:val="20"/>
          <w:szCs w:val="20"/>
          <w:color w:val="auto"/>
        </w:rPr>
      </w:pPr>
      <w:r>
        <w:rPr>
          <w:rFonts w:ascii="Arial" w:cs="Arial" w:eastAsia="Arial" w:hAnsi="Arial"/>
          <w:sz w:val="16"/>
          <w:szCs w:val="16"/>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30"/>
        </w:trPr>
        <w:tc>
          <w:tcPr>
            <w:tcW w:w="5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80" w:type="dxa"/>
            <w:vAlign w:val="bottom"/>
            <w:gridSpan w:val="5"/>
          </w:tcPr>
          <w:p>
            <w:pPr>
              <w:ind w:left="400"/>
              <w:spacing w:after="0" w:line="131" w:lineRule="exact"/>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1"/>
                <w:szCs w:val="11"/>
                <w:color w:val="auto"/>
              </w:rPr>
            </w:pPr>
          </w:p>
        </w:tc>
        <w:tc>
          <w:tcPr>
            <w:tcW w:w="1580" w:type="dxa"/>
            <w:vAlign w:val="bottom"/>
            <w:gridSpan w:val="3"/>
          </w:tcPr>
          <w:p>
            <w:pPr>
              <w:jc w:val="right"/>
              <w:spacing w:after="0" w:line="131" w:lineRule="exact"/>
              <w:rPr>
                <w:sz w:val="20"/>
                <w:szCs w:val="20"/>
                <w:color w:val="auto"/>
              </w:rPr>
            </w:pPr>
            <w:r>
              <w:rPr>
                <w:rFonts w:ascii="Arial" w:cs="Arial" w:eastAsia="Arial" w:hAnsi="Arial"/>
                <w:sz w:val="13"/>
                <w:szCs w:val="13"/>
                <w:b w:val="1"/>
                <w:bCs w:val="1"/>
                <w:color w:val="auto"/>
              </w:rPr>
              <w:t>Six months ended</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0" w:type="dxa"/>
            <w:vAlign w:val="bottom"/>
            <w:vMerge w:val="restart"/>
          </w:tcPr>
          <w:p>
            <w:pPr>
              <w:spacing w:after="0"/>
              <w:rPr>
                <w:sz w:val="20"/>
                <w:szCs w:val="20"/>
                <w:color w:val="auto"/>
              </w:rPr>
            </w:pPr>
            <w:r>
              <w:rPr>
                <w:rFonts w:ascii="Arial" w:cs="Arial" w:eastAsia="Arial" w:hAnsi="Arial"/>
                <w:sz w:val="13"/>
                <w:szCs w:val="13"/>
                <w:b w:val="1"/>
                <w:bCs w:val="1"/>
                <w:color w:val="auto"/>
              </w:rPr>
              <w:t>(unaudited, dollars in millions)</w:t>
            </w:r>
          </w:p>
        </w:tc>
        <w:tc>
          <w:tcPr>
            <w:tcW w:w="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3"/>
                <w:szCs w:val="13"/>
                <w:b w:val="1"/>
                <w:bCs w:val="1"/>
                <w:color w:val="auto"/>
              </w:rPr>
              <w:t>June 30,</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3"/>
                <w:szCs w:val="13"/>
                <w:b w:val="1"/>
                <w:bCs w:val="1"/>
                <w:color w:val="auto"/>
              </w:rPr>
              <w:t>June 30,</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000" w:type="dxa"/>
            <w:vAlign w:val="bottom"/>
            <w:tcBorders>
              <w:bottom w:val="single" w:sz="8" w:color="CFF0FC"/>
            </w:tcBorders>
            <w:vMerge w:val="continue"/>
          </w:tcPr>
          <w:p>
            <w:pPr>
              <w:spacing w:after="0"/>
              <w:rPr>
                <w:sz w:val="12"/>
                <w:szCs w:val="12"/>
                <w:color w:val="auto"/>
              </w:rPr>
            </w:pPr>
          </w:p>
        </w:tc>
        <w:tc>
          <w:tcPr>
            <w:tcW w:w="7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4"/>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3"/>
              <w:spacing w:after="0" w:line="14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4"/>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23"/>
              <w:spacing w:after="0" w:line="144" w:lineRule="exact"/>
              <w:rPr>
                <w:sz w:val="20"/>
                <w:szCs w:val="20"/>
                <w:color w:val="auto"/>
              </w:rPr>
            </w:pPr>
            <w:r>
              <w:rPr>
                <w:rFonts w:ascii="Arial" w:cs="Arial" w:eastAsia="Arial" w:hAnsi="Arial"/>
                <w:sz w:val="13"/>
                <w:szCs w:val="13"/>
                <w:b w:val="1"/>
                <w:bCs w:val="1"/>
                <w:color w:val="auto"/>
                <w:w w:val="89"/>
              </w:rPr>
              <w:t>2019</w:t>
            </w:r>
          </w:p>
        </w:tc>
        <w:tc>
          <w:tcPr>
            <w:tcW w:w="0" w:type="dxa"/>
            <w:vAlign w:val="bottom"/>
          </w:tcPr>
          <w:p>
            <w:pPr>
              <w:spacing w:after="0"/>
              <w:rPr>
                <w:sz w:val="1"/>
                <w:szCs w:val="1"/>
                <w:color w:val="auto"/>
              </w:rPr>
            </w:pPr>
          </w:p>
        </w:tc>
      </w:tr>
      <w:tr>
        <w:trPr>
          <w:trHeight w:val="180"/>
        </w:trPr>
        <w:tc>
          <w:tcPr>
            <w:tcW w:w="50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 (GAAP)</w:t>
            </w: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23</w:t>
            </w:r>
          </w:p>
        </w:tc>
        <w:tc>
          <w:tcPr>
            <w:tcW w:w="380" w:type="dxa"/>
            <w:vAlign w:val="bottom"/>
            <w:gridSpan w:val="2"/>
            <w:shd w:val="clear" w:color="auto" w:fill="CFF0FC"/>
          </w:tcPr>
          <w:p>
            <w:pPr>
              <w:jc w:val="right"/>
              <w:ind w:right="107"/>
              <w:spacing w:after="0" w:line="180"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181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162</w:t>
            </w:r>
          </w:p>
        </w:tc>
        <w:tc>
          <w:tcPr>
            <w:tcW w:w="540" w:type="dxa"/>
            <w:vAlign w:val="bottom"/>
            <w:gridSpan w:val="2"/>
            <w:shd w:val="clear" w:color="auto" w:fill="CFF0FC"/>
          </w:tcPr>
          <w:p>
            <w:pPr>
              <w:jc w:val="right"/>
              <w:ind w:right="267"/>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20"/>
                <w:szCs w:val="20"/>
                <w:color w:val="auto"/>
              </w:rPr>
            </w:pPr>
            <w:r>
              <w:rPr>
                <w:rFonts w:ascii="Arial" w:cs="Arial" w:eastAsia="Arial" w:hAnsi="Arial"/>
                <w:sz w:val="16"/>
                <w:szCs w:val="16"/>
                <w:color w:val="auto"/>
              </w:rPr>
              <w:t>plus:</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33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66</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88"/>
        </w:trPr>
        <w:tc>
          <w:tcPr>
            <w:tcW w:w="5000" w:type="dxa"/>
            <w:vAlign w:val="bottom"/>
          </w:tcPr>
          <w:p>
            <w:pPr>
              <w:ind w:left="200"/>
              <w:spacing w:after="0"/>
              <w:rPr>
                <w:sz w:val="20"/>
                <w:szCs w:val="20"/>
                <w:color w:val="auto"/>
              </w:rPr>
            </w:pPr>
            <w:r>
              <w:rPr>
                <w:rFonts w:ascii="Arial" w:cs="Arial" w:eastAsia="Arial" w:hAnsi="Arial"/>
                <w:sz w:val="16"/>
                <w:szCs w:val="16"/>
                <w:color w:val="auto"/>
              </w:rPr>
              <w:t>Income tax expense</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49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24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46</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8"/>
        </w:trPr>
        <w:tc>
          <w:tcPr>
            <w:tcW w:w="500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charges (a)</w:t>
            </w:r>
          </w:p>
        </w:tc>
        <w:tc>
          <w:tcPr>
            <w:tcW w:w="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00" w:type="dxa"/>
            <w:vAlign w:val="bottom"/>
          </w:tcPr>
          <w:p>
            <w:pPr>
              <w:ind w:left="200"/>
              <w:spacing w:after="0"/>
              <w:rPr>
                <w:sz w:val="20"/>
                <w:szCs w:val="20"/>
                <w:color w:val="auto"/>
              </w:rPr>
            </w:pPr>
            <w:r>
              <w:rPr>
                <w:rFonts w:ascii="Arial" w:cs="Arial" w:eastAsia="Arial" w:hAnsi="Arial"/>
                <w:sz w:val="16"/>
                <w:szCs w:val="16"/>
                <w:color w:val="auto"/>
              </w:rPr>
              <w:t>Stock-based compensation expense (b)</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loss on foreign exchange (c)</w:t>
            </w:r>
          </w:p>
        </w:tc>
        <w:tc>
          <w:tcPr>
            <w:tcW w:w="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00" w:type="dxa"/>
            <w:vAlign w:val="bottom"/>
          </w:tcPr>
          <w:p>
            <w:pPr>
              <w:ind w:left="200"/>
              <w:spacing w:after="0"/>
              <w:rPr>
                <w:sz w:val="20"/>
                <w:szCs w:val="20"/>
                <w:color w:val="auto"/>
              </w:rPr>
            </w:pPr>
            <w:r>
              <w:rPr>
                <w:rFonts w:ascii="Arial" w:cs="Arial" w:eastAsia="Arial" w:hAnsi="Arial"/>
                <w:sz w:val="16"/>
                <w:szCs w:val="16"/>
                <w:color w:val="auto"/>
              </w:rPr>
              <w:t>Acquisition-related earnouts (d)</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Expenses related to long-term debt refinancing (e)</w:t>
            </w:r>
          </w:p>
        </w:tc>
        <w:tc>
          <w:tcPr>
            <w:tcW w:w="7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b w:val="1"/>
                <w:bCs w:val="1"/>
                <w:color w:val="auto"/>
              </w:rPr>
              <w:t>Adjusted EBITDA (Non-GAAP)</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104"/>
              <w:spacing w:after="0" w:line="180" w:lineRule="exact"/>
              <w:rPr>
                <w:sz w:val="20"/>
                <w:szCs w:val="20"/>
                <w:color w:val="auto"/>
              </w:rPr>
            </w:pPr>
            <w:r>
              <w:rPr>
                <w:rFonts w:ascii="Arial" w:cs="Arial" w:eastAsia="Arial" w:hAnsi="Arial"/>
                <w:sz w:val="16"/>
                <w:szCs w:val="16"/>
                <w:b w:val="1"/>
                <w:bCs w:val="1"/>
                <w:color w:val="auto"/>
              </w:rPr>
              <w:t>115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3"/>
              <w:spacing w:after="0" w:line="180" w:lineRule="exact"/>
              <w:rPr>
                <w:sz w:val="20"/>
                <w:szCs w:val="20"/>
                <w:color w:val="auto"/>
              </w:rPr>
            </w:pPr>
            <w:r>
              <w:rPr>
                <w:rFonts w:ascii="Arial" w:cs="Arial" w:eastAsia="Arial" w:hAnsi="Arial"/>
                <w:sz w:val="16"/>
                <w:szCs w:val="16"/>
                <w:color w:val="auto"/>
              </w:rPr>
              <w:t>308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104"/>
              <w:spacing w:after="0" w:line="180" w:lineRule="exact"/>
              <w:rPr>
                <w:sz w:val="20"/>
                <w:szCs w:val="20"/>
                <w:color w:val="auto"/>
              </w:rPr>
            </w:pPr>
            <w:r>
              <w:rPr>
                <w:rFonts w:ascii="Arial" w:cs="Arial" w:eastAsia="Arial" w:hAnsi="Arial"/>
                <w:sz w:val="16"/>
                <w:szCs w:val="16"/>
                <w:b w:val="1"/>
                <w:bCs w:val="1"/>
                <w:color w:val="auto"/>
              </w:rPr>
              <w:t>372</w:t>
            </w: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3"/>
              <w:spacing w:after="0" w:line="180" w:lineRule="exact"/>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163"/>
        </w:trPr>
        <w:tc>
          <w:tcPr>
            <w:tcW w:w="500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Net sales (GAAP)</w:t>
            </w: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63" w:lineRule="exact"/>
              <w:rPr>
                <w:sz w:val="20"/>
                <w:szCs w:val="20"/>
                <w:color w:val="auto"/>
              </w:rPr>
            </w:pPr>
            <w:r>
              <w:rPr>
                <w:rFonts w:ascii="Arial" w:cs="Arial" w:eastAsia="Arial" w:hAnsi="Arial"/>
                <w:sz w:val="16"/>
                <w:szCs w:val="16"/>
                <w:b w:val="1"/>
                <w:bCs w:val="1"/>
                <w:color w:val="auto"/>
              </w:rPr>
              <w:t>377</w:t>
            </w:r>
          </w:p>
        </w:tc>
        <w:tc>
          <w:tcPr>
            <w:tcW w:w="380" w:type="dxa"/>
            <w:vAlign w:val="bottom"/>
            <w:gridSpan w:val="2"/>
            <w:shd w:val="clear" w:color="auto" w:fill="CFF0FC"/>
          </w:tcPr>
          <w:p>
            <w:pPr>
              <w:jc w:val="right"/>
              <w:ind w:right="107"/>
              <w:spacing w:after="0" w:line="16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03"/>
              <w:spacing w:after="0" w:line="163" w:lineRule="exact"/>
              <w:rPr>
                <w:sz w:val="20"/>
                <w:szCs w:val="20"/>
                <w:color w:val="auto"/>
              </w:rPr>
            </w:pPr>
            <w:r>
              <w:rPr>
                <w:rFonts w:ascii="Arial" w:cs="Arial" w:eastAsia="Arial" w:hAnsi="Arial"/>
                <w:sz w:val="16"/>
                <w:szCs w:val="16"/>
                <w:color w:val="auto"/>
              </w:rPr>
              <w:t>737</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63" w:lineRule="exact"/>
              <w:rPr>
                <w:sz w:val="20"/>
                <w:szCs w:val="20"/>
                <w:color w:val="auto"/>
              </w:rPr>
            </w:pPr>
            <w:r>
              <w:rPr>
                <w:rFonts w:ascii="Arial" w:cs="Arial" w:eastAsia="Arial" w:hAnsi="Arial"/>
                <w:sz w:val="16"/>
                <w:szCs w:val="16"/>
                <w:b w:val="1"/>
                <w:bCs w:val="1"/>
                <w:color w:val="auto"/>
              </w:rPr>
              <w:t>1,014</w:t>
            </w:r>
          </w:p>
        </w:tc>
        <w:tc>
          <w:tcPr>
            <w:tcW w:w="540" w:type="dxa"/>
            <w:vAlign w:val="bottom"/>
            <w:gridSpan w:val="2"/>
            <w:shd w:val="clear" w:color="auto" w:fill="CFF0FC"/>
          </w:tcPr>
          <w:p>
            <w:pPr>
              <w:jc w:val="right"/>
              <w:ind w:right="267"/>
              <w:spacing w:after="0" w:line="16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03"/>
              <w:spacing w:after="0" w:line="163" w:lineRule="exact"/>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20"/>
                <w:szCs w:val="20"/>
                <w:color w:val="auto"/>
              </w:rPr>
            </w:pPr>
            <w:r>
              <w:rPr>
                <w:rFonts w:ascii="Arial" w:cs="Arial" w:eastAsia="Arial" w:hAnsi="Arial"/>
                <w:sz w:val="16"/>
                <w:szCs w:val="16"/>
                <w:b w:val="1"/>
                <w:bCs w:val="1"/>
                <w:color w:val="auto"/>
              </w:rPr>
              <w:t>Net income as a percent of net sales (GAAP)</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Adjusted EBITDA as a percent of net sales (Non-GAAP)</w:t>
            </w:r>
          </w:p>
        </w:tc>
        <w:tc>
          <w:tcPr>
            <w:tcW w:w="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36.7%</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96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92</w:t>
            </w:r>
          </w:p>
        </w:tc>
        <w:tc>
          <w:tcPr>
            <w:tcW w:w="38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240</w:t>
            </w:r>
          </w:p>
        </w:tc>
        <w:tc>
          <w:tcPr>
            <w:tcW w:w="540" w:type="dxa"/>
            <w:vAlign w:val="bottom"/>
            <w:gridSpan w:val="2"/>
          </w:tcPr>
          <w:p>
            <w:pPr>
              <w:jc w:val="right"/>
              <w:ind w:right="267"/>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(Deductions) or additions to reconcile to Adjusted free cash flow:</w:t>
            </w:r>
          </w:p>
        </w:tc>
        <w:tc>
          <w:tcPr>
            <w:tcW w:w="7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00" w:type="dxa"/>
            <w:vAlign w:val="bottom"/>
          </w:tcPr>
          <w:p>
            <w:pPr>
              <w:spacing w:after="0"/>
              <w:rPr>
                <w:sz w:val="20"/>
                <w:szCs w:val="20"/>
                <w:color w:val="auto"/>
              </w:rPr>
            </w:pPr>
            <w:r>
              <w:rPr>
                <w:rFonts w:ascii="Arial" w:cs="Arial" w:eastAsia="Arial" w:hAnsi="Arial"/>
                <w:sz w:val="16"/>
                <w:szCs w:val="16"/>
                <w:color w:val="auto"/>
              </w:rPr>
              <w:t>Additions of long-lived assets</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(49)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8"/>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Restructuring charges (a)</w:t>
            </w:r>
          </w:p>
        </w:tc>
        <w:tc>
          <w:tcPr>
            <w:tcW w:w="7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5000" w:type="dxa"/>
            <w:vAlign w:val="bottom"/>
          </w:tcPr>
          <w:p>
            <w:pPr>
              <w:spacing w:after="0" w:line="180" w:lineRule="exact"/>
              <w:rPr>
                <w:sz w:val="20"/>
                <w:szCs w:val="20"/>
                <w:color w:val="auto"/>
              </w:rPr>
            </w:pPr>
            <w:r>
              <w:rPr>
                <w:rFonts w:ascii="Arial" w:cs="Arial" w:eastAsia="Arial" w:hAnsi="Arial"/>
                <w:sz w:val="16"/>
                <w:szCs w:val="16"/>
                <w:b w:val="1"/>
                <w:bCs w:val="1"/>
                <w:color w:val="auto"/>
              </w:rPr>
              <w:t>Adjusted free cash flow (Non-GAAP)</w:t>
            </w:r>
          </w:p>
        </w:tc>
        <w:tc>
          <w:tcPr>
            <w:tcW w:w="70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104"/>
              <w:spacing w:after="0" w:line="180" w:lineRule="exact"/>
              <w:rPr>
                <w:sz w:val="20"/>
                <w:szCs w:val="20"/>
                <w:color w:val="auto"/>
              </w:rPr>
            </w:pPr>
            <w:r>
              <w:rPr>
                <w:rFonts w:ascii="Arial" w:cs="Arial" w:eastAsia="Arial" w:hAnsi="Arial"/>
                <w:sz w:val="16"/>
                <w:szCs w:val="16"/>
                <w:b w:val="1"/>
                <w:bCs w:val="1"/>
                <w:color w:val="auto"/>
              </w:rPr>
              <w:t>67</w:t>
            </w:r>
          </w:p>
        </w:tc>
        <w:tc>
          <w:tcPr>
            <w:tcW w:w="380" w:type="dxa"/>
            <w:vAlign w:val="bottom"/>
            <w:gridSpan w:val="2"/>
          </w:tcPr>
          <w:p>
            <w:pPr>
              <w:jc w:val="right"/>
              <w:ind w:right="107"/>
              <w:spacing w:after="0" w:line="180"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103"/>
              <w:spacing w:after="0" w:line="180" w:lineRule="exact"/>
              <w:rPr>
                <w:sz w:val="20"/>
                <w:szCs w:val="20"/>
                <w:color w:val="auto"/>
              </w:rPr>
            </w:pPr>
            <w:r>
              <w:rPr>
                <w:rFonts w:ascii="Arial" w:cs="Arial" w:eastAsia="Arial" w:hAnsi="Arial"/>
                <w:sz w:val="16"/>
                <w:szCs w:val="16"/>
                <w:color w:val="auto"/>
              </w:rPr>
              <w:t>214</w:t>
            </w:r>
          </w:p>
        </w:tc>
        <w:tc>
          <w:tcPr>
            <w:tcW w:w="12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104"/>
              <w:spacing w:after="0" w:line="180" w:lineRule="exact"/>
              <w:rPr>
                <w:sz w:val="20"/>
                <w:szCs w:val="20"/>
                <w:color w:val="auto"/>
              </w:rPr>
            </w:pPr>
            <w:r>
              <w:rPr>
                <w:rFonts w:ascii="Arial" w:cs="Arial" w:eastAsia="Arial" w:hAnsi="Arial"/>
                <w:sz w:val="16"/>
                <w:szCs w:val="16"/>
                <w:b w:val="1"/>
                <w:bCs w:val="1"/>
                <w:color w:val="auto"/>
              </w:rPr>
              <w:t>194</w:t>
            </w:r>
          </w:p>
        </w:tc>
        <w:tc>
          <w:tcPr>
            <w:tcW w:w="540" w:type="dxa"/>
            <w:vAlign w:val="bottom"/>
            <w:gridSpan w:val="2"/>
          </w:tcPr>
          <w:p>
            <w:pPr>
              <w:jc w:val="right"/>
              <w:ind w:right="267"/>
              <w:spacing w:after="0" w:line="180"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03"/>
              <w:spacing w:after="0" w:line="180" w:lineRule="exact"/>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00" w:type="dxa"/>
            <w:vAlign w:val="bottom"/>
          </w:tcPr>
          <w:p>
            <w:pPr>
              <w:spacing w:after="0"/>
              <w:rPr>
                <w:sz w:val="24"/>
                <w:szCs w:val="24"/>
                <w:color w:val="auto"/>
              </w:rPr>
            </w:pPr>
          </w:p>
        </w:tc>
        <w:tc>
          <w:tcPr>
            <w:tcW w:w="960" w:type="dxa"/>
            <w:vAlign w:val="bottom"/>
            <w:gridSpan w:val="2"/>
          </w:tcPr>
          <w:p>
            <w:pPr>
              <w:jc w:val="right"/>
              <w:ind w:right="167"/>
              <w:spacing w:after="0"/>
              <w:rPr>
                <w:sz w:val="20"/>
                <w:szCs w:val="20"/>
                <w:color w:val="auto"/>
              </w:rPr>
            </w:pPr>
            <w:r>
              <w:rPr>
                <w:rFonts w:ascii="Arial" w:cs="Arial" w:eastAsia="Arial" w:hAnsi="Arial"/>
                <w:sz w:val="16"/>
                <w:szCs w:val="16"/>
                <w:color w:val="auto"/>
              </w:rPr>
              <w:t>29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left="66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restructuring charges (recorded in Cost of sales, Selling, general and administrative, and Engineering - research and development) related to voluntary and involuntary separation programs for both hourly and salaried employees in the second quarter of 2020.</w:t>
      </w:r>
    </w:p>
    <w:p>
      <w:pPr>
        <w:spacing w:after="0" w:line="1" w:lineRule="exact"/>
        <w:rPr>
          <w:rFonts w:ascii="Arial" w:cs="Arial" w:eastAsia="Arial" w:hAnsi="Arial"/>
          <w:sz w:val="16"/>
          <w:szCs w:val="16"/>
          <w:color w:val="auto"/>
        </w:rPr>
      </w:pPr>
    </w:p>
    <w:p>
      <w:pPr>
        <w:ind w:left="660" w:right="66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6"/>
          <w:szCs w:val="16"/>
          <w:color w:val="auto"/>
        </w:rPr>
      </w:pPr>
    </w:p>
    <w:p>
      <w:pPr>
        <w:ind w:left="66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losses (recorded in Other income, net) on intercompany financing transactions related to investments in plant assets for our India facility.</w:t>
      </w:r>
    </w:p>
    <w:p>
      <w:pPr>
        <w:ind w:left="660" w:right="66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expenses (recorded in Selling, general and administrative and Engineering – research and development) for earnouts related to our acquisition of Vantage Power Limited.</w:t>
      </w:r>
    </w:p>
    <w:p>
      <w:pPr>
        <w:spacing w:after="0" w:line="1" w:lineRule="exact"/>
        <w:rPr>
          <w:rFonts w:ascii="Arial" w:cs="Arial" w:eastAsia="Arial" w:hAnsi="Arial"/>
          <w:sz w:val="16"/>
          <w:szCs w:val="16"/>
          <w:color w:val="auto"/>
        </w:rPr>
      </w:pPr>
    </w:p>
    <w:p>
      <w:pPr>
        <w:ind w:left="660" w:right="360" w:hanging="396"/>
        <w:spacing w:after="0" w:line="23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expenses (recorded in Other income, net) related to the refinancing of the prior term loan due 2022 and prior revolving credit facility due 2021 in the first quarter of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three months ended June 30, 2020 and 2019</w:t>
      </w:r>
    </w:p>
    <w:p>
      <w:pPr>
        <w:spacing w:after="0" w:line="104" w:lineRule="exact"/>
        <w:rPr>
          <w:sz w:val="20"/>
          <w:szCs w:val="20"/>
          <w:color w:val="auto"/>
        </w:rPr>
      </w:pPr>
    </w:p>
    <w:p>
      <w:pPr>
        <w:ind w:right="180" w:firstLine="528"/>
        <w:spacing w:after="0" w:line="234" w:lineRule="auto"/>
        <w:rPr>
          <w:sz w:val="20"/>
          <w:szCs w:val="20"/>
          <w:color w:val="auto"/>
        </w:rPr>
      </w:pPr>
      <w:r>
        <w:rPr>
          <w:rFonts w:ascii="Arial" w:cs="Arial" w:eastAsia="Arial" w:hAnsi="Arial"/>
          <w:sz w:val="16"/>
          <w:szCs w:val="16"/>
          <w:color w:val="auto"/>
        </w:rPr>
        <w:t>The recent outbreak of COVID-19 had a material adverse effect on our results of operations for the second quarter 2020. We continue to actively monitor the impact of the global pandemic, which we expect to materially adversely impact our business and results of operations for the third quarter 2020 and likely beyond. See “Trends Impacting our Business” above for additional information on the impact of COVID-19 on our results of operations.</w:t>
      </w:r>
    </w:p>
    <w:p>
      <w:pPr>
        <w:spacing w:after="0" w:line="84" w:lineRule="exact"/>
        <w:rPr>
          <w:sz w:val="20"/>
          <w:szCs w:val="20"/>
          <w:color w:val="auto"/>
        </w:rPr>
      </w:pPr>
    </w:p>
    <w:p>
      <w:pPr>
        <w:ind w:right="160" w:firstLine="528"/>
        <w:spacing w:after="0" w:line="234" w:lineRule="auto"/>
        <w:rPr>
          <w:sz w:val="20"/>
          <w:szCs w:val="20"/>
          <w:color w:val="auto"/>
        </w:rPr>
      </w:pPr>
      <w:r>
        <w:rPr>
          <w:rFonts w:ascii="Arial" w:cs="Arial" w:eastAsia="Arial" w:hAnsi="Arial"/>
          <w:sz w:val="16"/>
          <w:szCs w:val="16"/>
          <w:color w:val="auto"/>
        </w:rPr>
        <w:t>The following table sets forth certain financial information for the three months ended June 30, 2020 and 2019. The following table and discussion should be read in conjunction with the information contained in our condensed consolidated financial statements and the notes thereto included in Part I, Item 1 of this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Three Months Ended June 30,</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377</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737</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212</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47</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165</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389</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53</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69</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13</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107</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29</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130</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18</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58</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259</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35</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(4)</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net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229</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31</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181</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25%</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60" w:firstLine="528"/>
        <w:spacing w:after="0" w:line="231" w:lineRule="auto"/>
        <w:rPr>
          <w:sz w:val="20"/>
          <w:szCs w:val="20"/>
          <w:color w:val="auto"/>
        </w:rPr>
      </w:pPr>
      <w:r>
        <w:rPr>
          <w:rFonts w:ascii="Arial" w:cs="Arial" w:eastAsia="Arial" w:hAnsi="Arial"/>
          <w:sz w:val="16"/>
          <w:szCs w:val="16"/>
          <w:color w:val="auto"/>
        </w:rPr>
        <w:t>Net sales for the quarter ended June 30, 2020 were $377 million compared to $737 million for the quarter ended June 30, 2019, a decrease of 49%. The decrease was principally driven by a $234 million, or 59%, decrease in net sales in the North America On-Highway end market principally driven by lower demand for Rugged Duty Series and Highway Series models primarily due to the effects of the COVID-19 pandemic, a $58 million, or 39%, decrease in net sales in the Service Parts, Support Equipment and Other end market principally driven by lower demand for North America service parts and support equipment primarily due to the effects of the COVID-19 pandemic partially offset by aluminum die cast component volume associated with the acquisition of Walker Die Casting, a $46 million, or 43%, decrease in net sales in the Outside North America On-Highway end market principally driven by lower demand due to the effects of the COVID-19 pandemic, a $21 million, or 53%, decrease in net sales in the Outside North America Off-Highway end market principally driven by lower demand in the energy, mining and construction sectors and a $6 million, or 67%, decrease in net sales in the North America Off-Highway end market principally driven by lower demand for hydraulic fracturing applications, partially offset by a $5 million, or 14%, increase in net sales in the Defense end market principally driven by Tracked vehicle demand.</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20" w:firstLine="528"/>
        <w:spacing w:after="0" w:line="234" w:lineRule="auto"/>
        <w:rPr>
          <w:sz w:val="20"/>
          <w:szCs w:val="20"/>
          <w:color w:val="auto"/>
        </w:rPr>
      </w:pPr>
      <w:r>
        <w:rPr>
          <w:rFonts w:ascii="Arial" w:cs="Arial" w:eastAsia="Arial" w:hAnsi="Arial"/>
          <w:sz w:val="16"/>
          <w:szCs w:val="16"/>
          <w:color w:val="auto"/>
        </w:rPr>
        <w:t>Cost of sales for the quarter ended June 30, 2020 was $212 million compared to $348 million for the quarter ended June 30, 2019, a decrease of 39%. The decrease was principally driven by decreased direct material and manufacturing expense commensurate with decreased net sales, lower incentive compensation expense and favorable material costs, partially offset by restructuring charges.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ind w:right="40" w:firstLine="528"/>
        <w:spacing w:after="0" w:line="232" w:lineRule="auto"/>
        <w:rPr>
          <w:sz w:val="20"/>
          <w:szCs w:val="20"/>
          <w:color w:val="auto"/>
        </w:rPr>
      </w:pPr>
      <w:r>
        <w:rPr>
          <w:rFonts w:ascii="Arial" w:cs="Arial" w:eastAsia="Arial" w:hAnsi="Arial"/>
          <w:sz w:val="16"/>
          <w:szCs w:val="16"/>
          <w:color w:val="auto"/>
        </w:rPr>
        <w:t>Gross profit for the quarter ended June 30, 2020 was $165 million compared to $389 million for the quarter ended June 30, 2019, a decrease of 58%. The decrease was principally driven by $247 million related to decreased net sales and $5 million of restructuring charges, partially offset by lower manufacturing expense commensurate with decreased net sales, $8 million of lower incentive compensation expense, $ 3 million of price increases on certain products and $2 million of favorable material costs. Gross profit as a percent of net sales for the three months ended June 30, 2020 decreased 900 basis points compared to the same period in 2019 principally driven by lower net sales and restructuring charges, partially offset by lower incentive compensation expense, price increases on certain products and favorable material costs.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jc w:val="both"/>
        <w:ind w:firstLine="528"/>
        <w:spacing w:after="0" w:line="233" w:lineRule="auto"/>
        <w:rPr>
          <w:sz w:val="20"/>
          <w:szCs w:val="20"/>
          <w:color w:val="auto"/>
        </w:rPr>
      </w:pPr>
      <w:r>
        <w:rPr>
          <w:rFonts w:ascii="Arial" w:cs="Arial" w:eastAsia="Arial" w:hAnsi="Arial"/>
          <w:sz w:val="16"/>
          <w:szCs w:val="16"/>
          <w:color w:val="auto"/>
        </w:rPr>
        <w:t>Selling, general and administrative expenses for the quarter ended June 30, 2020 were $69 million compared to $93 million for the quarter ended June 30, 2019, a decrease of 26%. The decrease was principally driven by $11 million of lower commercial activities spending, $10 million of lower incentive compensation expense, $8 million of lower intangible amortization expense and $3 million of lower stock compensation expense, partially offset by product warranty adjustments and $3 million of restructuring charges.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100" w:firstLine="528"/>
        <w:spacing w:after="0" w:line="266" w:lineRule="auto"/>
        <w:rPr>
          <w:sz w:val="20"/>
          <w:szCs w:val="20"/>
          <w:color w:val="auto"/>
        </w:rPr>
      </w:pPr>
      <w:r>
        <w:rPr>
          <w:rFonts w:ascii="Arial" w:cs="Arial" w:eastAsia="Arial" w:hAnsi="Arial"/>
          <w:sz w:val="15"/>
          <w:szCs w:val="15"/>
          <w:color w:val="auto"/>
        </w:rPr>
        <w:t>Engineering expenses for the quarter ended June 30, 2020 were $38 million compared to $ 37 million for the quarter ended June 30, 2019, an increase of 3%. The increase was principally driven by $4 million of restructuring charges, partially offset by $3 million of lower incentive compensation expense.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ind w:right="20" w:firstLine="528"/>
        <w:spacing w:after="0" w:line="233" w:lineRule="auto"/>
        <w:rPr>
          <w:sz w:val="20"/>
          <w:szCs w:val="20"/>
          <w:color w:val="auto"/>
        </w:rPr>
      </w:pPr>
      <w:r>
        <w:rPr>
          <w:rFonts w:ascii="Arial" w:cs="Arial" w:eastAsia="Arial" w:hAnsi="Arial"/>
          <w:sz w:val="16"/>
          <w:szCs w:val="16"/>
          <w:color w:val="auto"/>
        </w:rPr>
        <w:t>Interest expense, net for each of the quarters ended June 30, 2020 and June 30, 2019 was $33 million. Interest expense, net was principally driven by approximately $4 million of lower interest expense on ATI’s New Term Loan due to lower variable interest rates, offset by $2 million of increased interest expense on interest rate hedges that became effective in the third quarter of 2019 and $2 million of interest expense on ATI’s new revolving credit facility with commitments in the amount of $600 million due September 2024 (“New Revolving Credit Facility”).</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04" w:lineRule="exact"/>
        <w:rPr>
          <w:sz w:val="20"/>
          <w:szCs w:val="20"/>
          <w:color w:val="auto"/>
        </w:rPr>
      </w:pPr>
    </w:p>
    <w:p>
      <w:pPr>
        <w:ind w:right="480" w:firstLine="528"/>
        <w:spacing w:after="0" w:line="237" w:lineRule="auto"/>
        <w:rPr>
          <w:sz w:val="20"/>
          <w:szCs w:val="20"/>
          <w:color w:val="auto"/>
        </w:rPr>
      </w:pPr>
      <w:r>
        <w:rPr>
          <w:rFonts w:ascii="Arial" w:cs="Arial" w:eastAsia="Arial" w:hAnsi="Arial"/>
          <w:sz w:val="16"/>
          <w:szCs w:val="16"/>
          <w:color w:val="auto"/>
        </w:rPr>
        <w:t>Other income, net for the quarter ended June 30, 2020 was $5 million compared to $3 million for the quarter ended June 30, 2019. The change was principally driven by $2 million of favorable change associated with assets held in a rabbi trust.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jc w:val="both"/>
        <w:ind w:firstLine="528"/>
        <w:spacing w:after="0" w:line="234" w:lineRule="auto"/>
        <w:rPr>
          <w:sz w:val="20"/>
          <w:szCs w:val="20"/>
          <w:color w:val="auto"/>
        </w:rPr>
      </w:pPr>
      <w:r>
        <w:rPr>
          <w:rFonts w:ascii="Arial" w:cs="Arial" w:eastAsia="Arial" w:hAnsi="Arial"/>
          <w:sz w:val="16"/>
          <w:szCs w:val="16"/>
          <w:color w:val="auto"/>
        </w:rPr>
        <w:t>Income tax expense for the three months ended June 30, 2020 was $7 million, resulting in an effective tax rate of 23%, compared to $ 48 million of income tax expense and an effective tax rate of 21% for the three months ended June 30, 2019. The decrease in income tax expense was principally driven by decreased taxable income. The change in the effective tax rate was principally driven by decreased estimated U.S. federal income tax deductions.</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six months ended June 30, 2020 and 2019</w:t>
      </w:r>
    </w:p>
    <w:p>
      <w:pPr>
        <w:spacing w:after="0" w:line="104" w:lineRule="exact"/>
        <w:rPr>
          <w:sz w:val="20"/>
          <w:szCs w:val="20"/>
          <w:color w:val="auto"/>
        </w:rPr>
      </w:pPr>
    </w:p>
    <w:p>
      <w:pPr>
        <w:jc w:val="both"/>
        <w:ind w:right="400" w:firstLine="528"/>
        <w:spacing w:after="0" w:line="255" w:lineRule="auto"/>
        <w:rPr>
          <w:sz w:val="20"/>
          <w:szCs w:val="20"/>
          <w:color w:val="auto"/>
        </w:rPr>
      </w:pPr>
      <w:r>
        <w:rPr>
          <w:rFonts w:ascii="Arial" w:cs="Arial" w:eastAsia="Arial" w:hAnsi="Arial"/>
          <w:sz w:val="15"/>
          <w:szCs w:val="15"/>
          <w:color w:val="auto"/>
        </w:rPr>
        <w:t>The recent outbreak of COVID-19 had a material adverse effect on our results of operations for the six months ended June 30, 2020. We continue to actively monitor the impact of the global pandemic, which we expect to materially adversely impact our business and results of operations for the third quarter 2020 and likely beyond. See “Trends Impacting our Business” above for additional information on the impact of COVID-19 on our results of operations.</w:t>
      </w:r>
    </w:p>
    <w:p>
      <w:pPr>
        <w:spacing w:after="0" w:line="73" w:lineRule="exact"/>
        <w:rPr>
          <w:sz w:val="20"/>
          <w:szCs w:val="20"/>
          <w:color w:val="auto"/>
        </w:rPr>
      </w:pPr>
    </w:p>
    <w:p>
      <w:pPr>
        <w:ind w:right="120" w:firstLine="528"/>
        <w:spacing w:after="0" w:line="234" w:lineRule="auto"/>
        <w:rPr>
          <w:sz w:val="20"/>
          <w:szCs w:val="20"/>
          <w:color w:val="auto"/>
        </w:rPr>
      </w:pPr>
      <w:r>
        <w:rPr>
          <w:rFonts w:ascii="Arial" w:cs="Arial" w:eastAsia="Arial" w:hAnsi="Arial"/>
          <w:sz w:val="16"/>
          <w:szCs w:val="16"/>
          <w:color w:val="auto"/>
        </w:rPr>
        <w:t>The following table sets forth certain financial information for the six months ended June 30, 2020 and 2019. The following table and discussion should be read in conjunction with the information contained in our condensed consolidated financial statements and the notes thereto included in Part I, Item 1 of this Quarterly Report on Form 10-Q.</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3"/>
                <w:szCs w:val="13"/>
                <w:b w:val="1"/>
                <w:bCs w:val="1"/>
                <w:color w:val="auto"/>
              </w:rPr>
              <w:t>Six Months Ended June 30,</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1,014</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1,412</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523</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52</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47</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491</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748</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53</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144</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13</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218</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21</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245</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17</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273</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503</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36</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Other income, net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1300" w:type="dxa"/>
            <w:vAlign w:val="bottom"/>
          </w:tcPr>
          <w:p>
            <w:pPr>
              <w:jc w:val="right"/>
              <w:ind w:right="104"/>
              <w:spacing w:after="0"/>
              <w:rPr>
                <w:sz w:val="20"/>
                <w:szCs w:val="20"/>
                <w:color w:val="auto"/>
              </w:rPr>
            </w:pPr>
            <w:r>
              <w:rPr>
                <w:rFonts w:ascii="Arial" w:cs="Arial" w:eastAsia="Arial" w:hAnsi="Arial"/>
                <w:sz w:val="16"/>
                <w:szCs w:val="16"/>
                <w:color w:val="auto"/>
              </w:rPr>
              <w:t>0</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211</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21</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440</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31</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162</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16%</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348</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25%</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40" w:firstLine="528"/>
        <w:spacing w:after="0" w:line="231" w:lineRule="auto"/>
        <w:rPr>
          <w:sz w:val="20"/>
          <w:szCs w:val="20"/>
          <w:color w:val="auto"/>
        </w:rPr>
      </w:pPr>
      <w:r>
        <w:rPr>
          <w:rFonts w:ascii="Arial" w:cs="Arial" w:eastAsia="Arial" w:hAnsi="Arial"/>
          <w:sz w:val="16"/>
          <w:szCs w:val="16"/>
          <w:color w:val="auto"/>
        </w:rPr>
        <w:t>Net sales for the six months ended June 30, 2020 were $1,014 million compared to $ 1,412 million for the six months ended June 30, 2019, a decrease of 28%. The decrease was principally driven by a $259 million, or 33%, decrease in net sales in the North America On-Highway end market principally driven by lower demand for Rugged Duty Series and Highway Series models primarily due to the effects of the COVID-19 pandemic, a $68 million, or 34%, decrease in net sales in the Outside North America On-Highway end market principally driven by lower demand due to the effects of the COVID-19 pandemic, a $ 51 million, or 18%, decrease in net sales in the Service Parts, Support Equipment and Other end market principally driven by lower demand due to the effect of the COVID-19 pandemic and lower demand for off-highway service parts partially offset by aluminum die cast component volume associated with the acquisition of Walker Die Casting, a $21 million, or 31%, decrease in net sales in the Outside North America Off-Highway end market principally driven by lower demand in the energy, mining and construction sectors and a $12 million, or 52%, decrease in net sales in the North America Off-Highway end market principally driven by lower demand for hydraulic fracturing applications, partially offset by a $13 million, or 19%, increase in net sales in the Defense end market principally driven by Tracked vehicle demand.</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220" w:firstLine="528"/>
        <w:spacing w:after="0" w:line="234" w:lineRule="auto"/>
        <w:rPr>
          <w:sz w:val="20"/>
          <w:szCs w:val="20"/>
          <w:color w:val="auto"/>
        </w:rPr>
      </w:pPr>
      <w:r>
        <w:rPr>
          <w:rFonts w:ascii="Arial" w:cs="Arial" w:eastAsia="Arial" w:hAnsi="Arial"/>
          <w:sz w:val="16"/>
          <w:szCs w:val="16"/>
          <w:color w:val="auto"/>
        </w:rPr>
        <w:t>Cost of sales for the six months ended June 30, 2020 was $523 million compared to $664 million for the six months ended June 30, 2019, a decrease of 21%. The decrease was principally driven by decreased direct material and manufacturing expenses commensurate with decreased net sales, lower incentive compensation expense and favorable material costs, partially offset by restructuring charges.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ind w:right="200" w:firstLine="528"/>
        <w:spacing w:after="0" w:line="232" w:lineRule="auto"/>
        <w:rPr>
          <w:sz w:val="20"/>
          <w:szCs w:val="20"/>
          <w:color w:val="auto"/>
        </w:rPr>
      </w:pPr>
      <w:r>
        <w:rPr>
          <w:rFonts w:ascii="Arial" w:cs="Arial" w:eastAsia="Arial" w:hAnsi="Arial"/>
          <w:sz w:val="16"/>
          <w:szCs w:val="16"/>
          <w:color w:val="auto"/>
        </w:rPr>
        <w:t>Gross profit for the six months ended June 30, 2020 was $491 million compared to $748 million for the six months ended June 30, 2019, a decrease of 34%. The decrease was principally driven by $285 million related to decreased net sales and $5 million of restructuring charges, partially offset by $12 million of lower incentive compensation expense, lower manufacturing expense commensurate with decreased net sales and $8 million of favorable material costs. Gross profit as a percent of net sales for the six months ended June 30, 2020 decreased 460 basis points compared to the same period in 2019 principally driven by lower net sales and restructuring charges, partially offset by lower incentive compensation expense, favorable material costs and price increases on certain products.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firstLine="528"/>
        <w:spacing w:after="0" w:line="233" w:lineRule="auto"/>
        <w:rPr>
          <w:sz w:val="20"/>
          <w:szCs w:val="20"/>
          <w:color w:val="auto"/>
        </w:rPr>
      </w:pPr>
      <w:r>
        <w:rPr>
          <w:rFonts w:ascii="Arial" w:cs="Arial" w:eastAsia="Arial" w:hAnsi="Arial"/>
          <w:sz w:val="16"/>
          <w:szCs w:val="16"/>
          <w:color w:val="auto"/>
        </w:rPr>
        <w:t>Selling, general and administrative expenses for the six months ended June 30, 2020 were $144 million compared to $177 million for the six months ended June 30, 2019, a decrease of 19%. The decrease was principally driven by $18 million of lower incentive compensation expense, $14 million of lower intangible amortization expense, decreased commercial activities spending and $3 million of lower stock compensation expense, partially offset by product warranty adjustments and $3 million of restructuring charges.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firstLine="528"/>
        <w:spacing w:after="0" w:line="234" w:lineRule="auto"/>
        <w:rPr>
          <w:sz w:val="20"/>
          <w:szCs w:val="20"/>
          <w:color w:val="auto"/>
        </w:rPr>
      </w:pPr>
      <w:r>
        <w:rPr>
          <w:rFonts w:ascii="Arial" w:cs="Arial" w:eastAsia="Arial" w:hAnsi="Arial"/>
          <w:sz w:val="16"/>
          <w:szCs w:val="16"/>
          <w:color w:val="auto"/>
        </w:rPr>
        <w:t>Engineering expenses for the six months ended June 30, 2020 were $74 million compared to $68 million for the six months ended June 30, 2019, an increase of 9%. The increase was principally driven by the timing of product initiatives spending and $4 million of restructuring charges, partially offset by $6 million of lower incentive compensation expense.</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ind w:firstLine="528"/>
        <w:spacing w:after="0" w:line="252" w:lineRule="auto"/>
        <w:rPr>
          <w:sz w:val="20"/>
          <w:szCs w:val="20"/>
          <w:color w:val="auto"/>
        </w:rPr>
      </w:pPr>
      <w:r>
        <w:rPr>
          <w:rFonts w:ascii="Arial" w:cs="Arial" w:eastAsia="Arial" w:hAnsi="Arial"/>
          <w:sz w:val="15"/>
          <w:szCs w:val="15"/>
          <w:color w:val="auto"/>
        </w:rPr>
        <w:t>Interest expense, net for the six months ended June 30, 2020 was $66 million compared to $ 69 million for the six months ended June 30, 2019, a decrease of 4%. The decrease was principally driven by approximately $6 million of lower interest expense on ATI’s New Term Loan due to lower variable interest rates and $5 million of expenses related to the long-term debt refinancing in 2019 that did not recur in 2020, partially offset by $4 million of increased interest expense on interest rate hedges that became effective in the third quarter of 2019 and $2 million of interest expense on ATI’s New Revolving Credit Facility.</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04"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Other income, net for the six months ended June 30, 2020 was $4 million compared to $6 million for the six months ended June 30, 2019. The change was principally driven by $3 million of unfavorable foreign exchange rate changes on intercompany financing.</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jc w:val="both"/>
        <w:ind w:right="160" w:firstLine="528"/>
        <w:spacing w:after="0" w:line="234" w:lineRule="auto"/>
        <w:rPr>
          <w:sz w:val="20"/>
          <w:szCs w:val="20"/>
          <w:color w:val="auto"/>
        </w:rPr>
      </w:pPr>
      <w:r>
        <w:rPr>
          <w:rFonts w:ascii="Arial" w:cs="Arial" w:eastAsia="Arial" w:hAnsi="Arial"/>
          <w:sz w:val="16"/>
          <w:szCs w:val="16"/>
          <w:color w:val="auto"/>
        </w:rPr>
        <w:t>Income tax expense for the six months ended June 30, 2020 was $49 million, resulting in an effective tax rate of 23%, compared to $92 million of income tax expense and an effective tax rate of 21% for the six months ended June 30, 2019. The decrease in income tax expense was principally driven by decreased taxable income. The change in the effective tax rate was principally driven by decreased estimated U.S. federal income tax deductions.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0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acquisitions. Our ability to generate cash in the future and our future uses of cash are subject to general economic, financial, competitive, legislative, regulatory and other factors that may be beyond our control, including the impact to our cash flow that has been experienced due to lower net sales, and is expected to continue to be experienced, related to COVID-19. We had total available cash and cash equivalents of $434 million and $192 million as of June 30, 2020 and December 31, 2019, respectively. Of the available cash and cash equivalents, $189 million and $122 million were deposited in operating accounts as of June 30, 2020 and December 31, 2019, respectively, while $245 million and $70 million were invested in U.S. government backed securities as of June 30, 2020 and December 31, 2019, respectively.</w:t>
      </w:r>
    </w:p>
    <w:p>
      <w:pPr>
        <w:spacing w:after="0" w:line="86" w:lineRule="exact"/>
        <w:rPr>
          <w:sz w:val="20"/>
          <w:szCs w:val="20"/>
          <w:color w:val="auto"/>
        </w:rPr>
      </w:pPr>
    </w:p>
    <w:p>
      <w:pPr>
        <w:jc w:val="both"/>
        <w:ind w:right="220" w:firstLine="528"/>
        <w:spacing w:after="0" w:line="233" w:lineRule="auto"/>
        <w:rPr>
          <w:sz w:val="20"/>
          <w:szCs w:val="20"/>
          <w:color w:val="auto"/>
        </w:rPr>
      </w:pPr>
      <w:r>
        <w:rPr>
          <w:rFonts w:ascii="Arial" w:cs="Arial" w:eastAsia="Arial" w:hAnsi="Arial"/>
          <w:sz w:val="16"/>
          <w:szCs w:val="16"/>
          <w:color w:val="auto"/>
        </w:rPr>
        <w:t>As of June 30, 2020, the total of cash and cash equivalents held by foreign subsidiaries was $64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initiatives or operating needs with local resources.</w:t>
      </w:r>
    </w:p>
    <w:p>
      <w:pPr>
        <w:spacing w:after="0" w:line="131" w:lineRule="exact"/>
        <w:rPr>
          <w:sz w:val="20"/>
          <w:szCs w:val="20"/>
          <w:color w:val="auto"/>
        </w:rPr>
      </w:pPr>
    </w:p>
    <w:p>
      <w:pPr>
        <w:ind w:right="40" w:firstLine="528"/>
        <w:spacing w:after="0" w:line="231" w:lineRule="auto"/>
        <w:rPr>
          <w:sz w:val="20"/>
          <w:szCs w:val="20"/>
          <w:color w:val="auto"/>
        </w:rPr>
      </w:pPr>
      <w:r>
        <w:rPr>
          <w:rFonts w:ascii="Arial" w:cs="Arial" w:eastAsia="Arial" w:hAnsi="Arial"/>
          <w:sz w:val="16"/>
          <w:szCs w:val="16"/>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U.S. Tax Cuts and Jobs Act requirement of a one-time repatriation tax on foreign earnings and profits resulted in us recording a $6 million liability for the deemed repatriation to be paid to the U.S. Government in 2017.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are not material.</w:t>
      </w:r>
    </w:p>
    <w:p>
      <w:pPr>
        <w:spacing w:after="0" w:line="87" w:lineRule="exact"/>
        <w:rPr>
          <w:sz w:val="20"/>
          <w:szCs w:val="20"/>
          <w:color w:val="auto"/>
        </w:rPr>
      </w:pPr>
    </w:p>
    <w:p>
      <w:pPr>
        <w:ind w:right="40" w:firstLine="528"/>
        <w:spacing w:after="0" w:line="231" w:lineRule="auto"/>
        <w:rPr>
          <w:sz w:val="20"/>
          <w:szCs w:val="20"/>
          <w:color w:val="auto"/>
        </w:rPr>
      </w:pPr>
      <w:r>
        <w:rPr>
          <w:rFonts w:ascii="Arial" w:cs="Arial" w:eastAsia="Arial" w:hAnsi="Arial"/>
          <w:sz w:val="16"/>
          <w:szCs w:val="16"/>
          <w:color w:val="auto"/>
        </w:rPr>
        <w:t>Our liquidity requirements are significant, primarily due to our debt service requirements. As of June 30, 2020, we had $641 million of indebtedness associated with ATI’s New Term Loan, $275 million of indebtedness associated with ATI’s New Revolving Credit Facility, $1,000 million of indebtedness associated with ATI’s 5.0% Senior Notes due September 2024 (“5.0% Senior Notes”), $400 million of indebtedness associated with ATI’s 4.75% Senior Notes due October 2027 (“4.75% Senior Notes”) and $500 million of indebtedness associated with ATI’s 5.875% Senior Notes due June 2029 (“5.875% Senior Notes” and, together with the 5.0% Senior Notes and 4.75% Senior Notes, the “Senior Notes”). The minimum required quarterly principal payment on ATI’s New Term Loan through its maturity date of March 2026 is $2 million. We made $3 million and zero principal payments on the New Senior Secured Credit Facility during the six months ended June 30, 2020 and 2019, respectively. There are no required quarterly principal payments on ATI’s Senior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60" w:firstLine="522"/>
        <w:spacing w:after="0" w:line="247" w:lineRule="auto"/>
        <w:rPr>
          <w:sz w:val="20"/>
          <w:szCs w:val="20"/>
          <w:color w:val="auto"/>
        </w:rPr>
      </w:pPr>
      <w:r>
        <w:rPr>
          <w:rFonts w:ascii="Arial" w:cs="Arial" w:eastAsia="Arial" w:hAnsi="Arial"/>
          <w:sz w:val="15"/>
          <w:szCs w:val="15"/>
          <w:color w:val="auto"/>
        </w:rPr>
        <w:t>The New Senior Secured Credit Facility provides for a $600 million New Revolving Credit Facility, net of an allowance for up to $75 million in outstanding letter of credit commitments. Throughout the six months ended June 30, 2020, we made periodic withdrawals and payments on the New Revolving Credit Facility as part of our debt and cash management plans. The maximum amount outstanding at any time during the six months ended June 30, 2020 was $500 million. As of June 30, 2020, we had $319 million available under the New Revolving Credit Facility, net of $ 275 million of revolving loans outstanding and $ 6 million in letters of credit. If we have commitments outstanding on the New Revolving Credit Facility at the end of a fiscal quarter, the New Senior Secured Credit Facility requires us to maintain a specified maximum first lien net leverage ratio of 5.50x. Additionally, within the terms of the New Senior Secured Credit Facility, a first lien net leverage ratio at or below 4.00x results in the elimination of excess cash flow payments on the New Senior Secured Credit Facility for the applicable year. As of June 30, 2020, our first lien net leverage ratio was 0.56x. The New Senior Secured Credit Facility also provides certain financial incentives based on our first lien net leverage ratio. A first lien net leverage ratio at or below 4.00x and above 3.50x results in a 25 basis point reduction to the applicable margin on the New Revolving Credit Facility. A first lien net leverage ratio at or below 3.50x results in an additional 25 basis point reduction to the applicable margin on the New Revolving Credit Facility. These reductions remain in effect as long as we achieve a first lien net leverage ratio at or below the related threshold.</w:t>
      </w:r>
    </w:p>
    <w:p>
      <w:pPr>
        <w:spacing w:after="0" w:line="126" w:lineRule="exact"/>
        <w:rPr>
          <w:sz w:val="20"/>
          <w:szCs w:val="20"/>
          <w:color w:val="auto"/>
        </w:rPr>
      </w:pPr>
    </w:p>
    <w:p>
      <w:pPr>
        <w:ind w:right="20" w:firstLine="522"/>
        <w:spacing w:after="0" w:line="231" w:lineRule="auto"/>
        <w:rPr>
          <w:sz w:val="20"/>
          <w:szCs w:val="20"/>
          <w:color w:val="auto"/>
        </w:rPr>
      </w:pPr>
      <w:r>
        <w:rPr>
          <w:rFonts w:ascii="Arial" w:cs="Arial" w:eastAsia="Arial" w:hAnsi="Arial"/>
          <w:sz w:val="16"/>
          <w:szCs w:val="16"/>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June 30, 2020, we are in compliance with all covenants under the New Senior Secured Credit Facility and indentures governing the Senior Notes.</w:t>
      </w:r>
    </w:p>
    <w:p>
      <w:pPr>
        <w:spacing w:after="0" w:line="134" w:lineRule="exact"/>
        <w:rPr>
          <w:sz w:val="20"/>
          <w:szCs w:val="20"/>
          <w:color w:val="auto"/>
        </w:rPr>
      </w:pPr>
    </w:p>
    <w:p>
      <w:pPr>
        <w:ind w:firstLine="522"/>
        <w:spacing w:after="0" w:line="234" w:lineRule="auto"/>
        <w:rPr>
          <w:sz w:val="20"/>
          <w:szCs w:val="20"/>
          <w:color w:val="auto"/>
        </w:rPr>
      </w:pPr>
      <w:r>
        <w:rPr>
          <w:rFonts w:ascii="Arial" w:cs="Arial" w:eastAsia="Arial" w:hAnsi="Arial"/>
          <w:sz w:val="16"/>
          <w:szCs w:val="16"/>
          <w:color w:val="auto"/>
        </w:rPr>
        <w:t>Our credit ratings are reviewed by Moody’s Investors Service (“Moody’s”) and Fitch Ratings (“Fitch”). Moody’s rates our corporate credit at ‘Ba2’, New Term Loan at ‘Baa3’, 5.0% Senior Notes at ‘Ba3’, 4.75% Senior Notes at ‘Ba3’ and 5.875% Senior Notes at 'Ba3'. Fitch rates our corporate credit at ‘BB’, New Term Loan at ‘BB+’, 5.0% Senior Notes at ‘BB’, 4.75% Senior Notes at ‘BB’ and 5.875% Senior Notes at 'BB'.</w:t>
      </w:r>
    </w:p>
    <w:p>
      <w:pPr>
        <w:spacing w:after="0" w:line="84" w:lineRule="exact"/>
        <w:rPr>
          <w:sz w:val="20"/>
          <w:szCs w:val="20"/>
          <w:color w:val="auto"/>
        </w:rPr>
      </w:pPr>
    </w:p>
    <w:p>
      <w:pPr>
        <w:ind w:right="140" w:firstLine="528"/>
        <w:spacing w:after="0" w:line="249" w:lineRule="auto"/>
        <w:rPr>
          <w:sz w:val="20"/>
          <w:szCs w:val="20"/>
          <w:color w:val="auto"/>
        </w:rPr>
      </w:pPr>
      <w:r>
        <w:rPr>
          <w:rFonts w:ascii="Arial" w:cs="Arial" w:eastAsia="Arial" w:hAnsi="Arial"/>
          <w:sz w:val="15"/>
          <w:szCs w:val="15"/>
          <w:color w:val="auto"/>
        </w:rPr>
        <w:t>On November 14, 2016, our Board of Directors authorized us to repurchase up to $1,000 million of our common stock pursuant to a stock repurchase program (the "Repurchase Program"). On November 8, 2017, July 30, 2018 and May 9, 2019, our Board of Directors increased the authorization by $500 million, $500 million and $1,000 million, respectively, bringing the total amount authorized under the Repurchase Program to $3,000 million. We did not repurchase any shares of our common stock under the Repurchase Program during the three months ended June 30, 2020. During the six months ended June 30, 2020, we repurchased approximately $180 million of our common stock under the Repurchase Program. All of the repurchase transactions during the six months ended June 30, 2020 were settled in cash during the same period. As of June 30, 2020, we had approximately $872 million available under the Repurchase Program.</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sources and uses of funds for the six months ended June 30, 2020 and 2019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Six Months Ended</w:t>
            </w:r>
          </w:p>
        </w:tc>
        <w:tc>
          <w:tcPr>
            <w:tcW w:w="1160" w:type="dxa"/>
            <w:vAlign w:val="bottom"/>
          </w:tcPr>
          <w:p>
            <w:pPr>
              <w:spacing w:after="0"/>
              <w:rPr>
                <w:sz w:val="13"/>
                <w:szCs w:val="13"/>
                <w:color w:val="auto"/>
              </w:rPr>
            </w:pPr>
          </w:p>
        </w:tc>
      </w:tr>
      <w:tr>
        <w:trPr>
          <w:trHeight w:val="153"/>
        </w:trPr>
        <w:tc>
          <w:tcPr>
            <w:tcW w:w="77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June 30,</w:t>
            </w:r>
          </w:p>
        </w:tc>
        <w:tc>
          <w:tcPr>
            <w:tcW w:w="1160" w:type="dxa"/>
            <w:vAlign w:val="bottom"/>
            <w:tcBorders>
              <w:bottom w:val="single" w:sz="8" w:color="auto"/>
            </w:tcBorders>
          </w:tcPr>
          <w:p>
            <w:pPr>
              <w:spacing w:after="0"/>
              <w:rPr>
                <w:sz w:val="13"/>
                <w:szCs w:val="13"/>
                <w:color w:val="auto"/>
              </w:rPr>
            </w:pPr>
          </w:p>
        </w:tc>
      </w:tr>
      <w:tr>
        <w:trPr>
          <w:trHeight w:val="144"/>
        </w:trPr>
        <w:tc>
          <w:tcPr>
            <w:tcW w:w="774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b w:val="1"/>
                <w:bCs w:val="1"/>
                <w:i w:val="1"/>
                <w:iCs w:val="1"/>
                <w:color w:val="auto"/>
              </w:rPr>
              <w:t>Statements of Cash Flows Data</w:t>
            </w:r>
          </w:p>
        </w:tc>
        <w:tc>
          <w:tcPr>
            <w:tcW w:w="1040" w:type="dxa"/>
            <w:vAlign w:val="bottom"/>
            <w:tcBorders>
              <w:bottom w:val="single" w:sz="8" w:color="auto"/>
            </w:tcBorders>
          </w:tcPr>
          <w:p>
            <w:pPr>
              <w:jc w:val="right"/>
              <w:ind w:right="46"/>
              <w:spacing w:after="0" w:line="144" w:lineRule="exact"/>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06"/>
              <w:spacing w:after="0" w:line="144" w:lineRule="exact"/>
              <w:rPr>
                <w:sz w:val="20"/>
                <w:szCs w:val="20"/>
                <w:color w:val="auto"/>
              </w:rPr>
            </w:pPr>
            <w:r>
              <w:rPr>
                <w:rFonts w:ascii="Arial" w:cs="Arial" w:eastAsia="Arial" w:hAnsi="Arial"/>
                <w:sz w:val="13"/>
                <w:szCs w:val="13"/>
                <w:b w:val="1"/>
                <w:bCs w:val="1"/>
                <w:color w:val="auto"/>
              </w:rPr>
              <w:t>2019</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flows provided by operating activities</w:t>
            </w:r>
          </w:p>
        </w:tc>
        <w:tc>
          <w:tcPr>
            <w:tcW w:w="1040" w:type="dxa"/>
            <w:vAlign w:val="bottom"/>
            <w:shd w:val="clear" w:color="auto" w:fill="CFF0FC"/>
          </w:tcPr>
          <w:p>
            <w:pPr>
              <w:jc w:val="right"/>
              <w:ind w:right="866"/>
              <w:spacing w:after="0" w:line="180" w:lineRule="exact"/>
              <w:rPr>
                <w:sz w:val="20"/>
                <w:szCs w:val="20"/>
                <w:color w:val="auto"/>
              </w:rPr>
            </w:pPr>
            <w:r>
              <w:rPr>
                <w:rFonts w:ascii="Arial" w:cs="Arial" w:eastAsia="Arial" w:hAnsi="Arial"/>
                <w:sz w:val="16"/>
                <w:szCs w:val="16"/>
                <w:b w:val="1"/>
                <w:bCs w:val="1"/>
                <w:color w:val="auto"/>
                <w:w w:val="89"/>
              </w:rPr>
              <w:t>$</w:t>
            </w:r>
          </w:p>
        </w:tc>
        <w:tc>
          <w:tcPr>
            <w:tcW w:w="62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240</w:t>
            </w:r>
          </w:p>
        </w:tc>
        <w:tc>
          <w:tcPr>
            <w:tcW w:w="700" w:type="dxa"/>
            <w:vAlign w:val="bottom"/>
            <w:gridSpan w:val="2"/>
            <w:shd w:val="clear" w:color="auto" w:fill="CFF0FC"/>
          </w:tcPr>
          <w:p>
            <w:pPr>
              <w:jc w:val="right"/>
              <w:ind w:right="440"/>
              <w:spacing w:after="0" w:line="18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433</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Cash flows used for investing activities</w:t>
            </w:r>
          </w:p>
        </w:tc>
        <w:tc>
          <w:tcPr>
            <w:tcW w:w="1040" w:type="dxa"/>
            <w:vAlign w:val="bottom"/>
          </w:tcPr>
          <w:p>
            <w:pPr>
              <w:jc w:val="right"/>
              <w:ind w:right="866"/>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7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
              <w:spacing w:after="0"/>
              <w:rPr>
                <w:sz w:val="20"/>
                <w:szCs w:val="20"/>
                <w:color w:val="auto"/>
              </w:rPr>
            </w:pPr>
            <w:r>
              <w:rPr>
                <w:rFonts w:ascii="Arial" w:cs="Arial" w:eastAsia="Arial" w:hAnsi="Arial"/>
                <w:sz w:val="16"/>
                <w:szCs w:val="16"/>
                <w:color w:val="auto"/>
              </w:rPr>
              <w:t>(177)</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Cash flows provided by (used for) financing activities</w:t>
            </w:r>
          </w:p>
        </w:tc>
        <w:tc>
          <w:tcPr>
            <w:tcW w:w="1040" w:type="dxa"/>
            <w:vAlign w:val="bottom"/>
            <w:shd w:val="clear" w:color="auto" w:fill="CFF0FC"/>
          </w:tcPr>
          <w:p>
            <w:pPr>
              <w:jc w:val="right"/>
              <w:ind w:right="866"/>
              <w:spacing w:after="0"/>
              <w:rPr>
                <w:sz w:val="20"/>
                <w:szCs w:val="20"/>
                <w:color w:val="auto"/>
              </w:rPr>
            </w:pPr>
            <w:r>
              <w:rPr>
                <w:rFonts w:ascii="Arial" w:cs="Arial" w:eastAsia="Arial" w:hAnsi="Arial"/>
                <w:sz w:val="16"/>
                <w:szCs w:val="16"/>
                <w:b w:val="1"/>
                <w:bCs w:val="1"/>
                <w:color w:val="auto"/>
                <w:w w:val="89"/>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49</w:t>
            </w:r>
          </w:p>
        </w:tc>
        <w:tc>
          <w:tcPr>
            <w:tcW w:w="70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(334)</w:t>
            </w:r>
          </w:p>
        </w:tc>
      </w:tr>
    </w:tbl>
    <w:p>
      <w:pPr>
        <w:spacing w:after="0" w:line="211"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Generally, cash provided by operating activities has been adequate to fund our operations. While we cannot predict the duration or scope of the COVID-19 pandemic and its impact on our operations, customers and suppliers, the negative financial impact to our cash provided by operating activities has been and likely will continue to be material. We are actively managing the business to maintain cash flow, and we have significant liquidity, including $434 million of cash and cash equivalents and $319 million available under the New Revolving Credit Facility as of June 30, 2020. At this time, we believe these actions along with cash provided by operating activities, cash and cash equivalents and borrowing capacity under the New Senior Secured Credit Facility will be sufficient to meet our cash requirements for the next twelve months.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provided by operating activities</w:t>
      </w:r>
    </w:p>
    <w:p>
      <w:pPr>
        <w:spacing w:after="0" w:line="104" w:lineRule="exact"/>
        <w:rPr>
          <w:sz w:val="20"/>
          <w:szCs w:val="20"/>
          <w:color w:val="auto"/>
        </w:rPr>
      </w:pPr>
    </w:p>
    <w:p>
      <w:pPr>
        <w:ind w:right="20" w:firstLine="528"/>
        <w:spacing w:after="0" w:line="234" w:lineRule="auto"/>
        <w:rPr>
          <w:sz w:val="20"/>
          <w:szCs w:val="20"/>
          <w:color w:val="auto"/>
        </w:rPr>
      </w:pPr>
      <w:r>
        <w:rPr>
          <w:rFonts w:ascii="Arial" w:cs="Arial" w:eastAsia="Arial" w:hAnsi="Arial"/>
          <w:sz w:val="16"/>
          <w:szCs w:val="16"/>
          <w:color w:val="auto"/>
        </w:rPr>
        <w:t>Operating activities for the six months ended June 30, 2020 generated $240 million of cash compared to $433 million for the six months ended June 30, 2019. The decrease was principally driven by lower gross profit, higher cash interest expense and cash restructuring charges, partially offset by lower cash income taxes and lower operating working capital requirements.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investing activities</w:t>
      </w:r>
    </w:p>
    <w:p>
      <w:pPr>
        <w:spacing w:after="0" w:line="104" w:lineRule="exact"/>
        <w:rPr>
          <w:sz w:val="20"/>
          <w:szCs w:val="20"/>
          <w:color w:val="auto"/>
        </w:rPr>
      </w:pPr>
    </w:p>
    <w:p>
      <w:pPr>
        <w:ind w:right="20" w:firstLine="528"/>
        <w:spacing w:after="0" w:line="233" w:lineRule="auto"/>
        <w:rPr>
          <w:sz w:val="20"/>
          <w:szCs w:val="20"/>
          <w:color w:val="auto"/>
        </w:rPr>
      </w:pPr>
      <w:r>
        <w:rPr>
          <w:rFonts w:ascii="Arial" w:cs="Arial" w:eastAsia="Arial" w:hAnsi="Arial"/>
          <w:sz w:val="16"/>
          <w:szCs w:val="16"/>
          <w:color w:val="auto"/>
        </w:rPr>
        <w:t>Investing activities for the six months ended June 30, 2020 used $45 million of cash compared to $ 177 million for the six months ended June 30, 2019. The decrease was principally driven by $133 million of business acquisition spending in 2019 that did not recur in 2020 and a $4 million 2020 net working capital settlement related to the acquisition of Walker Die Casting, partially offset by a $5 million increase in capital expenditures principally driven by increased spending related to investments in productivity and replacement programs and engineering and testing capabilities.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financing activities</w:t>
      </w:r>
    </w:p>
    <w:p>
      <w:pPr>
        <w:spacing w:after="0" w:line="104" w:lineRule="exact"/>
        <w:rPr>
          <w:sz w:val="20"/>
          <w:szCs w:val="20"/>
          <w:color w:val="auto"/>
        </w:rPr>
      </w:pPr>
    </w:p>
    <w:p>
      <w:pPr>
        <w:jc w:val="both"/>
        <w:ind w:right="20" w:firstLine="528"/>
        <w:spacing w:after="0" w:line="234" w:lineRule="auto"/>
        <w:rPr>
          <w:sz w:val="20"/>
          <w:szCs w:val="20"/>
          <w:color w:val="auto"/>
        </w:rPr>
      </w:pPr>
      <w:r>
        <w:rPr>
          <w:rFonts w:ascii="Arial" w:cs="Arial" w:eastAsia="Arial" w:hAnsi="Arial"/>
          <w:sz w:val="16"/>
          <w:szCs w:val="16"/>
          <w:color w:val="auto"/>
        </w:rPr>
        <w:t>Financing activities for the six months ended June 30, 2020 provided $49 million of cash compared to using $334 million for the six months ended June 30, 2019. The change was principally driven by $275 million of net borrowings on the revolving credit facility in 2020 compared to none for the first six months of 2019 and $105 million of decreased stock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106" w:lineRule="exact"/>
        <w:rPr>
          <w:sz w:val="20"/>
          <w:szCs w:val="20"/>
          <w:color w:val="auto"/>
        </w:rPr>
      </w:pPr>
    </w:p>
    <w:p>
      <w:pPr>
        <w:ind w:right="120" w:firstLine="528"/>
        <w:spacing w:after="0" w:line="233"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Accounting Estimates</w:t>
      </w:r>
    </w:p>
    <w:p>
      <w:pPr>
        <w:spacing w:after="0" w:line="106"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2019 as filed with the Securities and Exchange Commission on February 27, 2020.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six months ended June 30, 2020.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not a party to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B, “Summary of Significant Accounting Policies” in Part I, Item 1, of this Quarterly Report on Form 10-Q.</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06" w:lineRule="exact"/>
        <w:rPr>
          <w:sz w:val="20"/>
          <w:szCs w:val="20"/>
          <w:color w:val="auto"/>
        </w:rPr>
      </w:pPr>
    </w:p>
    <w:p>
      <w:pPr>
        <w:ind w:firstLine="528"/>
        <w:spacing w:after="0" w:line="247" w:lineRule="auto"/>
        <w:rPr>
          <w:sz w:val="20"/>
          <w:szCs w:val="20"/>
          <w:color w:val="auto"/>
        </w:rPr>
      </w:pPr>
      <w:r>
        <w:rPr>
          <w:rFonts w:ascii="Arial" w:cs="Arial" w:eastAsia="Arial" w:hAnsi="Arial"/>
          <w:sz w:val="15"/>
          <w:szCs w:val="15"/>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duration and spread of the COVID-19 outbreak, mitigating efforts deployed by government agencies and the public at large, and the overall impact from such outbreak on economic conditions, financial market volatility and our business, including but not limited to the operations of our manufacturing and other facilities, our supply chain, our distribution processes and demand for our products and the corresponding impacts to our net sales and cash flow;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including with respect to electric hybrid and fully electric commercial vehicles; our ability to identify, consummate and effectively integrate acquisitions; the concentration of our net sales in our top five customers and the loss of any one of these; increases in cost, disruption of supply or shortage of raw materials or components used in our products;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increased trade protectionism; general economic and industry conditions; the discovery of defects in our products, resulting in delays in new model launches, recall campaigns and/or increased warranty costs and reduction in future sales or damage to our brand and reputation; labor strikes, work stoppages or similar labor disputes, which could significantly disrupt our operations or those of our principal customers; and our intention to pay dividends and repurchase shares of our common stock.</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in Part I, Item 1A of our Annual Report on Form 10-K for the year ended December 31, 2019 as filed with the SEC on February 27, 2020, Part II, Item 1A of our Quarterly Report on Form 10-Q for the quarter ended March 31, 2020 as filed with the SEC on May 5, 2020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01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27"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39" w:lineRule="exact"/>
        <w:rPr>
          <w:sz w:val="20"/>
          <w:szCs w:val="20"/>
          <w:color w:val="auto"/>
        </w:rPr>
      </w:pPr>
    </w:p>
    <w:p>
      <w:pPr>
        <w:ind w:left="260" w:right="1240" w:firstLine="265"/>
        <w:spacing w:after="0" w:line="382" w:lineRule="auto"/>
        <w:rPr>
          <w:sz w:val="20"/>
          <w:szCs w:val="20"/>
          <w:color w:val="auto"/>
        </w:rPr>
      </w:pPr>
      <w:r>
        <w:rPr>
          <w:rFonts w:ascii="Arial" w:cs="Arial" w:eastAsia="Arial" w:hAnsi="Arial"/>
          <w:sz w:val="16"/>
          <w:szCs w:val="16"/>
          <w:color w:val="auto"/>
        </w:rPr>
        <w:t xml:space="preserve">Our exposure to market risk consists of changes in interest rates, foreign currency rate fluctuations and movements in commodity prices. </w:t>
      </w:r>
      <w:r>
        <w:rPr>
          <w:rFonts w:ascii="Arial" w:cs="Arial" w:eastAsia="Arial" w:hAnsi="Arial"/>
          <w:sz w:val="16"/>
          <w:szCs w:val="16"/>
          <w:b w:val="1"/>
          <w:bCs w:val="1"/>
          <w:i w:val="1"/>
          <w:iCs w:val="1"/>
          <w:color w:val="auto"/>
        </w:rPr>
        <w:t>Interest Rate Risk</w:t>
      </w:r>
    </w:p>
    <w:p>
      <w:pPr>
        <w:spacing w:after="0" w:line="1" w:lineRule="exact"/>
        <w:rPr>
          <w:sz w:val="20"/>
          <w:szCs w:val="20"/>
          <w:color w:val="auto"/>
        </w:rPr>
      </w:pPr>
    </w:p>
    <w:p>
      <w:pPr>
        <w:ind w:right="240" w:firstLine="528"/>
        <w:spacing w:after="0" w:line="232"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New Senior Secured Credit Facility. Our New Senior Secured Credit Facility provides for variable rate borrowings of up to $962 million, including $319 million under our New Revolving Credit Facility, net of $275 million of revolving loans outstanding and $ 6 million of letters of credit. A one-eighth percent increase or decrease in assumed interest rates for the New Senior Secured Credit Facility, if fully drawn, as of June 30, 2020 would have an impact of approximately $1 million on interest expense per year. As of June 30, 2020, we had $275 million of outstanding borrowings against the New Revolving Credit Facility.</w:t>
      </w:r>
    </w:p>
    <w:p>
      <w:pPr>
        <w:spacing w:after="0" w:line="84" w:lineRule="exact"/>
        <w:rPr>
          <w:sz w:val="20"/>
          <w:szCs w:val="20"/>
          <w:color w:val="auto"/>
        </w:rPr>
      </w:pPr>
    </w:p>
    <w:p>
      <w:pPr>
        <w:ind w:right="80" w:firstLine="528"/>
        <w:spacing w:after="0" w:line="232" w:lineRule="auto"/>
        <w:rPr>
          <w:sz w:val="20"/>
          <w:szCs w:val="20"/>
          <w:color w:val="auto"/>
        </w:rPr>
      </w:pPr>
      <w:r>
        <w:rPr>
          <w:rFonts w:ascii="Arial" w:cs="Arial" w:eastAsia="Arial" w:hAnsi="Arial"/>
          <w:sz w:val="16"/>
          <w:szCs w:val="16"/>
          <w:color w:val="auto"/>
        </w:rPr>
        <w:t>From time to time, we enter into interest rate swap agreements to hedge the risk associated with our variable interest rate debt. During the first quarter of 2019, we entered into $250 million of interest rate swaps and designated them as cash flow hedges under the hypothetical derivative method. As of June 30, 2020, we held interest rate swaps effective from (i) September 2019 to September 2022 with notional values totaling $250 million and a weighted average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Exchange Rate Risk</w:t>
      </w:r>
    </w:p>
    <w:p>
      <w:pPr>
        <w:spacing w:after="0" w:line="104" w:lineRule="exact"/>
        <w:rPr>
          <w:sz w:val="20"/>
          <w:szCs w:val="20"/>
          <w:color w:val="auto"/>
        </w:rPr>
      </w:pPr>
    </w:p>
    <w:p>
      <w:pPr>
        <w:ind w:right="20" w:firstLine="528"/>
        <w:spacing w:after="0" w:line="233"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84" w:lineRule="exact"/>
        <w:rPr>
          <w:sz w:val="20"/>
          <w:szCs w:val="20"/>
          <w:color w:val="auto"/>
        </w:rPr>
      </w:pPr>
    </w:p>
    <w:p>
      <w:pPr>
        <w:ind w:firstLine="528"/>
        <w:spacing w:after="0" w:line="234" w:lineRule="auto"/>
        <w:rPr>
          <w:sz w:val="20"/>
          <w:szCs w:val="20"/>
          <w:color w:val="auto"/>
        </w:rPr>
      </w:pPr>
      <w:r>
        <w:rPr>
          <w:rFonts w:ascii="Arial" w:cs="Arial" w:eastAsia="Arial" w:hAnsi="Arial"/>
          <w:sz w:val="16"/>
          <w:szCs w:val="16"/>
          <w:color w:val="auto"/>
        </w:rPr>
        <w:t>Assuming current levels of foreign currency transactions, a 10% aggregate increase or decrease in the Japanese Yen, Euro, Indian Rupee and Chinese Yuan Renminbi would correspondingly change our earnings, net of tax, by an estimated $5 million per year. We believe our other exposure to foreign currencies is immaterial.</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04" w:lineRule="exact"/>
        <w:rPr>
          <w:sz w:val="20"/>
          <w:szCs w:val="20"/>
          <w:color w:val="auto"/>
        </w:rPr>
      </w:pPr>
    </w:p>
    <w:p>
      <w:pPr>
        <w:ind w:right="80" w:firstLine="528"/>
        <w:spacing w:after="0" w:line="232"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64%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long-term agreements (“LTAs”). We historically have not entered into long-term purchase contracts related to the purchase of aluminum and steel.</w:t>
      </w:r>
    </w:p>
    <w:p>
      <w:pPr>
        <w:spacing w:after="0" w:line="84" w:lineRule="exact"/>
        <w:rPr>
          <w:sz w:val="20"/>
          <w:szCs w:val="20"/>
          <w:color w:val="auto"/>
        </w:rPr>
      </w:pPr>
    </w:p>
    <w:p>
      <w:pPr>
        <w:ind w:right="440" w:firstLine="528"/>
        <w:spacing w:after="0" w:line="237" w:lineRule="auto"/>
        <w:rPr>
          <w:sz w:val="20"/>
          <w:szCs w:val="20"/>
          <w:color w:val="auto"/>
        </w:rPr>
      </w:pPr>
      <w:r>
        <w:rPr>
          <w:rFonts w:ascii="Arial" w:cs="Arial" w:eastAsia="Arial" w:hAnsi="Arial"/>
          <w:sz w:val="16"/>
          <w:szCs w:val="16"/>
          <w:color w:val="auto"/>
        </w:rPr>
        <w:t>Assuming current levels of commodity purchases, a 10% variation in the price of aluminum and steel would correspondingly change our earnings by approximately $5 million and $6 million per year, respectively.</w:t>
      </w:r>
    </w:p>
    <w:p>
      <w:pPr>
        <w:spacing w:after="0" w:line="83" w:lineRule="exact"/>
        <w:rPr>
          <w:sz w:val="20"/>
          <w:szCs w:val="20"/>
          <w:color w:val="auto"/>
        </w:rPr>
      </w:pPr>
    </w:p>
    <w:p>
      <w:pPr>
        <w:ind w:right="260" w:firstLine="528"/>
        <w:spacing w:after="0" w:line="237" w:lineRule="auto"/>
        <w:rPr>
          <w:sz w:val="20"/>
          <w:szCs w:val="20"/>
          <w:color w:val="auto"/>
        </w:rPr>
      </w:pPr>
      <w:r>
        <w:rPr>
          <w:rFonts w:ascii="Arial" w:cs="Arial" w:eastAsia="Arial" w:hAnsi="Arial"/>
          <w:sz w:val="16"/>
          <w:szCs w:val="16"/>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06" w:lineRule="exact"/>
        <w:rPr>
          <w:sz w:val="20"/>
          <w:szCs w:val="20"/>
          <w:color w:val="auto"/>
        </w:rPr>
      </w:pPr>
    </w:p>
    <w:p>
      <w:pPr>
        <w:ind w:right="100" w:firstLine="528"/>
        <w:spacing w:after="0" w:line="23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8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6" w:lineRule="exact"/>
        <w:rPr>
          <w:sz w:val="20"/>
          <w:szCs w:val="20"/>
          <w:color w:val="auto"/>
        </w:rPr>
      </w:pPr>
    </w:p>
    <w:p>
      <w:pPr>
        <w:ind w:right="120" w:firstLine="528"/>
        <w:spacing w:after="0" w:line="23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6" w:lineRule="exact"/>
        <w:rPr>
          <w:sz w:val="20"/>
          <w:szCs w:val="20"/>
          <w:color w:val="auto"/>
        </w:rPr>
      </w:pPr>
    </w:p>
    <w:p>
      <w:pPr>
        <w:ind w:right="60" w:firstLine="528"/>
        <w:spacing w:after="0" w:line="233"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and is incorporated herein by reference.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6" w:lineRule="exact"/>
        <w:rPr>
          <w:sz w:val="20"/>
          <w:szCs w:val="20"/>
          <w:color w:val="auto"/>
        </w:rPr>
      </w:pPr>
    </w:p>
    <w:p>
      <w:pPr>
        <w:jc w:val="both"/>
        <w:ind w:right="320" w:firstLine="528"/>
        <w:spacing w:after="0" w:line="234" w:lineRule="auto"/>
        <w:rPr>
          <w:sz w:val="20"/>
          <w:szCs w:val="20"/>
          <w:color w:val="auto"/>
        </w:rPr>
      </w:pPr>
      <w:r>
        <w:rPr>
          <w:rFonts w:ascii="Arial" w:cs="Arial" w:eastAsia="Arial" w:hAnsi="Arial"/>
          <w:sz w:val="16"/>
          <w:szCs w:val="16"/>
          <w:color w:val="auto"/>
        </w:rPr>
        <w:t>Except as set forth below, there have been no material changes from our risk factors as previously reported in Part I, Item 1A of our Annual Report on Form 10-K for the year ended December 31, 2019 as filed with the Securities and Exchange Commission (“SEC”) on February 27, 2020, as updated in Part II, Item 1A of our Quarterly Report on Form 10-Q for the quarter ended March 31, 2020 as filed with the SEC on May 5, 2020.</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risk factor included in our Quarterly Report on Form 10-Q for the quarter ended March 31, 2020 has been updated:</w:t>
      </w:r>
    </w:p>
    <w:p>
      <w:pPr>
        <w:spacing w:after="0" w:line="162"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Our financial condition and results of operations have been and are expected to continue to be materially adversely affected by the coronavirus pandemic.</w:t>
      </w:r>
    </w:p>
    <w:p>
      <w:pPr>
        <w:spacing w:after="0" w:line="70"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global spread of the novel strain of coronavirus (COVID-19) that has been declared a pandemic by the World Health Organization and the preventative measures taken to contain or mitigate the outbreak have caused, and are continuing to cause, significant volatility and uncertainty and economic disruptions. The outbreak has resulted in governments around the world implementing stringent measures to contain or mitigate the spread of the virus, including quarantines, “shelter in place” and “stay at home” orders, travel restrictions, business curtailments and other measures. While we continue to operate certain of our plants consistent with applicable government guidelines, we are experiencing, and may continue to experience, production slowdowns and/or shutdowns at our manufacturing facilities in Hungary, India, Indianapolis and Tennessee as a result of government orders, our inability to obtain component parts from suppliers and/or decreased customer demand. In addition, many of our suppliers and customers are also experiencing, and may continue to experience, production slowdowns and/or shutdowns, which may further impact our business, sales and results of operation.</w:t>
      </w:r>
    </w:p>
    <w:p>
      <w:pPr>
        <w:spacing w:after="0" w:line="86" w:lineRule="exact"/>
        <w:rPr>
          <w:sz w:val="20"/>
          <w:szCs w:val="20"/>
          <w:color w:val="auto"/>
        </w:rPr>
      </w:pPr>
    </w:p>
    <w:p>
      <w:pPr>
        <w:ind w:right="20" w:firstLine="528"/>
        <w:spacing w:after="0" w:line="231" w:lineRule="auto"/>
        <w:rPr>
          <w:sz w:val="20"/>
          <w:szCs w:val="20"/>
          <w:color w:val="auto"/>
        </w:rPr>
      </w:pPr>
      <w:r>
        <w:rPr>
          <w:rFonts w:ascii="Arial" w:cs="Arial" w:eastAsia="Arial" w:hAnsi="Arial"/>
          <w:sz w:val="16"/>
          <w:szCs w:val="16"/>
          <w:color w:val="auto"/>
        </w:rPr>
        <w:t>The effects of the COVID-19 pandemic on the global economy had a material impact on demand for our products and our results of operations during the second quarter 2020 as our customers reduced or halted production and we expect a continued impact on demand for our products and on our results of operations in the future. The extent to which COVID-19 may continue to adversely impact our business depends on future developments, which are highly uncertain and unpredictable, including the severity and duration of the outbreak and the effectiveness of actions taken globally to contain or mitigate its effects. Any future financial impact cannot be estimated reasonably at this time, but is likely to materially adversely affect our business, supply chain, sales, results of operations, financial condition and cash flows. Even after the COVID-19 pandemic has subsided, we may experience materially adverse impacts to our business due to any resulting economic recession or depression that may continue to impact customer demand and the financial instability or operating viability of our suppliers and customers. Additionally, concerns over the economic impact of COVID-19 have caused extreme volatility in financial and other capital markets which may adversely impact our ability to access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risk factor included in our Annual Report on Form 10-K for the year ended December 31, 2019 has been updated:</w:t>
      </w:r>
    </w:p>
    <w:p>
      <w:pPr>
        <w:spacing w:after="0" w:line="162"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212529"/>
        </w:rPr>
        <w:t>We are subject to cybersecurity risks to operational systems, security systems, or infrastructure owned by Allison or third-party vendors or suppliers.</w:t>
      </w:r>
    </w:p>
    <w:p>
      <w:pPr>
        <w:spacing w:after="0" w:line="70" w:lineRule="exact"/>
        <w:rPr>
          <w:sz w:val="20"/>
          <w:szCs w:val="20"/>
          <w:color w:val="auto"/>
        </w:rPr>
      </w:pPr>
    </w:p>
    <w:p>
      <w:pPr>
        <w:ind w:right="20" w:firstLine="528"/>
        <w:spacing w:after="0" w:line="246" w:lineRule="auto"/>
        <w:rPr>
          <w:sz w:val="20"/>
          <w:szCs w:val="20"/>
          <w:color w:val="auto"/>
        </w:rPr>
      </w:pPr>
      <w:r>
        <w:rPr>
          <w:rFonts w:ascii="Arial" w:cs="Arial" w:eastAsia="Arial" w:hAnsi="Arial"/>
          <w:sz w:val="15"/>
          <w:szCs w:val="15"/>
          <w:color w:val="212529"/>
        </w:rPr>
        <w:t xml:space="preserve">We are at risk for interruptions, outages, and breaches of: (i) operational systems, including business, financial, accounting, product development, data processing, or manufacturing processes, owned by us or our third-party vendors or suppliers; (ii) facility security systems, owned by us or our third-party vendors or suppliers; and/or (iii) transmission control modules or other in-product technology, owned by us or our third-party vendors or suppliers. Such cyber incidents could materially disrupt operational systems; result in loss of intellectual property, trade secrets or other proprietary or competitively sensitive information; compromise personally identifiable information of employees, customers, suppliers, or others; jeopardize the security of our facilities; and/or affect the performance of transmission control modules or other in-product technology. A cyber incident could be caused by malicious third parties using sophisticated, targeted methods to circumvent firewalls, encryption, and other security defenses, including hacking, fraud, trickery, or other forms of deception. The techniques used by third parties change frequently and may be difficult to detect for long periods of time. A significant cyber incident could impact production capability, harm our reputation and/or subject us to regulatory actions or litigation, any of which could materially affect our business, results of operations and financial condition. While we utilize a number of measures to prevent, detect and mitigate these threats, including employee education, monitoring of networks and systems, and maintenance of backup and protective systems, there is no guarantee such efforts will be successful in preventing a cyber incident. </w:t>
      </w:r>
      <w:r>
        <w:rPr>
          <w:rFonts w:ascii="Arial" w:cs="Arial" w:eastAsia="Arial" w:hAnsi="Arial"/>
          <w:sz w:val="15"/>
          <w:szCs w:val="15"/>
          <w:color w:val="000000"/>
        </w:rPr>
        <w:t>As a result of the COVID-19 pandemic, a</w:t>
      </w:r>
      <w:r>
        <w:rPr>
          <w:rFonts w:ascii="Arial" w:cs="Arial" w:eastAsia="Arial" w:hAnsi="Arial"/>
          <w:sz w:val="15"/>
          <w:szCs w:val="15"/>
          <w:color w:val="212529"/>
        </w:rPr>
        <w:t xml:space="preserve"> </w:t>
      </w:r>
      <w:r>
        <w:rPr>
          <w:rFonts w:ascii="Arial" w:cs="Arial" w:eastAsia="Arial" w:hAnsi="Arial"/>
          <w:sz w:val="15"/>
          <w:szCs w:val="15"/>
          <w:color w:val="000000"/>
        </w:rPr>
        <w:t>significant subset of our global salaried employees are working remotely, which may pose a heightened risk for cyber incidents, including cybersecurity attacks and unauthorized dissemination of proprietary or confidential information, or other disruptions of our operational systems, security systems or infrastructure.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months ended June 30,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left="97"/>
              <w:spacing w:after="0"/>
              <w:rPr>
                <w:sz w:val="20"/>
                <w:szCs w:val="20"/>
                <w:color w:val="auto"/>
              </w:rPr>
            </w:pPr>
            <w:r>
              <w:rPr>
                <w:rFonts w:ascii="Arial" w:cs="Arial" w:eastAsia="Arial" w:hAnsi="Arial"/>
                <w:sz w:val="13"/>
                <w:szCs w:val="13"/>
                <w:b w:val="1"/>
                <w:bCs w:val="1"/>
                <w:color w:val="auto"/>
                <w:w w:val="93"/>
              </w:rPr>
              <w:t>Total Number</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1"/>
        </w:trPr>
        <w:tc>
          <w:tcPr>
            <w:tcW w:w="5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97"/>
              <w:spacing w:after="0" w:line="141" w:lineRule="exact"/>
              <w:rPr>
                <w:sz w:val="20"/>
                <w:szCs w:val="20"/>
                <w:color w:val="auto"/>
              </w:rPr>
            </w:pPr>
            <w:r>
              <w:rPr>
                <w:rFonts w:ascii="Arial" w:cs="Arial" w:eastAsia="Arial" w:hAnsi="Arial"/>
                <w:sz w:val="13"/>
                <w:szCs w:val="13"/>
                <w:b w:val="1"/>
                <w:bCs w:val="1"/>
                <w:color w:val="auto"/>
                <w:w w:val="97"/>
              </w:rPr>
              <w:t>of Shares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97"/>
              <w:spacing w:after="0" w:line="141" w:lineRule="exact"/>
              <w:rPr>
                <w:sz w:val="20"/>
                <w:szCs w:val="20"/>
                <w:color w:val="auto"/>
              </w:rPr>
            </w:pPr>
            <w:r>
              <w:rPr>
                <w:rFonts w:ascii="Arial" w:cs="Arial" w:eastAsia="Arial" w:hAnsi="Arial"/>
                <w:sz w:val="13"/>
                <w:szCs w:val="13"/>
                <w:b w:val="1"/>
                <w:bCs w:val="1"/>
                <w:color w:val="auto"/>
                <w:w w:val="93"/>
              </w:rPr>
              <w:t>Purchased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97"/>
              <w:spacing w:after="0" w:line="141" w:lineRule="exact"/>
              <w:rPr>
                <w:sz w:val="20"/>
                <w:szCs w:val="20"/>
                <w:color w:val="auto"/>
              </w:rPr>
            </w:pPr>
            <w:r>
              <w:rPr>
                <w:rFonts w:ascii="Arial" w:cs="Arial" w:eastAsia="Arial" w:hAnsi="Arial"/>
                <w:sz w:val="13"/>
                <w:szCs w:val="13"/>
                <w:b w:val="1"/>
                <w:bCs w:val="1"/>
                <w:color w:val="auto"/>
                <w:w w:val="97"/>
              </w:rPr>
              <w:t>as Part of</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5"/>
              </w:rPr>
              <w:t>Approximate</w:t>
            </w:r>
          </w:p>
        </w:tc>
      </w:tr>
      <w:tr>
        <w:trPr>
          <w:trHeight w:val="141"/>
        </w:trPr>
        <w:tc>
          <w:tcPr>
            <w:tcW w:w="5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97"/>
              <w:spacing w:after="0" w:line="141" w:lineRule="exact"/>
              <w:rPr>
                <w:sz w:val="20"/>
                <w:szCs w:val="20"/>
                <w:color w:val="auto"/>
              </w:rPr>
            </w:pPr>
            <w:r>
              <w:rPr>
                <w:rFonts w:ascii="Arial" w:cs="Arial" w:eastAsia="Arial" w:hAnsi="Arial"/>
                <w:sz w:val="13"/>
                <w:szCs w:val="13"/>
                <w:b w:val="1"/>
                <w:bCs w:val="1"/>
                <w:color w:val="auto"/>
                <w:w w:val="92"/>
              </w:rPr>
              <w:t>Publicly</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Dollar Value of</w:t>
            </w:r>
          </w:p>
        </w:tc>
      </w:tr>
      <w:tr>
        <w:trPr>
          <w:trHeight w:val="141"/>
        </w:trPr>
        <w:tc>
          <w:tcPr>
            <w:tcW w:w="5840" w:type="dxa"/>
            <w:vAlign w:val="bottom"/>
          </w:tcPr>
          <w:p>
            <w:pPr>
              <w:spacing w:after="0"/>
              <w:rPr>
                <w:sz w:val="12"/>
                <w:szCs w:val="12"/>
                <w:color w:val="auto"/>
              </w:rPr>
            </w:pPr>
          </w:p>
        </w:tc>
        <w:tc>
          <w:tcPr>
            <w:tcW w:w="960" w:type="dxa"/>
            <w:vAlign w:val="bottom"/>
          </w:tcPr>
          <w:p>
            <w:pPr>
              <w:jc w:val="center"/>
              <w:ind w:left="97"/>
              <w:spacing w:after="0" w:line="141" w:lineRule="exact"/>
              <w:rPr>
                <w:sz w:val="20"/>
                <w:szCs w:val="20"/>
                <w:color w:val="auto"/>
              </w:rPr>
            </w:pPr>
            <w:r>
              <w:rPr>
                <w:rFonts w:ascii="Arial" w:cs="Arial" w:eastAsia="Arial" w:hAnsi="Arial"/>
                <w:sz w:val="13"/>
                <w:szCs w:val="13"/>
                <w:b w:val="1"/>
                <w:bCs w:val="1"/>
                <w:color w:val="auto"/>
                <w:w w:val="95"/>
              </w:rPr>
              <w:t>Total Number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37"/>
              <w:spacing w:after="0" w:line="141" w:lineRule="exact"/>
              <w:rPr>
                <w:sz w:val="20"/>
                <w:szCs w:val="20"/>
                <w:color w:val="auto"/>
              </w:rPr>
            </w:pPr>
            <w:r>
              <w:rPr>
                <w:rFonts w:ascii="Arial" w:cs="Arial" w:eastAsia="Arial" w:hAnsi="Arial"/>
                <w:sz w:val="13"/>
                <w:szCs w:val="13"/>
                <w:b w:val="1"/>
                <w:bCs w:val="1"/>
                <w:color w:val="auto"/>
                <w:w w:val="93"/>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97"/>
              <w:spacing w:after="0" w:line="141" w:lineRule="exact"/>
              <w:rPr>
                <w:sz w:val="20"/>
                <w:szCs w:val="20"/>
                <w:color w:val="auto"/>
              </w:rPr>
            </w:pPr>
            <w:r>
              <w:rPr>
                <w:rFonts w:ascii="Arial" w:cs="Arial" w:eastAsia="Arial" w:hAnsi="Arial"/>
                <w:sz w:val="13"/>
                <w:szCs w:val="13"/>
                <w:b w:val="1"/>
                <w:bCs w:val="1"/>
                <w:color w:val="auto"/>
                <w:w w:val="97"/>
              </w:rPr>
              <w:t>Announced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Shares that May</w:t>
            </w:r>
          </w:p>
        </w:tc>
      </w:tr>
      <w:tr>
        <w:trPr>
          <w:trHeight w:val="141"/>
        </w:trPr>
        <w:tc>
          <w:tcPr>
            <w:tcW w:w="5840" w:type="dxa"/>
            <w:vAlign w:val="bottom"/>
          </w:tcPr>
          <w:p>
            <w:pPr>
              <w:spacing w:after="0"/>
              <w:rPr>
                <w:sz w:val="12"/>
                <w:szCs w:val="12"/>
                <w:color w:val="auto"/>
              </w:rPr>
            </w:pPr>
          </w:p>
        </w:tc>
        <w:tc>
          <w:tcPr>
            <w:tcW w:w="960" w:type="dxa"/>
            <w:vAlign w:val="bottom"/>
          </w:tcPr>
          <w:p>
            <w:pPr>
              <w:jc w:val="center"/>
              <w:ind w:left="117"/>
              <w:spacing w:after="0" w:line="141" w:lineRule="exact"/>
              <w:rPr>
                <w:sz w:val="20"/>
                <w:szCs w:val="20"/>
                <w:color w:val="auto"/>
              </w:rPr>
            </w:pPr>
            <w:r>
              <w:rPr>
                <w:rFonts w:ascii="Arial" w:cs="Arial" w:eastAsia="Arial" w:hAnsi="Arial"/>
                <w:sz w:val="13"/>
                <w:szCs w:val="13"/>
                <w:b w:val="1"/>
                <w:bCs w:val="1"/>
                <w:color w:val="auto"/>
                <w:w w:val="97"/>
              </w:rPr>
              <w:t>of 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37"/>
              <w:spacing w:after="0" w:line="141" w:lineRule="exact"/>
              <w:rPr>
                <w:sz w:val="20"/>
                <w:szCs w:val="20"/>
                <w:color w:val="auto"/>
              </w:rPr>
            </w:pPr>
            <w:r>
              <w:rPr>
                <w:rFonts w:ascii="Arial" w:cs="Arial" w:eastAsia="Arial" w:hAnsi="Arial"/>
                <w:sz w:val="13"/>
                <w:szCs w:val="13"/>
                <w:b w:val="1"/>
                <w:bCs w:val="1"/>
                <w:color w:val="auto"/>
                <w:w w:val="95"/>
              </w:rPr>
              <w:t>Price Paid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97"/>
              <w:spacing w:after="0" w:line="141" w:lineRule="exact"/>
              <w:rPr>
                <w:sz w:val="20"/>
                <w:szCs w:val="20"/>
                <w:color w:val="auto"/>
              </w:rPr>
            </w:pPr>
            <w:r>
              <w:rPr>
                <w:rFonts w:ascii="Arial" w:cs="Arial" w:eastAsia="Arial" w:hAnsi="Arial"/>
                <w:sz w:val="13"/>
                <w:szCs w:val="13"/>
                <w:b w:val="1"/>
                <w:bCs w:val="1"/>
                <w:color w:val="auto"/>
                <w:w w:val="97"/>
              </w:rPr>
              <w:t>Plans or</w:t>
            </w:r>
          </w:p>
        </w:tc>
        <w:tc>
          <w:tcPr>
            <w:tcW w:w="280" w:type="dxa"/>
            <w:vAlign w:val="bottom"/>
          </w:tcPr>
          <w:p>
            <w:pPr>
              <w:spacing w:after="0"/>
              <w:rPr>
                <w:sz w:val="12"/>
                <w:szCs w:val="12"/>
                <w:color w:val="auto"/>
              </w:rPr>
            </w:pPr>
          </w:p>
        </w:tc>
        <w:tc>
          <w:tcPr>
            <w:tcW w:w="14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4"/>
              </w:rPr>
              <w:t>Yet Be Purchased</w:t>
            </w:r>
          </w:p>
        </w:tc>
      </w:tr>
      <w:tr>
        <w:trPr>
          <w:trHeight w:val="153"/>
        </w:trPr>
        <w:tc>
          <w:tcPr>
            <w:tcW w:w="58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center"/>
              <w:ind w:left="97"/>
              <w:spacing w:after="0"/>
              <w:rPr>
                <w:sz w:val="20"/>
                <w:szCs w:val="20"/>
                <w:color w:val="auto"/>
              </w:rPr>
            </w:pPr>
            <w:r>
              <w:rPr>
                <w:rFonts w:ascii="Arial" w:cs="Arial" w:eastAsia="Arial" w:hAnsi="Arial"/>
                <w:sz w:val="13"/>
                <w:szCs w:val="13"/>
                <w:b w:val="1"/>
                <w:bCs w:val="1"/>
                <w:color w:val="auto"/>
                <w:w w:val="96"/>
              </w:rPr>
              <w:t>Purchased</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57"/>
              <w:spacing w:after="0"/>
              <w:rPr>
                <w:sz w:val="20"/>
                <w:szCs w:val="20"/>
                <w:color w:val="auto"/>
              </w:rPr>
            </w:pPr>
            <w:r>
              <w:rPr>
                <w:rFonts w:ascii="Arial" w:cs="Arial" w:eastAsia="Arial" w:hAnsi="Arial"/>
                <w:sz w:val="13"/>
                <w:szCs w:val="13"/>
                <w:b w:val="1"/>
                <w:bCs w:val="1"/>
                <w:color w:val="auto"/>
                <w:w w:val="96"/>
              </w:rPr>
              <w:t>per Share</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center"/>
              <w:ind w:left="97"/>
              <w:spacing w:after="0"/>
              <w:rPr>
                <w:sz w:val="20"/>
                <w:szCs w:val="20"/>
                <w:color w:val="auto"/>
              </w:rPr>
            </w:pPr>
            <w:r>
              <w:rPr>
                <w:rFonts w:ascii="Arial" w:cs="Arial" w:eastAsia="Arial" w:hAnsi="Arial"/>
                <w:sz w:val="13"/>
                <w:szCs w:val="13"/>
                <w:b w:val="1"/>
                <w:bCs w:val="1"/>
                <w:color w:val="auto"/>
                <w:w w:val="96"/>
              </w:rPr>
              <w:t>Programs(1)</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jc w:val="center"/>
              <w:ind w:right="151"/>
              <w:spacing w:after="0"/>
              <w:rPr>
                <w:sz w:val="20"/>
                <w:szCs w:val="20"/>
                <w:color w:val="auto"/>
              </w:rPr>
            </w:pPr>
            <w:r>
              <w:rPr>
                <w:rFonts w:ascii="Arial" w:cs="Arial" w:eastAsia="Arial" w:hAnsi="Arial"/>
                <w:sz w:val="13"/>
                <w:szCs w:val="13"/>
                <w:b w:val="1"/>
                <w:bCs w:val="1"/>
                <w:color w:val="auto"/>
                <w:w w:val="95"/>
              </w:rPr>
              <w:t>Under Plans(1)</w:t>
            </w:r>
          </w:p>
        </w:tc>
      </w:tr>
      <w:tr>
        <w:trPr>
          <w:trHeight w:val="180"/>
        </w:trPr>
        <w:tc>
          <w:tcPr>
            <w:tcW w:w="6800" w:type="dxa"/>
            <w:vAlign w:val="bottom"/>
            <w:gridSpan w:val="2"/>
            <w:shd w:val="clear" w:color="auto" w:fill="CFF0FC"/>
          </w:tcPr>
          <w:p>
            <w:pPr>
              <w:spacing w:after="0" w:line="180" w:lineRule="exact"/>
              <w:rPr>
                <w:sz w:val="20"/>
                <w:szCs w:val="20"/>
                <w:color w:val="auto"/>
              </w:rPr>
            </w:pPr>
            <w:r>
              <w:rPr>
                <w:rFonts w:ascii="Arial" w:cs="Arial" w:eastAsia="Arial" w:hAnsi="Arial"/>
                <w:sz w:val="16"/>
                <w:szCs w:val="16"/>
                <w:color w:val="auto"/>
              </w:rPr>
              <w:t>April 1– April 30, 2020</w:t>
            </w:r>
          </w:p>
        </w:tc>
        <w:tc>
          <w:tcPr>
            <w:tcW w:w="2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777"/>
              <w:spacing w:after="0" w:line="180" w:lineRule="exact"/>
              <w:rPr>
                <w:sz w:val="20"/>
                <w:szCs w:val="20"/>
                <w:color w:val="auto"/>
              </w:rPr>
            </w:pPr>
            <w:r>
              <w:rPr>
                <w:rFonts w:ascii="Arial" w:cs="Arial" w:eastAsia="Arial" w:hAnsi="Arial"/>
                <w:sz w:val="16"/>
                <w:szCs w:val="16"/>
                <w:color w:val="auto"/>
              </w:rPr>
              <w:t>$</w:t>
            </w:r>
          </w:p>
        </w:tc>
        <w:tc>
          <w:tcPr>
            <w:tcW w:w="1440" w:type="dxa"/>
            <w:vAlign w:val="bottom"/>
            <w:gridSpan w:val="3"/>
            <w:shd w:val="clear" w:color="auto" w:fill="CFF0FC"/>
          </w:tcPr>
          <w:p>
            <w:pPr>
              <w:ind w:left="60"/>
              <w:spacing w:after="0" w:line="180" w:lineRule="exact"/>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line="180" w:lineRule="exact"/>
              <w:rPr>
                <w:sz w:val="20"/>
                <w:szCs w:val="20"/>
                <w:color w:val="auto"/>
              </w:rPr>
            </w:pPr>
            <w:r>
              <w:rPr>
                <w:rFonts w:ascii="Arial" w:cs="Arial" w:eastAsia="Arial" w:hAnsi="Arial"/>
                <w:sz w:val="16"/>
                <w:szCs w:val="16"/>
                <w:color w:val="auto"/>
              </w:rPr>
              <w:t>872,097,961</w:t>
            </w:r>
          </w:p>
        </w:tc>
      </w:tr>
      <w:tr>
        <w:trPr>
          <w:trHeight w:val="188"/>
        </w:trPr>
        <w:tc>
          <w:tcPr>
            <w:tcW w:w="6800" w:type="dxa"/>
            <w:vAlign w:val="bottom"/>
            <w:gridSpan w:val="2"/>
          </w:tcPr>
          <w:p>
            <w:pPr>
              <w:spacing w:after="0"/>
              <w:rPr>
                <w:sz w:val="20"/>
                <w:szCs w:val="20"/>
                <w:color w:val="auto"/>
              </w:rPr>
            </w:pPr>
            <w:r>
              <w:rPr>
                <w:rFonts w:ascii="Arial" w:cs="Arial" w:eastAsia="Arial" w:hAnsi="Arial"/>
                <w:sz w:val="16"/>
                <w:szCs w:val="16"/>
                <w:color w:val="auto"/>
              </w:rPr>
              <w:t>May 1 – May 31, 2020</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77"/>
              <w:spacing w:after="0"/>
              <w:rPr>
                <w:sz w:val="20"/>
                <w:szCs w:val="20"/>
                <w:color w:val="auto"/>
              </w:rPr>
            </w:pPr>
            <w:r>
              <w:rPr>
                <w:rFonts w:ascii="Arial" w:cs="Arial" w:eastAsia="Arial" w:hAnsi="Arial"/>
                <w:sz w:val="16"/>
                <w:szCs w:val="16"/>
                <w:color w:val="auto"/>
              </w:rPr>
              <w:t>$</w:t>
            </w:r>
          </w:p>
        </w:tc>
        <w:tc>
          <w:tcPr>
            <w:tcW w:w="144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1"/>
              <w:spacing w:after="0"/>
              <w:rPr>
                <w:sz w:val="20"/>
                <w:szCs w:val="20"/>
                <w:color w:val="auto"/>
              </w:rPr>
            </w:pPr>
            <w:r>
              <w:rPr>
                <w:rFonts w:ascii="Arial" w:cs="Arial" w:eastAsia="Arial" w:hAnsi="Arial"/>
                <w:sz w:val="16"/>
                <w:szCs w:val="16"/>
                <w:color w:val="auto"/>
              </w:rPr>
              <w:t>872,097,961</w:t>
            </w:r>
          </w:p>
        </w:tc>
      </w:tr>
      <w:tr>
        <w:trPr>
          <w:trHeight w:val="188"/>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June 1 – June 30, 2020</w:t>
            </w:r>
          </w:p>
        </w:tc>
        <w:tc>
          <w:tcPr>
            <w:tcW w:w="96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777"/>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6"/>
                <w:szCs w:val="16"/>
                <w:color w:val="auto"/>
              </w:rPr>
              <w:t>872,097,961</w:t>
            </w:r>
          </w:p>
        </w:tc>
      </w:tr>
      <w:tr>
        <w:trPr>
          <w:trHeight w:val="180"/>
        </w:trPr>
        <w:tc>
          <w:tcPr>
            <w:tcW w:w="6800" w:type="dxa"/>
            <w:vAlign w:val="bottom"/>
            <w:gridSpan w:val="2"/>
          </w:tcPr>
          <w:p>
            <w:pPr>
              <w:ind w:left="200"/>
              <w:spacing w:after="0" w:line="180" w:lineRule="exact"/>
              <w:rPr>
                <w:sz w:val="20"/>
                <w:szCs w:val="20"/>
                <w:color w:val="auto"/>
              </w:rPr>
            </w:pPr>
            <w:r>
              <w:rPr>
                <w:rFonts w:ascii="Arial" w:cs="Arial" w:eastAsia="Arial" w:hAnsi="Arial"/>
                <w:sz w:val="16"/>
                <w:szCs w:val="16"/>
                <w:color w:val="auto"/>
              </w:rPr>
              <w:t>Total</w:t>
            </w:r>
          </w:p>
        </w:tc>
        <w:tc>
          <w:tcPr>
            <w:tcW w:w="280" w:type="dxa"/>
            <w:vAlign w:val="bottom"/>
          </w:tcPr>
          <w:p>
            <w:pPr>
              <w:ind w:left="20"/>
              <w:spacing w:after="0" w:line="180" w:lineRule="exact"/>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77"/>
              <w:spacing w:after="0" w:line="180" w:lineRule="exact"/>
              <w:rPr>
                <w:sz w:val="20"/>
                <w:szCs w:val="20"/>
                <w:color w:val="auto"/>
              </w:rPr>
            </w:pPr>
            <w:r>
              <w:rPr>
                <w:rFonts w:ascii="Arial" w:cs="Arial" w:eastAsia="Arial" w:hAnsi="Arial"/>
                <w:sz w:val="16"/>
                <w:szCs w:val="16"/>
                <w:color w:val="auto"/>
              </w:rPr>
              <w:t>$</w:t>
            </w:r>
          </w:p>
        </w:tc>
        <w:tc>
          <w:tcPr>
            <w:tcW w:w="1440" w:type="dxa"/>
            <w:vAlign w:val="bottom"/>
            <w:gridSpan w:val="3"/>
          </w:tcPr>
          <w:p>
            <w:pPr>
              <w:ind w:left="60"/>
              <w:spacing w:after="0" w:line="180" w:lineRule="exact"/>
              <w:rPr>
                <w:sz w:val="20"/>
                <w:szCs w:val="20"/>
                <w:color w:val="auto"/>
              </w:rPr>
            </w:pPr>
            <w:r>
              <w:rPr>
                <w:rFonts w:ascii="Arial" w:cs="Arial" w:eastAsia="Arial" w:hAnsi="Arial"/>
                <w:sz w:val="16"/>
                <w:szCs w:val="16"/>
                <w:color w:val="auto"/>
              </w:rPr>
              <w:t>—</w:t>
            </w:r>
          </w:p>
        </w:tc>
        <w:tc>
          <w:tcPr>
            <w:tcW w:w="280" w:type="dxa"/>
            <w:vAlign w:val="bottom"/>
          </w:tcPr>
          <w:p>
            <w:pPr>
              <w:spacing w:after="0" w:line="18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right="180" w:hanging="396"/>
        <w:spacing w:after="0" w:line="23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values reflect the amounts that may be repurchased under the Repurchase Program approved by the Board of Directors on November 14, 2016 and the increases approved by the Board of Directors on November 8, 2017, July 30, 2018 and May 9, 2019 which, in the aggregate, authorized total repurchases of $3,000 million. The Repurchase Program has no termination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Item 6.</w:t>
            </w:r>
          </w:p>
        </w:tc>
        <w:tc>
          <w:tcPr>
            <w:tcW w:w="7500" w:type="dxa"/>
            <w:vAlign w:val="bottom"/>
            <w:gridSpan w:val="6"/>
          </w:tcPr>
          <w:p>
            <w:pPr>
              <w:ind w:left="20"/>
              <w:spacing w:after="0"/>
              <w:rPr>
                <w:sz w:val="20"/>
                <w:szCs w:val="20"/>
                <w:color w:val="auto"/>
              </w:rPr>
            </w:pPr>
            <w:r>
              <w:rPr>
                <w:rFonts w:ascii="Arial" w:cs="Arial" w:eastAsia="Arial" w:hAnsi="Arial"/>
                <w:sz w:val="16"/>
                <w:szCs w:val="16"/>
                <w:b w:val="1"/>
                <w:bCs w:val="1"/>
                <w:color w:val="auto"/>
              </w:rPr>
              <w:t>Exhibits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400" w:type="dxa"/>
            <w:vAlign w:val="bottom"/>
            <w:gridSpan w:val="3"/>
          </w:tcPr>
          <w:p>
            <w:pPr>
              <w:spacing w:after="0"/>
              <w:rPr>
                <w:sz w:val="20"/>
                <w:szCs w:val="20"/>
                <w:color w:val="auto"/>
              </w:rPr>
            </w:pPr>
            <w:r>
              <w:rPr>
                <w:rFonts w:ascii="Arial" w:cs="Arial" w:eastAsia="Arial" w:hAnsi="Arial"/>
                <w:sz w:val="16"/>
                <w:szCs w:val="16"/>
                <w:color w:val="auto"/>
              </w:rPr>
              <w:t>(a) Exhibits</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vMerge w:val="restart"/>
          </w:tcPr>
          <w:p>
            <w:pPr>
              <w:spacing w:after="0"/>
              <w:rPr>
                <w:sz w:val="24"/>
                <w:szCs w:val="24"/>
                <w:color w:val="auto"/>
              </w:rPr>
            </w:pPr>
          </w:p>
        </w:tc>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460" w:type="dxa"/>
            <w:vAlign w:val="bottom"/>
            <w:tcBorders>
              <w:top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5"/>
              </w:rPr>
              <w:t>Number</w:t>
            </w:r>
          </w:p>
        </w:tc>
        <w:tc>
          <w:tcPr>
            <w:tcW w:w="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2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60" w:type="dxa"/>
            <w:vAlign w:val="bottom"/>
          </w:tcPr>
          <w:p>
            <w:pPr>
              <w:ind w:left="40"/>
              <w:spacing w:after="0"/>
              <w:rPr>
                <w:sz w:val="20"/>
                <w:szCs w:val="20"/>
                <w:color w:val="auto"/>
              </w:rPr>
            </w:pPr>
            <w:r>
              <w:rPr>
                <w:rFonts w:ascii="Arial" w:cs="Arial" w:eastAsia="Arial" w:hAnsi="Arial"/>
                <w:sz w:val="16"/>
                <w:szCs w:val="16"/>
                <w:color w:val="auto"/>
              </w:rPr>
              <w:t>3.1</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60" w:type="dxa"/>
            <w:vAlign w:val="bottom"/>
            <w:gridSpan w:val="11"/>
          </w:tcPr>
          <w:p>
            <w:pPr>
              <w:spacing w:after="0"/>
              <w:rPr>
                <w:rFonts w:ascii="Arial" w:cs="Arial" w:eastAsia="Arial" w:hAnsi="Arial"/>
                <w:sz w:val="16"/>
                <w:szCs w:val="16"/>
                <w:color w:val="0000EE"/>
              </w:rPr>
            </w:pPr>
            <w:hyperlink r:id="rId69">
              <w:r>
                <w:rPr>
                  <w:rFonts w:ascii="Arial" w:cs="Arial" w:eastAsia="Arial" w:hAnsi="Arial"/>
                  <w:sz w:val="16"/>
                  <w:szCs w:val="16"/>
                  <w:color w:val="0000EE"/>
                </w:rPr>
                <w:t>Sixth Amended and Restated Bylaws of Allison Transmission Holdings, Inc. (incorporated by reference to Exhibit 3.1 to the Registrant’s</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6"/>
          </w:tcPr>
          <w:p>
            <w:pPr>
              <w:spacing w:after="0" w:line="156" w:lineRule="exact"/>
              <w:rPr>
                <w:rFonts w:ascii="Arial" w:cs="Arial" w:eastAsia="Arial" w:hAnsi="Arial"/>
                <w:sz w:val="16"/>
                <w:szCs w:val="16"/>
                <w:color w:val="0000EE"/>
              </w:rPr>
            </w:pPr>
            <w:hyperlink r:id="rId69">
              <w:r>
                <w:rPr>
                  <w:rFonts w:ascii="Arial" w:cs="Arial" w:eastAsia="Arial" w:hAnsi="Arial"/>
                  <w:sz w:val="16"/>
                  <w:szCs w:val="16"/>
                  <w:color w:val="0000EE"/>
                </w:rPr>
                <w:t>Current Report on Form 8-K filed on May 11, 2020)</w:t>
              </w:r>
            </w:hyperlink>
          </w:p>
        </w:tc>
        <w:tc>
          <w:tcPr>
            <w:tcW w:w="17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60" w:type="dxa"/>
            <w:vAlign w:val="bottom"/>
          </w:tcPr>
          <w:p>
            <w:pPr>
              <w:ind w:left="40"/>
              <w:spacing w:after="0"/>
              <w:rPr>
                <w:sz w:val="20"/>
                <w:szCs w:val="20"/>
                <w:color w:val="auto"/>
              </w:rPr>
            </w:pPr>
            <w:r>
              <w:rPr>
                <w:rFonts w:ascii="Arial" w:cs="Arial" w:eastAsia="Arial" w:hAnsi="Arial"/>
                <w:sz w:val="16"/>
                <w:szCs w:val="16"/>
                <w:color w:val="auto"/>
              </w:rPr>
              <w:t>31.1</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00" w:type="dxa"/>
            <w:vAlign w:val="bottom"/>
            <w:gridSpan w:val="6"/>
          </w:tcPr>
          <w:p>
            <w:pPr>
              <w:spacing w:after="0"/>
              <w:rPr>
                <w:rFonts w:ascii="Arial" w:cs="Arial" w:eastAsia="Arial" w:hAnsi="Arial"/>
                <w:sz w:val="16"/>
                <w:szCs w:val="16"/>
                <w:color w:val="0000EE"/>
                <w:w w:val="97"/>
              </w:rPr>
            </w:pPr>
            <w:hyperlink w:anchor="page47">
              <w:r>
                <w:rPr>
                  <w:rFonts w:ascii="Arial" w:cs="Arial" w:eastAsia="Arial" w:hAnsi="Arial"/>
                  <w:sz w:val="16"/>
                  <w:szCs w:val="16"/>
                  <w:color w:val="0000EE"/>
                  <w:w w:val="97"/>
                </w:rPr>
                <w:t>Certification of Chief Executive Officer pursuant to Rule 13a-14(a)/15d-14(a) as adopted pursuant to Section</w:t>
              </w:r>
            </w:hyperlink>
          </w:p>
        </w:tc>
        <w:tc>
          <w:tcPr>
            <w:tcW w:w="2360" w:type="dxa"/>
            <w:vAlign w:val="bottom"/>
            <w:gridSpan w:val="5"/>
          </w:tcPr>
          <w:p>
            <w:pPr>
              <w:ind w:left="60"/>
              <w:spacing w:after="0"/>
              <w:rPr>
                <w:rFonts w:ascii="Arial" w:cs="Arial" w:eastAsia="Arial" w:hAnsi="Arial"/>
                <w:sz w:val="16"/>
                <w:szCs w:val="16"/>
                <w:color w:val="0000EE"/>
              </w:rPr>
            </w:pPr>
            <w:hyperlink w:anchor="page47">
              <w:r>
                <w:rPr>
                  <w:rFonts w:ascii="Arial" w:cs="Arial" w:eastAsia="Arial" w:hAnsi="Arial"/>
                  <w:sz w:val="16"/>
                  <w:szCs w:val="16"/>
                  <w:color w:val="0000EE"/>
                </w:rPr>
                <w:t>302 of the Sarbanes-Oxley Act</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Borders>
              <w:top w:val="single" w:sz="8" w:color="0000EE"/>
              <w:bottom w:val="single" w:sz="8" w:color="0000EE"/>
            </w:tcBorders>
            <w:gridSpan w:val="2"/>
          </w:tcPr>
          <w:p>
            <w:pPr>
              <w:spacing w:after="0" w:line="156" w:lineRule="exact"/>
              <w:rPr>
                <w:rFonts w:ascii="Arial" w:cs="Arial" w:eastAsia="Arial" w:hAnsi="Arial"/>
                <w:sz w:val="16"/>
                <w:szCs w:val="16"/>
                <w:color w:val="0000EE"/>
                <w:w w:val="97"/>
              </w:rPr>
            </w:pPr>
            <w:hyperlink w:anchor="page47">
              <w:r>
                <w:rPr>
                  <w:rFonts w:ascii="Arial" w:cs="Arial" w:eastAsia="Arial" w:hAnsi="Arial"/>
                  <w:sz w:val="16"/>
                  <w:szCs w:val="16"/>
                  <w:color w:val="0000EE"/>
                  <w:w w:val="97"/>
                </w:rPr>
                <w:t>of 2002 (filed herewith)</w:t>
              </w:r>
            </w:hyperlink>
          </w:p>
        </w:tc>
        <w:tc>
          <w:tcPr>
            <w:tcW w:w="5900" w:type="dxa"/>
            <w:vAlign w:val="bottom"/>
            <w:tcBorders>
              <w:top w:val="single" w:sz="8" w:color="0000EE"/>
            </w:tcBorders>
            <w:gridSpan w:val="4"/>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60" w:type="dxa"/>
            <w:vAlign w:val="bottom"/>
          </w:tcPr>
          <w:p>
            <w:pPr>
              <w:ind w:left="40"/>
              <w:spacing w:after="0"/>
              <w:rPr>
                <w:sz w:val="20"/>
                <w:szCs w:val="20"/>
                <w:color w:val="auto"/>
              </w:rPr>
            </w:pPr>
            <w:r>
              <w:rPr>
                <w:rFonts w:ascii="Arial" w:cs="Arial" w:eastAsia="Arial" w:hAnsi="Arial"/>
                <w:sz w:val="16"/>
                <w:szCs w:val="16"/>
                <w:color w:val="auto"/>
              </w:rPr>
              <w:t>31.2</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00" w:type="dxa"/>
            <w:vAlign w:val="bottom"/>
            <w:gridSpan w:val="6"/>
          </w:tcPr>
          <w:p>
            <w:pPr>
              <w:spacing w:after="0"/>
              <w:rPr>
                <w:rFonts w:ascii="Arial" w:cs="Arial" w:eastAsia="Arial" w:hAnsi="Arial"/>
                <w:sz w:val="16"/>
                <w:szCs w:val="16"/>
                <w:color w:val="0000EE"/>
                <w:w w:val="98"/>
              </w:rPr>
            </w:pPr>
            <w:hyperlink w:anchor="page48">
              <w:r>
                <w:rPr>
                  <w:rFonts w:ascii="Arial" w:cs="Arial" w:eastAsia="Arial" w:hAnsi="Arial"/>
                  <w:sz w:val="16"/>
                  <w:szCs w:val="16"/>
                  <w:color w:val="0000EE"/>
                  <w:w w:val="98"/>
                </w:rPr>
                <w:t>Certification of Chief Financial Officer pursuant to Rule 13a-14(a)/15d-14(a) as adopted pursuant to Section</w:t>
              </w:r>
            </w:hyperlink>
          </w:p>
        </w:tc>
        <w:tc>
          <w:tcPr>
            <w:tcW w:w="2360" w:type="dxa"/>
            <w:vAlign w:val="bottom"/>
            <w:gridSpan w:val="5"/>
          </w:tcPr>
          <w:p>
            <w:pPr>
              <w:ind w:left="20"/>
              <w:spacing w:after="0"/>
              <w:rPr>
                <w:rFonts w:ascii="Arial" w:cs="Arial" w:eastAsia="Arial" w:hAnsi="Arial"/>
                <w:sz w:val="16"/>
                <w:szCs w:val="16"/>
                <w:color w:val="0000EE"/>
                <w:w w:val="98"/>
              </w:rPr>
            </w:pPr>
            <w:hyperlink w:anchor="page48">
              <w:r>
                <w:rPr>
                  <w:rFonts w:ascii="Arial" w:cs="Arial" w:eastAsia="Arial" w:hAnsi="Arial"/>
                  <w:sz w:val="16"/>
                  <w:szCs w:val="16"/>
                  <w:color w:val="0000EE"/>
                  <w:w w:val="98"/>
                </w:rPr>
                <w:t>302 of the Sarbanes-Oxley Act of</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6"/>
          </w:tcPr>
          <w:p>
            <w:pPr>
              <w:spacing w:after="0" w:line="156" w:lineRule="exact"/>
              <w:rPr>
                <w:rFonts w:ascii="Arial" w:cs="Arial" w:eastAsia="Arial" w:hAnsi="Arial"/>
                <w:sz w:val="16"/>
                <w:szCs w:val="16"/>
                <w:color w:val="0000EE"/>
              </w:rPr>
            </w:pPr>
            <w:hyperlink w:anchor="page48">
              <w:r>
                <w:rPr>
                  <w:rFonts w:ascii="Arial" w:cs="Arial" w:eastAsia="Arial" w:hAnsi="Arial"/>
                  <w:sz w:val="16"/>
                  <w:szCs w:val="16"/>
                  <w:color w:val="0000EE"/>
                </w:rPr>
                <w:t>2002 (filed herewith)</w:t>
              </w:r>
            </w:hyperlink>
          </w:p>
        </w:tc>
        <w:tc>
          <w:tcPr>
            <w:tcW w:w="17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0" w:type="dxa"/>
            <w:vAlign w:val="bottom"/>
          </w:tcPr>
          <w:p>
            <w:pPr>
              <w:ind w:left="40"/>
              <w:spacing w:after="0"/>
              <w:rPr>
                <w:sz w:val="20"/>
                <w:szCs w:val="20"/>
                <w:color w:val="auto"/>
              </w:rPr>
            </w:pPr>
            <w:r>
              <w:rPr>
                <w:rFonts w:ascii="Arial" w:cs="Arial" w:eastAsia="Arial" w:hAnsi="Arial"/>
                <w:sz w:val="16"/>
                <w:szCs w:val="16"/>
                <w:color w:val="auto"/>
              </w:rPr>
              <w:t>32.1</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60" w:type="dxa"/>
            <w:vAlign w:val="bottom"/>
            <w:gridSpan w:val="11"/>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Certification of Periodic Report by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6"/>
          </w:tcPr>
          <w:p>
            <w:pPr>
              <w:spacing w:after="0" w:line="156" w:lineRule="exact"/>
              <w:rPr>
                <w:rFonts w:ascii="Arial" w:cs="Arial" w:eastAsia="Arial" w:hAnsi="Arial"/>
                <w:sz w:val="16"/>
                <w:szCs w:val="16"/>
                <w:color w:val="0000EE"/>
              </w:rPr>
            </w:pPr>
            <w:hyperlink w:anchor="page49">
              <w:r>
                <w:rPr>
                  <w:rFonts w:ascii="Arial" w:cs="Arial" w:eastAsia="Arial" w:hAnsi="Arial"/>
                  <w:sz w:val="16"/>
                  <w:szCs w:val="16"/>
                  <w:color w:val="0000EE"/>
                </w:rPr>
                <w:t>pursuant to Section 906 of the Sarbanes-Oxley Act of 2002 (filed herewith)</w:t>
              </w:r>
            </w:hyperlink>
          </w:p>
        </w:tc>
        <w:tc>
          <w:tcPr>
            <w:tcW w:w="172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1400" w:hanging="1359"/>
        <w:spacing w:after="0"/>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June 30, 2020, formatted</w:t>
      </w:r>
    </w:p>
    <w:p>
      <w:pPr>
        <w:ind w:left="1400" w:right="60"/>
        <w:spacing w:after="0" w:line="234" w:lineRule="auto"/>
        <w:rPr>
          <w:rFonts w:ascii="Arial" w:cs="Arial" w:eastAsia="Arial" w:hAnsi="Arial"/>
          <w:sz w:val="16"/>
          <w:szCs w:val="16"/>
          <w:color w:val="auto"/>
        </w:rPr>
      </w:pPr>
      <w:r>
        <w:rPr>
          <w:rFonts w:ascii="Arial" w:cs="Arial" w:eastAsia="Arial" w:hAnsi="Arial"/>
          <w:sz w:val="16"/>
          <w:szCs w:val="16"/>
          <w:color w:val="auto"/>
        </w:rPr>
        <w:t>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96" w:lineRule="exact"/>
        <w:rPr>
          <w:sz w:val="20"/>
          <w:szCs w:val="20"/>
          <w:color w:val="auto"/>
        </w:rPr>
      </w:pPr>
    </w:p>
    <w:p>
      <w:pPr>
        <w:ind w:left="1400" w:right="40" w:hanging="1359"/>
        <w:spacing w:after="0" w:line="237"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the Registrant’s Quarterly Report on Form 10-Q for the quarter ended June 30, 2020, formatted in Inline XBRL and contained in Exhibit 101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5010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ALLISON TRANSMISSION HOLDINGS, INC.</w:t>
            </w:r>
          </w:p>
        </w:tc>
      </w:tr>
      <w:tr>
        <w:trPr>
          <w:trHeight w:val="447"/>
        </w:trPr>
        <w:tc>
          <w:tcPr>
            <w:tcW w:w="2020" w:type="dxa"/>
            <w:vAlign w:val="bottom"/>
          </w:tcPr>
          <w:p>
            <w:pPr>
              <w:spacing w:after="0"/>
              <w:rPr>
                <w:sz w:val="20"/>
                <w:szCs w:val="20"/>
                <w:color w:val="auto"/>
              </w:rPr>
            </w:pPr>
            <w:r>
              <w:rPr>
                <w:rFonts w:ascii="Arial" w:cs="Arial" w:eastAsia="Arial" w:hAnsi="Arial"/>
                <w:sz w:val="16"/>
                <w:szCs w:val="16"/>
                <w:color w:val="auto"/>
              </w:rPr>
              <w:t>Date: August 5, 2020</w:t>
            </w:r>
          </w:p>
        </w:tc>
        <w:tc>
          <w:tcPr>
            <w:tcW w:w="1020" w:type="dxa"/>
            <w:vAlign w:val="bottom"/>
          </w:tcPr>
          <w:p>
            <w:pPr>
              <w:ind w:left="54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David S. Graziosi</w:t>
            </w:r>
          </w:p>
        </w:tc>
      </w:tr>
      <w:tr>
        <w:trPr>
          <w:trHeight w:val="367"/>
        </w:trPr>
        <w:tc>
          <w:tcPr>
            <w:tcW w:w="2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David S. Graziosi</w:t>
            </w:r>
          </w:p>
        </w:tc>
      </w:tr>
      <w:tr>
        <w:trPr>
          <w:trHeight w:val="259"/>
        </w:trPr>
        <w:tc>
          <w:tcPr>
            <w:tcW w:w="2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rPr>
              <w:t>President and Chief Executive Officer</w:t>
            </w:r>
          </w:p>
        </w:tc>
      </w:tr>
      <w:tr>
        <w:trPr>
          <w:trHeight w:val="176"/>
        </w:trPr>
        <w:tc>
          <w:tcPr>
            <w:tcW w:w="2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60" w:type="dxa"/>
            <w:vAlign w:val="bottom"/>
          </w:tcPr>
          <w:p>
            <w:pPr>
              <w:ind w:left="220"/>
              <w:spacing w:after="0" w:line="176" w:lineRule="exact"/>
              <w:rPr>
                <w:sz w:val="20"/>
                <w:szCs w:val="20"/>
                <w:color w:val="auto"/>
              </w:rPr>
            </w:pPr>
            <w:r>
              <w:rPr>
                <w:rFonts w:ascii="Arial" w:cs="Arial" w:eastAsia="Arial" w:hAnsi="Arial"/>
                <w:sz w:val="16"/>
                <w:szCs w:val="16"/>
                <w:color w:val="auto"/>
              </w:rPr>
              <w:t>(Principal Executive Officer)</w:t>
            </w:r>
          </w:p>
        </w:tc>
      </w:tr>
      <w:tr>
        <w:trPr>
          <w:trHeight w:val="188"/>
        </w:trPr>
        <w:tc>
          <w:tcPr>
            <w:tcW w:w="2020" w:type="dxa"/>
            <w:vAlign w:val="bottom"/>
          </w:tcPr>
          <w:p>
            <w:pPr>
              <w:spacing w:after="0"/>
              <w:rPr>
                <w:sz w:val="20"/>
                <w:szCs w:val="20"/>
                <w:color w:val="auto"/>
              </w:rPr>
            </w:pPr>
            <w:r>
              <w:rPr>
                <w:rFonts w:ascii="Arial" w:cs="Arial" w:eastAsia="Arial" w:hAnsi="Arial"/>
                <w:sz w:val="16"/>
                <w:szCs w:val="16"/>
                <w:color w:val="auto"/>
              </w:rPr>
              <w:t>Date: August 5, 2020</w:t>
            </w:r>
          </w:p>
        </w:tc>
        <w:tc>
          <w:tcPr>
            <w:tcW w:w="1020" w:type="dxa"/>
            <w:vAlign w:val="bottom"/>
          </w:tcPr>
          <w:p>
            <w:pPr>
              <w:ind w:left="54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G. Frederick Bohley</w:t>
            </w:r>
          </w:p>
        </w:tc>
      </w:tr>
      <w:tr>
        <w:trPr>
          <w:trHeight w:val="367"/>
        </w:trPr>
        <w:tc>
          <w:tcPr>
            <w:tcW w:w="2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G. Frederick Bohley</w:t>
            </w:r>
          </w:p>
        </w:tc>
      </w:tr>
      <w:tr>
        <w:trPr>
          <w:trHeight w:val="223"/>
        </w:trPr>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w w:val="97"/>
              </w:rPr>
              <w:t>Senior Vice President, Chief Financial Officer and Treasurer (Principal</w:t>
            </w:r>
          </w:p>
        </w:tc>
      </w:tr>
      <w:tr>
        <w:trPr>
          <w:trHeight w:val="188"/>
        </w:trPr>
        <w:tc>
          <w:tcPr>
            <w:tcW w:w="2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Financial Officer and Principal Accounting Officer)</w:t>
            </w:r>
          </w:p>
        </w:tc>
      </w:tr>
      <w:tr>
        <w:trPr>
          <w:trHeight w:val="775"/>
        </w:trPr>
        <w:tc>
          <w:tcPr>
            <w:tcW w:w="2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ind w:left="1380"/>
              <w:spacing w:after="0"/>
              <w:rPr>
                <w:sz w:val="20"/>
                <w:szCs w:val="20"/>
                <w:color w:val="auto"/>
              </w:rPr>
            </w:pPr>
            <w:r>
              <w:rPr>
                <w:rFonts w:ascii="Arial" w:cs="Arial" w:eastAsia="Arial" w:hAnsi="Arial"/>
                <w:sz w:val="16"/>
                <w:szCs w:val="16"/>
                <w:color w:val="auto"/>
              </w:rPr>
              <w:t>46</w:t>
            </w:r>
          </w:p>
        </w:tc>
      </w:tr>
    </w:tbl>
    <w:p>
      <w:pPr>
        <w:sectPr>
          <w:pgSz w:w="11900" w:h="16838" w:orient="portrait"/>
          <w:cols w:equalWidth="0" w:num="1">
            <w:col w:w="10440"/>
          </w:cols>
          <w:pgMar w:left="320" w:top="140" w:right="11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31.1</w:t>
      </w:r>
    </w:p>
    <w:p>
      <w:pPr>
        <w:spacing w:after="0" w:line="136" w:lineRule="exact"/>
        <w:rPr>
          <w:sz w:val="20"/>
          <w:szCs w:val="20"/>
          <w:color w:val="auto"/>
        </w:rPr>
      </w:pPr>
    </w:p>
    <w:p>
      <w:pPr>
        <w:jc w:val="center"/>
        <w:ind w:right="14"/>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6"/>
          <w:szCs w:val="16"/>
          <w:color w:val="auto"/>
        </w:rPr>
        <w:t>I, David S. Graziosi, certify that:</w:t>
      </w:r>
    </w:p>
    <w:p>
      <w:pPr>
        <w:spacing w:after="0" w:line="192" w:lineRule="exact"/>
        <w:rPr>
          <w:sz w:val="20"/>
          <w:szCs w:val="20"/>
          <w:color w:val="auto"/>
        </w:rPr>
      </w:pPr>
    </w:p>
    <w:p>
      <w:pPr>
        <w:ind w:left="746" w:hanging="746"/>
        <w:spacing w:after="0"/>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40" w:hanging="746"/>
        <w:spacing w:after="0" w:line="298"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40" w:hanging="746"/>
        <w:spacing w:after="0" w:line="265"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40" w:hanging="746"/>
        <w:spacing w:after="0" w:line="381" w:lineRule="auto"/>
        <w:tabs>
          <w:tab w:leader="none" w:pos="746"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3"/>
          <w:szCs w:val="13"/>
          <w:color w:val="auto"/>
        </w:rPr>
      </w:pPr>
    </w:p>
    <w:p>
      <w:pPr>
        <w:ind w:left="1486" w:right="22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10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12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8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right="40" w:hanging="746"/>
        <w:spacing w:after="0" w:line="265"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30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52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August 5, 2020</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8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57886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Arial" w:cs="Arial" w:eastAsia="Arial" w:hAnsi="Arial"/>
          <w:sz w:val="16"/>
          <w:szCs w:val="16"/>
          <w:color w:val="auto"/>
        </w:rPr>
        <w:t>Title:</w:t>
        <w:tab/>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66"/>
          </w:cols>
          <w:pgMar w:left="314" w:top="120"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65" w:lineRule="exact"/>
        <w:rPr>
          <w:sz w:val="20"/>
          <w:szCs w:val="20"/>
          <w:color w:val="auto"/>
        </w:rPr>
      </w:pPr>
    </w:p>
    <w:p>
      <w:pPr>
        <w:jc w:val="center"/>
        <w:ind w:right="14"/>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6"/>
          <w:szCs w:val="16"/>
          <w:color w:val="auto"/>
        </w:rPr>
        <w:t>I, G. Frederick Bohley, certify that:</w:t>
      </w:r>
    </w:p>
    <w:p>
      <w:pPr>
        <w:spacing w:after="0" w:line="192" w:lineRule="exact"/>
        <w:rPr>
          <w:sz w:val="20"/>
          <w:szCs w:val="20"/>
          <w:color w:val="auto"/>
        </w:rPr>
      </w:pPr>
    </w:p>
    <w:p>
      <w:pPr>
        <w:ind w:left="746" w:hanging="746"/>
        <w:spacing w:after="0"/>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40" w:hanging="746"/>
        <w:spacing w:after="0" w:line="298"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40" w:hanging="746"/>
        <w:spacing w:after="0" w:line="265"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40" w:hanging="746"/>
        <w:spacing w:after="0" w:line="381" w:lineRule="auto"/>
        <w:tabs>
          <w:tab w:leader="none" w:pos="746"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486" w:right="22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10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12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8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right="40" w:hanging="746"/>
        <w:spacing w:after="0" w:line="265"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30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52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August 5, 2020</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417512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4175125" cy="7620"/>
                    </a:xfrm>
                    <a:prstGeom prst="rect">
                      <a:avLst/>
                    </a:prstGeom>
                    <a:noFill/>
                  </pic:spPr>
                </pic:pic>
              </a:graphicData>
            </a:graphic>
          </wp:anchor>
        </w:drawing>
      </w:r>
    </w:p>
    <w:p>
      <w:pPr>
        <w:ind w:left="6"/>
        <w:spacing w:after="0"/>
        <w:tabs>
          <w:tab w:leader="none" w:pos="426"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3"/>
          <w:szCs w:val="13"/>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66"/>
          </w:cols>
          <w:pgMar w:left="314" w:top="120"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195"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left="6" w:right="120" w:firstLine="751"/>
        <w:spacing w:after="0" w:line="251" w:lineRule="auto"/>
        <w:rPr>
          <w:sz w:val="20"/>
          <w:szCs w:val="20"/>
          <w:color w:val="auto"/>
        </w:rPr>
      </w:pPr>
      <w:r>
        <w:rPr>
          <w:rFonts w:ascii="Arial" w:cs="Arial" w:eastAsia="Arial" w:hAnsi="Arial"/>
          <w:sz w:val="16"/>
          <w:szCs w:val="16"/>
          <w:color w:val="auto"/>
        </w:rPr>
        <w:t>In connection with the Quarterly Report of Allison Transmission Holdings, Inc. (the “Company”) on Form 10-Q for the quarter ending June 30, 2020 as filed with the Securities and Exchange Commission on the date hereof (the “Report”), we, David S. Graziosi,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70" w:lineRule="exact"/>
        <w:rPr>
          <w:sz w:val="20"/>
          <w:szCs w:val="20"/>
          <w:color w:val="auto"/>
        </w:rPr>
      </w:pPr>
    </w:p>
    <w:p>
      <w:pPr>
        <w:ind w:left="746" w:hanging="746"/>
        <w:spacing w:after="0"/>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3" w:lineRule="exact"/>
        <w:rPr>
          <w:rFonts w:ascii="Arial" w:cs="Arial" w:eastAsia="Arial" w:hAnsi="Arial"/>
          <w:sz w:val="16"/>
          <w:szCs w:val="16"/>
          <w:color w:val="auto"/>
        </w:rPr>
      </w:pPr>
    </w:p>
    <w:p>
      <w:pPr>
        <w:ind w:left="746" w:hanging="746"/>
        <w:spacing w:after="0"/>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August 5, 2020</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August 5, 2020</w:t>
      </w:r>
    </w:p>
    <w:p>
      <w:pPr>
        <w:spacing w:after="0" w:line="3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66"/>
      </w:cols>
      <w:pgMar w:left="314"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1"/>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69" Type="http://schemas.openxmlformats.org/officeDocument/2006/relationships/hyperlink" Target="http://www.sec.gov/Archives/edgar/data/1411207/000119312520139220/d90809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2020-08-05T15:12:48Z</dcterms:created>
  <dcterms:modified xsi:type="dcterms:W3CDTF">2020-08-05T15:12:48Z</dcterms:modified>
</cp:coreProperties>
</file>