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Scroggins Eric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ALLISON TRANSMISSION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ALLISON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Allison Transmission Holdings Inc</w:t>
              </w:r>
            </w:hyperlink>
            <w:r>
              <w:rPr/>
              <w:t xml:space="preserve"> [ </w:t>
            </w:r>
            <w:r>
              <w:rPr>
                <w:rFonts w:ascii="Times;serif" w:hAnsi="Times;serif"/>
                <w:color w:val="0000FF"/>
                <w:sz w:val="24"/>
                <w:shd w:fill="FFFFFF" w:val="clear"/>
              </w:rPr>
              <w:t>ALSN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CLO &amp; Asst.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previously awarded restricted stock units ("RSUs") and vest proportionately with the RSUs to which they relate. Each dividend equivalent right is the economic equivalent of one share of Allison Transmission Holdings, Inc.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Preston B. Ray,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43507" TargetMode="External"/><Relationship Id="rId5" Type="http://schemas.openxmlformats.org/officeDocument/2006/relationships/hyperlink" Target="http://www.sec.gov/cgi-bin/browse-edgar?action=getcompany&amp;CIK=00014112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3377</Characters>
  <CharactersWithSpaces>3922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