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159385</wp:posOffset>
            </wp:positionV>
            <wp:extent cx="201549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jc w:val="right"/>
              <w:ind w:right="204"/>
              <w:spacing w:after="0"/>
              <w:rPr>
                <w:sz w:val="20"/>
                <w:szCs w:val="20"/>
                <w:color w:val="auto"/>
              </w:rPr>
            </w:pPr>
            <w:r>
              <w:rPr>
                <w:rFonts w:ascii="Times New Roman" w:cs="Times New Roman" w:eastAsia="Times New Roman" w:hAnsi="Times New Roman"/>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68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spacing w:after="0"/>
              <w:rPr>
                <w:sz w:val="16"/>
                <w:szCs w:val="16"/>
                <w:color w:val="auto"/>
              </w:rPr>
            </w:pPr>
          </w:p>
        </w:tc>
        <w:tc>
          <w:tcPr>
            <w:tcW w:w="168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w w:val="99"/>
              </w:rPr>
              <w:t>One Allison Way</w:t>
            </w:r>
          </w:p>
        </w:tc>
        <w:tc>
          <w:tcPr>
            <w:tcW w:w="1680" w:type="dxa"/>
            <w:vAlign w:val="bottom"/>
          </w:tcPr>
          <w:p>
            <w:pPr>
              <w:spacing w:after="0"/>
              <w:rPr>
                <w:sz w:val="24"/>
                <w:szCs w:val="24"/>
                <w:color w:val="auto"/>
              </w:rPr>
            </w:pPr>
          </w:p>
        </w:tc>
      </w:tr>
      <w:tr>
        <w:trPr>
          <w:trHeight w:val="227"/>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8"/>
                <w:szCs w:val="18"/>
                <w:b w:val="1"/>
                <w:bCs w:val="1"/>
                <w:color w:val="auto"/>
              </w:rPr>
              <w:t>Indianapolis, IN</w:t>
            </w:r>
          </w:p>
        </w:tc>
        <w:tc>
          <w:tcPr>
            <w:tcW w:w="168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46222</w:t>
            </w:r>
          </w:p>
        </w:tc>
      </w:tr>
      <w:tr>
        <w:trPr>
          <w:trHeight w:val="190"/>
        </w:trPr>
        <w:tc>
          <w:tcPr>
            <w:tcW w:w="6020" w:type="dxa"/>
            <w:vAlign w:val="bottom"/>
          </w:tcPr>
          <w:p>
            <w:pPr>
              <w:jc w:val="center"/>
              <w:ind w:right="3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20" w:type="dxa"/>
            <w:vAlign w:val="bottom"/>
          </w:tcPr>
          <w:p>
            <w:pPr>
              <w:jc w:val="right"/>
              <w:ind w:right="1318"/>
              <w:spacing w:after="0"/>
              <w:rPr>
                <w:sz w:val="20"/>
                <w:szCs w:val="20"/>
                <w:color w:val="auto"/>
              </w:rPr>
            </w:pPr>
            <w:r>
              <w:rPr>
                <w:rFonts w:ascii="Times New Roman" w:cs="Times New Roman" w:eastAsia="Times New Roman" w:hAnsi="Times New Roman"/>
                <w:sz w:val="18"/>
                <w:szCs w:val="18"/>
                <w:b w:val="1"/>
                <w:bCs w:val="1"/>
                <w:color w:val="auto"/>
              </w:rPr>
              <w:t>(317) 242-5000</w:t>
            </w:r>
          </w:p>
        </w:tc>
        <w:tc>
          <w:tcPr>
            <w:tcW w:w="1680" w:type="dxa"/>
            <w:vAlign w:val="bottom"/>
          </w:tcPr>
          <w:p>
            <w:pPr>
              <w:spacing w:after="0"/>
              <w:rPr>
                <w:sz w:val="24"/>
                <w:szCs w:val="24"/>
                <w:color w:val="auto"/>
              </w:rPr>
            </w:pPr>
          </w:p>
        </w:tc>
      </w:tr>
      <w:tr>
        <w:trPr>
          <w:trHeight w:val="190"/>
        </w:trPr>
        <w:tc>
          <w:tcPr>
            <w:tcW w:w="6020" w:type="dxa"/>
            <w:vAlign w:val="bottom"/>
          </w:tcPr>
          <w:p>
            <w:pPr>
              <w:jc w:val="center"/>
              <w:ind w:left="20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Accelrated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April 16, 2018, there were 137,413,790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698"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gridSpan w:val="9"/>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1780" w:type="dxa"/>
            <w:vAlign w:val="bottom"/>
            <w:vMerge w:val="restart"/>
          </w:tcPr>
          <w:p>
            <w:pPr>
              <w:spacing w:after="0"/>
              <w:rPr>
                <w:sz w:val="14"/>
                <w:szCs w:val="14"/>
                <w:color w:val="auto"/>
              </w:rPr>
            </w:pPr>
          </w:p>
        </w:tc>
        <w:tc>
          <w:tcPr>
            <w:tcW w:w="2200" w:type="dxa"/>
            <w:vAlign w:val="bottom"/>
            <w:gridSpan w:val="3"/>
          </w:tcPr>
          <w:p>
            <w:pPr>
              <w:ind w:left="18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80" w:type="dxa"/>
            <w:vAlign w:val="bottom"/>
            <w:tcBorders>
              <w:bottom w:val="single" w:sz="8" w:color="0000EE"/>
            </w:tcBorders>
            <w:gridSpan w:val="9"/>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gridSpan w:val="2"/>
          </w:tcPr>
          <w:p>
            <w:pPr>
              <w:spacing w:after="0"/>
              <w:rPr>
                <w:sz w:val="24"/>
                <w:szCs w:val="24"/>
                <w:color w:val="auto"/>
              </w:rPr>
            </w:pP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2200" w:type="dxa"/>
            <w:vAlign w:val="bottom"/>
            <w:gridSpan w:val="3"/>
          </w:tcPr>
          <w:p>
            <w:pPr>
              <w:jc w:val="center"/>
              <w:ind w:left="1671"/>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320" w:type="dxa"/>
            <w:vAlign w:val="bottom"/>
            <w:gridSpan w:val="11"/>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860" w:type="dxa"/>
            <w:vAlign w:val="bottom"/>
            <w:tcBorders>
              <w:top w:val="single" w:sz="8" w:color="0000EE"/>
            </w:tcBorders>
            <w:gridSpan w:val="4"/>
          </w:tcPr>
          <w:p>
            <w:pPr>
              <w:spacing w:after="0"/>
              <w:rPr>
                <w:sz w:val="24"/>
                <w:szCs w:val="24"/>
                <w:color w:val="auto"/>
              </w:rPr>
            </w:pPr>
          </w:p>
        </w:tc>
        <w:tc>
          <w:tcPr>
            <w:tcW w:w="3680" w:type="dxa"/>
            <w:vAlign w:val="bottom"/>
            <w:gridSpan w:val="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260" w:type="dxa"/>
            <w:vAlign w:val="bottom"/>
            <w:gridSpan w:val="7"/>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38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800" w:type="dxa"/>
            <w:vAlign w:val="bottom"/>
            <w:gridSpan w:val="2"/>
          </w:tcPr>
          <w:p>
            <w:pPr>
              <w:spacing w:after="0"/>
              <w:rPr>
                <w:sz w:val="24"/>
                <w:szCs w:val="24"/>
                <w:color w:val="auto"/>
              </w:rPr>
            </w:pPr>
          </w:p>
        </w:tc>
        <w:tc>
          <w:tcPr>
            <w:tcW w:w="2200" w:type="dxa"/>
            <w:vAlign w:val="bottom"/>
            <w:gridSpan w:val="3"/>
          </w:tcPr>
          <w:p>
            <w:pPr>
              <w:jc w:val="center"/>
              <w:ind w:left="1691"/>
              <w:spacing w:after="0"/>
              <w:rPr>
                <w:sz w:val="20"/>
                <w:szCs w:val="20"/>
                <w:color w:val="auto"/>
              </w:rPr>
            </w:pPr>
            <w:r>
              <w:rPr>
                <w:rFonts w:ascii="Times New Roman" w:cs="Times New Roman" w:eastAsia="Times New Roman" w:hAnsi="Times New Roman"/>
                <w:sz w:val="18"/>
                <w:szCs w:val="18"/>
                <w:color w:val="auto"/>
                <w:w w:val="99"/>
              </w:rPr>
              <w:t>19-26</w:t>
            </w: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00" w:type="dxa"/>
            <w:vAlign w:val="bottom"/>
            <w:gridSpan w:val="5"/>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1940" w:type="dxa"/>
            <w:vAlign w:val="bottom"/>
            <w:gridSpan w:val="3"/>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gridSpan w:val="2"/>
          </w:tcPr>
          <w:p>
            <w:pPr>
              <w:spacing w:after="0"/>
              <w:rPr>
                <w:sz w:val="24"/>
                <w:szCs w:val="24"/>
                <w:color w:val="auto"/>
              </w:rPr>
            </w:pP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920" w:type="dxa"/>
            <w:vAlign w:val="bottom"/>
            <w:gridSpan w:val="14"/>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3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11"/>
          </w:tcPr>
          <w:p>
            <w:pPr>
              <w:spacing w:after="0"/>
              <w:rPr>
                <w:sz w:val="24"/>
                <w:szCs w:val="24"/>
                <w:color w:val="auto"/>
              </w:rPr>
            </w:pPr>
          </w:p>
        </w:tc>
        <w:tc>
          <w:tcPr>
            <w:tcW w:w="3920" w:type="dxa"/>
            <w:vAlign w:val="bottom"/>
            <w:gridSpan w:val="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7500" w:type="dxa"/>
            <w:vAlign w:val="bottom"/>
            <w:gridSpan w:val="16"/>
          </w:tcPr>
          <w:p>
            <w:pPr>
              <w:spacing w:after="0"/>
              <w:rPr>
                <w:sz w:val="24"/>
                <w:szCs w:val="24"/>
                <w:color w:val="auto"/>
              </w:rPr>
            </w:pPr>
          </w:p>
        </w:tc>
        <w:tc>
          <w:tcPr>
            <w:tcW w:w="2100" w:type="dxa"/>
            <w:vAlign w:val="bottom"/>
            <w:gridSpan w:val="2"/>
          </w:tcPr>
          <w:p>
            <w:pPr>
              <w:jc w:val="center"/>
              <w:ind w:left="1791"/>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15"/>
          </w:tcPr>
          <w:p>
            <w:pPr>
              <w:ind w:left="47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Allison Transmission Holdings, Inc.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(unaudited, dollars in millions, except per share data)</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 net of allowance for doubtful accounts of $1 and $0, respectively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2"/>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1,131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324"/>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2,532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3,554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(see NOTE O)</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8800" w:type="dxa"/>
            <w:vAlign w:val="bottom"/>
            <w:gridSpan w:val="2"/>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1,880,000,000 shares authorized, 137,474,990 shares issued and outstanding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139,990,865 shares issued and outstanding,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Non-voting common stock, $0.01 par value, 20,000,000 shares authorized, none issued and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and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 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(1,046)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4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321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191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151</w:t>
            </w:r>
          </w:p>
        </w:tc>
        <w:tc>
          <w:tcPr>
            <w:tcW w:w="6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1.08</w:t>
            </w:r>
          </w:p>
        </w:tc>
        <w:tc>
          <w:tcPr>
            <w:tcW w:w="6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155</w:t>
            </w:r>
          </w:p>
        </w:tc>
        <w:tc>
          <w:tcPr>
            <w:tcW w:w="6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4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financing fees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on revolving credit facility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paid</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taxes paid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Allison Transmission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OVERVIEW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or the “Company”)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Company has approximately 2,700 employees and 13 different transmission product lines. Although approximately 79% of revenues were generated in North America in 2017, the Company has a global presence by serving customers in Europe, Asia, South America and Africa. The Company serves customers through an independent network of approximately 1,400 independent distributor and dealer locations worldwide.</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B.</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2017 as filed with the Securities and Exchange Commission (“SEC”) on February 15, 2018. The interim period financial results for the three month period presented are not necessarily indicative of results to be expected for any other interim period or for the entire year.</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6" w:right="259" w:bottom="1440" w:gutter="0" w:footer="0" w:header="0"/>
        </w:sectPr>
      </w:pPr>
    </w:p>
    <w:bookmarkStart w:id="6" w:name="page7"/>
    <w:bookmarkEnd w:id="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Recently Adopted Accounting Pronouncements</w:t>
      </w:r>
    </w:p>
    <w:p>
      <w:pPr>
        <w:spacing w:after="0" w:line="8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In May 2017, the Financial Accounting Standards Board (“FASB”) issued authoritative accounting guidance on accounting for modifications to the terms of employee stock compensation. The guidance clarifies which changes to terms or conditions of share-based payment awards require the entity to apply modification accounting. The guidance was adopted by the Company effective January 1, 2018 and did not have a material impact on the Company’s consolidated financial statements.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March 2017, the FASB issued authoritative accounting guidance on the presentation of net periodic pension costs and net periodic post-retirement benefit costs. The guidance clarifies the presentation of component costs within an employer’s financial statements and restricts component costs eligible for capitalization to the service cost component. The guidance was adopted by the Company effective January 1, 2018 and did not have a material impact on the Company’s consolidated financial statements.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was adopted by the Company effective January 1, 2018 and did not have a material impact on the Company’s consolidated financial statements.</w:t>
      </w:r>
    </w:p>
    <w:p>
      <w:pPr>
        <w:spacing w:after="0" w:line="176" w:lineRule="exact"/>
        <w:rPr>
          <w:sz w:val="20"/>
          <w:szCs w:val="20"/>
          <w:color w:val="auto"/>
        </w:rPr>
      </w:pPr>
    </w:p>
    <w:p>
      <w:pPr>
        <w:ind w:right="480" w:firstLine="456"/>
        <w:spacing w:after="0" w:line="256" w:lineRule="auto"/>
        <w:rPr>
          <w:sz w:val="20"/>
          <w:szCs w:val="20"/>
          <w:color w:val="auto"/>
        </w:rPr>
      </w:pPr>
      <w:r>
        <w:rPr>
          <w:rFonts w:ascii="Times New Roman" w:cs="Times New Roman" w:eastAsia="Times New Roman" w:hAnsi="Times New Roman"/>
          <w:sz w:val="18"/>
          <w:szCs w:val="18"/>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was adopted by the Company effective January 1, 2018 on a modified retrospective basis. See Note C, “Revenue”, for information regarding the impact of the adoption of this guidance.</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authoritative accounting guidance on transfers of stranded balances in accumulated other comprehensive loss to retained earnings. The passage of the U.S. Tax Cuts and Jobs Act (“Tax Act”) by the U.S. federal government in December 2017 and existing GAAP requirements to adjust deferred tax assets and liabilities for changes in tax laws or rates created stranded balances in accumulated other comprehensive loss on deferred tax assets and liabilities previously recorded as a component to accumulated other comprehensive loss. The guidance applies to companies affected by these stranded balances and allows a reclassification of these balances to retained earnings. The guidance will be effective for the Company in fiscal year 2019, but early adoption is permitted. The guidance can be applied either in the period of adoption or retrospectively to each period in which the effect of the change in the U.S. federal corporate income tax rate in the Tax Cuts and Jobs Act is recognized. Management is currently evaluating the impact of this guidance on the Company’s consolidated financial statements.</w:t>
      </w:r>
    </w:p>
    <w:p>
      <w:pPr>
        <w:spacing w:after="0" w:line="18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The guidance will be effective for the Company in fiscal year 2019 using a modified retrospective approach. Management is currently evaluating the impact of this guidance on the Company’s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66" w:right="259" w:bottom="1440" w:gutter="0" w:footer="0" w:header="0"/>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C.</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Revenue Guidance</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New authoritative accounting guidance for revenue was adopted by the Company effective January 1, 2018 using the modified retrospective approach. Current period results are presented in conformity with the new authoritative accounting guidance, while prior period results are presented in conformity with prior accounting guidance.</w:t>
      </w:r>
    </w:p>
    <w:p>
      <w:pPr>
        <w:spacing w:after="0" w:line="176"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modified retrospective approach, the Company recorded a one-time adjustment related to sales of Extended Transmission Coverage (“ETC”) contracts open as of the date of adoption, which increased opening retained earnings by $5 million, net of tax and decreased current deferred revenue by $2 million and non-current deferred revenue by $4 million as of January 1, 2018.</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During the first quarter of 2018, the Company increased Net Sales by $1 million and decreased non-current deferred revenue by $1 million, compared to prior accounting guidance, as a result of how the Company allocates revenue to the ETC performance obligation in certain contracts under the new authoritative accounting guidance for revenue.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the new authoritative accounting guidance for revenue, revenue is recognized as each distinct performance obligation within a contract is satisfied. A performance obligation is a promise in a contract to transfer a distinct good or service to the customer. The Company enters into long-term supply agreements (“LTSAs”) and distributor agreements with certain customers. The LTSAs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Many of the Company’s contracts have a single performance obligation, as the promise to transfer the individual good or service is not separately identifiable from other promises in the contracts and is, therefore, not distinct. Some of our contracts have multiple performance obligations, most commonly the sale of both a transmission and ETC. For contracts with multiple performance obligations, we allocate the contract’s transaction price to each performance obligation using a ratable allocation based on the standalone selling price of each distinct good or service in the contract.</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also may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Due to the typically short duration of purchase orders and minimal number of open contracts with variable consideration at any point in time, the impact of variable consideration is immaterial. If it were to become material, the Company would explain the methods, assumptions and estimates used to determine the consideration allocated to each performance obligation. The Company estimates the impact of all other incentives based on the related sales and market conditions in the end market vocation.</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March 31, 2018 and December 31, 2017. See Note J, “Deferred Revenue” for more information including the amount of revenue earned during the three months ended March 31, 2018 that had been previously deferred. The Company does not have contract assets.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Disaggregated Revenue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has one operating segment and reportable segment. The Company is in one line of business, which is the manufacture and distribution of fully automatic transmissions. The following presents disaggregated revenue by categories that best depict how the nature, amount, timing and uncertainty of revenue and cash flows are affected by economic factors (dollars in millions):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666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6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On-Highway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Electric Hybrid-Propulsion Systems for Transit Bus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Disaggregated revenue by end market is further described as follows:</w:t>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North America On-Highway</w:t>
      </w:r>
    </w:p>
    <w:p>
      <w:pPr>
        <w:spacing w:after="0" w:line="11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Revenue from the North America On-Highway end market is driven by the sale of transmissions to original equipment manufacturers (“OEMs”), distributors and dealers that install the transmission into Class 4-5, Class 6-7 and Class 8 straight trucks and metro tractors, conventional transit, shuttle and coach buses, school buses and motorhome applications. Revenue is recognized at the point in time when control passes to the customer, which is based on shipping terms when the order is fulfilled by the Company.</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North America Electric Hybrid-Propulsion Systems for Transit Bus</w:t>
      </w:r>
    </w:p>
    <w:p>
      <w:pPr>
        <w:spacing w:after="0" w:line="11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Revenue from the North America Electric Hybrid-Propulsion System end market is driven by sales to OEMs that integrate the Company’s specialized transmissions, battery packs and dual power inverter modules into an electric hybrid-propulsion system. End users typically include city, state and federal governmental entities. Revenue is recognized at the point time when control passes to the customer, which is based on shipping terms when the order is fulfilled by the Company.</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North America Off-Highway</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Defense</w:t>
      </w:r>
    </w:p>
    <w:p>
      <w:pPr>
        <w:spacing w:after="0" w:line="11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Revenue from the Defense end market is driven by sales of transmissions to the U.S. Government or its contractors and sales to certain government contractors outside of North America for use in both wheeled and tracked defense vehicle applications. Revenue is recognized at the point in time when control passes to the customer, which is based on shipping terms when the order is fulfilled by the Company.</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Outside North America On-Highway</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Revenue from the Outside North America On-Highway end market is driven by the sale of transmissions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66" w:right="27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North America Off-Highway</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Service Parts, Support Equipment and Other</w:t>
      </w:r>
    </w:p>
    <w:p>
      <w:pPr>
        <w:spacing w:after="0" w:line="11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Revenue from the Service Parts, Support Equipment and Other end market is primarily derived from the sale of Allison branded replacement parts and fluid purchased for the normal maintenance and repair needs of products in service and the sale of ETC contracts which extend the warranty coverages of transmissions beyond the standard warranty period.</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Revenue is recognized on sales of service parts and support equipment at the point in time when control passes to the customer, which is based on shipping terms when the order is fulfilled by the Company.</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Outside North America Off-Highway and North America Electric Hybrid-Propulsion Systems for Transit Bus end markets. The ETC contract period begins when the standard warranty coverage period ends. All consideration allocated to an ETC performance obligation is initially deferred until the coverage period begins.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D.</w:t>
            </w:r>
          </w:p>
        </w:tc>
        <w:tc>
          <w:tcPr>
            <w:tcW w:w="5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components (dollars in millions):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72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2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9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68" w:right="279" w:bottom="1440" w:gutter="0" w:footer="0" w:header="0"/>
        </w:sectPr>
      </w:pPr>
    </w:p>
    <w:bookmarkStart w:id="10" w:name="page11"/>
    <w:bookmarkEnd w:id="10"/>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E.</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2018 and December 31, 2017, the carrying amount of the Company’s Goodwill was $1,941 million. The following presents a summary of other intangible assets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20" w:type="dxa"/>
            <w:vAlign w:val="bottom"/>
          </w:tcPr>
          <w:p>
            <w:pPr>
              <w:spacing w:after="0"/>
              <w:rPr>
                <w:sz w:val="10"/>
                <w:szCs w:val="10"/>
                <w:color w:val="auto"/>
              </w:rPr>
            </w:pPr>
          </w:p>
        </w:tc>
        <w:tc>
          <w:tcPr>
            <w:tcW w:w="10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80" w:type="dxa"/>
            <w:vAlign w:val="bottom"/>
          </w:tcPr>
          <w:p>
            <w:pPr>
              <w:spacing w:after="0"/>
              <w:rPr>
                <w:sz w:val="10"/>
                <w:szCs w:val="10"/>
                <w:color w:val="auto"/>
              </w:rPr>
            </w:pPr>
          </w:p>
        </w:tc>
        <w:tc>
          <w:tcPr>
            <w:tcW w:w="12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60" w:type="dxa"/>
            <w:vAlign w:val="bottom"/>
          </w:tcPr>
          <w:p>
            <w:pPr>
              <w:spacing w:after="0"/>
              <w:rPr>
                <w:sz w:val="10"/>
                <w:szCs w:val="10"/>
                <w:color w:val="auto"/>
              </w:rPr>
            </w:pPr>
          </w:p>
        </w:tc>
      </w:tr>
      <w:tr>
        <w:trPr>
          <w:trHeight w:val="173"/>
        </w:trPr>
        <w:tc>
          <w:tcPr>
            <w:tcW w:w="3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6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intangible assets:</w:t>
            </w:r>
          </w:p>
        </w:tc>
        <w:tc>
          <w:tcPr>
            <w:tcW w:w="1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790</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790</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commercial</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defense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Patented technology — defense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Tooling rights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(1,079)</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1,131</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2,210</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3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2018 and December 31, 2017, the net carrying value of the Company’s Goodwill and Other intangible assets, net was $3,072 million and $3,094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for the next five fiscal years is expected to be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$ 86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$ 42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F.</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As of March 31, 2018 and December 31, 2017, the Company did not have any Level 2 financial assets or liabilities.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11" w:name="page12"/>
    <w:bookmarkEnd w:id="11"/>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2018 and December 31, 2017, the Company did not have any Level 3 financial assets or liabilities.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include cash equivalents, assets held in a rabbi trust and a deferred compensation obligation. The Company’s cash equivalents consist of short-term U.S. government backed securities.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and (liabilities) as of March 31, 2018 and December 31, 2017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0" w:type="dxa"/>
            <w:vAlign w:val="bottom"/>
            <w:gridSpan w:val="9"/>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8"/>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0" w:type="dxa"/>
            <w:vAlign w:val="bottom"/>
            <w:gridSpan w:val="5"/>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G.</w:t>
            </w:r>
          </w:p>
        </w:tc>
        <w:tc>
          <w:tcPr>
            <w:tcW w:w="5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Long-term debt and maturities are as follows (dollars in millions):</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Credit Facility Term B-3 Loan, variable, due 2022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1,176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fixed 5.0%, due 2024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1,000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fixed 4.75%, due 2027</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2,576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 net</w:t>
            </w:r>
          </w:p>
        </w:tc>
        <w:tc>
          <w:tcPr>
            <w:tcW w:w="13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March 31, 2018, the Company had $2,573 million of indebtedness associated with Allison Transmission, Inc.’s (“ATI”), the Company’s wholly-owned subsidiary, 5.0% Senior Notes due September 2024 (“5.0% Senior Notes”), ATI’s 4.75% Senior Notes due October 2027 (“4.75% Senior Notes”) and ATI’s Senior Secured Credit Facility (“Senior Secured Credit Facility”), which consists of the Senior Secured Credit Facility Term B-3 Loan due 2022 (“Term B-3 Loan”) and the Senior Secured Credit Facility revolving credit facility due 2021 (“Revolving Credit Facility”).</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obligations as of March 31, 2018 was $2,547 million. The fair value is based on quoted Level 2 market prices of the Company’s debt as of March 31, 2018.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Secured Credit Facility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March 2017, ATI entered into an amendment with the term loan lenders under its Senior Secured Credit Facility to lower the applicable margins on the Term B-3 Loan by 0.5%. The amendment also eliminated the minimum London Interbank Offered Rate (“LIBOR”) floor and reduced the minimum floor applicable to the base rate from 1.75% to 1.00% on the Term B-3 Loan. The March 2017 amendment was treated as a modification to the Senior Secured Credit Facility under GAAP, and thus the Company recorded $1 million as new deferred financing fees.</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September 2017, ATI entered into a joinder agreement with the lenders under its Senior Secured Credit Facility to increase the available commitments under the Revolving Credit Facility from $450 million to $550 million. The joinder agreement was treated as a modification to the Revolving Credit Facility under GAAP.</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March 2018, ATI entered into an amendment with the term loan lenders under its Senior Secured Credit Facility to lower the applicable margins on the Term B-3 Loan by 0.25%. The March 2018 amendment was treated as a modification to the Senior Secured Credit Facility under GAAP, and thus the Company recorded $1 million as new deferred financing fees.</w:t>
      </w:r>
    </w:p>
    <w:p>
      <w:pPr>
        <w:spacing w:after="0" w:line="176"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March 31, 2018, is either (a) 1.75% over the LIBOR or (b) 0.75% over the greater of the prime lending rate as quoted by the administrative agent and the federal funds effective rate published by the Federal Reserve Bank of New York plus 0.5%, provided that neither is below</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1.00%. As of March 31, 2018, the Company elected to pay the lowest all-in rate of LIBOR plus the applicable margin, or 3.60%,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through its maturity date of September 2022 is $3 million. As of March 31, 2018, there had been no payments required for certain net cash proceeds of non-ordinary course asset sales and casualty and condemnation events. The remaining principal balance is due upon maturity.</w:t>
      </w:r>
    </w:p>
    <w:p>
      <w:pPr>
        <w:spacing w:after="0" w:line="1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Senior Secured Credit Facility also provides a Revolving Credit Facility, net of an allowance for up to $75 million in outstanding letters of credit commitments. As of March 31, 2018, the Company had $533 million available under the Revolving Credit Facility, net of $17 million in letters of credit. Revolving credit borrowings bear interest at a variable base rate plus an applicable margin based on the Company’s total leverage ratio. Interest on the Revolving Credit Facility is either (a) 1.75% over the LIBOR or (b) 0.75% over the greater of the prime lending rate in effect on such day and the federal funds effective rate published by the Federal Reserve Bank of New York plus 0.5%, provided that neither is below 1.75%. In addition, there is an annual commitment fee, based on the Company’s total leverage ratio, on the average unused revolving credit borrowings available under the Revolving Credit Facility. Revolving credit borrowings are payable at the option of the Company throughout the term of the Senior Secured Credit Facility with the balance due in September 2021.</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requires the Company to maintain a specified maximum total senior secured leverage ratio of 5.50x when revolving loan commitments remain outstanding on the Revolving Credit Facility at the end of a fiscal quarter. As of March 31, 2018, the Company had no revolving loans outstanding; however the Company would have been in compliance with the maximum total senior secured leverage ratio, achieving a 1.03x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March 31, 2018, the Company’s total leverage ratio was 2.50x.</w:t>
      </w:r>
    </w:p>
    <w:p>
      <w:pPr>
        <w:spacing w:after="0" w:line="189"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March 31, 2018, the Company is in compliance with all covenants under the Senior Secured Credit Facility.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66" w:right="2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 Senior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2018, the Company is in compliance with all covenants under the indenture governing the 5.0% Senior Notes.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4.75% Senior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March 31, 2018, the Company was in compliance with all covenants under the indenture governing the 4.75% Senior Notes.</w:t>
      </w:r>
    </w:p>
    <w:p>
      <w:pPr>
        <w:spacing w:after="0" w:line="3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H.</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Derivative instruments are used strictly as an economic hedge and not for speculative purposes.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December 2017, the Company terminated its interest rate swap contracts. As of March 31, 2018 and December 31, 2017, the notional amount and fair value of the Company’s interest rate derivatives was zero. The following tabular disclosure describes the location and impact on the Company’s results of operations related to unrealized gain (loss) on interest rate derivatives (dollars in millions):</w:t>
      </w:r>
    </w:p>
    <w:p>
      <w:pPr>
        <w:sectPr>
          <w:pgSz w:w="11900" w:h="16838" w:orient="portrait"/>
          <w:cols w:equalWidth="0" w:num="1">
            <w:col w:w="11380"/>
          </w:cols>
          <w:pgMar w:left="240" w:top="266" w:right="2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Location of impact on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-111760</wp:posOffset>
            </wp:positionV>
            <wp:extent cx="550545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5450" cy="283210"/>
                    </a:xfrm>
                    <a:prstGeom prst="rect">
                      <a:avLst/>
                    </a:prstGeom>
                    <a:noFill/>
                  </pic:spPr>
                </pic:pic>
              </a:graphicData>
            </a:graphic>
          </wp:anchor>
        </w:drawing>
      </w:r>
    </w:p>
    <w:p>
      <w:pPr>
        <w:spacing w:after="0" w:line="1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36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I.</w:t>
      </w:r>
      <w:r>
        <w:rPr>
          <w:sz w:val="20"/>
          <w:szCs w:val="20"/>
          <w:color w:val="auto"/>
        </w:rPr>
        <w:tab/>
      </w:r>
      <w:r>
        <w:rPr>
          <w:rFonts w:ascii="Times New Roman" w:cs="Times New Roman" w:eastAsia="Times New Roman" w:hAnsi="Times New Roman"/>
          <w:sz w:val="17"/>
          <w:szCs w:val="17"/>
          <w:b w:val="1"/>
          <w:bCs w:val="1"/>
          <w:color w:val="auto"/>
        </w:rPr>
        <w:t>PRODUCT WARRANTY LIABILITIES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6" w:lineRule="exact"/>
        <w:rPr>
          <w:sz w:val="20"/>
          <w:szCs w:val="20"/>
          <w:color w:val="auto"/>
        </w:rPr>
      </w:pPr>
    </w:p>
    <w:p>
      <w:pPr>
        <w:ind w:left="28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6" w:lineRule="exact"/>
        <w:rPr>
          <w:sz w:val="20"/>
          <w:szCs w:val="20"/>
          <w:color w:val="auto"/>
        </w:rPr>
      </w:pPr>
    </w:p>
    <w:p>
      <w:pPr>
        <w:spacing w:after="0"/>
        <w:tabs>
          <w:tab w:leader="none" w:pos="560" w:val="left"/>
          <w:tab w:leader="none" w:pos="1760" w:val="left"/>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w:t>
      </w:r>
    </w:p>
    <w:p>
      <w:pPr>
        <w:spacing w:after="0" w:line="697" w:lineRule="exact"/>
        <w:rPr>
          <w:sz w:val="20"/>
          <w:szCs w:val="20"/>
          <w:color w:val="auto"/>
        </w:rPr>
      </w:pPr>
    </w:p>
    <w:p>
      <w:pPr>
        <w:sectPr>
          <w:pgSz w:w="11900" w:h="16838" w:orient="portrait"/>
          <w:cols w:equalWidth="0" w:num="2">
            <w:col w:w="6760" w:space="720"/>
            <w:col w:w="3900"/>
          </w:cols>
          <w:pgMar w:left="240" w:top="266" w:right="2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Product warranty liability activities consist of the following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80" w:type="dxa"/>
            <w:vAlign w:val="bottom"/>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55</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liability (warranty issued during period)</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adjustments to liability</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2018, the current and non-current product warranty liabilities were $24 million and $38 million, respectively. As of March 31, 2017, the current and non-current product warranty liabilities were $22 million and $36 million, respectively.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66" w:right="279" w:bottom="1440" w:gutter="0" w:footer="0" w:header="0"/>
          <w:type w:val="continuous"/>
        </w:sectPr>
      </w:pPr>
    </w:p>
    <w:bookmarkStart w:id="14" w:name="page15"/>
    <w:bookmarkEnd w:id="14"/>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J.</w:t>
      </w:r>
      <w:r>
        <w:rPr>
          <w:sz w:val="20"/>
          <w:szCs w:val="20"/>
          <w:color w:val="auto"/>
        </w:rPr>
        <w:tab/>
      </w: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March 31, 2018, current and non-current deferred revenue was $40 million and $72 million, respectively. As of March 31, 2017, the current and non-current deferred revenue was $28 million and $68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activity consists of the following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96</w:t>
            </w:r>
          </w:p>
        </w:tc>
        <w:tc>
          <w:tcPr>
            <w:tcW w:w="1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recorded in current and non-current liabilities related to ETC as of March 31, 2018 was $29 million and $69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recorded in current and non-current liabilities related to ETC as of March 31, 2017 was $26 million and $68 million, respectively.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K.</w:t>
            </w: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1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current liabilities consist of the following (dollars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210"/>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Vendor buyback obligation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Defense price reduction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UAW Local 933 retirement incentive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Non-trade payables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L.</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net periodic benefit cost (credit) consist of the following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gridSpan w:val="5"/>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gridSpan w:val="5"/>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0" w:type="dxa"/>
            <w:vAlign w:val="bottom"/>
          </w:tcPr>
          <w:p>
            <w:pPr>
              <w:spacing w:after="0"/>
              <w:rPr>
                <w:sz w:val="18"/>
                <w:szCs w:val="18"/>
                <w:color w:val="auto"/>
              </w:rPr>
            </w:pPr>
          </w:p>
        </w:tc>
        <w:tc>
          <w:tcPr>
            <w:tcW w:w="1500" w:type="dxa"/>
            <w:vAlign w:val="bottom"/>
            <w:gridSpan w:val="3"/>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costs other than the service cost component are included in the line item “Other (expense) income, net” in the Condensed Consolidated Statements of Comprehensive Income.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80"/>
          </w:cols>
          <w:pgMar w:left="240" w:top="266" w:right="379" w:bottom="1440" w:gutter="0" w:footer="0" w:header="0"/>
        </w:sectPr>
      </w:pPr>
    </w:p>
    <w:bookmarkStart w:id="15" w:name="page16"/>
    <w:bookmarkEnd w:id="1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M.</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and 2017, the Company recorded total tax expense of $40 million and $44 million, respectively. The effective tax rate for the three months ended March 31, 2018 and 2017 was 21% and 35%, respectively. The decrease in the effective tax rate was principally driven by the U.S. Tax Cuts and Jobs Act enacted into law in 2017.</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2017, the SEC issued Staff Accounting Bulletin No. 118 (“SAB 118”), which provides guidance on accounting for the tax effects of the Tax Act. The Company recognized the income tax effects of the Tax Act for the year ended December 31, 2017, the reporting period in which the Tax Act was signed into law, in accordance with SAB 118. As such, the Company’s financial results reflect the income tax effects of the Tax Act and provisional amounts for those specific income tax effects of the Tax Act that could be reasonably estimated. During the three months ended March 31, 2018, there were no changes made to the provisional amounts recognized in 2017. The Company will continue to analyze the effects of the Tax Act and any impact on its financial statements will be recorded in the period identified.</w:t>
      </w:r>
    </w:p>
    <w:p>
      <w:pPr>
        <w:spacing w:after="0" w:line="18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Company continues to provide for a valuation allowance on certain of its foreign deferred tax assets. The Company has determined, based on the evaluation of both objective and subjective evidence available, that this valuation allowance is necessary and that it is more likely than not that the deferred tax assets are not fully realizable.</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the FASB’s authoritative guidance on accounting for uncertainty in income taxes, the Company has recorded a liability for unrecognized tax benefits related to a 2010 Research &amp; Development Credit as of March 31, 2018 and December 31, 2017.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reconcile changes in Accumulated other comprehensive loss (“AOCL”) by component (net of tax,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Available-for-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60" w:type="dxa"/>
            <w:vAlign w:val="bottom"/>
          </w:tcPr>
          <w:p>
            <w:pPr>
              <w:spacing w:after="0"/>
              <w:rPr>
                <w:sz w:val="10"/>
                <w:szCs w:val="10"/>
                <w:color w:val="auto"/>
              </w:rPr>
            </w:pPr>
          </w:p>
        </w:tc>
        <w:tc>
          <w:tcPr>
            <w:tcW w:w="11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AOCL as of March 31, 2017</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March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66" w:right="25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2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70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700" w:type="dxa"/>
            <w:vAlign w:val="bottom"/>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00" w:type="dxa"/>
            <w:vAlign w:val="bottom"/>
          </w:tcPr>
          <w:p>
            <w:pPr>
              <w:spacing w:after="0"/>
              <w:rPr>
                <w:sz w:val="12"/>
                <w:szCs w:val="12"/>
                <w:color w:val="auto"/>
              </w:rPr>
            </w:pPr>
          </w:p>
        </w:tc>
        <w:tc>
          <w:tcPr>
            <w:tcW w:w="760" w:type="dxa"/>
            <w:vAlign w:val="bottom"/>
          </w:tcPr>
          <w:p>
            <w:pPr>
              <w:jc w:val="right"/>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Comprehensive</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700" w:type="dxa"/>
            <w:vAlign w:val="bottom"/>
          </w:tcPr>
          <w:p>
            <w:pPr>
              <w:spacing w:after="0"/>
              <w:rPr>
                <w:sz w:val="15"/>
                <w:szCs w:val="15"/>
                <w:color w:val="auto"/>
              </w:rPr>
            </w:pPr>
          </w:p>
        </w:tc>
        <w:tc>
          <w:tcPr>
            <w:tcW w:w="16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8"/>
              </w:rPr>
              <w:t>March 31, 2017</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benefit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gridSpan w:val="2"/>
          </w:tcPr>
          <w:p>
            <w:pPr>
              <w:jc w:val="right"/>
              <w:ind w:right="60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gridSpan w:val="2"/>
            <w:shd w:val="clear" w:color="auto" w:fill="CCEEFF"/>
          </w:tcPr>
          <w:p>
            <w:pPr>
              <w:jc w:val="right"/>
              <w:ind w:right="60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Prior service cost is included in the computation of the Company’s net periodic benefit cost. See NOTE L, “Employee Benefit Plans” for additional details.</w:t>
      </w:r>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O.</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Company has an agreement with the Environmental Protection Agency to perform remedial activities at the Company’s Indianapolis, Indiana manufacturing facilities related to historical soil and groundwater contamination. As of March 31, 2018, the Company had a liability recorded in the amount of $13 million.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Claims, Disputes, and Litigation</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months ended March 31, 2018 and 2017, there were no outstanding stock options excluded from the diluted EPS calculation because they were anti-dilutive.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to calculate basic EPS and diluted EPS (in millions, except per share data):</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stock-based awards</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9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76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7" w:name="page18"/>
    <w:bookmarkEnd w:id="1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Q.</w:t>
      </w:r>
      <w:r>
        <w:rPr>
          <w:sz w:val="20"/>
          <w:szCs w:val="20"/>
          <w:color w:val="auto"/>
        </w:rPr>
        <w:tab/>
      </w: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current stock repurchase program was announced on November 14, 2016 when the Board of Directors authorized the Company to repurchase up to $1,000 million of its common stock on the open market or through privately negotiated transactions through December 31, 2019. On November 8, 2017, the Board of Directors authorized the Company to repurchase an additional $500 million of its common stock, bringing the total amount authorized under the current stock repurchase program to $1,500 million. The timing and amount of stock purchases are subject to market conditions and corporate needs. This stock repurchase program may be extended, modified, suspended or discontinued at any time at the Company’s discretion. During the three months ended March 31, 2018, the Company repurchased $125 million of its common stock under the repurchase program, leaving $428 million of authorized repurchases remaining under the current stock repurchase program as of March 31, 2018.</w:t>
      </w:r>
    </w:p>
    <w:p>
      <w:pPr>
        <w:spacing w:after="0" w:line="3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NOTE R.</w:t>
      </w:r>
      <w:r>
        <w:rPr>
          <w:sz w:val="20"/>
          <w:szCs w:val="20"/>
          <w:color w:val="auto"/>
        </w:rPr>
        <w:tab/>
      </w:r>
      <w:r>
        <w:rPr>
          <w:rFonts w:ascii="Times New Roman" w:cs="Times New Roman" w:eastAsia="Times New Roman" w:hAnsi="Times New Roman"/>
          <w:sz w:val="17"/>
          <w:szCs w:val="17"/>
          <w:b w:val="1"/>
          <w:bCs w:val="1"/>
          <w:color w:val="auto"/>
        </w:rPr>
        <w:t>CERTAIN RELATIONSHIPS AND RELATED PARTY TRANSACTIONS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Repurchase of Common Stock held by ValueAct Capital Master Fund</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February 3, 2017, the Company entered into a stock repurchase agreement with ValueAct Capital Master Fund, L.P., a related party, to repurchase 10,525,204 shares of the Company’s common stock for approximately $363 million. The shares were repurchased under the stock repurchase program approved by the Board of Directors in November 2016. The purchase closed on February 8, 2017 and was funded with cash on hand and borrowings under the Revolving Credit Facility. The shares were subsequently retired.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266" w:right="399" w:bottom="1440" w:gutter="0" w:footer="0" w:header="0"/>
        </w:sectPr>
      </w:pPr>
    </w:p>
    <w:bookmarkStart w:id="18" w:name="page19"/>
    <w:bookmarkEnd w:id="1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7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 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2,700 employees and 13 different transmission product lines. Although approximately 79% of revenues were generated in North America in 2017, we have a global presence by serving customers in Europe, Asia, South America and Africa. We serve customers through a network of approximately 1,400 independent distributor and dealer locations worldwide.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Our net sales are driven by commercial vehicle production, which tends to be highly correlated to macroeconomic conditions. In 2018, we expect increased demand for global on-highway products and global off-highway products and price increases on certain products.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First Quarter Net Sales by End Market (in millions)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600" w:type="dxa"/>
            <w:vAlign w:val="bottom"/>
          </w:tcPr>
          <w:p>
            <w:pPr>
              <w:spacing w:after="0"/>
              <w:rPr>
                <w:sz w:val="13"/>
                <w:szCs w:val="13"/>
                <w:color w:val="auto"/>
              </w:rPr>
            </w:pPr>
          </w:p>
        </w:tc>
        <w:tc>
          <w:tcPr>
            <w:tcW w:w="11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Q1 2017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3"/>
        </w:trPr>
        <w:tc>
          <w:tcPr>
            <w:tcW w:w="6300" w:type="dxa"/>
            <w:vAlign w:val="bottom"/>
            <w:gridSpan w:val="2"/>
            <w:vMerge w:val="continue"/>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Net Sales</w:t>
            </w:r>
          </w:p>
        </w:tc>
        <w:tc>
          <w:tcPr>
            <w:tcW w:w="600" w:type="dxa"/>
            <w:vAlign w:val="bottom"/>
          </w:tcPr>
          <w:p>
            <w:pPr>
              <w:spacing w:after="0"/>
              <w:rPr>
                <w:sz w:val="15"/>
                <w:szCs w:val="15"/>
                <w:color w:val="auto"/>
              </w:rPr>
            </w:pPr>
          </w:p>
        </w:tc>
        <w:tc>
          <w:tcPr>
            <w:tcW w:w="11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Net Sales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5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On-Highway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6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Electric Hybrid-Propulsion Systems for Transit Bus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Defense</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North America On-Highway end market net sales were up 24% for the first quarter 2018 compared to the first quarter 2017, principally driven by higher demand for Rugged Duty Series models.</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North America Electric Hybrid-Propulsion Systems for Transit Bus end market net sales were up $4 million for the first quarter 2018 compared to the first quarter 2017, principally driven by the timing of certain transit property orders.</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North America Off-Highway end market net sales were up $32 million for the first quarter 2018 compared to the first quarter 2017, principally driven by higher demand from hydraulic fracturing applications.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576" w:right="299" w:bottom="1440" w:gutter="0" w:footer="0" w:header="0"/>
        </w:sectPr>
      </w:pPr>
    </w:p>
    <w:bookmarkStart w:id="19" w:name="page20"/>
    <w:bookmarkEnd w:id="19"/>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Defense end market net sales were up $10 million for the first quarter 2018 compared to the first quarter 2017, principally driven by higher Tracked and Wheeled demand.</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On-Highway end market net sales were up 26% for the first quarter 2018 compared to the first quarter 2017, principally driven by higher demand in Europe, Asia and South America.</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Off-Highway end market net sales were up $6 million for the first quarter 2018 compared to the first quarter 2017, principally driven by improved demand in the mining and construction sectors.</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Service Parts, Support Equipment and Other end market net sales were up 28% for the first quarter 2018 compared to the first quarter 2017, principally driven by higher demand for North America off-highway service parts and global support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and foreign governments.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primary components of cost of sales are purchased parts, the overhead expense related to our manufacturing operations and direct labor associated with the manufacture and assembly of transmissions and parts. For the three months ended March 31, 2018, direct material costs were approximately 71%, overhead costs were approximately 23%, and direct labor costs were approximately 6% of total cost of sales. We are subject to changes in our cost of sales caused by movements in underlying commodity prices. We seek to hedge against this risk by using commodity swap contracts and long-term supply agreements (“LTSAs”), as appropriate. See Part I, Item 3 “Quantitative and Qualitative Disclosures about Market Risk—Commodity Price Risk” included below.</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incur costs in connection with research and development programs that are expected to contribute to future earnings. Such costs are expensed as incurred.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the earnings before interest expense, income tax expense, amortization of intangible assets, depreciation of property, plant and equipment and other adjustments as defined by Allison Transmission, Inc.’s (“ATI”), the Company’s wholly-owned subsidiary, Term B-3 Loan due 2022 (“Term B-3 Loan”, and together with the revolving portion of ATI’s senior secured credit facility (“Revolving Credit Facility”), defined as the “Senior Secured Credit Facility”). Adjusted EBITDA as a percent of net sales is calculated as Adjusted EBITDA divided by net sales.</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8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UAW Local 933 retirement incentive (a)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foreign exchange (c)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commodity hedge contracts (d)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 (GAAP)</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as a percent of net sales (GAAP)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22.8%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as a percent of net sales (Non-GAAP)</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(GAAP)</w:t>
            </w:r>
          </w:p>
        </w:tc>
        <w:tc>
          <w:tcPr>
            <w:tcW w:w="1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Deductions to reconcile to Adjusted free cash flow: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(Non-GAAP)</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80" w:hanging="452"/>
        <w:spacing w:after="0" w:line="25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1" w:lineRule="exact"/>
        <w:rPr>
          <w:rFonts w:ascii="Times New Roman" w:cs="Times New Roman" w:eastAsia="Times New Roman" w:hAnsi="Times New Roman"/>
          <w:sz w:val="18"/>
          <w:szCs w:val="18"/>
          <w:color w:val="auto"/>
        </w:rPr>
      </w:pPr>
    </w:p>
    <w:p>
      <w:pPr>
        <w:ind w:left="460" w:right="720" w:hanging="452"/>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stock-based compensation expense (recorded in Cost of sales, Selling, general and administrative, and Engineering – research and development).</w:t>
      </w:r>
    </w:p>
    <w:p>
      <w:pPr>
        <w:ind w:left="460" w:right="220" w:hanging="452"/>
        <w:spacing w:after="0" w:line="25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(gains) (recorded in Other (expense) income, net) on intercompany financing transactions related to investments in plant assets for our India facility.</w:t>
      </w: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(recorded in Other (expense) income, net) on the mark-to-market of our commodity hedge contracts.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66"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2018 and 2017</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March 31, 2018 and 2017.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0"/>
                <w:szCs w:val="10"/>
                <w:color w:val="auto"/>
              </w:rPr>
            </w:pPr>
          </w:p>
        </w:tc>
        <w:tc>
          <w:tcPr>
            <w:tcW w:w="960" w:type="dxa"/>
            <w:vAlign w:val="bottom"/>
          </w:tcPr>
          <w:p>
            <w:pPr>
              <w:jc w:val="right"/>
              <w:ind w:right="31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0"/>
                <w:szCs w:val="10"/>
                <w:color w:val="auto"/>
              </w:rPr>
            </w:pPr>
          </w:p>
        </w:tc>
        <w:tc>
          <w:tcPr>
            <w:tcW w:w="960" w:type="dxa"/>
            <w:vAlign w:val="bottom"/>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42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4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4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4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w:t>
            </w: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(40)</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151</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Net sales for the quarter ended March 31, 2018 were $663 million compared to $499 million for the quarter ended March 31, 2017, an increase of 33%. The increase was principally driven by a $60 million, or 24%, increase in net sales in the North America On-Highway end market driven by higher demand for Rugged Duty Series models, a $33 million, or 28%, increase in net sales in the Service Parts, Support Equipment and Other end market driven by higher demand for North America off-highway service parts and global support equipment, a $32 million increase in net sales in the North America Off-Highway end market driven by higher demand from hydraulic fracturing applications, a $19 million, or 26%, increase in net sales in the Outside North America On-Highway end market driven by higher demand in Europe, Asia and South America, a $10 million, or 37%, increase in net sales in the Defense end market driven by higher Tracked and Wheeled demand, a $6 million, or 100%, increase in net sales in the Outside North America Off-Highway end market driven by improved demand in the mining and construction sectors and a $4 million, or 20%, increase in net sales in the North America Electric Hybrid-Propulsion Systems for Transit Bus end market driven by the timing of certain transit property orders.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sales for the quarter ended March 31, 2018 was $321 million compared to $248 million for the quarter ended March 31, 2017, an increase of</w:t>
      </w:r>
    </w:p>
    <w:p>
      <w:pPr>
        <w:spacing w:after="0" w:line="2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29%. The increase was principally driven by increased direct material costs commensurate with increased net sales, expenses of $7 million related to a retirement incentive program for certain UAW Local 933 employees and increased manufacturing expenses commensurate with increased net sales.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Gross profit for the quarter ended March 31, 2018 was $342 million compared to $251 million for the quarter ended March 31, 2017, an increase of 36%. The increase was principally driven by $103 million related to increased net sales and $6 million of price increases on certain products, partially offset by $8 million of higher manufacturing expenses commensurate with increased net sales, expenses of $7 million due to a retirement incentive program for certain UAW Local 933 employees, and $3 million of unfavorable material costs. Gross profit as a percent of net sales for the three months ended March 31, 2018 increased 130 basis points compared to the same period in 2017 principally driven by increased net sales and price increases on certain products, partially offset by expenses for the retirement incentive program and unfavorable material cost.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66" w:right="259" w:bottom="1440" w:gutter="0" w:footer="0" w:header="0"/>
        </w:sectPr>
      </w:pPr>
    </w:p>
    <w:bookmarkStart w:id="22" w:name="page23"/>
    <w:bookmarkEnd w:id="22"/>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general and administrative</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quarter ended March 31, 2018 were $92 million compared to $79 million for the quarter ended March 31, 2017, an increase of 16%. The increase was principally driven by $7 million of unfavorable product warranty adjustments, $5 million of higher product warranty expense commensurate with increased net sales, $2 million of favorable 2017 product warranty adjustments that did not recur in 2018 and increased commercial activities spending, partially offset by $2 million of lower incentive compensation expense.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Engineering expenses for the quarter ended March 31, 2018 were $28 million compared to $23 million for the quarter ended March 31, 2017, an increase of 22%. The increase was principally driven by increased product initiatives spending.</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Interest expense, net for the quarter ended March 31, 2018 was $30 million compared to $25 million for the quarter ended March 31, 2017, an increase of 20%. The increase was principally driven by $5 million of interest expense for ATI’s 4.75% Senior Notes due October 2027 (“4.75% Senior Notes”) issued in September 2017.</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Other (expense) income, net for the quarter ended March 31, 2018 was ($1) million compared to $3 million for the quarter ended March 31, 2017. The change was principally driven by $4 million of unfavorable change in foreign exchange on intercompany financing, partially offset by $2 million of net periodic benefit credits related to post-retirement benefit plan amendments.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March 31, 2018 was $40 million, resulting in an effective tax rate of 21%, versus $44 million in income tax expense and an effective tax rate of 35% for the three months ended March 31, 2017. The decrease in the effective tax rate was principally driven by the U.S. Tax Cuts and Jobs Act enacted into law in December 2017.</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66" w:right="25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$195 million and $199 million as of March 31, 2018 and December 31, 2017, respectively. Of the available cash and cash equivalents, $155 million and $149 million were deposited in operating accounts while $40 and $50 million were invested in U.S. government backed securities as of March 31, 2018 and December 31, 2017, respectively.</w:t>
      </w:r>
    </w:p>
    <w:p>
      <w:pPr>
        <w:spacing w:after="0" w:line="184"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As of March 31, 2018, the total of cash and cash equivalents held by foreign subsidiaries was $64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currently anticipate any local liquidity restrictions to preclude us from funding our targeted expectations or operating needs with local resources.</w:t>
      </w:r>
    </w:p>
    <w:p>
      <w:pPr>
        <w:spacing w:after="0" w:line="165"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If we distribute our foreign cash balances to the U.S. or to other foreign subsidiaries, we could be required to accrue and pay taxes. As a result of the U.S. Tax Cuts and Jobs Act enacted into law in 2017, we recorded a charge of $5 million in 2017 for the one-time repatriation tax to be paid to the U.S. Government over the next eight years. We also recorded a deferred tax liability of $2 million in 2017 for the tax liability associated with the remittance of previously taxed income and unremitted earnings for our subsidiaries located in China and Hong Kong, which in previous periods had been considered indefinitely reinvested. The deferred tax liabilities related to unremitted earnings that are indefinitely reinvested are not material.</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liquidity requirements are significant, primarily due to our debt service requirements. As of March 31, 2018, we had $1,173 million of indebtedness associated with ATI’s Term B-3 Loan, $1,000 million of indebtedness associated with ATI’s 5.0% Senior Notes due 2024 (“5.0% Senior Notes”) and $400 million of indebtedness associated with ATI’s 4.75% Senior Notes due October 2027. The minimum required quarterly principal payment on ATI’s Term B-3 Loan through its maturity date of September 2022 is $3 million. There are no required quarterly principal payments on ATI’s 5.0% Senior Notes and 4.75% Senior Notes.</w:t>
      </w:r>
    </w:p>
    <w:p>
      <w:pPr>
        <w:spacing w:after="0" w:line="184"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$3 million and $58 million on the Senior Secured Credit Facility during the three months ended March 31, 2018 and 2017, respectively.</w:t>
      </w:r>
    </w:p>
    <w:p>
      <w:pPr>
        <w:spacing w:after="0" w:line="15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Senior Secured Credit Facility provides for a $550 million Revolving Credit Facility, net of an allowance for up to $75 million in outstanding letters of credit commitments. As of March 31, 2018, we had $533 million available under the Revolving Credit Facility, net of $17 million in letters of credit. As of March 31, 2018, we had no revolving loans outstanding. If we have revolving loan commitments outstanding on the Revolving Credit Facility at the end of a fiscal quarter, the Senior Secured Credit Facility requires us to maintain a specified maximum total senior secured leverage ratio of 5.50x. Additionally, within the terms of the Senior Secured Credit Facility, a senior secured leverage ratio at or below 4.00x results in the elimination of excess cash flow payments on the Senior Secured Credit Facility for the applicable year. As of March 31, 2018, our senior secured leverage ratio was 1.03x. The Senior Secured Credit Facility also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March 31, 2018, our total leverage ratio was 2.50x.</w:t>
      </w:r>
    </w:p>
    <w:p>
      <w:pPr>
        <w:spacing w:after="0" w:line="193"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In addition, the Senior Secured Credit Facility includes, among other things, customary restrictions (subject to certain exceptions) on our ability to incur certain indebtedness, grant certain liens, make certain investments, declare or pay certain dividends, and repurchase shares of our common stock. The indentures governing the 5.0% Senior Notes and 4.75%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March 31, 2018, we are in compliance with all covenants under the Senior Secured Credit Facility and indentures governing the 5.0% Senior Notes and 4.75% Senior Notes.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66" w:right="239" w:bottom="1440" w:gutter="0" w:footer="0" w:header="0"/>
        </w:sectPr>
      </w:pPr>
    </w:p>
    <w:bookmarkStart w:id="24" w:name="page25"/>
    <w:bookmarkEnd w:id="24"/>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credit ratings are reviewed by Moody’s Investors Service (“Moody’s”) and Fitch Ratings (“Fitch”). In September 2017, our credit ratings were reviewed by Moody’s and Fitch. Moody’s held our corporate rating at ‘Ba2’ and our 5.0% Senior Notes rating at ‘Ba3’, upgraded our Term B-3 Loan rating to ‘Baa3’, and assigned ‘Ba3’ to the 4.75% Senior Notes. Fitch held our corporate rating at ‘BB’, our Term B-3 Loan rating at ‘BB+’, and our 5.0% Senior Notes rating at ‘BB’ and assigned ‘BB’ to the 4.75% Senior Notes.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November 14, 2016, our Board of Directors authorized us to purchase up to $1,000 million of our common stock under a stock repurchase program. On November 8, 2017 our Board of Directors increased the authorization by $500 million, bringing the total amount authorized to $1,500 million. For the three months ended March 31, 2018, we repurchased $125 million of our common stock under the repurchase program. As of March 31, 2018 we had $428 million available under the repurchase program.</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sources and uses of funds for the three months ended March 31, 2018 and 2017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Statements of Cash Flows Data</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Operating activities for the three months ended March 31, 2018 generated $153 million of cash compared to $111 million for the three months ended March 31, 2017. The increase was principally driven by increased gross profit, higher accounts payable, decreased cash interest expense and decreased cash income taxes, partially offset by higher accounts receivable, increased incentive compensation payments and increased product initiatives spending.</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Investing activities for the three months ended March 31, 2018 used $10 million of cash compared to $8 million for the three months ended March 31, 2017. The increase was principally driven by an increase of $2 million in capital expenditures. The increase in capital expenditures was principally driven by intra-year movement in the timing of spending related to investments in productivity and replacement programs.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financing activities</w:t>
      </w:r>
    </w:p>
    <w:p>
      <w:pPr>
        <w:spacing w:after="0" w:line="121"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Financing activities for the three months ended March 31, 2018 used $149 million of cash compared to $189 million for the three months ended March 31, 2017. The decrease was principally driven by $290 million of decreased stock repurchases, partially offset by $245 million of decreased net borrowings under our Revolving Credit Facility and $4 million of decreased proceeds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O, “Commitments and Contingencies” of our condensed consolidated financial statements included in Part I, Item 1 of this Quarterly Report on Form 10-Q.</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Significant Accounting Estimates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discussion of our critical accounting policies and significant accounting estimates is included in Part II, Item 7 “Management’s Discussion and Analysis” in our Annual Report on Form 10-K for the year ended December 31, 2017 as filed with the Securities and Exchange Commission on February 15, 2018.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first three months of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 automatic transmissions; the concentration of our net sales in our top five customers and the loss of any one of these; future reductions or changes in government subsidies for electric hybrid vehicles and other external factors impacting demand; U.S. and foreign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9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are disclosed in Part I, Item 1A of our Annual Report on Form 10-K for the year ended December 31, 2017 as filed with the Securities and Exchange Commission on February 15, 2018.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66" w:right="259" w:bottom="1440" w:gutter="0" w:footer="0" w:header="0"/>
        </w:sectPr>
      </w:pPr>
    </w:p>
    <w:bookmarkStart w:id="26" w:name="page27"/>
    <w:bookmarkEnd w:id="2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consists of changes in interest rates, foreign currency rate fluctuations and movements in commodity prices.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$1,706 million including $533 million under our Revolving Credit Facility, net of $17 million of letters of credit. A one-eighth percent increase or decrease in assumed interest rates for the Senior Secured Credit Facility, if fully drawn, as of March 31, 2018 would have an impact of approximately $2 million on interest expense. As of March 31, 2018, we had no outstanding borrowings under our Revolving Credit Facility.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foreign currency transactions, a 10% aggregate increase or decrease in the Japanese Yen, Euro, Indian Rupee and Chinese Yuan Renminbi would correspondingly change our earnings, net of tax, by an estimated $7 million per year. We believe other exposure to foreign currencies is immaterial.</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w:t>
      </w:r>
    </w:p>
    <w:p>
      <w:pPr>
        <w:spacing w:after="0" w:line="18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Assuming current levels of commodity purchases, a 10% variation in the price of aluminum and steel would correspondingly change our earnings by approximately $3 million and $6 million per year, respectively.</w:t>
      </w:r>
    </w:p>
    <w:p>
      <w:pPr>
        <w:spacing w:after="0" w:line="162"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Many of our LTSAs have incorporated a cost-sharing arrangement related to potential future commodity price fluctuations. For purposes of the sensitivity analysis above, the impact of these cost sharing arrangements has not been included.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576" w:right="279" w:bottom="1440" w:gutter="0" w:footer="0" w:header="0"/>
        </w:sectPr>
      </w:pPr>
    </w:p>
    <w:bookmarkStart w:id="27" w:name="page28"/>
    <w:bookmarkEnd w:id="27"/>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76" w:right="259" w:bottom="1440" w:gutter="0" w:footer="0" w:header="0"/>
        </w:sectPr>
      </w:pPr>
    </w:p>
    <w:bookmarkStart w:id="28" w:name="page29"/>
    <w:bookmarkEnd w:id="2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O, “Commitments and Contingencies” in the notes to the condensed consolidated financial statements included in Part I, Item 1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our risk factors as previously reported in Part I, Item 1A of our Annual Report on Form 10-K for the year ended December 31, 2017 as filed with the Securities and Exchange Commission on February 15,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our repurchases of our common stock on a monthly basis in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(1)</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 Plans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January 31, 2018</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553,794,867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2018</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1,060,318</w:t>
            </w:r>
            <w:r>
              <w:rPr>
                <w:rFonts w:ascii="Times New Roman" w:cs="Times New Roman" w:eastAsia="Times New Roman" w:hAnsi="Times New Roman"/>
                <w:sz w:val="15"/>
                <w:szCs w:val="15"/>
                <w:color w:val="auto"/>
              </w:rPr>
              <w:t>(2)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39.74</w:t>
            </w: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1,028,029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512,926,985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2018</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2,190,026</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38.55</w:t>
            </w:r>
          </w:p>
        </w:tc>
        <w:tc>
          <w:tcPr>
            <w:tcW w:w="15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2,190,026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428,494,617</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7"/>
              </w:rPr>
              <w:t>3,250,344</w:t>
            </w:r>
          </w:p>
        </w:tc>
        <w:tc>
          <w:tcPr>
            <w:tcW w:w="42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38.94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3,218,055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line="261"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values reflect repurchases made under the stock repurchase program approved by the Board of Directors on November 14, 2016 and the update approved by the Board of Directors on November 8, 2017 authorizing total repurchases of $1,500 million through December 31, 2019.</w:t>
      </w: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Shares purchased include 32,289 shares withheld to cover taxes due upon the vesting of restricted stock and performance shares in February 2018.</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240" w:top="509" w:right="4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60" w:type="dxa"/>
            <w:vAlign w:val="bottom"/>
            <w:gridSpan w:val="3"/>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Number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180" w:type="dxa"/>
            <w:vAlign w:val="bottom"/>
            <w:gridSpan w:val="12"/>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Amendment No. 2, dated March 21, 2018, to the Amended and Restated Credit Agreement, dated as of September 23, 2016, among Allison</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Transmission Holdings, Inc., Allison Transmission, Inc., as Borrower, the several banks and other financial institutions or entities from time</w:t>
              </w:r>
            </w:hyperlink>
          </w:p>
        </w:tc>
        <w:tc>
          <w:tcPr>
            <w:tcW w:w="2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80" w:type="dxa"/>
            <w:vAlign w:val="bottom"/>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to time parties thereto as lenders, Citicorp North America, Inc., as Administrative Agent and the other agents and arrangers party thereto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(incorporated by reference to Exhibit 10.1 to the Registrant’s Current Report on Form 8-K filed March 21, 2018)</w:t>
              </w:r>
            </w:hyperlink>
          </w:p>
        </w:tc>
        <w:tc>
          <w:tcPr>
            <w:tcW w:w="1700" w:type="dxa"/>
            <w:vAlign w:val="bottom"/>
            <w:tcBorders>
              <w:top w:val="single" w:sz="8" w:color="0000EE"/>
            </w:tcBorders>
            <w:gridSpan w:val="3"/>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Severance and Change in Control Agreement, between Allison Transmission, Inc. and David S. Graziosi, dated as of March 23, 2018</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Exhibit 10.1 to the Registrant’s Current Report on Form 8-K filed March 23, 2018)</w:t>
              </w:r>
            </w:hyperlink>
          </w:p>
        </w:tc>
        <w:tc>
          <w:tcPr>
            <w:tcW w:w="20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13a-14(a)/15d-14(a) as adopted pursuant to Section</w:t>
            </w:r>
          </w:p>
        </w:tc>
        <w:tc>
          <w:tcPr>
            <w:tcW w:w="2300" w:type="dxa"/>
            <w:vAlign w:val="bottom"/>
            <w:tcBorders>
              <w:bottom w:val="single" w:sz="8" w:color="0000EE"/>
            </w:tcBorders>
            <w:gridSpan w:val="8"/>
          </w:tcPr>
          <w:p>
            <w:pPr>
              <w:ind w:left="60"/>
              <w:spacing w:after="0"/>
              <w:rPr>
                <w:sz w:val="20"/>
                <w:szCs w:val="20"/>
                <w:color w:val="auto"/>
              </w:rPr>
            </w:pPr>
            <w:r>
              <w:rPr>
                <w:rFonts w:ascii="Times New Roman" w:cs="Times New Roman" w:eastAsia="Times New Roman" w:hAnsi="Times New Roman"/>
                <w:sz w:val="18"/>
                <w:szCs w:val="18"/>
                <w:color w:val="0000EE"/>
                <w:w w:val="99"/>
              </w:rPr>
              <w:t>302 of the Sarbanes-Oxley Act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(filed herewith)</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 pursuant to Section</w:t>
            </w:r>
          </w:p>
        </w:tc>
        <w:tc>
          <w:tcPr>
            <w:tcW w:w="23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302 of the Sarbanes-Oxley Act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(filed herewith)</w:t>
            </w:r>
          </w:p>
        </w:tc>
        <w:tc>
          <w:tcPr>
            <w:tcW w:w="2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 (filed herewith)</w:t>
            </w:r>
          </w:p>
        </w:tc>
        <w:tc>
          <w:tcPr>
            <w:tcW w:w="2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40"/>
          </w:cols>
          <w:pgMar w:left="240" w:top="698" w:right="3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30" w:name="page31"/>
    <w:bookmarkEnd w:id="3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9"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Date: May 1, 2018</w:t>
      </w:r>
      <w:r>
        <w:rPr>
          <w:sz w:val="20"/>
          <w:szCs w:val="20"/>
          <w:color w:val="auto"/>
        </w:rPr>
        <w:tab/>
      </w:r>
      <w:r>
        <w:rPr>
          <w:rFonts w:ascii="Times New Roman" w:cs="Times New Roman" w:eastAsia="Times New Roman" w:hAnsi="Times New Roman"/>
          <w:sz w:val="18"/>
          <w:szCs w:val="18"/>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Chairman of the Board and Chief Executive Officer (Principal</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Date: May 1, 2018</w:t>
      </w:r>
      <w:r>
        <w:rPr>
          <w:sz w:val="20"/>
          <w:szCs w:val="20"/>
          <w:color w:val="auto"/>
        </w:rPr>
        <w:tab/>
      </w:r>
      <w:r>
        <w:rPr>
          <w:rFonts w:ascii="Times New Roman" w:cs="Times New Roman" w:eastAsia="Times New Roman" w:hAnsi="Times New Roman"/>
          <w:sz w:val="18"/>
          <w:szCs w:val="18"/>
          <w:color w:val="auto"/>
        </w:rPr>
        <w:t>By: /s/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7" w:lineRule="exact"/>
        <w:rPr>
          <w:sz w:val="20"/>
          <w:szCs w:val="20"/>
          <w:color w:val="auto"/>
        </w:rPr>
      </w:pPr>
    </w:p>
    <w:p>
      <w:pPr>
        <w:jc w:val="both"/>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Financial Officer (Principal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240" w:top="266" w:right="4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Dewey, certify that:</w:t>
      </w:r>
    </w:p>
    <w:p>
      <w:pPr>
        <w:spacing w:after="0" w:line="131"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80" w:right="560" w:hanging="572"/>
        <w:spacing w:after="0" w:line="276" w:lineRule="auto"/>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jc w:val="both"/>
        <w:ind w:left="1140" w:right="100" w:hanging="565"/>
        <w:spacing w:after="0" w:line="266"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40" w:right="100" w:hanging="565"/>
        <w:spacing w:after="0" w:line="266"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260" w:hanging="572"/>
        <w:spacing w:after="0" w:line="28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right="540" w:hanging="565"/>
        <w:spacing w:after="0" w:line="282" w:lineRule="auto"/>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31"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580" w:right="380" w:hanging="572"/>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80" w:right="340" w:hanging="572"/>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80" w:right="560" w:hanging="572"/>
        <w:spacing w:after="0" w:line="276"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jc w:val="both"/>
        <w:ind w:left="1140" w:right="100" w:hanging="565"/>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140" w:right="100" w:hanging="565"/>
        <w:spacing w:after="0" w:line="266"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80" w:right="260" w:hanging="572"/>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140" w:right="540" w:hanging="565"/>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March 31, 2018 as filed with the Securities and Exchange Commission on the date hereof (the “Report”), we, Lawrence E. Dewey, Chairman and Chief Executive Officer of the Company, and David S. Graziosi, President and Chief Financial Officer of the Company, certify, pursuant to 18 U.S.C. § 1350 as adopted pursuant to § 906 of the Sarbanes-Oxley Act of 2002, that:</w:t>
      </w:r>
    </w:p>
    <w:p>
      <w:pPr>
        <w:spacing w:after="0" w:line="86"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6" Type="http://schemas.openxmlformats.org/officeDocument/2006/relationships/hyperlink" Target="http://www.sec.gov/Archives/edgar/data/1411207/000119312518090696/d503927dex101.htm" TargetMode="External"/><Relationship Id="rId57" Type="http://schemas.openxmlformats.org/officeDocument/2006/relationships/hyperlink" Target="http://www.sec.gov/Archives/edgar/data/1411207/000119312518094155/d558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2019-12-07T09:34:06Z</dcterms:created>
  <dcterms:modified xsi:type="dcterms:W3CDTF">2019-12-07T09:34:06Z</dcterms:modified>
</cp:coreProperties>
</file>