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1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157480</wp:posOffset>
            </wp:positionV>
            <wp:extent cx="71501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84" w:lineRule="exact"/>
        <w:rPr>
          <w:sz w:val="24"/>
          <w:szCs w:val="24"/>
          <w:color w:val="auto"/>
        </w:rPr>
      </w:pPr>
    </w:p>
    <w:p>
      <w:pPr>
        <w:jc w:val="center"/>
        <w:ind w:right="-5"/>
        <w:spacing w:after="0"/>
        <w:rPr>
          <w:sz w:val="20"/>
          <w:szCs w:val="20"/>
          <w:color w:val="auto"/>
        </w:rPr>
      </w:pPr>
      <w:r>
        <w:rPr>
          <w:rFonts w:ascii="Arial" w:cs="Arial" w:eastAsia="Arial" w:hAnsi="Arial"/>
          <w:sz w:val="25"/>
          <w:szCs w:val="25"/>
          <w:b w:val="1"/>
          <w:bCs w:val="1"/>
          <w:color w:val="auto"/>
        </w:rPr>
        <w:t>UNITED STATES</w:t>
      </w:r>
    </w:p>
    <w:p>
      <w:pPr>
        <w:spacing w:after="0" w:line="40" w:lineRule="exact"/>
        <w:rPr>
          <w:sz w:val="24"/>
          <w:szCs w:val="24"/>
          <w:color w:val="auto"/>
        </w:rPr>
      </w:pPr>
    </w:p>
    <w:p>
      <w:pPr>
        <w:jc w:val="center"/>
        <w:ind w:right="-5"/>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2512695</wp:posOffset>
            </wp:positionH>
            <wp:positionV relativeFrom="paragraph">
              <wp:posOffset>55245</wp:posOffset>
            </wp:positionV>
            <wp:extent cx="21247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4710" cy="7620"/>
                    </a:xfrm>
                    <a:prstGeom prst="rect">
                      <a:avLst/>
                    </a:prstGeom>
                    <a:noFill/>
                  </pic:spPr>
                </pic:pic>
              </a:graphicData>
            </a:graphic>
          </wp:anchor>
        </w:drawing>
      </w:r>
    </w:p>
    <w:p>
      <w:pPr>
        <w:spacing w:after="0" w:line="100" w:lineRule="exact"/>
        <w:rPr>
          <w:sz w:val="24"/>
          <w:szCs w:val="24"/>
          <w:color w:val="auto"/>
        </w:rPr>
      </w:pPr>
    </w:p>
    <w:p>
      <w:pPr>
        <w:jc w:val="center"/>
        <w:ind w:right="-5"/>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2512695</wp:posOffset>
            </wp:positionH>
            <wp:positionV relativeFrom="paragraph">
              <wp:posOffset>80010</wp:posOffset>
            </wp:positionV>
            <wp:extent cx="21247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4710" cy="7620"/>
                    </a:xfrm>
                    <a:prstGeom prst="rect">
                      <a:avLst/>
                    </a:prstGeom>
                    <a:noFill/>
                  </pic:spPr>
                </pic:pic>
              </a:graphicData>
            </a:graphic>
          </wp:anchor>
        </w:drawing>
      </w:r>
    </w:p>
    <w:p>
      <w:pPr>
        <w:spacing w:after="0" w:line="181" w:lineRule="exact"/>
        <w:rPr>
          <w:sz w:val="24"/>
          <w:szCs w:val="24"/>
          <w:color w:val="auto"/>
        </w:rPr>
      </w:pPr>
    </w:p>
    <w:p>
      <w:pPr>
        <w:ind w:left="4206" w:right="3900" w:hanging="4206"/>
        <w:spacing w:after="0" w:line="321" w:lineRule="auto"/>
        <w:tabs>
          <w:tab w:leader="none" w:pos="40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3"/>
          <w:szCs w:val="13"/>
          <w:b w:val="1"/>
          <w:bCs w:val="1"/>
          <w:color w:val="auto"/>
        </w:rPr>
        <w:t>For the Fiscal Year Ended December 31, 2020</w:t>
      </w:r>
    </w:p>
    <w:p>
      <w:pPr>
        <w:spacing w:after="0" w:line="1" w:lineRule="exact"/>
        <w:rPr>
          <w:sz w:val="24"/>
          <w:szCs w:val="24"/>
          <w:color w:val="auto"/>
        </w:rPr>
      </w:pPr>
    </w:p>
    <w:p>
      <w:pPr>
        <w:jc w:val="center"/>
        <w:ind w:right="-5"/>
        <w:spacing w:after="0"/>
        <w:rPr>
          <w:sz w:val="20"/>
          <w:szCs w:val="20"/>
          <w:color w:val="auto"/>
        </w:rPr>
      </w:pPr>
      <w:r>
        <w:rPr>
          <w:rFonts w:ascii="Arial" w:cs="Arial" w:eastAsia="Arial" w:hAnsi="Arial"/>
          <w:sz w:val="13"/>
          <w:szCs w:val="13"/>
          <w:b w:val="1"/>
          <w:bCs w:val="1"/>
          <w:color w:val="auto"/>
        </w:rPr>
        <w:t>OR</w:t>
      </w:r>
    </w:p>
    <w:p>
      <w:pPr>
        <w:spacing w:after="0" w:line="76" w:lineRule="exact"/>
        <w:rPr>
          <w:sz w:val="24"/>
          <w:szCs w:val="24"/>
          <w:color w:val="auto"/>
        </w:rPr>
      </w:pPr>
    </w:p>
    <w:p>
      <w:pPr>
        <w:ind w:left="4626" w:right="3640" w:hanging="4626"/>
        <w:spacing w:after="0" w:line="366" w:lineRule="auto"/>
        <w:tabs>
          <w:tab w:leader="none" w:pos="389"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3"/>
          <w:szCs w:val="13"/>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2512695</wp:posOffset>
            </wp:positionH>
            <wp:positionV relativeFrom="paragraph">
              <wp:posOffset>-8890</wp:posOffset>
            </wp:positionV>
            <wp:extent cx="21247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24710" cy="7620"/>
                    </a:xfrm>
                    <a:prstGeom prst="rect">
                      <a:avLst/>
                    </a:prstGeom>
                    <a:noFill/>
                  </pic:spPr>
                </pic:pic>
              </a:graphicData>
            </a:graphic>
          </wp:anchor>
        </w:drawing>
      </w:r>
    </w:p>
    <w:p>
      <w:pPr>
        <w:jc w:val="center"/>
        <w:ind w:right="-5"/>
        <w:spacing w:after="0"/>
        <w:rPr>
          <w:sz w:val="20"/>
          <w:szCs w:val="20"/>
          <w:color w:val="auto"/>
        </w:rPr>
      </w:pPr>
      <w:r>
        <w:rPr>
          <w:rFonts w:ascii="Arial" w:cs="Arial" w:eastAsia="Arial" w:hAnsi="Arial"/>
          <w:sz w:val="31"/>
          <w:szCs w:val="31"/>
          <w:b w:val="1"/>
          <w:bCs w:val="1"/>
          <w:color w:val="auto"/>
        </w:rPr>
        <w:t>ALLISON TRANSMISSION HOLDINGS, INC.</w:t>
      </w:r>
    </w:p>
    <w:p>
      <w:pPr>
        <w:spacing w:after="0" w:line="50" w:lineRule="exact"/>
        <w:rPr>
          <w:sz w:val="24"/>
          <w:szCs w:val="24"/>
          <w:color w:val="auto"/>
        </w:rPr>
      </w:pPr>
    </w:p>
    <w:tbl>
      <w:tblPr>
        <w:tblLayout w:type="fixed"/>
        <w:tblInd w:w="2186" w:type="dxa"/>
        <w:tblCellMar>
          <w:top w:w="0" w:type="dxa"/>
          <w:left w:w="0" w:type="dxa"/>
          <w:bottom w:w="0" w:type="dxa"/>
          <w:right w:w="0" w:type="dxa"/>
        </w:tblCellMar>
      </w:tblPr>
      <w:tr>
        <w:trPr>
          <w:trHeight w:val="186"/>
        </w:trPr>
        <w:tc>
          <w:tcPr>
            <w:tcW w:w="1480" w:type="dxa"/>
            <w:vAlign w:val="bottom"/>
          </w:tcPr>
          <w:p>
            <w:pPr>
              <w:spacing w:after="0"/>
              <w:rPr>
                <w:sz w:val="16"/>
                <w:szCs w:val="16"/>
                <w:color w:val="auto"/>
              </w:rPr>
            </w:pPr>
          </w:p>
        </w:tc>
        <w:tc>
          <w:tcPr>
            <w:tcW w:w="5380" w:type="dxa"/>
            <w:vAlign w:val="bottom"/>
            <w:gridSpan w:val="3"/>
          </w:tcPr>
          <w:p>
            <w:pPr>
              <w:ind w:left="280"/>
              <w:spacing w:after="0"/>
              <w:rPr>
                <w:sz w:val="20"/>
                <w:szCs w:val="20"/>
                <w:color w:val="auto"/>
              </w:rPr>
            </w:pPr>
            <w:r>
              <w:rPr>
                <w:rFonts w:ascii="Arial" w:cs="Arial" w:eastAsia="Arial" w:hAnsi="Arial"/>
                <w:sz w:val="13"/>
                <w:szCs w:val="13"/>
                <w:b w:val="1"/>
                <w:bCs w:val="1"/>
                <w:color w:val="auto"/>
              </w:rPr>
              <w:t>(Exact Name of Registrant as Specified in Its Charter)</w:t>
            </w:r>
          </w:p>
        </w:tc>
      </w:tr>
      <w:tr>
        <w:trPr>
          <w:trHeight w:val="40"/>
        </w:trPr>
        <w:tc>
          <w:tcPr>
            <w:tcW w:w="1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1740" w:type="dxa"/>
            <w:vAlign w:val="bottom"/>
          </w:tcPr>
          <w:p>
            <w:pPr>
              <w:spacing w:after="0"/>
              <w:rPr>
                <w:sz w:val="3"/>
                <w:szCs w:val="3"/>
                <w:color w:val="auto"/>
              </w:rPr>
            </w:pPr>
          </w:p>
        </w:tc>
      </w:tr>
      <w:tr>
        <w:trPr>
          <w:trHeight w:val="184"/>
        </w:trPr>
        <w:tc>
          <w:tcPr>
            <w:tcW w:w="1480" w:type="dxa"/>
            <w:vAlign w:val="bottom"/>
          </w:tcPr>
          <w:p>
            <w:pPr>
              <w:jc w:val="center"/>
              <w:ind w:right="239"/>
              <w:spacing w:after="0"/>
              <w:rPr>
                <w:sz w:val="20"/>
                <w:szCs w:val="20"/>
                <w:color w:val="auto"/>
              </w:rPr>
            </w:pPr>
            <w:r>
              <w:rPr>
                <w:rFonts w:ascii="Arial" w:cs="Arial" w:eastAsia="Arial" w:hAnsi="Arial"/>
                <w:sz w:val="13"/>
                <w:szCs w:val="13"/>
                <w:b w:val="1"/>
                <w:bCs w:val="1"/>
                <w:color w:val="auto"/>
              </w:rPr>
              <w:t>Delaware</w:t>
            </w:r>
          </w:p>
        </w:tc>
        <w:tc>
          <w:tcPr>
            <w:tcW w:w="5380" w:type="dxa"/>
            <w:vAlign w:val="bottom"/>
            <w:gridSpan w:val="3"/>
          </w:tcPr>
          <w:p>
            <w:pPr>
              <w:jc w:val="center"/>
              <w:ind w:left="4153"/>
              <w:spacing w:after="0"/>
              <w:rPr>
                <w:sz w:val="20"/>
                <w:szCs w:val="20"/>
                <w:color w:val="auto"/>
              </w:rPr>
            </w:pPr>
            <w:r>
              <w:rPr>
                <w:rFonts w:ascii="Arial" w:cs="Arial" w:eastAsia="Arial" w:hAnsi="Arial"/>
                <w:sz w:val="13"/>
                <w:szCs w:val="13"/>
                <w:b w:val="1"/>
                <w:bCs w:val="1"/>
                <w:color w:val="auto"/>
              </w:rPr>
              <w:t>26-0414014</w:t>
            </w:r>
          </w:p>
        </w:tc>
      </w:tr>
      <w:tr>
        <w:trPr>
          <w:trHeight w:val="117"/>
        </w:trPr>
        <w:tc>
          <w:tcPr>
            <w:tcW w:w="1480" w:type="dxa"/>
            <w:vAlign w:val="bottom"/>
          </w:tcPr>
          <w:p>
            <w:pPr>
              <w:jc w:val="center"/>
              <w:ind w:right="219"/>
              <w:spacing w:after="0" w:line="117" w:lineRule="exact"/>
              <w:rPr>
                <w:sz w:val="20"/>
                <w:szCs w:val="20"/>
                <w:color w:val="auto"/>
              </w:rPr>
            </w:pPr>
            <w:r>
              <w:rPr>
                <w:rFonts w:ascii="Arial" w:cs="Arial" w:eastAsia="Arial" w:hAnsi="Arial"/>
                <w:sz w:val="11"/>
                <w:szCs w:val="11"/>
                <w:b w:val="1"/>
                <w:bCs w:val="1"/>
                <w:color w:val="auto"/>
                <w:w w:val="98"/>
              </w:rPr>
              <w:t>(State of Incorporation)</w:t>
            </w:r>
          </w:p>
        </w:tc>
        <w:tc>
          <w:tcPr>
            <w:tcW w:w="3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740" w:type="dxa"/>
            <w:vAlign w:val="bottom"/>
          </w:tcPr>
          <w:p>
            <w:pPr>
              <w:jc w:val="center"/>
              <w:ind w:left="525"/>
              <w:spacing w:after="0" w:line="117" w:lineRule="exact"/>
              <w:rPr>
                <w:sz w:val="20"/>
                <w:szCs w:val="20"/>
                <w:color w:val="auto"/>
              </w:rPr>
            </w:pPr>
            <w:r>
              <w:rPr>
                <w:rFonts w:ascii="Arial" w:cs="Arial" w:eastAsia="Arial" w:hAnsi="Arial"/>
                <w:sz w:val="11"/>
                <w:szCs w:val="11"/>
                <w:b w:val="1"/>
                <w:bCs w:val="1"/>
                <w:color w:val="auto"/>
                <w:w w:val="99"/>
              </w:rPr>
              <w:t>(I.R.S. Employer</w:t>
            </w:r>
          </w:p>
        </w:tc>
      </w:tr>
      <w:tr>
        <w:trPr>
          <w:trHeight w:val="153"/>
        </w:trPr>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740" w:type="dxa"/>
            <w:vAlign w:val="bottom"/>
          </w:tcPr>
          <w:p>
            <w:pPr>
              <w:jc w:val="center"/>
              <w:ind w:left="525"/>
              <w:spacing w:after="0"/>
              <w:rPr>
                <w:sz w:val="20"/>
                <w:szCs w:val="20"/>
                <w:color w:val="auto"/>
              </w:rPr>
            </w:pPr>
            <w:r>
              <w:rPr>
                <w:rFonts w:ascii="Arial" w:cs="Arial" w:eastAsia="Arial" w:hAnsi="Arial"/>
                <w:sz w:val="11"/>
                <w:szCs w:val="11"/>
                <w:b w:val="1"/>
                <w:bCs w:val="1"/>
                <w:color w:val="auto"/>
                <w:w w:val="9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34290</wp:posOffset>
            </wp:positionV>
            <wp:extent cx="1729740" cy="544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29740" cy="5441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5"/>
        <w:spacing w:after="0"/>
        <w:rPr>
          <w:sz w:val="20"/>
          <w:szCs w:val="20"/>
          <w:color w:val="auto"/>
        </w:rPr>
      </w:pPr>
      <w:r>
        <w:rPr>
          <w:rFonts w:ascii="Arial" w:cs="Arial" w:eastAsia="Arial" w:hAnsi="Arial"/>
          <w:sz w:val="13"/>
          <w:szCs w:val="13"/>
          <w:b w:val="1"/>
          <w:bCs w:val="1"/>
          <w:color w:val="auto"/>
        </w:rPr>
        <w:t>One Allison Way</w:t>
      </w:r>
    </w:p>
    <w:p>
      <w:pPr>
        <w:jc w:val="center"/>
        <w:ind w:right="-5"/>
        <w:spacing w:after="0" w:line="237" w:lineRule="auto"/>
        <w:rPr>
          <w:sz w:val="20"/>
          <w:szCs w:val="20"/>
          <w:color w:val="auto"/>
        </w:rPr>
      </w:pPr>
      <w:r>
        <w:rPr>
          <w:rFonts w:ascii="Arial" w:cs="Arial" w:eastAsia="Arial" w:hAnsi="Arial"/>
          <w:sz w:val="13"/>
          <w:szCs w:val="13"/>
          <w:b w:val="1"/>
          <w:bCs w:val="1"/>
          <w:color w:val="auto"/>
        </w:rPr>
        <w:t>Indianapolis, IN 46222</w:t>
      </w:r>
    </w:p>
    <w:p>
      <w:pPr>
        <w:jc w:val="center"/>
        <w:ind w:right="-5"/>
        <w:spacing w:after="0"/>
        <w:rPr>
          <w:sz w:val="20"/>
          <w:szCs w:val="20"/>
          <w:color w:val="auto"/>
        </w:rPr>
      </w:pPr>
      <w:r>
        <w:rPr>
          <w:rFonts w:ascii="Arial" w:cs="Arial" w:eastAsia="Arial" w:hAnsi="Arial"/>
          <w:sz w:val="11"/>
          <w:szCs w:val="11"/>
          <w:b w:val="1"/>
          <w:bCs w:val="1"/>
          <w:color w:val="auto"/>
        </w:rPr>
        <w:t>(Address of Principal Executive Offices and Zip Code)</w:t>
      </w:r>
    </w:p>
    <w:p>
      <w:pPr>
        <w:spacing w:after="0" w:line="34" w:lineRule="exact"/>
        <w:rPr>
          <w:sz w:val="24"/>
          <w:szCs w:val="24"/>
          <w:color w:val="auto"/>
        </w:rPr>
      </w:pPr>
    </w:p>
    <w:p>
      <w:pPr>
        <w:jc w:val="center"/>
        <w:ind w:right="-5"/>
        <w:spacing w:after="0"/>
        <w:rPr>
          <w:sz w:val="20"/>
          <w:szCs w:val="20"/>
          <w:color w:val="auto"/>
        </w:rPr>
      </w:pPr>
      <w:r>
        <w:rPr>
          <w:rFonts w:ascii="Arial" w:cs="Arial" w:eastAsia="Arial" w:hAnsi="Arial"/>
          <w:sz w:val="13"/>
          <w:szCs w:val="13"/>
          <w:b w:val="1"/>
          <w:bCs w:val="1"/>
          <w:color w:val="auto"/>
        </w:rPr>
        <w:t>(317) 242-5000</w:t>
      </w:r>
    </w:p>
    <w:p>
      <w:pPr>
        <w:spacing w:after="0" w:line="7" w:lineRule="exact"/>
        <w:rPr>
          <w:sz w:val="24"/>
          <w:szCs w:val="24"/>
          <w:color w:val="auto"/>
        </w:rPr>
      </w:pPr>
    </w:p>
    <w:p>
      <w:pPr>
        <w:jc w:val="center"/>
        <w:ind w:right="-5"/>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34" w:lineRule="exact"/>
        <w:rPr>
          <w:sz w:val="24"/>
          <w:szCs w:val="24"/>
          <w:color w:val="auto"/>
        </w:rPr>
      </w:pPr>
    </w:p>
    <w:tbl>
      <w:tblPr>
        <w:tblLayout w:type="fixed"/>
        <w:tblInd w:w="6"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3760" w:type="dxa"/>
            <w:vAlign w:val="bottom"/>
            <w:gridSpan w:val="5"/>
          </w:tcPr>
          <w:p>
            <w:pPr>
              <w:ind w:left="40"/>
              <w:spacing w:after="0"/>
              <w:rPr>
                <w:sz w:val="20"/>
                <w:szCs w:val="20"/>
                <w:color w:val="auto"/>
              </w:rPr>
            </w:pPr>
            <w:r>
              <w:rPr>
                <w:rFonts w:ascii="Arial" w:cs="Arial" w:eastAsia="Arial" w:hAnsi="Arial"/>
                <w:sz w:val="13"/>
                <w:szCs w:val="13"/>
                <w:b w:val="1"/>
                <w:bCs w:val="1"/>
                <w:color w:val="auto"/>
              </w:rPr>
              <w:t>Securities registered pursuant to Section 12(b) of the Act:</w:t>
            </w:r>
          </w:p>
        </w:tc>
        <w:tc>
          <w:tcPr>
            <w:tcW w:w="3740" w:type="dxa"/>
            <w:vAlign w:val="bottom"/>
          </w:tcPr>
          <w:p>
            <w:pPr>
              <w:spacing w:after="0"/>
              <w:rPr>
                <w:sz w:val="16"/>
                <w:szCs w:val="16"/>
                <w:color w:val="auto"/>
              </w:rPr>
            </w:pPr>
          </w:p>
        </w:tc>
      </w:tr>
      <w:tr>
        <w:trPr>
          <w:trHeight w:val="187"/>
        </w:trPr>
        <w:tc>
          <w:tcPr>
            <w:tcW w:w="3760" w:type="dxa"/>
            <w:vAlign w:val="bottom"/>
            <w:tcBorders>
              <w:bottom w:val="single" w:sz="8" w:color="auto"/>
            </w:tcBorders>
          </w:tcPr>
          <w:p>
            <w:pPr>
              <w:jc w:val="center"/>
              <w:ind w:left="673"/>
              <w:spacing w:after="0"/>
              <w:rPr>
                <w:sz w:val="20"/>
                <w:szCs w:val="20"/>
                <w:color w:val="auto"/>
              </w:rPr>
            </w:pPr>
            <w:r>
              <w:rPr>
                <w:rFonts w:ascii="Arial" w:cs="Arial" w:eastAsia="Arial" w:hAnsi="Arial"/>
                <w:sz w:val="13"/>
                <w:szCs w:val="13"/>
                <w:b w:val="1"/>
                <w:bCs w:val="1"/>
                <w:color w:val="auto"/>
              </w:rPr>
              <w:t>Title of each class</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Trading Symbol(s)</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jc w:val="center"/>
              <w:ind w:right="373"/>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92"/>
        </w:trPr>
        <w:tc>
          <w:tcPr>
            <w:tcW w:w="3760" w:type="dxa"/>
            <w:vAlign w:val="bottom"/>
          </w:tcPr>
          <w:p>
            <w:pPr>
              <w:jc w:val="center"/>
              <w:ind w:left="653"/>
              <w:spacing w:after="0"/>
              <w:rPr>
                <w:sz w:val="20"/>
                <w:szCs w:val="20"/>
                <w:color w:val="auto"/>
              </w:rPr>
            </w:pPr>
            <w:r>
              <w:rPr>
                <w:rFonts w:ascii="Arial" w:cs="Arial" w:eastAsia="Arial" w:hAnsi="Arial"/>
                <w:sz w:val="13"/>
                <w:szCs w:val="13"/>
                <w:b w:val="1"/>
                <w:bCs w:val="1"/>
                <w:color w:val="auto"/>
              </w:rPr>
              <w:t>Common Stock, $0.01 par value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Arial" w:cs="Arial" w:eastAsia="Arial" w:hAnsi="Arial"/>
                <w:sz w:val="13"/>
                <w:szCs w:val="13"/>
                <w:b w:val="1"/>
                <w:bCs w:val="1"/>
                <w:color w:val="auto"/>
              </w:rPr>
              <w:t>ALSN</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40" w:type="dxa"/>
            <w:vAlign w:val="bottom"/>
          </w:tcPr>
          <w:p>
            <w:pPr>
              <w:jc w:val="center"/>
              <w:ind w:right="373"/>
              <w:spacing w:after="0"/>
              <w:rPr>
                <w:sz w:val="20"/>
                <w:szCs w:val="20"/>
                <w:color w:val="auto"/>
              </w:rPr>
            </w:pPr>
            <w:r>
              <w:rPr>
                <w:rFonts w:ascii="Arial" w:cs="Arial" w:eastAsia="Arial" w:hAnsi="Arial"/>
                <w:sz w:val="13"/>
                <w:szCs w:val="13"/>
                <w:b w:val="1"/>
                <w:bCs w:val="1"/>
                <w:color w:val="auto"/>
              </w:rPr>
              <w:t>New York Stock Exchange</w:t>
            </w:r>
          </w:p>
        </w:tc>
      </w:tr>
      <w:tr>
        <w:trPr>
          <w:trHeight w:val="205"/>
        </w:trPr>
        <w:tc>
          <w:tcPr>
            <w:tcW w:w="3760" w:type="dxa"/>
            <w:vAlign w:val="bottom"/>
          </w:tcPr>
          <w:p>
            <w:pPr>
              <w:spacing w:after="0"/>
              <w:rPr>
                <w:sz w:val="20"/>
                <w:szCs w:val="20"/>
                <w:color w:val="auto"/>
              </w:rPr>
            </w:pPr>
            <w:r>
              <w:rPr>
                <w:rFonts w:ascii="Arial" w:cs="Arial" w:eastAsia="Arial" w:hAnsi="Arial"/>
                <w:sz w:val="13"/>
                <w:szCs w:val="13"/>
                <w:color w:val="auto"/>
              </w:rPr>
              <w:t>Securities registered pursuant to Section 12(g) of the Act: None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23"/>
        </w:trPr>
        <w:tc>
          <w:tcPr>
            <w:tcW w:w="6980" w:type="dxa"/>
            <w:vAlign w:val="bottom"/>
            <w:gridSpan w:val="4"/>
          </w:tcPr>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tc>
        <w:tc>
          <w:tcPr>
            <w:tcW w:w="540" w:type="dxa"/>
            <w:vAlign w:val="bottom"/>
            <w:gridSpan w:val="2"/>
          </w:tcPr>
          <w:p>
            <w:pPr>
              <w:ind w:left="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3740" w:type="dxa"/>
            <w:vAlign w:val="bottom"/>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23"/>
        </w:trPr>
        <w:tc>
          <w:tcPr>
            <w:tcW w:w="6980" w:type="dxa"/>
            <w:vAlign w:val="bottom"/>
            <w:gridSpan w:val="4"/>
          </w:tcPr>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tc>
        <w:tc>
          <w:tcPr>
            <w:tcW w:w="100" w:type="dxa"/>
            <w:vAlign w:val="bottom"/>
          </w:tcPr>
          <w:p>
            <w:pPr>
              <w:spacing w:after="0"/>
              <w:rPr>
                <w:sz w:val="19"/>
                <w:szCs w:val="19"/>
                <w:color w:val="auto"/>
              </w:rPr>
            </w:pPr>
          </w:p>
        </w:tc>
        <w:tc>
          <w:tcPr>
            <w:tcW w:w="440" w:type="dxa"/>
            <w:vAlign w:val="bottom"/>
          </w:tcPr>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3740" w:type="dxa"/>
            <w:vAlign w:val="bottom"/>
          </w:tcPr>
          <w:p>
            <w:pPr>
              <w:ind w:left="10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33" w:lineRule="exact"/>
        <w:rPr>
          <w:sz w:val="24"/>
          <w:szCs w:val="24"/>
          <w:color w:val="auto"/>
        </w:rPr>
      </w:pPr>
    </w:p>
    <w:p>
      <w:pPr>
        <w:ind w:left="6" w:right="12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left="6" w:right="480"/>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left="6" w:right="240"/>
        <w:spacing w:after="0" w:line="27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6" w:type="dxa"/>
        <w:tblCellMar>
          <w:top w:w="0" w:type="dxa"/>
          <w:left w:w="0" w:type="dxa"/>
          <w:bottom w:w="0" w:type="dxa"/>
          <w:right w:w="0" w:type="dxa"/>
        </w:tblCellMar>
      </w:tblPr>
      <w:tr>
        <w:trPr>
          <w:trHeight w:val="164"/>
        </w:trPr>
        <w:tc>
          <w:tcPr>
            <w:tcW w:w="21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0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860" w:type="dxa"/>
            <w:vAlign w:val="bottom"/>
          </w:tcPr>
          <w:p>
            <w:pPr>
              <w:ind w:left="2660"/>
              <w:spacing w:after="0"/>
              <w:rPr>
                <w:sz w:val="20"/>
                <w:szCs w:val="20"/>
                <w:color w:val="auto"/>
              </w:rPr>
            </w:pPr>
            <w:r>
              <w:rPr>
                <w:rFonts w:ascii="Arial" w:cs="Arial" w:eastAsia="Arial" w:hAnsi="Arial"/>
                <w:sz w:val="13"/>
                <w:szCs w:val="13"/>
                <w:color w:val="auto"/>
              </w:rPr>
              <w:t>Accelerated filer</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4"/>
        </w:trPr>
        <w:tc>
          <w:tcPr>
            <w:tcW w:w="2180" w:type="dxa"/>
            <w:vAlign w:val="bottom"/>
          </w:tcPr>
          <w:p>
            <w:pPr>
              <w:spacing w:after="0"/>
              <w:rPr>
                <w:sz w:val="20"/>
                <w:szCs w:val="20"/>
                <w:color w:val="auto"/>
              </w:rPr>
            </w:pPr>
            <w:r>
              <w:rPr>
                <w:rFonts w:ascii="Arial" w:cs="Arial" w:eastAsia="Arial" w:hAnsi="Arial"/>
                <w:sz w:val="13"/>
                <w:szCs w:val="13"/>
                <w:color w:val="auto"/>
              </w:rPr>
              <w:t>Non-accelerated filer</w:t>
            </w:r>
          </w:p>
        </w:tc>
        <w:tc>
          <w:tcPr>
            <w:tcW w:w="340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860" w:type="dxa"/>
            <w:vAlign w:val="bottom"/>
          </w:tcPr>
          <w:p>
            <w:pPr>
              <w:ind w:left="2660"/>
              <w:spacing w:after="0"/>
              <w:rPr>
                <w:sz w:val="20"/>
                <w:szCs w:val="20"/>
                <w:color w:val="auto"/>
              </w:rPr>
            </w:pPr>
            <w:r>
              <w:rPr>
                <w:rFonts w:ascii="Arial" w:cs="Arial" w:eastAsia="Arial" w:hAnsi="Arial"/>
                <w:sz w:val="13"/>
                <w:szCs w:val="13"/>
                <w:color w:val="auto"/>
              </w:rPr>
              <w:t>Smaller reporting company</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7"/>
        </w:trPr>
        <w:tc>
          <w:tcPr>
            <w:tcW w:w="218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40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86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33" w:lineRule="exact"/>
        <w:rPr>
          <w:sz w:val="24"/>
          <w:szCs w:val="24"/>
          <w:color w:val="auto"/>
        </w:rPr>
      </w:pPr>
    </w:p>
    <w:p>
      <w:pPr>
        <w:ind w:left="6" w:right="48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1" w:lineRule="exact"/>
        <w:rPr>
          <w:sz w:val="24"/>
          <w:szCs w:val="24"/>
          <w:color w:val="auto"/>
        </w:rPr>
      </w:pPr>
    </w:p>
    <w:p>
      <w:pPr>
        <w:ind w:left="6" w:right="320"/>
        <w:spacing w:after="0" w:line="17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6" w:lineRule="exact"/>
        <w:rPr>
          <w:sz w:val="24"/>
          <w:szCs w:val="24"/>
          <w:color w:val="auto"/>
        </w:rPr>
      </w:pPr>
    </w:p>
    <w:p>
      <w:pPr>
        <w:ind w:left="6"/>
        <w:spacing w:after="0" w:line="150" w:lineRule="exact"/>
        <w:tabs>
          <w:tab w:leader="none" w:pos="6766" w:val="left"/>
          <w:tab w:leader="none" w:pos="7306"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91" w:lineRule="exact"/>
        <w:rPr>
          <w:sz w:val="24"/>
          <w:szCs w:val="24"/>
          <w:color w:val="auto"/>
        </w:rPr>
      </w:pPr>
    </w:p>
    <w:p>
      <w:pPr>
        <w:ind w:left="6"/>
        <w:spacing w:after="0"/>
        <w:rPr>
          <w:sz w:val="20"/>
          <w:szCs w:val="20"/>
          <w:color w:val="auto"/>
        </w:rPr>
      </w:pPr>
      <w:r>
        <w:rPr>
          <w:rFonts w:ascii="Arial" w:cs="Arial" w:eastAsia="Arial" w:hAnsi="Arial"/>
          <w:sz w:val="13"/>
          <w:szCs w:val="13"/>
          <w:color w:val="auto"/>
        </w:rPr>
        <w:t>The aggregate market value of the voting and non-voting stock held by non-affiliates was approximately $4,136 million as of June 30, 2020.</w:t>
      </w:r>
    </w:p>
    <w:p>
      <w:pPr>
        <w:spacing w:after="0" w:line="50" w:lineRule="exact"/>
        <w:rPr>
          <w:sz w:val="24"/>
          <w:szCs w:val="24"/>
          <w:color w:val="auto"/>
        </w:rPr>
      </w:pPr>
    </w:p>
    <w:p>
      <w:pPr>
        <w:ind w:left="6"/>
        <w:spacing w:after="0"/>
        <w:rPr>
          <w:sz w:val="20"/>
          <w:szCs w:val="20"/>
          <w:color w:val="auto"/>
        </w:rPr>
      </w:pPr>
      <w:r>
        <w:rPr>
          <w:rFonts w:ascii="Arial" w:cs="Arial" w:eastAsia="Arial" w:hAnsi="Arial"/>
          <w:sz w:val="13"/>
          <w:szCs w:val="13"/>
          <w:color w:val="auto"/>
        </w:rPr>
        <w:t>As of February 4, 2021, there were 111,944,955 shares of Common Stock outstanding.</w:t>
      </w:r>
    </w:p>
    <w:p>
      <w:pPr>
        <w:spacing w:after="0" w:line="48" w:lineRule="exact"/>
        <w:rPr>
          <w:sz w:val="24"/>
          <w:szCs w:val="24"/>
          <w:color w:val="auto"/>
        </w:rPr>
      </w:pPr>
    </w:p>
    <w:p>
      <w:pPr>
        <w:ind w:left="4406"/>
        <w:spacing w:after="0"/>
        <w:rPr>
          <w:sz w:val="20"/>
          <w:szCs w:val="20"/>
          <w:color w:val="auto"/>
        </w:rPr>
      </w:pPr>
      <w:r>
        <w:rPr>
          <w:rFonts w:ascii="Arial" w:cs="Arial" w:eastAsia="Arial" w:hAnsi="Arial"/>
          <w:sz w:val="13"/>
          <w:szCs w:val="13"/>
          <w:b w:val="1"/>
          <w:bCs w:val="1"/>
          <w:color w:val="auto"/>
        </w:rPr>
        <w:t>Documents Incorporated by Reference</w:t>
      </w:r>
    </w:p>
    <w:p>
      <w:pPr>
        <w:spacing w:after="0" w:line="64" w:lineRule="exact"/>
        <w:rPr>
          <w:sz w:val="24"/>
          <w:szCs w:val="24"/>
          <w:color w:val="auto"/>
        </w:rPr>
      </w:pPr>
    </w:p>
    <w:p>
      <w:pPr>
        <w:ind w:left="6"/>
        <w:spacing w:after="0"/>
        <w:rPr>
          <w:sz w:val="20"/>
          <w:szCs w:val="20"/>
          <w:color w:val="auto"/>
        </w:rPr>
      </w:pPr>
      <w:r>
        <w:rPr>
          <w:rFonts w:ascii="Arial" w:cs="Arial" w:eastAsia="Arial" w:hAnsi="Arial"/>
          <w:sz w:val="13"/>
          <w:szCs w:val="13"/>
          <w:color w:val="auto"/>
        </w:rPr>
        <w:t>Portions of the Registrant’s definitive Proxy Statement for its 2021 annual meeting of stockholders will be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1501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73660</wp:posOffset>
            </wp:positionV>
            <wp:extent cx="71501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633095</wp:posOffset>
            </wp:positionV>
            <wp:extent cx="715010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21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1"/>
        </w:trPr>
        <w:tc>
          <w:tcPr>
            <w:tcW w:w="10500" w:type="dxa"/>
            <w:vAlign w:val="bottom"/>
            <w:gridSpan w:val="8"/>
          </w:tcPr>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tcPr>
          <w:p>
            <w:pPr>
              <w:ind w:left="4560"/>
              <w:spacing w:after="0"/>
              <w:rPr>
                <w:sz w:val="20"/>
                <w:szCs w:val="20"/>
                <w:color w:val="auto"/>
              </w:rPr>
            </w:pPr>
            <w:r>
              <w:rPr>
                <w:rFonts w:ascii="Arial" w:cs="Arial" w:eastAsia="Arial" w:hAnsi="Arial"/>
                <w:sz w:val="16"/>
                <w:szCs w:val="16"/>
                <w:b w:val="1"/>
                <w:bCs w:val="1"/>
                <w:color w:val="auto"/>
              </w:rPr>
              <w:t>INDEX</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800" w:type="dxa"/>
            <w:vAlign w:val="bottom"/>
            <w:gridSpan w:val="6"/>
            <w:vMerge w:val="restart"/>
          </w:tcPr>
          <w:p>
            <w:pPr>
              <w:spacing w:after="0"/>
              <w:rPr>
                <w:rFonts w:ascii="Arial" w:cs="Arial" w:eastAsia="Arial" w:hAnsi="Arial"/>
                <w:sz w:val="16"/>
                <w:szCs w:val="16"/>
                <w:b w:val="1"/>
                <w:bCs w:val="1"/>
                <w:color w:val="0000EE"/>
              </w:rPr>
            </w:pPr>
            <w:hyperlink w:anchor="page4">
              <w:r>
                <w:rPr>
                  <w:rFonts w:ascii="Arial" w:cs="Arial" w:eastAsia="Arial" w:hAnsi="Arial"/>
                  <w:sz w:val="16"/>
                  <w:szCs w:val="16"/>
                  <w:b w:val="1"/>
                  <w:bCs w:val="1"/>
                  <w:u w:val="single" w:color="auto"/>
                  <w:color w:val="0000EE"/>
                </w:rPr>
                <w:t>PART I</w:t>
              </w:r>
              <w:r>
                <w:rPr>
                  <w:rFonts w:ascii="Arial" w:cs="Arial" w:eastAsia="Arial" w:hAnsi="Arial"/>
                  <w:sz w:val="16"/>
                  <w:szCs w:val="16"/>
                  <w:b w:val="1"/>
                  <w:bCs w:val="1"/>
                  <w:color w:val="0000EE"/>
                </w:rPr>
                <w:t>.</w:t>
              </w:r>
            </w:hyperlink>
          </w:p>
        </w:tc>
        <w:tc>
          <w:tcPr>
            <w:tcW w:w="9680" w:type="dxa"/>
            <w:vAlign w:val="bottom"/>
          </w:tcPr>
          <w:p>
            <w:pPr>
              <w:spacing w:after="0"/>
              <w:rPr>
                <w:sz w:val="24"/>
                <w:szCs w:val="24"/>
                <w:color w:val="auto"/>
              </w:rPr>
            </w:pPr>
          </w:p>
        </w:tc>
        <w:tc>
          <w:tcPr>
            <w:tcW w:w="7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0" w:type="dxa"/>
            <w:vAlign w:val="bottom"/>
            <w:gridSpan w:val="6"/>
            <w:vMerge w:val="continue"/>
          </w:tcPr>
          <w:p>
            <w:pPr>
              <w:spacing w:after="0"/>
              <w:rPr>
                <w:sz w:val="16"/>
                <w:szCs w:val="16"/>
                <w:color w:val="auto"/>
              </w:rPr>
            </w:pPr>
          </w:p>
        </w:tc>
        <w:tc>
          <w:tcPr>
            <w:tcW w:w="9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0" w:type="dxa"/>
            <w:vAlign w:val="bottom"/>
            <w:gridSpan w:val="6"/>
          </w:tcPr>
          <w:p>
            <w:pPr>
              <w:spacing w:after="0"/>
              <w:rPr>
                <w:sz w:val="20"/>
                <w:szCs w:val="20"/>
                <w:color w:val="auto"/>
              </w:rPr>
            </w:pPr>
            <w:r>
              <w:rPr>
                <w:rFonts w:ascii="Arial" w:cs="Arial" w:eastAsia="Arial" w:hAnsi="Arial"/>
                <w:sz w:val="16"/>
                <w:szCs w:val="16"/>
                <w:color w:val="auto"/>
              </w:rPr>
              <w:t>Item 1.</w:t>
            </w:r>
          </w:p>
        </w:tc>
        <w:tc>
          <w:tcPr>
            <w:tcW w:w="9680" w:type="dxa"/>
            <w:vAlign w:val="bottom"/>
          </w:tcPr>
          <w:p>
            <w:pPr>
              <w:ind w:left="1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Business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62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rPr>
              <w:t>Item 1A.</w:t>
            </w:r>
          </w:p>
        </w:tc>
        <w:tc>
          <w:tcPr>
            <w:tcW w:w="180" w:type="dxa"/>
            <w:vAlign w:val="bottom"/>
          </w:tcPr>
          <w:p>
            <w:pPr>
              <w:spacing w:after="0"/>
              <w:rPr>
                <w:sz w:val="22"/>
                <w:szCs w:val="22"/>
                <w:color w:val="auto"/>
              </w:rPr>
            </w:pPr>
          </w:p>
        </w:tc>
        <w:tc>
          <w:tcPr>
            <w:tcW w:w="9680" w:type="dxa"/>
            <w:vAlign w:val="bottom"/>
          </w:tcPr>
          <w:p>
            <w:pPr>
              <w:ind w:left="160"/>
              <w:spacing w:after="0"/>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60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w w:val="97"/>
              </w:rPr>
              <w:t>Item 1B.</w:t>
            </w:r>
          </w:p>
        </w:tc>
        <w:tc>
          <w:tcPr>
            <w:tcW w:w="200" w:type="dxa"/>
            <w:vAlign w:val="bottom"/>
            <w:gridSpan w:val="2"/>
          </w:tcPr>
          <w:p>
            <w:pPr>
              <w:spacing w:after="0"/>
              <w:rPr>
                <w:sz w:val="22"/>
                <w:szCs w:val="22"/>
                <w:color w:val="auto"/>
              </w:rPr>
            </w:pPr>
          </w:p>
        </w:tc>
        <w:tc>
          <w:tcPr>
            <w:tcW w:w="9680" w:type="dxa"/>
            <w:vAlign w:val="bottom"/>
          </w:tcPr>
          <w:p>
            <w:pPr>
              <w:ind w:left="16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Unresolved Staff Comments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6"/>
          </w:tcPr>
          <w:p>
            <w:pPr>
              <w:spacing w:after="0"/>
              <w:rPr>
                <w:sz w:val="20"/>
                <w:szCs w:val="20"/>
                <w:color w:val="auto"/>
              </w:rPr>
            </w:pPr>
            <w:r>
              <w:rPr>
                <w:rFonts w:ascii="Arial" w:cs="Arial" w:eastAsia="Arial" w:hAnsi="Arial"/>
                <w:sz w:val="16"/>
                <w:szCs w:val="16"/>
                <w:color w:val="auto"/>
              </w:rPr>
              <w:t>Item 2.</w:t>
            </w:r>
          </w:p>
        </w:tc>
        <w:tc>
          <w:tcPr>
            <w:tcW w:w="9680" w:type="dxa"/>
            <w:vAlign w:val="bottom"/>
          </w:tcPr>
          <w:p>
            <w:pPr>
              <w:ind w:left="16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Properties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6"/>
          </w:tcPr>
          <w:p>
            <w:pPr>
              <w:spacing w:after="0"/>
              <w:rPr>
                <w:sz w:val="20"/>
                <w:szCs w:val="20"/>
                <w:color w:val="auto"/>
              </w:rPr>
            </w:pPr>
            <w:r>
              <w:rPr>
                <w:rFonts w:ascii="Arial" w:cs="Arial" w:eastAsia="Arial" w:hAnsi="Arial"/>
                <w:sz w:val="16"/>
                <w:szCs w:val="16"/>
                <w:color w:val="auto"/>
              </w:rPr>
              <w:t>Item 3.</w:t>
            </w:r>
          </w:p>
        </w:tc>
        <w:tc>
          <w:tcPr>
            <w:tcW w:w="9680" w:type="dxa"/>
            <w:vAlign w:val="bottom"/>
          </w:tcPr>
          <w:p>
            <w:pPr>
              <w:ind w:left="16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Legal Proceedings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6"/>
          </w:tcPr>
          <w:p>
            <w:pPr>
              <w:spacing w:after="0"/>
              <w:rPr>
                <w:sz w:val="20"/>
                <w:szCs w:val="20"/>
                <w:color w:val="auto"/>
              </w:rPr>
            </w:pPr>
            <w:r>
              <w:rPr>
                <w:rFonts w:ascii="Arial" w:cs="Arial" w:eastAsia="Arial" w:hAnsi="Arial"/>
                <w:sz w:val="16"/>
                <w:szCs w:val="16"/>
                <w:color w:val="auto"/>
              </w:rPr>
              <w:t>Item 4.</w:t>
            </w:r>
          </w:p>
        </w:tc>
        <w:tc>
          <w:tcPr>
            <w:tcW w:w="9680" w:type="dxa"/>
            <w:vAlign w:val="bottom"/>
          </w:tcPr>
          <w:p>
            <w:pPr>
              <w:ind w:left="16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Mine Safety Disclosures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20" w:type="dxa"/>
            <w:vAlign w:val="bottom"/>
          </w:tcPr>
          <w:p>
            <w:pPr>
              <w:spacing w:after="0"/>
              <w:rPr>
                <w:sz w:val="24"/>
                <w:szCs w:val="24"/>
                <w:color w:val="auto"/>
              </w:rPr>
            </w:pPr>
          </w:p>
        </w:tc>
        <w:tc>
          <w:tcPr>
            <w:tcW w:w="800" w:type="dxa"/>
            <w:vAlign w:val="bottom"/>
            <w:gridSpan w:val="6"/>
          </w:tcPr>
          <w:p>
            <w:pPr>
              <w:spacing w:after="0"/>
              <w:rPr>
                <w:rFonts w:ascii="Arial" w:cs="Arial" w:eastAsia="Arial" w:hAnsi="Arial"/>
                <w:sz w:val="16"/>
                <w:szCs w:val="16"/>
                <w:b w:val="1"/>
                <w:bCs w:val="1"/>
                <w:u w:val="single" w:color="auto"/>
                <w:color w:val="0000EE"/>
              </w:rPr>
            </w:pPr>
            <w:hyperlink w:anchor="page33">
              <w:r>
                <w:rPr>
                  <w:rFonts w:ascii="Arial" w:cs="Arial" w:eastAsia="Arial" w:hAnsi="Arial"/>
                  <w:sz w:val="16"/>
                  <w:szCs w:val="16"/>
                  <w:b w:val="1"/>
                  <w:bCs w:val="1"/>
                  <w:u w:val="single" w:color="auto"/>
                  <w:color w:val="0000EE"/>
                </w:rPr>
                <w:t>PART II.</w:t>
              </w:r>
            </w:hyperlink>
          </w:p>
        </w:tc>
        <w:tc>
          <w:tcPr>
            <w:tcW w:w="9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0" w:type="dxa"/>
            <w:vAlign w:val="bottom"/>
            <w:gridSpan w:val="6"/>
          </w:tcPr>
          <w:p>
            <w:pPr>
              <w:spacing w:after="0"/>
              <w:rPr>
                <w:sz w:val="20"/>
                <w:szCs w:val="20"/>
                <w:color w:val="auto"/>
              </w:rPr>
            </w:pPr>
            <w:r>
              <w:rPr>
                <w:rFonts w:ascii="Arial" w:cs="Arial" w:eastAsia="Arial" w:hAnsi="Arial"/>
                <w:sz w:val="16"/>
                <w:szCs w:val="16"/>
                <w:color w:val="auto"/>
              </w:rPr>
              <w:t>Item 5.</w:t>
            </w:r>
          </w:p>
        </w:tc>
        <w:tc>
          <w:tcPr>
            <w:tcW w:w="9680" w:type="dxa"/>
            <w:vAlign w:val="bottom"/>
          </w:tcPr>
          <w:p>
            <w:pPr>
              <w:ind w:left="16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Market for Registrant’s Common Equity, Related Stockholder Matters and Issuer Purchases of Equity Securities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6"/>
          </w:tcPr>
          <w:p>
            <w:pPr>
              <w:spacing w:after="0"/>
              <w:rPr>
                <w:sz w:val="20"/>
                <w:szCs w:val="20"/>
                <w:color w:val="auto"/>
              </w:rPr>
            </w:pPr>
            <w:r>
              <w:rPr>
                <w:rFonts w:ascii="Arial" w:cs="Arial" w:eastAsia="Arial" w:hAnsi="Arial"/>
                <w:sz w:val="16"/>
                <w:szCs w:val="16"/>
                <w:color w:val="auto"/>
              </w:rPr>
              <w:t>Item 6.</w:t>
            </w:r>
          </w:p>
        </w:tc>
        <w:tc>
          <w:tcPr>
            <w:tcW w:w="9680" w:type="dxa"/>
            <w:vAlign w:val="bottom"/>
          </w:tcPr>
          <w:p>
            <w:pPr>
              <w:ind w:left="160"/>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Selected Financial Data</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6"/>
          </w:tcPr>
          <w:p>
            <w:pPr>
              <w:spacing w:after="0"/>
              <w:rPr>
                <w:sz w:val="20"/>
                <w:szCs w:val="20"/>
                <w:color w:val="auto"/>
              </w:rPr>
            </w:pPr>
            <w:r>
              <w:rPr>
                <w:rFonts w:ascii="Arial" w:cs="Arial" w:eastAsia="Arial" w:hAnsi="Arial"/>
                <w:sz w:val="16"/>
                <w:szCs w:val="16"/>
                <w:color w:val="auto"/>
              </w:rPr>
              <w:t>Item 7.</w:t>
            </w:r>
          </w:p>
        </w:tc>
        <w:tc>
          <w:tcPr>
            <w:tcW w:w="9680" w:type="dxa"/>
            <w:vAlign w:val="bottom"/>
          </w:tcPr>
          <w:p>
            <w:pPr>
              <w:ind w:left="160"/>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Management’s Discussion and Analysis of Financial Condition and Results of Operations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34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60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w w:val="97"/>
              </w:rPr>
              <w:t>Item 7A.</w:t>
            </w:r>
          </w:p>
        </w:tc>
        <w:tc>
          <w:tcPr>
            <w:tcW w:w="200" w:type="dxa"/>
            <w:vAlign w:val="bottom"/>
            <w:gridSpan w:val="2"/>
          </w:tcPr>
          <w:p>
            <w:pPr>
              <w:spacing w:after="0"/>
              <w:rPr>
                <w:sz w:val="22"/>
                <w:szCs w:val="22"/>
                <w:color w:val="auto"/>
              </w:rPr>
            </w:pPr>
          </w:p>
        </w:tc>
        <w:tc>
          <w:tcPr>
            <w:tcW w:w="9680" w:type="dxa"/>
            <w:vAlign w:val="bottom"/>
          </w:tcPr>
          <w:p>
            <w:pPr>
              <w:ind w:left="160"/>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Quantitative and Qualitative Disclosures About Market Risk</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6"/>
          </w:tcPr>
          <w:p>
            <w:pPr>
              <w:spacing w:after="0"/>
              <w:rPr>
                <w:sz w:val="20"/>
                <w:szCs w:val="20"/>
                <w:color w:val="auto"/>
              </w:rPr>
            </w:pPr>
            <w:r>
              <w:rPr>
                <w:rFonts w:ascii="Arial" w:cs="Arial" w:eastAsia="Arial" w:hAnsi="Arial"/>
                <w:sz w:val="16"/>
                <w:szCs w:val="16"/>
                <w:color w:val="auto"/>
              </w:rPr>
              <w:t>Item 8.</w:t>
            </w:r>
          </w:p>
        </w:tc>
        <w:tc>
          <w:tcPr>
            <w:tcW w:w="9680" w:type="dxa"/>
            <w:vAlign w:val="bottom"/>
          </w:tcPr>
          <w:p>
            <w:pPr>
              <w:ind w:left="16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Financial Statements and Supplementary Data</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51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6"/>
          </w:tcPr>
          <w:p>
            <w:pPr>
              <w:spacing w:after="0"/>
              <w:rPr>
                <w:sz w:val="20"/>
                <w:szCs w:val="20"/>
                <w:color w:val="auto"/>
              </w:rPr>
            </w:pPr>
            <w:r>
              <w:rPr>
                <w:rFonts w:ascii="Arial" w:cs="Arial" w:eastAsia="Arial" w:hAnsi="Arial"/>
                <w:sz w:val="16"/>
                <w:szCs w:val="16"/>
                <w:color w:val="auto"/>
              </w:rPr>
              <w:t>Item 9.</w:t>
            </w:r>
          </w:p>
        </w:tc>
        <w:tc>
          <w:tcPr>
            <w:tcW w:w="9680" w:type="dxa"/>
            <w:vAlign w:val="bottom"/>
          </w:tcPr>
          <w:p>
            <w:pPr>
              <w:ind w:left="160"/>
              <w:spacing w:after="0"/>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Changes in and Disagreements With Accountants on Accounting and Financial Disclosure</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97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62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rPr>
              <w:t>Item 9A.</w:t>
            </w:r>
          </w:p>
        </w:tc>
        <w:tc>
          <w:tcPr>
            <w:tcW w:w="180" w:type="dxa"/>
            <w:vAlign w:val="bottom"/>
          </w:tcPr>
          <w:p>
            <w:pPr>
              <w:spacing w:after="0"/>
              <w:rPr>
                <w:sz w:val="22"/>
                <w:szCs w:val="22"/>
                <w:color w:val="auto"/>
              </w:rPr>
            </w:pPr>
          </w:p>
        </w:tc>
        <w:tc>
          <w:tcPr>
            <w:tcW w:w="9680" w:type="dxa"/>
            <w:vAlign w:val="bottom"/>
          </w:tcPr>
          <w:p>
            <w:pPr>
              <w:ind w:left="160"/>
              <w:spacing w:after="0"/>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Controls and Procedures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97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62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rPr>
              <w:t>Item 9B.</w:t>
            </w:r>
          </w:p>
        </w:tc>
        <w:tc>
          <w:tcPr>
            <w:tcW w:w="180" w:type="dxa"/>
            <w:vAlign w:val="bottom"/>
          </w:tcPr>
          <w:p>
            <w:pPr>
              <w:spacing w:after="0"/>
              <w:rPr>
                <w:sz w:val="22"/>
                <w:szCs w:val="22"/>
                <w:color w:val="auto"/>
              </w:rPr>
            </w:pPr>
          </w:p>
        </w:tc>
        <w:tc>
          <w:tcPr>
            <w:tcW w:w="9680" w:type="dxa"/>
            <w:vAlign w:val="bottom"/>
          </w:tcPr>
          <w:p>
            <w:pPr>
              <w:ind w:left="160"/>
              <w:spacing w:after="0"/>
              <w:rPr>
                <w:rFonts w:ascii="Arial" w:cs="Arial" w:eastAsia="Arial" w:hAnsi="Arial"/>
                <w:sz w:val="16"/>
                <w:szCs w:val="16"/>
                <w:u w:val="single" w:color="auto"/>
                <w:color w:val="0000EE"/>
              </w:rPr>
            </w:pPr>
            <w:hyperlink w:anchor="page99">
              <w:r>
                <w:rPr>
                  <w:rFonts w:ascii="Arial" w:cs="Arial" w:eastAsia="Arial" w:hAnsi="Arial"/>
                  <w:sz w:val="16"/>
                  <w:szCs w:val="16"/>
                  <w:u w:val="single" w:color="auto"/>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98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800" w:type="dxa"/>
            <w:vAlign w:val="bottom"/>
            <w:gridSpan w:val="6"/>
          </w:tcPr>
          <w:p>
            <w:pPr>
              <w:spacing w:after="0"/>
              <w:rPr>
                <w:rFonts w:ascii="Arial" w:cs="Arial" w:eastAsia="Arial" w:hAnsi="Arial"/>
                <w:sz w:val="16"/>
                <w:szCs w:val="16"/>
                <w:b w:val="1"/>
                <w:bCs w:val="1"/>
                <w:u w:val="single" w:color="auto"/>
                <w:color w:val="0000EE"/>
              </w:rPr>
            </w:pPr>
            <w:hyperlink w:anchor="page100">
              <w:r>
                <w:rPr>
                  <w:rFonts w:ascii="Arial" w:cs="Arial" w:eastAsia="Arial" w:hAnsi="Arial"/>
                  <w:sz w:val="16"/>
                  <w:szCs w:val="16"/>
                  <w:b w:val="1"/>
                  <w:bCs w:val="1"/>
                  <w:u w:val="single" w:color="auto"/>
                  <w:color w:val="0000EE"/>
                </w:rPr>
                <w:t>PART III.</w:t>
              </w:r>
            </w:hyperlink>
          </w:p>
        </w:tc>
        <w:tc>
          <w:tcPr>
            <w:tcW w:w="9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6"/>
              </w:rPr>
              <w:t>Item 10.</w:t>
            </w:r>
          </w:p>
        </w:tc>
        <w:tc>
          <w:tcPr>
            <w:tcW w:w="220" w:type="dxa"/>
            <w:vAlign w:val="bottom"/>
            <w:gridSpan w:val="3"/>
          </w:tcPr>
          <w:p>
            <w:pPr>
              <w:spacing w:after="0"/>
              <w:rPr>
                <w:sz w:val="20"/>
                <w:szCs w:val="20"/>
                <w:color w:val="auto"/>
              </w:rPr>
            </w:pPr>
          </w:p>
        </w:tc>
        <w:tc>
          <w:tcPr>
            <w:tcW w:w="9680" w:type="dxa"/>
            <w:vAlign w:val="bottom"/>
          </w:tcPr>
          <w:p>
            <w:pPr>
              <w:ind w:left="160"/>
              <w:spacing w:after="0"/>
              <w:rPr>
                <w:rFonts w:ascii="Arial" w:cs="Arial" w:eastAsia="Arial" w:hAnsi="Arial"/>
                <w:sz w:val="16"/>
                <w:szCs w:val="16"/>
                <w:u w:val="single" w:color="auto"/>
                <w:color w:val="0000EE"/>
              </w:rPr>
            </w:pPr>
            <w:hyperlink w:anchor="page100">
              <w:r>
                <w:rPr>
                  <w:rFonts w:ascii="Arial" w:cs="Arial" w:eastAsia="Arial" w:hAnsi="Arial"/>
                  <w:sz w:val="16"/>
                  <w:szCs w:val="16"/>
                  <w:u w:val="single" w:color="auto"/>
                  <w:color w:val="0000EE"/>
                </w:rPr>
                <w:t>Directors, Executive Officers and Corporate Governance</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6"/>
          </w:tcPr>
          <w:p>
            <w:pPr>
              <w:spacing w:after="0"/>
              <w:rPr>
                <w:sz w:val="20"/>
                <w:szCs w:val="20"/>
                <w:color w:val="auto"/>
              </w:rPr>
            </w:pPr>
            <w:r>
              <w:rPr>
                <w:rFonts w:ascii="Arial" w:cs="Arial" w:eastAsia="Arial" w:hAnsi="Arial"/>
                <w:sz w:val="16"/>
                <w:szCs w:val="16"/>
                <w:color w:val="auto"/>
              </w:rPr>
              <w:t>Item 11.</w:t>
            </w:r>
          </w:p>
        </w:tc>
        <w:tc>
          <w:tcPr>
            <w:tcW w:w="9680" w:type="dxa"/>
            <w:vAlign w:val="bottom"/>
          </w:tcPr>
          <w:p>
            <w:pPr>
              <w:ind w:left="160"/>
              <w:spacing w:after="0"/>
              <w:rPr>
                <w:rFonts w:ascii="Arial" w:cs="Arial" w:eastAsia="Arial" w:hAnsi="Arial"/>
                <w:sz w:val="16"/>
                <w:szCs w:val="16"/>
                <w:u w:val="single" w:color="auto"/>
                <w:color w:val="0000EE"/>
              </w:rPr>
            </w:pPr>
            <w:hyperlink w:anchor="page100">
              <w:r>
                <w:rPr>
                  <w:rFonts w:ascii="Arial" w:cs="Arial" w:eastAsia="Arial" w:hAnsi="Arial"/>
                  <w:sz w:val="16"/>
                  <w:szCs w:val="16"/>
                  <w:u w:val="single" w:color="auto"/>
                  <w:color w:val="0000EE"/>
                </w:rPr>
                <w:t>Executive Compensation</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99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6"/>
              </w:rPr>
              <w:t>Item 12.</w:t>
            </w:r>
          </w:p>
        </w:tc>
        <w:tc>
          <w:tcPr>
            <w:tcW w:w="220" w:type="dxa"/>
            <w:vAlign w:val="bottom"/>
            <w:gridSpan w:val="3"/>
          </w:tcPr>
          <w:p>
            <w:pPr>
              <w:spacing w:after="0"/>
              <w:rPr>
                <w:sz w:val="22"/>
                <w:szCs w:val="22"/>
                <w:color w:val="auto"/>
              </w:rPr>
            </w:pPr>
          </w:p>
        </w:tc>
        <w:tc>
          <w:tcPr>
            <w:tcW w:w="9680" w:type="dxa"/>
            <w:vAlign w:val="bottom"/>
          </w:tcPr>
          <w:p>
            <w:pPr>
              <w:ind w:left="160"/>
              <w:spacing w:after="0"/>
              <w:rPr>
                <w:rFonts w:ascii="Arial" w:cs="Arial" w:eastAsia="Arial" w:hAnsi="Arial"/>
                <w:sz w:val="16"/>
                <w:szCs w:val="16"/>
                <w:u w:val="single" w:color="auto"/>
                <w:color w:val="0000EE"/>
              </w:rPr>
            </w:pPr>
            <w:hyperlink w:anchor="page100">
              <w:r>
                <w:rPr>
                  <w:rFonts w:ascii="Arial" w:cs="Arial" w:eastAsia="Arial" w:hAnsi="Arial"/>
                  <w:sz w:val="16"/>
                  <w:szCs w:val="16"/>
                  <w:u w:val="single" w:color="auto"/>
                  <w:color w:val="0000EE"/>
                </w:rPr>
                <w:t>Security Ownership of Certain Beneficial Owners and Management and Related Stockholder Matters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99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6"/>
              </w:rPr>
              <w:t>Item 13.</w:t>
            </w:r>
          </w:p>
        </w:tc>
        <w:tc>
          <w:tcPr>
            <w:tcW w:w="220" w:type="dxa"/>
            <w:vAlign w:val="bottom"/>
            <w:gridSpan w:val="3"/>
          </w:tcPr>
          <w:p>
            <w:pPr>
              <w:spacing w:after="0"/>
              <w:rPr>
                <w:sz w:val="22"/>
                <w:szCs w:val="22"/>
                <w:color w:val="auto"/>
              </w:rPr>
            </w:pPr>
          </w:p>
        </w:tc>
        <w:tc>
          <w:tcPr>
            <w:tcW w:w="9680" w:type="dxa"/>
            <w:vAlign w:val="bottom"/>
          </w:tcPr>
          <w:p>
            <w:pPr>
              <w:ind w:left="160"/>
              <w:spacing w:after="0"/>
              <w:rPr>
                <w:rFonts w:ascii="Arial" w:cs="Arial" w:eastAsia="Arial" w:hAnsi="Arial"/>
                <w:sz w:val="16"/>
                <w:szCs w:val="16"/>
                <w:u w:val="single" w:color="auto"/>
                <w:color w:val="0000EE"/>
              </w:rPr>
            </w:pPr>
            <w:hyperlink w:anchor="page100">
              <w:r>
                <w:rPr>
                  <w:rFonts w:ascii="Arial" w:cs="Arial" w:eastAsia="Arial" w:hAnsi="Arial"/>
                  <w:sz w:val="16"/>
                  <w:szCs w:val="16"/>
                  <w:u w:val="single" w:color="auto"/>
                  <w:color w:val="0000EE"/>
                </w:rPr>
                <w:t>Certain Relationships and Related Transactions, and Director Independence</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99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6"/>
              </w:rPr>
              <w:t>Item 14.</w:t>
            </w:r>
          </w:p>
        </w:tc>
        <w:tc>
          <w:tcPr>
            <w:tcW w:w="220" w:type="dxa"/>
            <w:vAlign w:val="bottom"/>
            <w:gridSpan w:val="3"/>
          </w:tcPr>
          <w:p>
            <w:pPr>
              <w:spacing w:after="0"/>
              <w:rPr>
                <w:sz w:val="22"/>
                <w:szCs w:val="22"/>
                <w:color w:val="auto"/>
              </w:rPr>
            </w:pPr>
          </w:p>
        </w:tc>
        <w:tc>
          <w:tcPr>
            <w:tcW w:w="9680" w:type="dxa"/>
            <w:vAlign w:val="bottom"/>
          </w:tcPr>
          <w:p>
            <w:pPr>
              <w:ind w:left="160"/>
              <w:spacing w:after="0"/>
              <w:rPr>
                <w:rFonts w:ascii="Arial" w:cs="Arial" w:eastAsia="Arial" w:hAnsi="Arial"/>
                <w:sz w:val="16"/>
                <w:szCs w:val="16"/>
                <w:u w:val="single" w:color="auto"/>
                <w:color w:val="0000EE"/>
              </w:rPr>
            </w:pPr>
            <w:hyperlink w:anchor="page100">
              <w:r>
                <w:rPr>
                  <w:rFonts w:ascii="Arial" w:cs="Arial" w:eastAsia="Arial" w:hAnsi="Arial"/>
                  <w:sz w:val="16"/>
                  <w:szCs w:val="16"/>
                  <w:u w:val="single" w:color="auto"/>
                  <w:color w:val="0000EE"/>
                </w:rPr>
                <w:t>Principal Accounting Fees and Services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99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800" w:type="dxa"/>
            <w:vAlign w:val="bottom"/>
            <w:gridSpan w:val="6"/>
          </w:tcPr>
          <w:p>
            <w:pPr>
              <w:spacing w:after="0"/>
              <w:rPr>
                <w:rFonts w:ascii="Arial" w:cs="Arial" w:eastAsia="Arial" w:hAnsi="Arial"/>
                <w:sz w:val="16"/>
                <w:szCs w:val="16"/>
                <w:b w:val="1"/>
                <w:bCs w:val="1"/>
                <w:u w:val="single" w:color="auto"/>
                <w:color w:val="0000EE"/>
              </w:rPr>
            </w:pPr>
            <w:hyperlink w:anchor="page101">
              <w:r>
                <w:rPr>
                  <w:rFonts w:ascii="Arial" w:cs="Arial" w:eastAsia="Arial" w:hAnsi="Arial"/>
                  <w:sz w:val="16"/>
                  <w:szCs w:val="16"/>
                  <w:b w:val="1"/>
                  <w:bCs w:val="1"/>
                  <w:u w:val="single" w:color="auto"/>
                  <w:color w:val="0000EE"/>
                </w:rPr>
                <w:t>PART IV.</w:t>
              </w:r>
            </w:hyperlink>
          </w:p>
        </w:tc>
        <w:tc>
          <w:tcPr>
            <w:tcW w:w="9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6"/>
              </w:rPr>
              <w:t>Item 15.</w:t>
            </w:r>
          </w:p>
        </w:tc>
        <w:tc>
          <w:tcPr>
            <w:tcW w:w="220" w:type="dxa"/>
            <w:vAlign w:val="bottom"/>
            <w:gridSpan w:val="3"/>
          </w:tcPr>
          <w:p>
            <w:pPr>
              <w:spacing w:after="0"/>
              <w:rPr>
                <w:sz w:val="20"/>
                <w:szCs w:val="20"/>
                <w:color w:val="auto"/>
              </w:rPr>
            </w:pPr>
          </w:p>
        </w:tc>
        <w:tc>
          <w:tcPr>
            <w:tcW w:w="9680" w:type="dxa"/>
            <w:vAlign w:val="bottom"/>
          </w:tcPr>
          <w:p>
            <w:pPr>
              <w:ind w:left="160"/>
              <w:spacing w:after="0"/>
              <w:rPr>
                <w:rFonts w:ascii="Arial" w:cs="Arial" w:eastAsia="Arial" w:hAnsi="Arial"/>
                <w:sz w:val="16"/>
                <w:szCs w:val="16"/>
                <w:u w:val="single" w:color="auto"/>
                <w:color w:val="0000EE"/>
              </w:rPr>
            </w:pPr>
            <w:hyperlink w:anchor="page101">
              <w:r>
                <w:rPr>
                  <w:rFonts w:ascii="Arial" w:cs="Arial" w:eastAsia="Arial" w:hAnsi="Arial"/>
                  <w:sz w:val="16"/>
                  <w:szCs w:val="16"/>
                  <w:u w:val="single" w:color="auto"/>
                  <w:color w:val="0000EE"/>
                </w:rPr>
                <w:t>Exhibits and Financial Statement Schedules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6"/>
          </w:tcPr>
          <w:p>
            <w:pPr>
              <w:spacing w:after="0"/>
              <w:rPr>
                <w:sz w:val="20"/>
                <w:szCs w:val="20"/>
                <w:color w:val="auto"/>
              </w:rPr>
            </w:pPr>
            <w:r>
              <w:rPr>
                <w:rFonts w:ascii="Arial" w:cs="Arial" w:eastAsia="Arial" w:hAnsi="Arial"/>
                <w:sz w:val="16"/>
                <w:szCs w:val="16"/>
                <w:color w:val="auto"/>
              </w:rPr>
              <w:t>Item 16.</w:t>
            </w:r>
          </w:p>
        </w:tc>
        <w:tc>
          <w:tcPr>
            <w:tcW w:w="9680" w:type="dxa"/>
            <w:vAlign w:val="bottom"/>
          </w:tcPr>
          <w:p>
            <w:pPr>
              <w:ind w:left="160"/>
              <w:spacing w:after="0"/>
              <w:rPr>
                <w:rFonts w:ascii="Arial" w:cs="Arial" w:eastAsia="Arial" w:hAnsi="Arial"/>
                <w:sz w:val="16"/>
                <w:szCs w:val="16"/>
                <w:u w:val="single" w:color="auto"/>
                <w:color w:val="0000EE"/>
              </w:rPr>
            </w:pPr>
            <w:hyperlink w:anchor="page104">
              <w:r>
                <w:rPr>
                  <w:rFonts w:ascii="Arial" w:cs="Arial" w:eastAsia="Arial" w:hAnsi="Arial"/>
                  <w:sz w:val="16"/>
                  <w:szCs w:val="16"/>
                  <w:u w:val="single" w:color="auto"/>
                  <w:color w:val="0000EE"/>
                </w:rPr>
                <w:t>Form 10-K Summary</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103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tcPr>
          <w:p>
            <w:pPr>
              <w:ind w:left="160"/>
              <w:spacing w:after="0"/>
              <w:rPr>
                <w:rFonts w:ascii="Arial" w:cs="Arial" w:eastAsia="Arial" w:hAnsi="Arial"/>
                <w:sz w:val="16"/>
                <w:szCs w:val="16"/>
                <w:u w:val="single" w:color="auto"/>
                <w:color w:val="0000EE"/>
              </w:rPr>
            </w:pPr>
            <w:hyperlink w:anchor="page105">
              <w:r>
                <w:rPr>
                  <w:rFonts w:ascii="Arial" w:cs="Arial" w:eastAsia="Arial" w:hAnsi="Arial"/>
                  <w:sz w:val="16"/>
                  <w:szCs w:val="16"/>
                  <w:u w:val="single" w:color="auto"/>
                  <w:color w:val="0000EE"/>
                </w:rPr>
                <w:t>Signatures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104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tcPr>
          <w:p>
            <w:pPr>
              <w:ind w:left="4760"/>
              <w:spacing w:after="0"/>
              <w:rPr>
                <w:sz w:val="20"/>
                <w:szCs w:val="20"/>
                <w:color w:val="auto"/>
              </w:rPr>
            </w:pPr>
            <w:r>
              <w:rPr>
                <w:rFonts w:ascii="Arial" w:cs="Arial" w:eastAsia="Arial" w:hAnsi="Arial"/>
                <w:sz w:val="16"/>
                <w:szCs w:val="16"/>
                <w:color w:val="auto"/>
              </w:rPr>
              <w:t>1</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6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82" w:lineRule="exact"/>
        <w:rPr>
          <w:sz w:val="20"/>
          <w:szCs w:val="20"/>
          <w:color w:val="auto"/>
        </w:rPr>
      </w:pPr>
    </w:p>
    <w:p>
      <w:pPr>
        <w:ind w:firstLine="593"/>
        <w:spacing w:after="0" w:line="247" w:lineRule="auto"/>
        <w:rPr>
          <w:sz w:val="20"/>
          <w:szCs w:val="20"/>
          <w:color w:val="auto"/>
        </w:rPr>
      </w:pPr>
      <w:r>
        <w:rPr>
          <w:rFonts w:ascii="Arial" w:cs="Arial" w:eastAsia="Arial" w:hAnsi="Arial"/>
          <w:sz w:val="15"/>
          <w:szCs w:val="15"/>
          <w:color w:val="auto"/>
        </w:rPr>
        <w:t>This Annual Report on Form 10-K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the duration and spread of the COVID-19 pandemic, including new variants of the virus and the pace and availability of vaccines, mitigating efforts deployed by government agencies and the public at large, and the overall impact from such outbreak on economic conditions, financial market volatility and our business, including but not limited to the operations of our manufacturing and other facilities, our supply chain, our distribution processes and demand for our products and the corresponding impacts to our net sales and cash flow; increases in cost, disruption of supply or shortage of raw materials or components used in our products, including as a result of the COVID-19 pandemic; risks related to our substantial indebtedness; our participation in markets that are competitive; the highly cyclical industries in which certain of our end users operate; uncertainty in the global regulatory and business environments in which we operate; our ability to prepare for, respond to and successfully achieve our objectives relating to technological and market developments, competitive threats and changing customer needs, including with respect to electric hybrid and fully electric commercial vehicles; the concentration of our net sales in our top five customers and the loss of any one of these; the failure of markets outside North America to increase adoption of fully automatic transmissions; the success of our research and development efforts, the outcome of which is uncertain; U.S. and foreign defense spending; risks associated with our international operations, including increased trade protectionism; general economic and industry conditions; the discovery of defects in our products, resulting in delays in new model launches, recall campaigns and/or increased warranty costs and reduction in future sales or damage to our brand and reputation; our ability to identify, consummate and effectively integrate acquisitions; labor strikes, work stoppages or similar labor disputes, which could significantly disrupt our operations or those of our principal customers; and our intention to pay dividends and repurchase shares of our common stock.</w:t>
      </w:r>
    </w:p>
    <w:p>
      <w:pPr>
        <w:spacing w:after="0" w:line="289" w:lineRule="exact"/>
        <w:rPr>
          <w:sz w:val="20"/>
          <w:szCs w:val="20"/>
          <w:color w:val="auto"/>
        </w:rPr>
      </w:pPr>
    </w:p>
    <w:p>
      <w:pPr>
        <w:ind w:right="20" w:firstLine="593"/>
        <w:spacing w:after="0" w:line="239" w:lineRule="auto"/>
        <w:rPr>
          <w:sz w:val="20"/>
          <w:szCs w:val="20"/>
          <w:color w:val="auto"/>
        </w:rPr>
      </w:pPr>
      <w:r>
        <w:rPr>
          <w:rFonts w:ascii="Arial" w:cs="Arial" w:eastAsia="Arial" w:hAnsi="Arial"/>
          <w:sz w:val="16"/>
          <w:szCs w:val="16"/>
          <w:color w:val="auto"/>
        </w:rPr>
        <w:t>Important factors that could cause actual results to differ materially from our expectations are disclosed under Part I, Item 1A, “Risk Factors” in this Annual Report on Form 10-K. All written and oral forward-looking statements attributable to us, or persons acting on our behalf, are expressly qualified in their entirety by the cautionary statements as well as other cautionary statements that are made from time to time in our other Securities and Exchange Commission filings or public communications. You should evaluate all forward-looking statements made in this Annual Report on Form 10-K in the context of these risks and uncertainties.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Trademarks</w:t>
      </w:r>
    </w:p>
    <w:p>
      <w:pPr>
        <w:spacing w:after="0" w:line="182" w:lineRule="exact"/>
        <w:rPr>
          <w:sz w:val="20"/>
          <w:szCs w:val="20"/>
          <w:color w:val="auto"/>
        </w:rPr>
      </w:pPr>
    </w:p>
    <w:p>
      <w:pPr>
        <w:ind w:right="180" w:firstLine="593"/>
        <w:spacing w:after="0" w:line="255" w:lineRule="auto"/>
        <w:rPr>
          <w:sz w:val="20"/>
          <w:szCs w:val="20"/>
          <w:color w:val="auto"/>
        </w:rPr>
      </w:pPr>
      <w:r>
        <w:rPr>
          <w:rFonts w:ascii="Arial" w:cs="Arial" w:eastAsia="Arial" w:hAnsi="Arial"/>
          <w:sz w:val="15"/>
          <w:szCs w:val="15"/>
          <w:color w:val="auto"/>
        </w:rPr>
        <w:t xml:space="preserve">This Annual Report on Form 10 -K includes trademarks, such as Allison Transmission, ReTran and Walker Die Casting, which are protected under applicable intellectual property laws and are our property and/or the property of our subsidiaries. This report also contains trademarks, service marks, copyrights and trade names of other companies, which are the property of their respective owners. We do not intend our use or display of other companies’ trademarks, service marks, copyrights or trade names to imply a relationship with, or endorsement or sponsorship of us by, any other companies. Solely for convenience, our trademarks and trade names referred to in this report may appear without the ® or </w:t>
      </w:r>
      <w:r>
        <w:rPr>
          <w:rFonts w:ascii="Arial" w:cs="Arial" w:eastAsia="Arial" w:hAnsi="Arial"/>
          <w:sz w:val="12"/>
          <w:szCs w:val="12"/>
          <w:color w:val="auto"/>
        </w:rPr>
        <w:t>TM</w:t>
      </w:r>
      <w:r>
        <w:rPr>
          <w:rFonts w:ascii="Arial" w:cs="Arial" w:eastAsia="Arial" w:hAnsi="Arial"/>
          <w:sz w:val="15"/>
          <w:szCs w:val="15"/>
          <w:color w:val="auto"/>
        </w:rPr>
        <w:t xml:space="preserve"> symbols, but such references are not intended to indicate, in any way, that we will not assert, to the fullest extent under applicable law, our rights or the right of the applicable licensor to these trademarks and trade names.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Overview</w:t>
      </w:r>
    </w:p>
    <w:p>
      <w:pPr>
        <w:spacing w:after="0" w:line="131" w:lineRule="exact"/>
        <w:rPr>
          <w:sz w:val="20"/>
          <w:szCs w:val="20"/>
          <w:color w:val="auto"/>
        </w:rPr>
      </w:pPr>
    </w:p>
    <w:p>
      <w:pPr>
        <w:ind w:right="20" w:firstLine="522"/>
        <w:spacing w:after="0" w:line="263" w:lineRule="auto"/>
        <w:rPr>
          <w:sz w:val="20"/>
          <w:szCs w:val="20"/>
          <w:color w:val="auto"/>
        </w:rPr>
      </w:pPr>
      <w:r>
        <w:rPr>
          <w:rFonts w:ascii="Arial" w:cs="Arial" w:eastAsia="Arial" w:hAnsi="Arial"/>
          <w:sz w:val="15"/>
          <w:szCs w:val="15"/>
          <w:color w:val="auto"/>
        </w:rPr>
        <w:t>Allison Transmission Holdings, Inc. and its subsidiaries (“Allison,” the “Company,” “we,” “us” or “our”)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89" w:lineRule="exact"/>
        <w:rPr>
          <w:sz w:val="20"/>
          <w:szCs w:val="20"/>
          <w:color w:val="auto"/>
        </w:rPr>
      </w:pPr>
    </w:p>
    <w:p>
      <w:pPr>
        <w:ind w:right="80" w:firstLine="522"/>
        <w:spacing w:after="0" w:line="247" w:lineRule="auto"/>
        <w:rPr>
          <w:sz w:val="20"/>
          <w:szCs w:val="20"/>
          <w:color w:val="auto"/>
        </w:rPr>
      </w:pPr>
      <w:r>
        <w:rPr>
          <w:rFonts w:ascii="Arial" w:cs="Arial" w:eastAsia="Arial" w:hAnsi="Arial"/>
          <w:sz w:val="16"/>
          <w:szCs w:val="16"/>
          <w:color w:val="auto"/>
        </w:rPr>
        <w:t>We have approximately 3,300 employees. Although approximately 79% of revenues were generated in North America in 2020, we have a global presence by serving customers in Europe, Asia, South America and Africa. We serve customers through an independent network of approximately 1,400 independent distributor and dealer locations worldwide.</w:t>
      </w:r>
    </w:p>
    <w:p>
      <w:pPr>
        <w:spacing w:after="0" w:line="54" w:lineRule="exact"/>
        <w:rPr>
          <w:sz w:val="20"/>
          <w:szCs w:val="20"/>
          <w:color w:val="auto"/>
        </w:rPr>
      </w:pPr>
    </w:p>
    <w:p>
      <w:pPr>
        <w:ind w:firstLine="528"/>
        <w:spacing w:after="0" w:line="239" w:lineRule="auto"/>
        <w:rPr>
          <w:sz w:val="20"/>
          <w:szCs w:val="20"/>
          <w:color w:val="auto"/>
        </w:rPr>
      </w:pPr>
      <w:r>
        <w:rPr>
          <w:rFonts w:ascii="Arial" w:cs="Arial" w:eastAsia="Arial" w:hAnsi="Arial"/>
          <w:sz w:val="16"/>
          <w:szCs w:val="16"/>
          <w:color w:val="auto"/>
        </w:rPr>
        <w:t>In March 2020, the World Health Organization categorized the novel coronavirus ("COVID-19") as a pandemic, and it continues to impact the United States and other major markets in which we operate across the world, resulting in severe disruptions to global markets and supply chains, significant uncertainty and a weaker global outlook. The effects of the pandemic on the global economy began having a material impact on demand for our products and on our results of operations during the second quarter of 2020 as our suppliers and customers reduced or halted production. Our suppliers and customers resumed production during the third quarter of 2020, resulting in increased demand for our products during the third and fourth quarters of 2020.</w:t>
      </w:r>
    </w:p>
    <w:p>
      <w:pPr>
        <w:spacing w:after="0" w:line="58" w:lineRule="exact"/>
        <w:rPr>
          <w:sz w:val="20"/>
          <w:szCs w:val="20"/>
          <w:color w:val="auto"/>
        </w:rPr>
      </w:pPr>
    </w:p>
    <w:p>
      <w:pPr>
        <w:ind w:right="180" w:firstLine="528"/>
        <w:spacing w:after="0" w:line="239" w:lineRule="auto"/>
        <w:rPr>
          <w:sz w:val="20"/>
          <w:szCs w:val="20"/>
          <w:color w:val="auto"/>
        </w:rPr>
      </w:pPr>
      <w:r>
        <w:rPr>
          <w:rFonts w:ascii="Arial" w:cs="Arial" w:eastAsia="Arial" w:hAnsi="Arial"/>
          <w:sz w:val="16"/>
          <w:szCs w:val="16"/>
          <w:color w:val="auto"/>
        </w:rPr>
        <w:t>To limit the spread of COVID-19, governments continue to take various actions including travel bans and restrictions, quarantines, curfews, stay-at-home orders, social distancing guidelines and business shutdowns and closures. Despite these disruptions, we continued manufacturing operations throughout 2020 allowing us to deliver our products to customers without interruption. However, our global manufacturing facilities cut back on operating levels and shifts during 2020 as a result of government orders, our inability to obtain component parts from suppliers and decreased customer demand and, in certain locations, temporarily suspended operations in the second quarter of 2020.</w:t>
      </w:r>
    </w:p>
    <w:p>
      <w:pPr>
        <w:spacing w:after="0" w:line="105" w:lineRule="exact"/>
        <w:rPr>
          <w:sz w:val="20"/>
          <w:szCs w:val="20"/>
          <w:color w:val="auto"/>
        </w:rPr>
      </w:pPr>
    </w:p>
    <w:p>
      <w:pPr>
        <w:ind w:right="20" w:firstLine="522"/>
        <w:spacing w:after="0" w:line="236" w:lineRule="auto"/>
        <w:rPr>
          <w:sz w:val="20"/>
          <w:szCs w:val="20"/>
          <w:color w:val="auto"/>
        </w:rPr>
      </w:pPr>
      <w:r>
        <w:rPr>
          <w:rFonts w:ascii="Arial" w:cs="Arial" w:eastAsia="Arial" w:hAnsi="Arial"/>
          <w:sz w:val="16"/>
          <w:szCs w:val="16"/>
          <w:color w:val="auto"/>
        </w:rPr>
        <w:t>We continue to take a variety of measures to promote the safety and security of our employees and to maintain operations with as minimal impact as possible to our stakeholders, including increased frequency of cleaning and disinfecting of facilities, social distancing, occupancy limits, mask wearing requirements, remote working when possible, travel restrictions, limitations on visitor access to facilities and on-site COVID-19 testing in our Indianapolis, Indiana headquarters. During the second and third quarter of 2020, we also aligned operations, programs and spending across our entire business with current conditions, including reduced compensation expense through restructuring initiatives of both hourly and salary employees related to voluntary and involuntary separation programs implemented during the second quarter of 2020, furloughed a portion of our workforce, reduced overtime, and assessed the timing and cadence of various capital investments.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Business</w:t>
      </w:r>
    </w:p>
    <w:p>
      <w:pPr>
        <w:spacing w:after="0" w:line="131" w:lineRule="exact"/>
        <w:rPr>
          <w:sz w:val="20"/>
          <w:szCs w:val="20"/>
          <w:color w:val="auto"/>
        </w:rPr>
      </w:pPr>
    </w:p>
    <w:p>
      <w:pPr>
        <w:ind w:right="40" w:firstLine="522"/>
        <w:spacing w:after="0" w:line="237" w:lineRule="auto"/>
        <w:rPr>
          <w:sz w:val="20"/>
          <w:szCs w:val="20"/>
          <w:color w:val="auto"/>
        </w:rPr>
      </w:pPr>
      <w:r>
        <w:rPr>
          <w:rFonts w:ascii="Arial" w:cs="Arial" w:eastAsia="Arial" w:hAnsi="Arial"/>
          <w:sz w:val="16"/>
          <w:szCs w:val="16"/>
          <w:color w:val="auto"/>
        </w:rPr>
        <w:t>We are the world’s largest manufacturer of fully automatic transmissions for medium- and heavy-duty commercial vehicles and medium- and heavy-tactical U.S. defense vehicles and a supplier of commercial vehicle electric hybrid and fully electric propulsion systems. Allison solutions are used in a wide variety of applications, including on-highway trucks (distribution, refuse, construction, fire and emergency), buses (primarily school and transit), motorhomes, off-highway vehicles and equipment (primarily energy, mining and construction) and defense vehicles (wheeled and tracked). We believe the Allison brand is one of the most recognized in our industry as a result of the performance, reliability and fuel efficiency of our transmissions and propulsion solutions and is associated with high quality, durability, vocational value, technological leadership and superior customer service.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80" w:firstLine="522"/>
        <w:spacing w:after="0" w:line="236" w:lineRule="auto"/>
        <w:rPr>
          <w:sz w:val="20"/>
          <w:szCs w:val="20"/>
          <w:color w:val="auto"/>
        </w:rPr>
      </w:pPr>
      <w:r>
        <w:rPr>
          <w:rFonts w:ascii="Arial" w:cs="Arial" w:eastAsia="Arial" w:hAnsi="Arial"/>
          <w:sz w:val="16"/>
          <w:szCs w:val="16"/>
          <w:color w:val="auto"/>
        </w:rPr>
        <w:t>We introduced the world’s first fully automatic transmission for commercial vehicles over 70 years ago. Since that time, we have driven the trend in North America and Western Europe towards increasing automaticity by targeting a diverse range of commercial vehicle vocations. Allison products are optimized for the unique performance requirements of end users, which typically vary by vocation. Our products are highly engineered, requiring advanced manufacturing processes, and employ complex software algorithms for our transmission controls to maximize end user performance. We have developed over 100 different models that are used in more than 2,500 different vehicle configurations and are compatible with more than 500 combinations of engine brands, models and ratings (including diesel, gasoline, natural gas and other alternative fuels). Additionally, we have created thousands of unique Allison-developed calibrations available to be used with our transmission control modules.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Industry</w:t>
      </w:r>
    </w:p>
    <w:p>
      <w:pPr>
        <w:spacing w:after="0" w:line="131" w:lineRule="exact"/>
        <w:rPr>
          <w:sz w:val="20"/>
          <w:szCs w:val="20"/>
          <w:color w:val="auto"/>
        </w:rPr>
      </w:pPr>
    </w:p>
    <w:p>
      <w:pPr>
        <w:ind w:right="20" w:firstLine="522"/>
        <w:spacing w:after="0" w:line="249" w:lineRule="auto"/>
        <w:rPr>
          <w:sz w:val="20"/>
          <w:szCs w:val="20"/>
          <w:color w:val="auto"/>
        </w:rPr>
      </w:pPr>
      <w:r>
        <w:rPr>
          <w:rFonts w:ascii="Arial" w:cs="Arial" w:eastAsia="Arial" w:hAnsi="Arial"/>
          <w:sz w:val="15"/>
          <w:szCs w:val="15"/>
          <w:color w:val="auto"/>
        </w:rPr>
        <w:t>Commercial vehicles typically employ one of three transmission types: manual, automated manual or fully automatic. Manual and automated manual transmissions ("AMT") are the most prevalent transmission type used in Class 8 tractors in North America. Manual transmissions are the most prevalent in medium- and heavy-duty commercial vehicles, generally, outside North America. Manual transmissions utilize a disconnect clutch causing power to be interrupted during each gear shift resulting in energy loss-related inefficiencies and less work being accomplished for a given amount of fuel consumed. In long-distance trucking, this power interruption is not a significant factor, as the manual transmission provides its highest degree of fuel economy during steady-state cruising. However, steady-state cruising is only one part of the duty cycle. When the duty cycle requires a high degree of “start and stop” activity or speed transients, as is common in many vocations as well as in urban environments, we believe manual transmissions result in reduced performance, lower fuel efficiency, lower average speed for a given amount of fuel consumed and inferior ride quality. Moreover, the clutches must be replaced regularly, resulting in increased maintenance expense and vehicle downtime. Manual transmissions also require a skilled driver to operate the disconnect clutch when launching the vehicle and shifting gears. AMTs are manual transmissions that feature automated operation of the disconnect clutch. Fully automatic transmissions utilize technology that smoothly shifts gears instead of a disconnect clutch, thereby delivering uninterrupted power to the wheels during gear shifts and requiring minimal driver input. These transmissions deliver superior acceleration, higher productivity, increased fuel efficiency, reduced operating costs, less driveline shock and smoother shifting relative to both manual transmissions and AMTs in vocations with a high degree of “start and stop” activity, as well as in urban environments.</w:t>
      </w:r>
    </w:p>
    <w:p>
      <w:pPr>
        <w:spacing w:after="0" w:line="104" w:lineRule="exact"/>
        <w:rPr>
          <w:sz w:val="20"/>
          <w:szCs w:val="20"/>
          <w:color w:val="auto"/>
        </w:rPr>
      </w:pPr>
    </w:p>
    <w:p>
      <w:pPr>
        <w:ind w:firstLine="522"/>
        <w:spacing w:after="0" w:line="239" w:lineRule="auto"/>
        <w:rPr>
          <w:sz w:val="20"/>
          <w:szCs w:val="20"/>
          <w:color w:val="auto"/>
        </w:rPr>
      </w:pPr>
      <w:r>
        <w:rPr>
          <w:rFonts w:ascii="Arial" w:cs="Arial" w:eastAsia="Arial" w:hAnsi="Arial"/>
          <w:sz w:val="16"/>
          <w:szCs w:val="16"/>
          <w:color w:val="auto"/>
        </w:rPr>
        <w:t>Emerging technologies in commercial-duty propulsion solutions include electric hybrid and fully electric propulsion solutions in certain end markets, such as transit buses, and are in part driven by efforts to reduce fuel consumption and greenhouse gas emissions. Fully electric powertrains differ from electric hybrid powertrains because they only propel the vehicle with an electric motor; while electric hybrids generally utilize both a conventional internal combustion power source and powertrain as well as the means to propel the vehicle electrically. While both emerging technologies are gaining use in niche automotive markets, they are just beginning to evolve and become proven in commercial vehicle markets.</w:t>
      </w:r>
    </w:p>
    <w:p>
      <w:pPr>
        <w:spacing w:after="0" w:line="105" w:lineRule="exact"/>
        <w:rPr>
          <w:sz w:val="20"/>
          <w:szCs w:val="20"/>
          <w:color w:val="auto"/>
        </w:rPr>
      </w:pPr>
    </w:p>
    <w:p>
      <w:pPr>
        <w:ind w:firstLine="522"/>
        <w:spacing w:after="0" w:line="235" w:lineRule="auto"/>
        <w:rPr>
          <w:sz w:val="20"/>
          <w:szCs w:val="20"/>
          <w:color w:val="auto"/>
        </w:rPr>
      </w:pPr>
      <w:r>
        <w:rPr>
          <w:rFonts w:ascii="Arial" w:cs="Arial" w:eastAsia="Arial" w:hAnsi="Arial"/>
          <w:sz w:val="16"/>
          <w:szCs w:val="16"/>
          <w:color w:val="auto"/>
        </w:rPr>
        <w:t>Fuel efficiency, reduction in fuel consumption and reduced emissions are important considerations for commercial vehicles everywhere and they tend to go together. We believe fuel efficiency, the measure of work performed for a given amount of fuel consumed, is the best method to assess fuel consumption of commercial vehicles as compared to the more commonly-used fuel economy metric of miles-per-gallon (“MPG”). MPG is inadequate for commercial vehicles because it does not encompass two key elements of efficiency that we believe are important to vehicle owners and operators: payload and transport time. For example, if more work can be completed or more payload hauled using the same amount of fuel and/or over a shorter period of time, then we believe the vehicle is more fuel efficient. Since fuel economy only accounts for distance traveled and fuel consumed, ignoring time and work performed, we believe it is therefore an inferior metric to fuel efficiency when it comes to assessing commercial vehicles. Markets, regulations, policies and technology continue to evolve with respect to these topics.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Served Markets</w:t>
      </w:r>
    </w:p>
    <w:p>
      <w:pPr>
        <w:spacing w:after="0" w:line="131" w:lineRule="exact"/>
        <w:rPr>
          <w:sz w:val="20"/>
          <w:szCs w:val="20"/>
          <w:color w:val="auto"/>
        </w:rPr>
      </w:pPr>
    </w:p>
    <w:p>
      <w:pPr>
        <w:ind w:right="180" w:firstLine="522"/>
        <w:spacing w:after="0" w:line="241" w:lineRule="auto"/>
        <w:rPr>
          <w:sz w:val="20"/>
          <w:szCs w:val="20"/>
          <w:color w:val="auto"/>
        </w:rPr>
      </w:pPr>
      <w:r>
        <w:rPr>
          <w:rFonts w:ascii="Arial" w:cs="Arial" w:eastAsia="Arial" w:hAnsi="Arial"/>
          <w:sz w:val="16"/>
          <w:szCs w:val="16"/>
          <w:color w:val="auto"/>
        </w:rPr>
        <w:t>We sell our propulsion solutions globally for use in medium- and heavy-duty on-highway commercial vehicles, off-highway vehicles and equipment and defense vehicles. In addition to the sale of propulsion solutions, we also sell branded replacement parts, support equipment, aluminum die cast components and other products necessary to service the installed base of vehicles utilizing our solutions. The following table provides a summary of our business by end market, for the fiscal year ended December 31, 2020.</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900" w:type="dxa"/>
            <w:vAlign w:val="bottom"/>
            <w:tcBorders>
              <w:top w:val="single" w:sz="8" w:color="auto"/>
              <w:left w:val="single" w:sz="8" w:color="auto"/>
              <w:right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gridSpan w:val="2"/>
          </w:tcPr>
          <w:p>
            <w:pPr>
              <w:ind w:left="660"/>
              <w:spacing w:after="0"/>
              <w:rPr>
                <w:sz w:val="20"/>
                <w:szCs w:val="20"/>
                <w:color w:val="auto"/>
              </w:rPr>
            </w:pPr>
            <w:r>
              <w:rPr>
                <w:rFonts w:ascii="Arial" w:cs="Arial" w:eastAsia="Arial" w:hAnsi="Arial"/>
                <w:sz w:val="13"/>
                <w:szCs w:val="13"/>
                <w:b w:val="1"/>
                <w:bCs w:val="1"/>
                <w:color w:val="auto"/>
              </w:rPr>
              <w:t>NORTH AMERICA</w:t>
            </w:r>
          </w:p>
        </w:tc>
        <w:tc>
          <w:tcPr>
            <w:tcW w:w="1040" w:type="dxa"/>
            <w:vAlign w:val="bottom"/>
            <w:tcBorders>
              <w:top w:val="single" w:sz="8" w:color="auto"/>
              <w:bottom w:val="single" w:sz="8" w:color="auto"/>
              <w:right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OUTSIDE NORTH AMERICA</w:t>
            </w:r>
          </w:p>
        </w:tc>
        <w:tc>
          <w:tcPr>
            <w:tcW w:w="58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right w:val="single" w:sz="8" w:color="auto"/>
            </w:tcBorders>
            <w:vMerge w:val="restart"/>
          </w:tcPr>
          <w:p>
            <w:pPr>
              <w:jc w:val="center"/>
              <w:ind w:right="257"/>
              <w:spacing w:after="0"/>
              <w:rPr>
                <w:sz w:val="20"/>
                <w:szCs w:val="20"/>
                <w:color w:val="auto"/>
              </w:rPr>
            </w:pPr>
            <w:r>
              <w:rPr>
                <w:rFonts w:ascii="Arial" w:cs="Arial" w:eastAsia="Arial" w:hAnsi="Arial"/>
                <w:sz w:val="13"/>
                <w:szCs w:val="13"/>
                <w:b w:val="1"/>
                <w:bCs w:val="1"/>
                <w:color w:val="auto"/>
                <w:w w:val="98"/>
              </w:rPr>
              <w:t>SERVICE</w:t>
            </w:r>
          </w:p>
        </w:tc>
        <w:tc>
          <w:tcPr>
            <w:tcW w:w="0" w:type="dxa"/>
            <w:vAlign w:val="bottom"/>
          </w:tcPr>
          <w:p>
            <w:pPr>
              <w:spacing w:after="0"/>
              <w:rPr>
                <w:sz w:val="1"/>
                <w:szCs w:val="1"/>
                <w:color w:val="auto"/>
              </w:rPr>
            </w:pPr>
          </w:p>
        </w:tc>
      </w:tr>
      <w:tr>
        <w:trPr>
          <w:trHeight w:val="121"/>
        </w:trPr>
        <w:tc>
          <w:tcPr>
            <w:tcW w:w="1900" w:type="dxa"/>
            <w:vAlign w:val="bottom"/>
            <w:tcBorders>
              <w:left w:val="single" w:sz="8" w:color="auto"/>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900" w:type="dxa"/>
            <w:vAlign w:val="bottom"/>
            <w:tcBorders>
              <w:left w:val="single" w:sz="8" w:color="auto"/>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Borders>
              <w:right w:val="single" w:sz="8" w:color="auto"/>
            </w:tcBorders>
          </w:tcPr>
          <w:p>
            <w:pPr>
              <w:jc w:val="center"/>
              <w:ind w:right="257"/>
              <w:spacing w:after="0" w:line="141" w:lineRule="exact"/>
              <w:rPr>
                <w:sz w:val="20"/>
                <w:szCs w:val="20"/>
                <w:color w:val="auto"/>
              </w:rPr>
            </w:pPr>
            <w:r>
              <w:rPr>
                <w:rFonts w:ascii="Arial" w:cs="Arial" w:eastAsia="Arial" w:hAnsi="Arial"/>
                <w:sz w:val="13"/>
                <w:szCs w:val="13"/>
                <w:b w:val="1"/>
                <w:bCs w:val="1"/>
                <w:color w:val="auto"/>
                <w:w w:val="92"/>
              </w:rPr>
              <w:t>PARTS,</w:t>
            </w:r>
          </w:p>
        </w:tc>
        <w:tc>
          <w:tcPr>
            <w:tcW w:w="0" w:type="dxa"/>
            <w:vAlign w:val="bottom"/>
          </w:tcPr>
          <w:p>
            <w:pPr>
              <w:spacing w:after="0"/>
              <w:rPr>
                <w:sz w:val="1"/>
                <w:szCs w:val="1"/>
                <w:color w:val="auto"/>
              </w:rPr>
            </w:pPr>
          </w:p>
        </w:tc>
      </w:tr>
      <w:tr>
        <w:trPr>
          <w:trHeight w:val="141"/>
        </w:trPr>
        <w:tc>
          <w:tcPr>
            <w:tcW w:w="1900" w:type="dxa"/>
            <w:vAlign w:val="bottom"/>
            <w:tcBorders>
              <w:left w:val="single" w:sz="8" w:color="auto"/>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Borders>
              <w:right w:val="single" w:sz="8" w:color="auto"/>
            </w:tcBorders>
          </w:tcPr>
          <w:p>
            <w:pPr>
              <w:jc w:val="center"/>
              <w:ind w:right="257"/>
              <w:spacing w:after="0" w:line="141" w:lineRule="exact"/>
              <w:rPr>
                <w:sz w:val="20"/>
                <w:szCs w:val="20"/>
                <w:color w:val="auto"/>
              </w:rPr>
            </w:pPr>
            <w:r>
              <w:rPr>
                <w:rFonts w:ascii="Arial" w:cs="Arial" w:eastAsia="Arial" w:hAnsi="Arial"/>
                <w:sz w:val="13"/>
                <w:szCs w:val="13"/>
                <w:b w:val="1"/>
                <w:bCs w:val="1"/>
                <w:color w:val="auto"/>
                <w:w w:val="95"/>
              </w:rPr>
              <w:t>SUPPORT</w:t>
            </w:r>
          </w:p>
        </w:tc>
        <w:tc>
          <w:tcPr>
            <w:tcW w:w="0" w:type="dxa"/>
            <w:vAlign w:val="bottom"/>
          </w:tcPr>
          <w:p>
            <w:pPr>
              <w:spacing w:after="0"/>
              <w:rPr>
                <w:sz w:val="1"/>
                <w:szCs w:val="1"/>
                <w:color w:val="auto"/>
              </w:rPr>
            </w:pPr>
          </w:p>
        </w:tc>
      </w:tr>
      <w:tr>
        <w:trPr>
          <w:trHeight w:val="141"/>
        </w:trPr>
        <w:tc>
          <w:tcPr>
            <w:tcW w:w="1900" w:type="dxa"/>
            <w:vAlign w:val="bottom"/>
            <w:tcBorders>
              <w:left w:val="single" w:sz="8" w:color="auto"/>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Borders>
              <w:right w:val="single" w:sz="8" w:color="auto"/>
            </w:tcBorders>
          </w:tcPr>
          <w:p>
            <w:pPr>
              <w:ind w:left="300"/>
              <w:spacing w:after="0" w:line="141" w:lineRule="exact"/>
              <w:rPr>
                <w:sz w:val="20"/>
                <w:szCs w:val="20"/>
                <w:color w:val="auto"/>
              </w:rPr>
            </w:pPr>
            <w:r>
              <w:rPr>
                <w:rFonts w:ascii="Arial" w:cs="Arial" w:eastAsia="Arial" w:hAnsi="Arial"/>
                <w:sz w:val="13"/>
                <w:szCs w:val="13"/>
                <w:b w:val="1"/>
                <w:bCs w:val="1"/>
                <w:color w:val="auto"/>
              </w:rPr>
              <w:t>ON-</w:t>
            </w:r>
          </w:p>
        </w:tc>
        <w:tc>
          <w:tcPr>
            <w:tcW w:w="520" w:type="dxa"/>
            <w:vAlign w:val="bottom"/>
          </w:tcPr>
          <w:p>
            <w:pPr>
              <w:spacing w:after="0"/>
              <w:rPr>
                <w:sz w:val="12"/>
                <w:szCs w:val="12"/>
                <w:color w:val="auto"/>
              </w:rPr>
            </w:pPr>
          </w:p>
        </w:tc>
        <w:tc>
          <w:tcPr>
            <w:tcW w:w="1040" w:type="dxa"/>
            <w:vAlign w:val="bottom"/>
            <w:tcBorders>
              <w:right w:val="single" w:sz="8" w:color="auto"/>
            </w:tcBorders>
          </w:tcPr>
          <w:p>
            <w:pPr>
              <w:jc w:val="center"/>
              <w:ind w:right="617"/>
              <w:spacing w:after="0" w:line="141" w:lineRule="exact"/>
              <w:rPr>
                <w:sz w:val="20"/>
                <w:szCs w:val="20"/>
                <w:color w:val="auto"/>
              </w:rPr>
            </w:pPr>
            <w:r>
              <w:rPr>
                <w:rFonts w:ascii="Arial" w:cs="Arial" w:eastAsia="Arial" w:hAnsi="Arial"/>
                <w:sz w:val="13"/>
                <w:szCs w:val="13"/>
                <w:b w:val="1"/>
                <w:bCs w:val="1"/>
                <w:color w:val="auto"/>
                <w:w w:val="92"/>
              </w:rPr>
              <w:t>OFF-</w:t>
            </w:r>
          </w:p>
        </w:tc>
        <w:tc>
          <w:tcPr>
            <w:tcW w:w="540" w:type="dxa"/>
            <w:vAlign w:val="bottom"/>
          </w:tcPr>
          <w:p>
            <w:pPr>
              <w:spacing w:after="0"/>
              <w:rPr>
                <w:sz w:val="12"/>
                <w:szCs w:val="12"/>
                <w:color w:val="auto"/>
              </w:rPr>
            </w:pPr>
          </w:p>
        </w:tc>
        <w:tc>
          <w:tcPr>
            <w:tcW w:w="1020" w:type="dxa"/>
            <w:vAlign w:val="bottom"/>
            <w:tcBorders>
              <w:right w:val="single" w:sz="8" w:color="auto"/>
            </w:tcBorders>
          </w:tcPr>
          <w:p>
            <w:pPr>
              <w:jc w:val="center"/>
              <w:ind w:right="637"/>
              <w:spacing w:after="0" w:line="141" w:lineRule="exact"/>
              <w:rPr>
                <w:sz w:val="20"/>
                <w:szCs w:val="20"/>
                <w:color w:val="auto"/>
              </w:rPr>
            </w:pPr>
            <w:r>
              <w:rPr>
                <w:rFonts w:ascii="Arial" w:cs="Arial" w:eastAsia="Arial" w:hAnsi="Arial"/>
                <w:sz w:val="13"/>
                <w:szCs w:val="13"/>
                <w:b w:val="1"/>
                <w:bCs w:val="1"/>
                <w:color w:val="auto"/>
              </w:rPr>
              <w:t>ON-</w:t>
            </w:r>
          </w:p>
        </w:tc>
        <w:tc>
          <w:tcPr>
            <w:tcW w:w="540" w:type="dxa"/>
            <w:vAlign w:val="bottom"/>
          </w:tcPr>
          <w:p>
            <w:pPr>
              <w:spacing w:after="0"/>
              <w:rPr>
                <w:sz w:val="12"/>
                <w:szCs w:val="12"/>
                <w:color w:val="auto"/>
              </w:rPr>
            </w:pPr>
          </w:p>
        </w:tc>
        <w:tc>
          <w:tcPr>
            <w:tcW w:w="1040" w:type="dxa"/>
            <w:vAlign w:val="bottom"/>
            <w:tcBorders>
              <w:right w:val="single" w:sz="8" w:color="auto"/>
            </w:tcBorders>
          </w:tcPr>
          <w:p>
            <w:pPr>
              <w:jc w:val="center"/>
              <w:ind w:right="637"/>
              <w:spacing w:after="0" w:line="141" w:lineRule="exact"/>
              <w:rPr>
                <w:sz w:val="20"/>
                <w:szCs w:val="20"/>
                <w:color w:val="auto"/>
              </w:rPr>
            </w:pPr>
            <w:r>
              <w:rPr>
                <w:rFonts w:ascii="Arial" w:cs="Arial" w:eastAsia="Arial" w:hAnsi="Arial"/>
                <w:sz w:val="13"/>
                <w:szCs w:val="13"/>
                <w:b w:val="1"/>
                <w:bCs w:val="1"/>
                <w:color w:val="auto"/>
                <w:w w:val="98"/>
              </w:rPr>
              <w:t>OFF-</w:t>
            </w:r>
          </w:p>
        </w:tc>
        <w:tc>
          <w:tcPr>
            <w:tcW w:w="58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Borders>
              <w:right w:val="single" w:sz="8" w:color="auto"/>
            </w:tcBorders>
          </w:tcPr>
          <w:p>
            <w:pPr>
              <w:jc w:val="center"/>
              <w:ind w:right="257"/>
              <w:spacing w:after="0" w:line="141" w:lineRule="exact"/>
              <w:rPr>
                <w:sz w:val="20"/>
                <w:szCs w:val="20"/>
                <w:color w:val="auto"/>
              </w:rPr>
            </w:pPr>
            <w:r>
              <w:rPr>
                <w:rFonts w:ascii="Arial" w:cs="Arial" w:eastAsia="Arial" w:hAnsi="Arial"/>
                <w:sz w:val="13"/>
                <w:szCs w:val="13"/>
                <w:b w:val="1"/>
                <w:bCs w:val="1"/>
                <w:color w:val="auto"/>
                <w:w w:val="98"/>
              </w:rPr>
              <w:t>EQUIPMENT</w:t>
            </w:r>
          </w:p>
        </w:tc>
        <w:tc>
          <w:tcPr>
            <w:tcW w:w="0" w:type="dxa"/>
            <w:vAlign w:val="bottom"/>
          </w:tcPr>
          <w:p>
            <w:pPr>
              <w:spacing w:after="0"/>
              <w:rPr>
                <w:sz w:val="1"/>
                <w:szCs w:val="1"/>
                <w:color w:val="auto"/>
              </w:rPr>
            </w:pPr>
          </w:p>
        </w:tc>
      </w:tr>
      <w:tr>
        <w:trPr>
          <w:trHeight w:val="153"/>
        </w:trPr>
        <w:tc>
          <w:tcPr>
            <w:tcW w:w="19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END MARKET</w:t>
            </w: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HIGHWAY</w:t>
            </w:r>
          </w:p>
        </w:tc>
        <w:tc>
          <w:tcPr>
            <w:tcW w:w="1560" w:type="dxa"/>
            <w:vAlign w:val="bottom"/>
            <w:tcBorders>
              <w:bottom w:val="single" w:sz="8" w:color="auto"/>
              <w:right w:val="single" w:sz="8" w:color="auto"/>
            </w:tcBorders>
            <w:gridSpan w:val="2"/>
          </w:tcPr>
          <w:p>
            <w:pPr>
              <w:jc w:val="center"/>
              <w:ind w:right="117"/>
              <w:spacing w:after="0"/>
              <w:rPr>
                <w:sz w:val="20"/>
                <w:szCs w:val="20"/>
                <w:color w:val="auto"/>
              </w:rPr>
            </w:pPr>
            <w:r>
              <w:rPr>
                <w:rFonts w:ascii="Arial" w:cs="Arial" w:eastAsia="Arial" w:hAnsi="Arial"/>
                <w:sz w:val="13"/>
                <w:szCs w:val="13"/>
                <w:b w:val="1"/>
                <w:bCs w:val="1"/>
                <w:color w:val="auto"/>
                <w:w w:val="92"/>
              </w:rPr>
              <w:t>HIGHWAY</w:t>
            </w:r>
          </w:p>
        </w:tc>
        <w:tc>
          <w:tcPr>
            <w:tcW w:w="1560" w:type="dxa"/>
            <w:vAlign w:val="bottom"/>
            <w:tcBorders>
              <w:bottom w:val="single" w:sz="8" w:color="auto"/>
              <w:right w:val="single" w:sz="8" w:color="auto"/>
            </w:tcBorders>
            <w:gridSpan w:val="2"/>
          </w:tcPr>
          <w:p>
            <w:pPr>
              <w:jc w:val="center"/>
              <w:ind w:right="97"/>
              <w:spacing w:after="0"/>
              <w:rPr>
                <w:sz w:val="20"/>
                <w:szCs w:val="20"/>
                <w:color w:val="auto"/>
              </w:rPr>
            </w:pPr>
            <w:r>
              <w:rPr>
                <w:rFonts w:ascii="Arial" w:cs="Arial" w:eastAsia="Arial" w:hAnsi="Arial"/>
                <w:sz w:val="13"/>
                <w:szCs w:val="13"/>
                <w:b w:val="1"/>
                <w:bCs w:val="1"/>
                <w:color w:val="auto"/>
                <w:w w:val="95"/>
              </w:rPr>
              <w:t>HIGHWAY</w:t>
            </w:r>
          </w:p>
        </w:tc>
        <w:tc>
          <w:tcPr>
            <w:tcW w:w="1580" w:type="dxa"/>
            <w:vAlign w:val="bottom"/>
            <w:tcBorders>
              <w:bottom w:val="single" w:sz="8" w:color="auto"/>
              <w:right w:val="single" w:sz="8" w:color="auto"/>
            </w:tcBorders>
            <w:gridSpan w:val="2"/>
          </w:tcPr>
          <w:p>
            <w:pPr>
              <w:jc w:val="center"/>
              <w:ind w:right="97"/>
              <w:spacing w:after="0"/>
              <w:rPr>
                <w:sz w:val="20"/>
                <w:szCs w:val="20"/>
                <w:color w:val="auto"/>
              </w:rPr>
            </w:pPr>
            <w:r>
              <w:rPr>
                <w:rFonts w:ascii="Arial" w:cs="Arial" w:eastAsia="Arial" w:hAnsi="Arial"/>
                <w:sz w:val="13"/>
                <w:szCs w:val="13"/>
                <w:b w:val="1"/>
                <w:bCs w:val="1"/>
                <w:color w:val="auto"/>
                <w:w w:val="92"/>
              </w:rPr>
              <w:t>HIGHWAY</w:t>
            </w:r>
          </w:p>
        </w:tc>
        <w:tc>
          <w:tcPr>
            <w:tcW w:w="1560" w:type="dxa"/>
            <w:vAlign w:val="bottom"/>
            <w:tcBorders>
              <w:bottom w:val="single" w:sz="8" w:color="auto"/>
              <w:right w:val="single" w:sz="8" w:color="auto"/>
            </w:tcBorders>
            <w:gridSpan w:val="2"/>
          </w:tcPr>
          <w:p>
            <w:pPr>
              <w:jc w:val="center"/>
              <w:ind w:right="97"/>
              <w:spacing w:after="0"/>
              <w:rPr>
                <w:sz w:val="20"/>
                <w:szCs w:val="20"/>
                <w:color w:val="auto"/>
              </w:rPr>
            </w:pPr>
            <w:r>
              <w:rPr>
                <w:rFonts w:ascii="Arial" w:cs="Arial" w:eastAsia="Arial" w:hAnsi="Arial"/>
                <w:sz w:val="13"/>
                <w:szCs w:val="13"/>
                <w:b w:val="1"/>
                <w:bCs w:val="1"/>
                <w:color w:val="auto"/>
                <w:w w:val="97"/>
              </w:rPr>
              <w:t>DEFENSE</w:t>
            </w: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jc w:val="center"/>
              <w:ind w:right="257"/>
              <w:spacing w:after="0"/>
              <w:rPr>
                <w:sz w:val="20"/>
                <w:szCs w:val="20"/>
                <w:color w:val="auto"/>
              </w:rPr>
            </w:pPr>
            <w:r>
              <w:rPr>
                <w:rFonts w:ascii="Arial" w:cs="Arial" w:eastAsia="Arial" w:hAnsi="Arial"/>
                <w:sz w:val="13"/>
                <w:szCs w:val="13"/>
                <w:b w:val="1"/>
                <w:bCs w:val="1"/>
                <w:color w:val="auto"/>
                <w:w w:val="95"/>
              </w:rPr>
              <w:t>&amp; OTHER</w:t>
            </w:r>
          </w:p>
        </w:tc>
        <w:tc>
          <w:tcPr>
            <w:tcW w:w="0" w:type="dxa"/>
            <w:vAlign w:val="bottom"/>
          </w:tcPr>
          <w:p>
            <w:pPr>
              <w:spacing w:after="0"/>
              <w:rPr>
                <w:sz w:val="1"/>
                <w:szCs w:val="1"/>
                <w:color w:val="auto"/>
              </w:rPr>
            </w:pPr>
          </w:p>
        </w:tc>
      </w:tr>
      <w:tr>
        <w:trPr>
          <w:trHeight w:val="133"/>
        </w:trPr>
        <w:tc>
          <w:tcPr>
            <w:tcW w:w="1900" w:type="dxa"/>
            <w:vAlign w:val="bottom"/>
            <w:tcBorders>
              <w:left w:val="single" w:sz="8" w:color="auto"/>
              <w:right w:val="single" w:sz="8" w:color="auto"/>
            </w:tcBorders>
            <w:shd w:val="clear" w:color="auto" w:fill="CFF0FC"/>
          </w:tcPr>
          <w:p>
            <w:pPr>
              <w:spacing w:after="0" w:line="133" w:lineRule="exact"/>
              <w:rPr>
                <w:sz w:val="20"/>
                <w:szCs w:val="20"/>
                <w:color w:val="auto"/>
              </w:rPr>
            </w:pPr>
            <w:r>
              <w:rPr>
                <w:rFonts w:ascii="Arial" w:cs="Arial" w:eastAsia="Arial" w:hAnsi="Arial"/>
                <w:sz w:val="13"/>
                <w:szCs w:val="13"/>
                <w:b w:val="1"/>
                <w:bCs w:val="1"/>
                <w:color w:val="auto"/>
              </w:rPr>
              <w:t>2020 NET SALES</w:t>
            </w:r>
          </w:p>
        </w:tc>
        <w:tc>
          <w:tcPr>
            <w:tcW w:w="280" w:type="dxa"/>
            <w:vAlign w:val="bottom"/>
            <w:shd w:val="clear" w:color="auto" w:fill="CFF0FC"/>
          </w:tcPr>
          <w:p>
            <w:pPr>
              <w:spacing w:after="0"/>
              <w:rPr>
                <w:sz w:val="11"/>
                <w:szCs w:val="11"/>
                <w:color w:val="auto"/>
              </w:rPr>
            </w:pPr>
          </w:p>
        </w:tc>
        <w:tc>
          <w:tcPr>
            <w:tcW w:w="1280" w:type="dxa"/>
            <w:vAlign w:val="bottom"/>
            <w:tcBorders>
              <w:right w:val="single" w:sz="8" w:color="auto"/>
            </w:tcBorders>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20" w:type="dxa"/>
            <w:vAlign w:val="bottom"/>
            <w:tcBorders>
              <w:right w:val="single" w:sz="8" w:color="auto"/>
            </w:tcBorders>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980" w:type="dxa"/>
            <w:vAlign w:val="bottom"/>
            <w:tcBorders>
              <w:right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20" w:type="dxa"/>
            <w:vAlign w:val="bottom"/>
            <w:tcBorders>
              <w:right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00" w:type="dxa"/>
            <w:vAlign w:val="bottom"/>
            <w:tcBorders>
              <w:left w:val="single" w:sz="8" w:color="auto"/>
              <w:bottom w:val="single" w:sz="8" w:color="auto"/>
              <w:right w:val="single" w:sz="8" w:color="auto"/>
            </w:tcBorders>
            <w:shd w:val="clear" w:color="auto" w:fill="CFF0FC"/>
          </w:tcPr>
          <w:p>
            <w:pPr>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right w:val="single" w:sz="8" w:color="auto"/>
            </w:tcBorders>
            <w:shd w:val="clear" w:color="auto" w:fill="CFF0FC"/>
          </w:tcPr>
          <w:p>
            <w:pPr>
              <w:ind w:left="320"/>
              <w:spacing w:after="0"/>
              <w:rPr>
                <w:sz w:val="20"/>
                <w:szCs w:val="20"/>
                <w:color w:val="auto"/>
              </w:rPr>
            </w:pPr>
            <w:r>
              <w:rPr>
                <w:rFonts w:ascii="Arial" w:cs="Arial" w:eastAsia="Arial" w:hAnsi="Arial"/>
                <w:sz w:val="13"/>
                <w:szCs w:val="13"/>
                <w:color w:val="auto"/>
              </w:rPr>
              <w:t>1,081</w:t>
            </w:r>
          </w:p>
        </w:tc>
        <w:tc>
          <w:tcPr>
            <w:tcW w:w="5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right w:val="single" w:sz="8" w:color="auto"/>
            </w:tcBorders>
            <w:shd w:val="clear" w:color="auto" w:fill="CFF0FC"/>
          </w:tcPr>
          <w:p>
            <w:pPr>
              <w:jc w:val="right"/>
              <w:ind w:right="677"/>
              <w:spacing w:after="0"/>
              <w:rPr>
                <w:sz w:val="20"/>
                <w:szCs w:val="20"/>
                <w:color w:val="auto"/>
              </w:rPr>
            </w:pPr>
            <w:r>
              <w:rPr>
                <w:rFonts w:ascii="Arial" w:cs="Arial" w:eastAsia="Arial" w:hAnsi="Arial"/>
                <w:sz w:val="13"/>
                <w:szCs w:val="13"/>
                <w:color w:val="auto"/>
              </w:rPr>
              <w:t>13</w:t>
            </w:r>
          </w:p>
        </w:tc>
        <w:tc>
          <w:tcPr>
            <w:tcW w:w="5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Arial" w:cs="Arial" w:eastAsia="Arial" w:hAnsi="Arial"/>
                <w:sz w:val="13"/>
                <w:szCs w:val="13"/>
                <w:color w:val="auto"/>
              </w:rPr>
              <w:t>280</w:t>
            </w:r>
          </w:p>
        </w:tc>
        <w:tc>
          <w:tcPr>
            <w:tcW w:w="5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right w:val="single" w:sz="8" w:color="auto"/>
            </w:tcBorders>
            <w:shd w:val="clear" w:color="auto" w:fill="CFF0FC"/>
          </w:tcPr>
          <w:p>
            <w:pPr>
              <w:jc w:val="right"/>
              <w:ind w:right="697"/>
              <w:spacing w:after="0"/>
              <w:rPr>
                <w:sz w:val="20"/>
                <w:szCs w:val="20"/>
                <w:color w:val="auto"/>
              </w:rPr>
            </w:pPr>
            <w:r>
              <w:rPr>
                <w:rFonts w:ascii="Arial" w:cs="Arial" w:eastAsia="Arial" w:hAnsi="Arial"/>
                <w:sz w:val="13"/>
                <w:szCs w:val="13"/>
                <w:color w:val="auto"/>
              </w:rPr>
              <w:t>61</w:t>
            </w:r>
          </w:p>
        </w:tc>
        <w:tc>
          <w:tcPr>
            <w:tcW w:w="5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right w:val="single" w:sz="8" w:color="auto"/>
            </w:tcBorders>
            <w:shd w:val="clear" w:color="auto" w:fill="CFF0FC"/>
          </w:tcPr>
          <w:p>
            <w:pPr>
              <w:jc w:val="right"/>
              <w:ind w:right="637"/>
              <w:spacing w:after="0"/>
              <w:rPr>
                <w:sz w:val="20"/>
                <w:szCs w:val="20"/>
                <w:color w:val="auto"/>
              </w:rPr>
            </w:pPr>
            <w:r>
              <w:rPr>
                <w:rFonts w:ascii="Arial" w:cs="Arial" w:eastAsia="Arial" w:hAnsi="Arial"/>
                <w:sz w:val="13"/>
                <w:szCs w:val="13"/>
                <w:color w:val="auto"/>
              </w:rPr>
              <w:t>182</w:t>
            </w:r>
          </w:p>
        </w:tc>
        <w:tc>
          <w:tcPr>
            <w:tcW w:w="2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right w:val="single" w:sz="8" w:color="auto"/>
            </w:tcBorders>
            <w:shd w:val="clear" w:color="auto" w:fill="CFF0FC"/>
          </w:tcPr>
          <w:p>
            <w:pPr>
              <w:jc w:val="right"/>
              <w:ind w:right="597"/>
              <w:spacing w:after="0"/>
              <w:rPr>
                <w:sz w:val="20"/>
                <w:szCs w:val="20"/>
                <w:color w:val="auto"/>
              </w:rPr>
            </w:pPr>
            <w:r>
              <w:rPr>
                <w:rFonts w:ascii="Arial" w:cs="Arial" w:eastAsia="Arial" w:hAnsi="Arial"/>
                <w:sz w:val="13"/>
                <w:szCs w:val="13"/>
                <w:color w:val="auto"/>
              </w:rPr>
              <w:t>464</w:t>
            </w:r>
          </w:p>
        </w:tc>
        <w:tc>
          <w:tcPr>
            <w:tcW w:w="0" w:type="dxa"/>
            <w:vAlign w:val="bottom"/>
          </w:tcPr>
          <w:p>
            <w:pPr>
              <w:spacing w:after="0"/>
              <w:rPr>
                <w:sz w:val="1"/>
                <w:szCs w:val="1"/>
                <w:color w:val="auto"/>
              </w:rPr>
            </w:pPr>
          </w:p>
        </w:tc>
      </w:tr>
      <w:tr>
        <w:trPr>
          <w:trHeight w:val="144"/>
        </w:trPr>
        <w:tc>
          <w:tcPr>
            <w:tcW w:w="1900" w:type="dxa"/>
            <w:vAlign w:val="bottom"/>
            <w:tcBorders>
              <w:left w:val="single" w:sz="8" w:color="auto"/>
              <w:bottom w:val="single" w:sz="8" w:color="auto"/>
              <w:right w:val="single" w:sz="8" w:color="auto"/>
            </w:tcBorders>
          </w:tcPr>
          <w:p>
            <w:pPr>
              <w:spacing w:after="0" w:line="144" w:lineRule="exact"/>
              <w:rPr>
                <w:sz w:val="20"/>
                <w:szCs w:val="20"/>
                <w:color w:val="auto"/>
              </w:rPr>
            </w:pPr>
            <w:r>
              <w:rPr>
                <w:rFonts w:ascii="Arial" w:cs="Arial" w:eastAsia="Arial" w:hAnsi="Arial"/>
                <w:sz w:val="13"/>
                <w:szCs w:val="13"/>
                <w:b w:val="1"/>
                <w:bCs w:val="1"/>
                <w:color w:val="auto"/>
              </w:rPr>
              <w:t>% OF TOTAL</w:t>
            </w: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ind w:left="280"/>
              <w:spacing w:after="0" w:line="144" w:lineRule="exact"/>
              <w:rPr>
                <w:sz w:val="20"/>
                <w:szCs w:val="20"/>
                <w:color w:val="auto"/>
              </w:rPr>
            </w:pPr>
            <w:r>
              <w:rPr>
                <w:rFonts w:ascii="Arial" w:cs="Arial" w:eastAsia="Arial" w:hAnsi="Arial"/>
                <w:sz w:val="13"/>
                <w:szCs w:val="13"/>
                <w:color w:val="auto"/>
              </w:rPr>
              <w:t>52%</w:t>
            </w:r>
          </w:p>
        </w:tc>
        <w:tc>
          <w:tcPr>
            <w:tcW w:w="52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ind w:right="637"/>
              <w:spacing w:after="0" w:line="144" w:lineRule="exact"/>
              <w:rPr>
                <w:sz w:val="20"/>
                <w:szCs w:val="20"/>
                <w:color w:val="auto"/>
              </w:rPr>
            </w:pPr>
            <w:r>
              <w:rPr>
                <w:rFonts w:ascii="Arial" w:cs="Arial" w:eastAsia="Arial" w:hAnsi="Arial"/>
                <w:sz w:val="13"/>
                <w:szCs w:val="13"/>
                <w:color w:val="auto"/>
                <w:w w:val="95"/>
              </w:rPr>
              <w:t>1%</w:t>
            </w: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center"/>
              <w:ind w:right="637"/>
              <w:spacing w:after="0" w:line="144" w:lineRule="exact"/>
              <w:rPr>
                <w:sz w:val="20"/>
                <w:szCs w:val="20"/>
                <w:color w:val="auto"/>
              </w:rPr>
            </w:pPr>
            <w:r>
              <w:rPr>
                <w:rFonts w:ascii="Arial" w:cs="Arial" w:eastAsia="Arial" w:hAnsi="Arial"/>
                <w:sz w:val="13"/>
                <w:szCs w:val="13"/>
                <w:color w:val="auto"/>
                <w:w w:val="92"/>
              </w:rPr>
              <w:t>13%</w:t>
            </w:r>
          </w:p>
        </w:tc>
        <w:tc>
          <w:tcPr>
            <w:tcW w:w="54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center"/>
              <w:ind w:right="637"/>
              <w:spacing w:after="0" w:line="144" w:lineRule="exact"/>
              <w:rPr>
                <w:sz w:val="20"/>
                <w:szCs w:val="20"/>
                <w:color w:val="auto"/>
              </w:rPr>
            </w:pPr>
            <w:r>
              <w:rPr>
                <w:rFonts w:ascii="Arial" w:cs="Arial" w:eastAsia="Arial" w:hAnsi="Arial"/>
                <w:sz w:val="13"/>
                <w:szCs w:val="13"/>
                <w:color w:val="auto"/>
                <w:w w:val="95"/>
              </w:rPr>
              <w:t>3%</w:t>
            </w: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right"/>
              <w:ind w:right="717"/>
              <w:spacing w:after="0" w:line="144" w:lineRule="exact"/>
              <w:rPr>
                <w:sz w:val="20"/>
                <w:szCs w:val="20"/>
                <w:color w:val="auto"/>
              </w:rPr>
            </w:pPr>
            <w:r>
              <w:rPr>
                <w:rFonts w:ascii="Arial" w:cs="Arial" w:eastAsia="Arial" w:hAnsi="Arial"/>
                <w:sz w:val="13"/>
                <w:szCs w:val="13"/>
                <w:color w:val="auto"/>
                <w:w w:val="95"/>
              </w:rPr>
              <w:t>9%</w:t>
            </w: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jc w:val="center"/>
              <w:ind w:right="257"/>
              <w:spacing w:after="0" w:line="144" w:lineRule="exact"/>
              <w:rPr>
                <w:sz w:val="20"/>
                <w:szCs w:val="20"/>
                <w:color w:val="auto"/>
              </w:rPr>
            </w:pPr>
            <w:r>
              <w:rPr>
                <w:rFonts w:ascii="Arial" w:cs="Arial" w:eastAsia="Arial" w:hAnsi="Arial"/>
                <w:sz w:val="13"/>
                <w:szCs w:val="13"/>
                <w:color w:val="auto"/>
                <w:w w:val="92"/>
              </w:rPr>
              <w:t>22%</w:t>
            </w:r>
          </w:p>
        </w:tc>
        <w:tc>
          <w:tcPr>
            <w:tcW w:w="0" w:type="dxa"/>
            <w:vAlign w:val="bottom"/>
          </w:tcPr>
          <w:p>
            <w:pPr>
              <w:spacing w:after="0"/>
              <w:rPr>
                <w:sz w:val="1"/>
                <w:szCs w:val="1"/>
                <w:color w:val="auto"/>
              </w:rPr>
            </w:pPr>
          </w:p>
        </w:tc>
      </w:tr>
      <w:tr>
        <w:trPr>
          <w:trHeight w:val="133"/>
        </w:trPr>
        <w:tc>
          <w:tcPr>
            <w:tcW w:w="1900" w:type="dxa"/>
            <w:vAlign w:val="bottom"/>
            <w:tcBorders>
              <w:left w:val="single" w:sz="8" w:color="auto"/>
              <w:right w:val="single" w:sz="8" w:color="auto"/>
            </w:tcBorders>
            <w:shd w:val="clear" w:color="auto" w:fill="CFF0FC"/>
          </w:tcPr>
          <w:p>
            <w:pPr>
              <w:spacing w:after="0" w:line="133" w:lineRule="exact"/>
              <w:rPr>
                <w:sz w:val="20"/>
                <w:szCs w:val="20"/>
                <w:color w:val="auto"/>
              </w:rPr>
            </w:pPr>
            <w:r>
              <w:rPr>
                <w:rFonts w:ascii="Arial" w:cs="Arial" w:eastAsia="Arial" w:hAnsi="Arial"/>
                <w:sz w:val="13"/>
                <w:szCs w:val="13"/>
                <w:b w:val="1"/>
                <w:bCs w:val="1"/>
                <w:color w:val="auto"/>
              </w:rPr>
              <w:t>VOCATIONS OR END USE</w:t>
            </w:r>
          </w:p>
        </w:tc>
        <w:tc>
          <w:tcPr>
            <w:tcW w:w="1560" w:type="dxa"/>
            <w:vAlign w:val="bottom"/>
            <w:tcBorders>
              <w:right w:val="single" w:sz="8" w:color="auto"/>
            </w:tcBorders>
            <w:gridSpan w:val="2"/>
            <w:shd w:val="clear" w:color="auto" w:fill="CFF0FC"/>
          </w:tcPr>
          <w:p>
            <w:pPr>
              <w:ind w:left="40"/>
              <w:spacing w:after="0" w:line="133" w:lineRule="exact"/>
              <w:rPr>
                <w:sz w:val="20"/>
                <w:szCs w:val="20"/>
                <w:color w:val="auto"/>
              </w:rPr>
            </w:pPr>
            <w:r>
              <w:rPr>
                <w:rFonts w:ascii="Arial" w:cs="Arial" w:eastAsia="Arial" w:hAnsi="Arial"/>
                <w:sz w:val="13"/>
                <w:szCs w:val="13"/>
                <w:color w:val="auto"/>
              </w:rPr>
              <w:t>• Construction</w:t>
            </w:r>
          </w:p>
        </w:tc>
        <w:tc>
          <w:tcPr>
            <w:tcW w:w="1560" w:type="dxa"/>
            <w:vAlign w:val="bottom"/>
            <w:tcBorders>
              <w:right w:val="single" w:sz="8" w:color="auto"/>
            </w:tcBorders>
            <w:gridSpan w:val="2"/>
            <w:shd w:val="clear" w:color="auto" w:fill="CFF0FC"/>
          </w:tcPr>
          <w:p>
            <w:pPr>
              <w:ind w:left="40"/>
              <w:spacing w:after="0" w:line="133" w:lineRule="exact"/>
              <w:rPr>
                <w:sz w:val="20"/>
                <w:szCs w:val="20"/>
                <w:color w:val="auto"/>
              </w:rPr>
            </w:pPr>
            <w:r>
              <w:rPr>
                <w:rFonts w:ascii="Arial" w:cs="Arial" w:eastAsia="Arial" w:hAnsi="Arial"/>
                <w:sz w:val="13"/>
                <w:szCs w:val="13"/>
                <w:color w:val="auto"/>
              </w:rPr>
              <w:t>• Construction</w:t>
            </w:r>
          </w:p>
        </w:tc>
        <w:tc>
          <w:tcPr>
            <w:tcW w:w="1560" w:type="dxa"/>
            <w:vAlign w:val="bottom"/>
            <w:tcBorders>
              <w:right w:val="single" w:sz="8" w:color="auto"/>
            </w:tcBorders>
            <w:gridSpan w:val="2"/>
            <w:shd w:val="clear" w:color="auto" w:fill="CFF0FC"/>
          </w:tcPr>
          <w:p>
            <w:pPr>
              <w:ind w:left="40"/>
              <w:spacing w:after="0" w:line="133" w:lineRule="exact"/>
              <w:rPr>
                <w:sz w:val="20"/>
                <w:szCs w:val="20"/>
                <w:color w:val="auto"/>
              </w:rPr>
            </w:pPr>
            <w:r>
              <w:rPr>
                <w:rFonts w:ascii="Arial" w:cs="Arial" w:eastAsia="Arial" w:hAnsi="Arial"/>
                <w:sz w:val="13"/>
                <w:szCs w:val="13"/>
                <w:color w:val="auto"/>
              </w:rPr>
              <w:t>• Construction</w:t>
            </w:r>
          </w:p>
        </w:tc>
        <w:tc>
          <w:tcPr>
            <w:tcW w:w="1580" w:type="dxa"/>
            <w:vAlign w:val="bottom"/>
            <w:tcBorders>
              <w:right w:val="single" w:sz="8" w:color="auto"/>
            </w:tcBorders>
            <w:gridSpan w:val="2"/>
            <w:shd w:val="clear" w:color="auto" w:fill="CFF0FC"/>
          </w:tcPr>
          <w:p>
            <w:pPr>
              <w:ind w:left="40"/>
              <w:spacing w:after="0" w:line="133" w:lineRule="exact"/>
              <w:rPr>
                <w:sz w:val="20"/>
                <w:szCs w:val="20"/>
                <w:color w:val="auto"/>
              </w:rPr>
            </w:pPr>
            <w:r>
              <w:rPr>
                <w:rFonts w:ascii="Arial" w:cs="Arial" w:eastAsia="Arial" w:hAnsi="Arial"/>
                <w:sz w:val="13"/>
                <w:szCs w:val="13"/>
                <w:color w:val="auto"/>
              </w:rPr>
              <w:t>• Construction</w:t>
            </w:r>
          </w:p>
        </w:tc>
        <w:tc>
          <w:tcPr>
            <w:tcW w:w="1560" w:type="dxa"/>
            <w:vAlign w:val="bottom"/>
            <w:tcBorders>
              <w:right w:val="single" w:sz="8" w:color="auto"/>
            </w:tcBorders>
            <w:gridSpan w:val="2"/>
            <w:shd w:val="clear" w:color="auto" w:fill="CFF0FC"/>
          </w:tcPr>
          <w:p>
            <w:pPr>
              <w:ind w:left="20"/>
              <w:spacing w:after="0" w:line="133" w:lineRule="exact"/>
              <w:rPr>
                <w:sz w:val="20"/>
                <w:szCs w:val="20"/>
                <w:color w:val="auto"/>
              </w:rPr>
            </w:pPr>
            <w:r>
              <w:rPr>
                <w:rFonts w:ascii="Arial" w:cs="Arial" w:eastAsia="Arial" w:hAnsi="Arial"/>
                <w:sz w:val="13"/>
                <w:szCs w:val="13"/>
                <w:color w:val="auto"/>
              </w:rPr>
              <w:t>• Medium- and heavy-</w:t>
            </w:r>
          </w:p>
        </w:tc>
        <w:tc>
          <w:tcPr>
            <w:tcW w:w="1540" w:type="dxa"/>
            <w:vAlign w:val="bottom"/>
            <w:tcBorders>
              <w:right w:val="single" w:sz="8" w:color="auto"/>
            </w:tcBorders>
            <w:gridSpan w:val="2"/>
            <w:shd w:val="clear" w:color="auto" w:fill="CFF0FC"/>
          </w:tcPr>
          <w:p>
            <w:pPr>
              <w:ind w:left="40"/>
              <w:spacing w:after="0" w:line="133" w:lineRule="exact"/>
              <w:rPr>
                <w:sz w:val="20"/>
                <w:szCs w:val="20"/>
                <w:color w:val="auto"/>
              </w:rPr>
            </w:pPr>
            <w:r>
              <w:rPr>
                <w:rFonts w:ascii="Arial" w:cs="Arial" w:eastAsia="Arial" w:hAnsi="Arial"/>
                <w:sz w:val="13"/>
                <w:szCs w:val="13"/>
                <w:color w:val="auto"/>
              </w:rPr>
              <w:t>• Aluminum die cast</w:t>
            </w:r>
          </w:p>
        </w:tc>
        <w:tc>
          <w:tcPr>
            <w:tcW w:w="0" w:type="dxa"/>
            <w:vAlign w:val="bottom"/>
          </w:tcPr>
          <w:p>
            <w:pPr>
              <w:spacing w:after="0"/>
              <w:rPr>
                <w:sz w:val="1"/>
                <w:szCs w:val="1"/>
                <w:color w:val="auto"/>
              </w:rPr>
            </w:pPr>
          </w:p>
        </w:tc>
      </w:tr>
      <w:tr>
        <w:trPr>
          <w:trHeight w:val="141"/>
        </w:trPr>
        <w:tc>
          <w:tcPr>
            <w:tcW w:w="1900" w:type="dxa"/>
            <w:vAlign w:val="bottom"/>
            <w:tcBorders>
              <w:left w:val="single" w:sz="8" w:color="auto"/>
              <w:right w:val="single" w:sz="8" w:color="auto"/>
            </w:tcBorders>
            <w:shd w:val="clear" w:color="auto" w:fill="CFF0FC"/>
          </w:tcPr>
          <w:p>
            <w:pPr>
              <w:spacing w:after="0"/>
              <w:rPr>
                <w:sz w:val="12"/>
                <w:szCs w:val="12"/>
                <w:color w:val="auto"/>
              </w:rPr>
            </w:pPr>
          </w:p>
        </w:tc>
        <w:tc>
          <w:tcPr>
            <w:tcW w:w="156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 Distribution</w:t>
            </w:r>
          </w:p>
        </w:tc>
        <w:tc>
          <w:tcPr>
            <w:tcW w:w="520" w:type="dxa"/>
            <w:vAlign w:val="bottom"/>
            <w:shd w:val="clear" w:color="auto" w:fill="CFF0FC"/>
          </w:tcPr>
          <w:p>
            <w:pPr>
              <w:ind w:left="40"/>
              <w:spacing w:after="0" w:line="141" w:lineRule="exact"/>
              <w:rPr>
                <w:sz w:val="20"/>
                <w:szCs w:val="20"/>
                <w:color w:val="auto"/>
              </w:rPr>
            </w:pPr>
            <w:r>
              <w:rPr>
                <w:rFonts w:ascii="Arial" w:cs="Arial" w:eastAsia="Arial" w:hAnsi="Arial"/>
                <w:sz w:val="13"/>
                <w:szCs w:val="13"/>
                <w:color w:val="auto"/>
                <w:w w:val="93"/>
              </w:rPr>
              <w:t>• Energy</w:t>
            </w:r>
          </w:p>
        </w:tc>
        <w:tc>
          <w:tcPr>
            <w:tcW w:w="1040" w:type="dxa"/>
            <w:vAlign w:val="bottom"/>
            <w:tcBorders>
              <w:right w:val="single" w:sz="8" w:color="auto"/>
            </w:tcBorders>
            <w:shd w:val="clear" w:color="auto" w:fill="CFF0FC"/>
          </w:tcPr>
          <w:p>
            <w:pPr>
              <w:spacing w:after="0"/>
              <w:rPr>
                <w:sz w:val="12"/>
                <w:szCs w:val="12"/>
                <w:color w:val="auto"/>
              </w:rPr>
            </w:pPr>
          </w:p>
        </w:tc>
        <w:tc>
          <w:tcPr>
            <w:tcW w:w="156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 Distribution</w:t>
            </w:r>
          </w:p>
        </w:tc>
        <w:tc>
          <w:tcPr>
            <w:tcW w:w="540" w:type="dxa"/>
            <w:vAlign w:val="bottom"/>
            <w:shd w:val="clear" w:color="auto" w:fill="CFF0FC"/>
          </w:tcPr>
          <w:p>
            <w:pPr>
              <w:ind w:left="40"/>
              <w:spacing w:after="0" w:line="141" w:lineRule="exact"/>
              <w:rPr>
                <w:sz w:val="20"/>
                <w:szCs w:val="20"/>
                <w:color w:val="auto"/>
              </w:rPr>
            </w:pPr>
            <w:r>
              <w:rPr>
                <w:rFonts w:ascii="Arial" w:cs="Arial" w:eastAsia="Arial" w:hAnsi="Arial"/>
                <w:sz w:val="13"/>
                <w:szCs w:val="13"/>
                <w:color w:val="auto"/>
                <w:w w:val="97"/>
              </w:rPr>
              <w:t>• Energy</w:t>
            </w:r>
          </w:p>
        </w:tc>
        <w:tc>
          <w:tcPr>
            <w:tcW w:w="1040" w:type="dxa"/>
            <w:vAlign w:val="bottom"/>
            <w:tcBorders>
              <w:right w:val="single" w:sz="8" w:color="auto"/>
            </w:tcBorders>
            <w:shd w:val="clear" w:color="auto" w:fill="CFF0FC"/>
          </w:tcPr>
          <w:p>
            <w:pPr>
              <w:spacing w:after="0"/>
              <w:rPr>
                <w:sz w:val="12"/>
                <w:szCs w:val="12"/>
                <w:color w:val="auto"/>
              </w:rPr>
            </w:pPr>
          </w:p>
        </w:tc>
        <w:tc>
          <w:tcPr>
            <w:tcW w:w="1560" w:type="dxa"/>
            <w:vAlign w:val="bottom"/>
            <w:tcBorders>
              <w:right w:val="single" w:sz="8" w:color="auto"/>
            </w:tcBorders>
            <w:gridSpan w:val="2"/>
            <w:shd w:val="clear" w:color="auto" w:fill="CFF0FC"/>
          </w:tcPr>
          <w:p>
            <w:pPr>
              <w:ind w:left="20"/>
              <w:spacing w:after="0" w:line="141" w:lineRule="exact"/>
              <w:rPr>
                <w:sz w:val="20"/>
                <w:szCs w:val="20"/>
                <w:color w:val="auto"/>
              </w:rPr>
            </w:pPr>
            <w:r>
              <w:rPr>
                <w:rFonts w:ascii="Arial" w:cs="Arial" w:eastAsia="Arial" w:hAnsi="Arial"/>
                <w:sz w:val="13"/>
                <w:szCs w:val="13"/>
                <w:color w:val="auto"/>
              </w:rPr>
              <w:t>tactical wheeled</w:t>
            </w:r>
          </w:p>
        </w:tc>
        <w:tc>
          <w:tcPr>
            <w:tcW w:w="154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components</w:t>
            </w:r>
          </w:p>
        </w:tc>
        <w:tc>
          <w:tcPr>
            <w:tcW w:w="0" w:type="dxa"/>
            <w:vAlign w:val="bottom"/>
          </w:tcPr>
          <w:p>
            <w:pPr>
              <w:spacing w:after="0"/>
              <w:rPr>
                <w:sz w:val="1"/>
                <w:szCs w:val="1"/>
                <w:color w:val="auto"/>
              </w:rPr>
            </w:pPr>
          </w:p>
        </w:tc>
      </w:tr>
      <w:tr>
        <w:trPr>
          <w:trHeight w:val="141"/>
        </w:trPr>
        <w:tc>
          <w:tcPr>
            <w:tcW w:w="1900" w:type="dxa"/>
            <w:vAlign w:val="bottom"/>
            <w:tcBorders>
              <w:left w:val="single" w:sz="8" w:color="auto"/>
              <w:right w:val="single" w:sz="8" w:color="auto"/>
            </w:tcBorders>
            <w:shd w:val="clear" w:color="auto" w:fill="CFF0FC"/>
          </w:tcPr>
          <w:p>
            <w:pPr>
              <w:spacing w:after="0"/>
              <w:rPr>
                <w:sz w:val="12"/>
                <w:szCs w:val="12"/>
                <w:color w:val="auto"/>
              </w:rPr>
            </w:pPr>
          </w:p>
        </w:tc>
        <w:tc>
          <w:tcPr>
            <w:tcW w:w="156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 Emergency</w:t>
            </w:r>
          </w:p>
        </w:tc>
        <w:tc>
          <w:tcPr>
            <w:tcW w:w="520" w:type="dxa"/>
            <w:vAlign w:val="bottom"/>
            <w:shd w:val="clear" w:color="auto" w:fill="CFF0FC"/>
          </w:tcPr>
          <w:p>
            <w:pPr>
              <w:ind w:left="40"/>
              <w:spacing w:after="0" w:line="141" w:lineRule="exact"/>
              <w:rPr>
                <w:sz w:val="20"/>
                <w:szCs w:val="20"/>
                <w:color w:val="auto"/>
              </w:rPr>
            </w:pPr>
            <w:r>
              <w:rPr>
                <w:rFonts w:ascii="Arial" w:cs="Arial" w:eastAsia="Arial" w:hAnsi="Arial"/>
                <w:sz w:val="13"/>
                <w:szCs w:val="13"/>
                <w:color w:val="auto"/>
                <w:w w:val="98"/>
              </w:rPr>
              <w:t>• Mining</w:t>
            </w:r>
          </w:p>
        </w:tc>
        <w:tc>
          <w:tcPr>
            <w:tcW w:w="1040" w:type="dxa"/>
            <w:vAlign w:val="bottom"/>
            <w:tcBorders>
              <w:right w:val="single" w:sz="8" w:color="auto"/>
            </w:tcBorders>
            <w:shd w:val="clear" w:color="auto" w:fill="CFF0FC"/>
          </w:tcPr>
          <w:p>
            <w:pPr>
              <w:spacing w:after="0"/>
              <w:rPr>
                <w:sz w:val="12"/>
                <w:szCs w:val="12"/>
                <w:color w:val="auto"/>
              </w:rPr>
            </w:pPr>
          </w:p>
        </w:tc>
        <w:tc>
          <w:tcPr>
            <w:tcW w:w="156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 Emergency</w:t>
            </w:r>
          </w:p>
        </w:tc>
        <w:tc>
          <w:tcPr>
            <w:tcW w:w="540" w:type="dxa"/>
            <w:vAlign w:val="bottom"/>
            <w:shd w:val="clear" w:color="auto" w:fill="CFF0FC"/>
          </w:tcPr>
          <w:p>
            <w:pPr>
              <w:ind w:left="40"/>
              <w:spacing w:after="0" w:line="141" w:lineRule="exact"/>
              <w:rPr>
                <w:sz w:val="20"/>
                <w:szCs w:val="20"/>
                <w:color w:val="auto"/>
              </w:rPr>
            </w:pPr>
            <w:r>
              <w:rPr>
                <w:rFonts w:ascii="Arial" w:cs="Arial" w:eastAsia="Arial" w:hAnsi="Arial"/>
                <w:sz w:val="13"/>
                <w:szCs w:val="13"/>
                <w:color w:val="auto"/>
              </w:rPr>
              <w:t>• Mining</w:t>
            </w:r>
          </w:p>
        </w:tc>
        <w:tc>
          <w:tcPr>
            <w:tcW w:w="104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ind w:left="20"/>
              <w:spacing w:after="0" w:line="141" w:lineRule="exact"/>
              <w:rPr>
                <w:sz w:val="20"/>
                <w:szCs w:val="20"/>
                <w:color w:val="auto"/>
              </w:rPr>
            </w:pPr>
            <w:r>
              <w:rPr>
                <w:rFonts w:ascii="Arial" w:cs="Arial" w:eastAsia="Arial" w:hAnsi="Arial"/>
                <w:sz w:val="13"/>
                <w:szCs w:val="13"/>
                <w:color w:val="auto"/>
              </w:rPr>
              <w:t>platforms</w:t>
            </w:r>
          </w:p>
        </w:tc>
        <w:tc>
          <w:tcPr>
            <w:tcW w:w="980" w:type="dxa"/>
            <w:vAlign w:val="bottom"/>
            <w:tcBorders>
              <w:right w:val="single" w:sz="8" w:color="auto"/>
            </w:tcBorders>
            <w:shd w:val="clear" w:color="auto" w:fill="CFF0FC"/>
          </w:tcPr>
          <w:p>
            <w:pPr>
              <w:spacing w:after="0"/>
              <w:rPr>
                <w:sz w:val="12"/>
                <w:szCs w:val="12"/>
                <w:color w:val="auto"/>
              </w:rPr>
            </w:pPr>
          </w:p>
        </w:tc>
        <w:tc>
          <w:tcPr>
            <w:tcW w:w="154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 Extended transmission</w:t>
            </w:r>
          </w:p>
        </w:tc>
        <w:tc>
          <w:tcPr>
            <w:tcW w:w="0" w:type="dxa"/>
            <w:vAlign w:val="bottom"/>
          </w:tcPr>
          <w:p>
            <w:pPr>
              <w:spacing w:after="0"/>
              <w:rPr>
                <w:sz w:val="1"/>
                <w:szCs w:val="1"/>
                <w:color w:val="auto"/>
              </w:rPr>
            </w:pPr>
          </w:p>
        </w:tc>
      </w:tr>
      <w:tr>
        <w:trPr>
          <w:trHeight w:val="141"/>
        </w:trPr>
        <w:tc>
          <w:tcPr>
            <w:tcW w:w="1900" w:type="dxa"/>
            <w:vAlign w:val="bottom"/>
            <w:tcBorders>
              <w:left w:val="single" w:sz="8" w:color="auto"/>
              <w:right w:val="single" w:sz="8" w:color="auto"/>
            </w:tcBorders>
            <w:shd w:val="clear" w:color="auto" w:fill="CFF0FC"/>
          </w:tcPr>
          <w:p>
            <w:pPr>
              <w:spacing w:after="0"/>
              <w:rPr>
                <w:sz w:val="12"/>
                <w:szCs w:val="12"/>
                <w:color w:val="auto"/>
              </w:rPr>
            </w:pPr>
          </w:p>
        </w:tc>
        <w:tc>
          <w:tcPr>
            <w:tcW w:w="156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 Metro Tractors</w:t>
            </w:r>
          </w:p>
        </w:tc>
        <w:tc>
          <w:tcPr>
            <w:tcW w:w="156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 Specialty vehicle</w:t>
            </w:r>
          </w:p>
        </w:tc>
        <w:tc>
          <w:tcPr>
            <w:tcW w:w="540" w:type="dxa"/>
            <w:vAlign w:val="bottom"/>
            <w:shd w:val="clear" w:color="auto" w:fill="CFF0FC"/>
          </w:tcPr>
          <w:p>
            <w:pPr>
              <w:ind w:left="40"/>
              <w:spacing w:after="0" w:line="141" w:lineRule="exact"/>
              <w:rPr>
                <w:sz w:val="20"/>
                <w:szCs w:val="20"/>
                <w:color w:val="auto"/>
              </w:rPr>
            </w:pPr>
            <w:r>
              <w:rPr>
                <w:rFonts w:ascii="Arial" w:cs="Arial" w:eastAsia="Arial" w:hAnsi="Arial"/>
                <w:sz w:val="13"/>
                <w:szCs w:val="13"/>
                <w:color w:val="auto"/>
                <w:w w:val="97"/>
              </w:rPr>
              <w:t>• Refuse</w:t>
            </w:r>
          </w:p>
        </w:tc>
        <w:tc>
          <w:tcPr>
            <w:tcW w:w="1020" w:type="dxa"/>
            <w:vAlign w:val="bottom"/>
            <w:tcBorders>
              <w:right w:val="single" w:sz="8" w:color="auto"/>
            </w:tcBorders>
            <w:shd w:val="clear" w:color="auto" w:fill="CFF0FC"/>
          </w:tcPr>
          <w:p>
            <w:pPr>
              <w:spacing w:after="0"/>
              <w:rPr>
                <w:sz w:val="12"/>
                <w:szCs w:val="12"/>
                <w:color w:val="auto"/>
              </w:rPr>
            </w:pPr>
          </w:p>
        </w:tc>
        <w:tc>
          <w:tcPr>
            <w:tcW w:w="158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 Specialty vehicle</w:t>
            </w:r>
          </w:p>
        </w:tc>
        <w:tc>
          <w:tcPr>
            <w:tcW w:w="1560" w:type="dxa"/>
            <w:vAlign w:val="bottom"/>
            <w:tcBorders>
              <w:right w:val="single" w:sz="8" w:color="auto"/>
            </w:tcBorders>
            <w:gridSpan w:val="2"/>
            <w:shd w:val="clear" w:color="auto" w:fill="CFF0FC"/>
          </w:tcPr>
          <w:p>
            <w:pPr>
              <w:ind w:left="20"/>
              <w:spacing w:after="0" w:line="141" w:lineRule="exact"/>
              <w:rPr>
                <w:sz w:val="20"/>
                <w:szCs w:val="20"/>
                <w:color w:val="auto"/>
              </w:rPr>
            </w:pPr>
            <w:r>
              <w:rPr>
                <w:rFonts w:ascii="Arial" w:cs="Arial" w:eastAsia="Arial" w:hAnsi="Arial"/>
                <w:sz w:val="13"/>
                <w:szCs w:val="13"/>
                <w:color w:val="auto"/>
              </w:rPr>
              <w:t>• Tracked combat</w:t>
            </w:r>
          </w:p>
        </w:tc>
        <w:tc>
          <w:tcPr>
            <w:tcW w:w="154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coverage</w:t>
            </w:r>
          </w:p>
        </w:tc>
        <w:tc>
          <w:tcPr>
            <w:tcW w:w="0" w:type="dxa"/>
            <w:vAlign w:val="bottom"/>
          </w:tcPr>
          <w:p>
            <w:pPr>
              <w:spacing w:after="0"/>
              <w:rPr>
                <w:sz w:val="1"/>
                <w:szCs w:val="1"/>
                <w:color w:val="auto"/>
              </w:rPr>
            </w:pPr>
          </w:p>
        </w:tc>
      </w:tr>
      <w:tr>
        <w:trPr>
          <w:trHeight w:val="141"/>
        </w:trPr>
        <w:tc>
          <w:tcPr>
            <w:tcW w:w="1900" w:type="dxa"/>
            <w:vAlign w:val="bottom"/>
            <w:tcBorders>
              <w:left w:val="single" w:sz="8" w:color="auto"/>
              <w:right w:val="single" w:sz="8" w:color="auto"/>
            </w:tcBorders>
            <w:shd w:val="clear" w:color="auto" w:fill="CFF0FC"/>
          </w:tcPr>
          <w:p>
            <w:pPr>
              <w:spacing w:after="0"/>
              <w:rPr>
                <w:sz w:val="12"/>
                <w:szCs w:val="12"/>
                <w:color w:val="auto"/>
              </w:rPr>
            </w:pPr>
          </w:p>
        </w:tc>
        <w:tc>
          <w:tcPr>
            <w:tcW w:w="156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 Motorhome</w:t>
            </w:r>
          </w:p>
        </w:tc>
        <w:tc>
          <w:tcPr>
            <w:tcW w:w="52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156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 Transit, shuttle and</w:t>
            </w:r>
          </w:p>
        </w:tc>
        <w:tc>
          <w:tcPr>
            <w:tcW w:w="54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ind w:left="20"/>
              <w:spacing w:after="0" w:line="141" w:lineRule="exact"/>
              <w:rPr>
                <w:sz w:val="20"/>
                <w:szCs w:val="20"/>
                <w:color w:val="auto"/>
              </w:rPr>
            </w:pPr>
            <w:r>
              <w:rPr>
                <w:rFonts w:ascii="Arial" w:cs="Arial" w:eastAsia="Arial" w:hAnsi="Arial"/>
                <w:sz w:val="13"/>
                <w:szCs w:val="13"/>
                <w:color w:val="auto"/>
              </w:rPr>
              <w:t>platforms</w:t>
            </w:r>
          </w:p>
        </w:tc>
        <w:tc>
          <w:tcPr>
            <w:tcW w:w="980" w:type="dxa"/>
            <w:vAlign w:val="bottom"/>
            <w:tcBorders>
              <w:right w:val="single" w:sz="8" w:color="auto"/>
            </w:tcBorders>
            <w:shd w:val="clear" w:color="auto" w:fill="CFF0FC"/>
          </w:tcPr>
          <w:p>
            <w:pPr>
              <w:spacing w:after="0"/>
              <w:rPr>
                <w:sz w:val="12"/>
                <w:szCs w:val="12"/>
                <w:color w:val="auto"/>
              </w:rPr>
            </w:pPr>
          </w:p>
        </w:tc>
        <w:tc>
          <w:tcPr>
            <w:tcW w:w="154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 Remanufactured</w:t>
            </w:r>
          </w:p>
        </w:tc>
        <w:tc>
          <w:tcPr>
            <w:tcW w:w="0" w:type="dxa"/>
            <w:vAlign w:val="bottom"/>
          </w:tcPr>
          <w:p>
            <w:pPr>
              <w:spacing w:after="0"/>
              <w:rPr>
                <w:sz w:val="1"/>
                <w:szCs w:val="1"/>
                <w:color w:val="auto"/>
              </w:rPr>
            </w:pPr>
          </w:p>
        </w:tc>
      </w:tr>
      <w:tr>
        <w:trPr>
          <w:trHeight w:val="141"/>
        </w:trPr>
        <w:tc>
          <w:tcPr>
            <w:tcW w:w="1900" w:type="dxa"/>
            <w:vAlign w:val="bottom"/>
            <w:tcBorders>
              <w:left w:val="single" w:sz="8" w:color="auto"/>
              <w:right w:val="single" w:sz="8" w:color="auto"/>
            </w:tcBorders>
            <w:shd w:val="clear" w:color="auto" w:fill="CFF0FC"/>
          </w:tcPr>
          <w:p>
            <w:pPr>
              <w:spacing w:after="0"/>
              <w:rPr>
                <w:sz w:val="12"/>
                <w:szCs w:val="12"/>
                <w:color w:val="auto"/>
              </w:rPr>
            </w:pPr>
          </w:p>
        </w:tc>
        <w:tc>
          <w:tcPr>
            <w:tcW w:w="156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 Refuse</w:t>
            </w:r>
          </w:p>
        </w:tc>
        <w:tc>
          <w:tcPr>
            <w:tcW w:w="52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156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coach buses</w:t>
            </w:r>
          </w:p>
        </w:tc>
        <w:tc>
          <w:tcPr>
            <w:tcW w:w="54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tcBorders>
              <w:right w:val="single" w:sz="8" w:color="auto"/>
            </w:tcBorders>
            <w:shd w:val="clear" w:color="auto" w:fill="CFF0FC"/>
          </w:tcPr>
          <w:p>
            <w:pPr>
              <w:spacing w:after="0"/>
              <w:rPr>
                <w:sz w:val="12"/>
                <w:szCs w:val="12"/>
                <w:color w:val="auto"/>
              </w:rPr>
            </w:pPr>
          </w:p>
        </w:tc>
        <w:tc>
          <w:tcPr>
            <w:tcW w:w="154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transmissions</w:t>
            </w:r>
          </w:p>
        </w:tc>
        <w:tc>
          <w:tcPr>
            <w:tcW w:w="0" w:type="dxa"/>
            <w:vAlign w:val="bottom"/>
          </w:tcPr>
          <w:p>
            <w:pPr>
              <w:spacing w:after="0"/>
              <w:rPr>
                <w:sz w:val="1"/>
                <w:szCs w:val="1"/>
                <w:color w:val="auto"/>
              </w:rPr>
            </w:pPr>
          </w:p>
        </w:tc>
      </w:tr>
      <w:tr>
        <w:trPr>
          <w:trHeight w:val="141"/>
        </w:trPr>
        <w:tc>
          <w:tcPr>
            <w:tcW w:w="1900" w:type="dxa"/>
            <w:vAlign w:val="bottom"/>
            <w:tcBorders>
              <w:left w:val="single" w:sz="8" w:color="auto"/>
              <w:right w:val="single" w:sz="8" w:color="auto"/>
            </w:tcBorders>
            <w:shd w:val="clear" w:color="auto" w:fill="CFF0FC"/>
          </w:tcPr>
          <w:p>
            <w:pPr>
              <w:spacing w:after="0"/>
              <w:rPr>
                <w:sz w:val="12"/>
                <w:szCs w:val="12"/>
                <w:color w:val="auto"/>
              </w:rPr>
            </w:pPr>
          </w:p>
        </w:tc>
        <w:tc>
          <w:tcPr>
            <w:tcW w:w="156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 School, transit, shuttle</w:t>
            </w:r>
          </w:p>
        </w:tc>
        <w:tc>
          <w:tcPr>
            <w:tcW w:w="52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540" w:type="dxa"/>
            <w:vAlign w:val="bottom"/>
            <w:shd w:val="clear" w:color="auto" w:fill="CFF0FC"/>
          </w:tcPr>
          <w:p>
            <w:pPr>
              <w:ind w:left="40"/>
              <w:spacing w:after="0" w:line="141" w:lineRule="exact"/>
              <w:rPr>
                <w:sz w:val="20"/>
                <w:szCs w:val="20"/>
                <w:color w:val="auto"/>
              </w:rPr>
            </w:pPr>
            <w:r>
              <w:rPr>
                <w:rFonts w:ascii="Arial" w:cs="Arial" w:eastAsia="Arial" w:hAnsi="Arial"/>
                <w:sz w:val="13"/>
                <w:szCs w:val="13"/>
                <w:color w:val="auto"/>
              </w:rPr>
              <w:t>• Utility</w:t>
            </w:r>
          </w:p>
        </w:tc>
        <w:tc>
          <w:tcPr>
            <w:tcW w:w="1020" w:type="dxa"/>
            <w:vAlign w:val="bottom"/>
            <w:tcBorders>
              <w:right w:val="single" w:sz="8" w:color="auto"/>
            </w:tcBorders>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tcBorders>
              <w:right w:val="single" w:sz="8" w:color="auto"/>
            </w:tcBorders>
            <w:shd w:val="clear" w:color="auto" w:fill="CFF0FC"/>
          </w:tcPr>
          <w:p>
            <w:pPr>
              <w:spacing w:after="0"/>
              <w:rPr>
                <w:sz w:val="12"/>
                <w:szCs w:val="12"/>
                <w:color w:val="auto"/>
              </w:rPr>
            </w:pPr>
          </w:p>
        </w:tc>
        <w:tc>
          <w:tcPr>
            <w:tcW w:w="154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 Royalties</w:t>
            </w:r>
          </w:p>
        </w:tc>
        <w:tc>
          <w:tcPr>
            <w:tcW w:w="0" w:type="dxa"/>
            <w:vAlign w:val="bottom"/>
          </w:tcPr>
          <w:p>
            <w:pPr>
              <w:spacing w:after="0"/>
              <w:rPr>
                <w:sz w:val="1"/>
                <w:szCs w:val="1"/>
                <w:color w:val="auto"/>
              </w:rPr>
            </w:pPr>
          </w:p>
        </w:tc>
      </w:tr>
      <w:tr>
        <w:trPr>
          <w:trHeight w:val="141"/>
        </w:trPr>
        <w:tc>
          <w:tcPr>
            <w:tcW w:w="1900" w:type="dxa"/>
            <w:vAlign w:val="bottom"/>
            <w:tcBorders>
              <w:left w:val="single" w:sz="8" w:color="auto"/>
              <w:right w:val="single" w:sz="8" w:color="auto"/>
            </w:tcBorders>
            <w:shd w:val="clear" w:color="auto" w:fill="CFF0FC"/>
          </w:tcPr>
          <w:p>
            <w:pPr>
              <w:spacing w:after="0"/>
              <w:rPr>
                <w:sz w:val="12"/>
                <w:szCs w:val="12"/>
                <w:color w:val="auto"/>
              </w:rPr>
            </w:pPr>
          </w:p>
        </w:tc>
        <w:tc>
          <w:tcPr>
            <w:tcW w:w="280" w:type="dxa"/>
            <w:vAlign w:val="bottom"/>
            <w:shd w:val="clear" w:color="auto" w:fill="CFF0FC"/>
          </w:tcPr>
          <w:p>
            <w:pPr>
              <w:ind w:left="40"/>
              <w:spacing w:after="0" w:line="141" w:lineRule="exact"/>
              <w:rPr>
                <w:sz w:val="20"/>
                <w:szCs w:val="20"/>
                <w:color w:val="auto"/>
              </w:rPr>
            </w:pPr>
            <w:r>
              <w:rPr>
                <w:rFonts w:ascii="Arial" w:cs="Arial" w:eastAsia="Arial" w:hAnsi="Arial"/>
                <w:sz w:val="13"/>
                <w:szCs w:val="13"/>
                <w:color w:val="auto"/>
              </w:rPr>
              <w:t>and</w:t>
            </w:r>
          </w:p>
        </w:tc>
        <w:tc>
          <w:tcPr>
            <w:tcW w:w="1280" w:type="dxa"/>
            <w:vAlign w:val="bottom"/>
            <w:tcBorders>
              <w:right w:val="single" w:sz="8" w:color="auto"/>
            </w:tcBorders>
            <w:shd w:val="clear" w:color="auto" w:fill="CFF0FC"/>
          </w:tcPr>
          <w:p>
            <w:pPr>
              <w:ind w:left="20"/>
              <w:spacing w:after="0" w:line="141" w:lineRule="exact"/>
              <w:rPr>
                <w:sz w:val="20"/>
                <w:szCs w:val="20"/>
                <w:color w:val="auto"/>
              </w:rPr>
            </w:pPr>
            <w:r>
              <w:rPr>
                <w:rFonts w:ascii="Arial" w:cs="Arial" w:eastAsia="Arial" w:hAnsi="Arial"/>
                <w:sz w:val="13"/>
                <w:szCs w:val="13"/>
                <w:color w:val="auto"/>
              </w:rPr>
              <w:t>coach buses</w:t>
            </w:r>
          </w:p>
        </w:tc>
        <w:tc>
          <w:tcPr>
            <w:tcW w:w="52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20" w:type="dxa"/>
            <w:vAlign w:val="bottom"/>
            <w:tcBorders>
              <w:right w:val="single" w:sz="8" w:color="auto"/>
            </w:tcBorders>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tcBorders>
              <w:right w:val="single" w:sz="8" w:color="auto"/>
            </w:tcBorders>
            <w:shd w:val="clear" w:color="auto" w:fill="CFF0FC"/>
          </w:tcPr>
          <w:p>
            <w:pPr>
              <w:spacing w:after="0"/>
              <w:rPr>
                <w:sz w:val="12"/>
                <w:szCs w:val="12"/>
                <w:color w:val="auto"/>
              </w:rPr>
            </w:pPr>
          </w:p>
        </w:tc>
        <w:tc>
          <w:tcPr>
            <w:tcW w:w="154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 Saleable engineering</w:t>
            </w:r>
          </w:p>
        </w:tc>
        <w:tc>
          <w:tcPr>
            <w:tcW w:w="0" w:type="dxa"/>
            <w:vAlign w:val="bottom"/>
          </w:tcPr>
          <w:p>
            <w:pPr>
              <w:spacing w:after="0"/>
              <w:rPr>
                <w:sz w:val="1"/>
                <w:szCs w:val="1"/>
                <w:color w:val="auto"/>
              </w:rPr>
            </w:pPr>
          </w:p>
        </w:tc>
      </w:tr>
      <w:tr>
        <w:trPr>
          <w:trHeight w:val="141"/>
        </w:trPr>
        <w:tc>
          <w:tcPr>
            <w:tcW w:w="1900" w:type="dxa"/>
            <w:vAlign w:val="bottom"/>
            <w:tcBorders>
              <w:left w:val="single" w:sz="8" w:color="auto"/>
              <w:right w:val="single" w:sz="8" w:color="auto"/>
            </w:tcBorders>
            <w:shd w:val="clear" w:color="auto" w:fill="CFF0FC"/>
          </w:tcPr>
          <w:p>
            <w:pPr>
              <w:spacing w:after="0"/>
              <w:rPr>
                <w:sz w:val="12"/>
                <w:szCs w:val="12"/>
                <w:color w:val="auto"/>
              </w:rPr>
            </w:pPr>
          </w:p>
        </w:tc>
        <w:tc>
          <w:tcPr>
            <w:tcW w:w="156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 Utility</w:t>
            </w:r>
          </w:p>
        </w:tc>
        <w:tc>
          <w:tcPr>
            <w:tcW w:w="52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20" w:type="dxa"/>
            <w:vAlign w:val="bottom"/>
            <w:tcBorders>
              <w:right w:val="single" w:sz="8" w:color="auto"/>
            </w:tcBorders>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tcBorders>
              <w:right w:val="single" w:sz="8" w:color="auto"/>
            </w:tcBorders>
            <w:shd w:val="clear" w:color="auto" w:fill="CFF0FC"/>
          </w:tcPr>
          <w:p>
            <w:pPr>
              <w:spacing w:after="0"/>
              <w:rPr>
                <w:sz w:val="12"/>
                <w:szCs w:val="12"/>
                <w:color w:val="auto"/>
              </w:rPr>
            </w:pPr>
          </w:p>
        </w:tc>
        <w:tc>
          <w:tcPr>
            <w:tcW w:w="154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 Service parts</w:t>
            </w:r>
          </w:p>
        </w:tc>
        <w:tc>
          <w:tcPr>
            <w:tcW w:w="0" w:type="dxa"/>
            <w:vAlign w:val="bottom"/>
          </w:tcPr>
          <w:p>
            <w:pPr>
              <w:spacing w:after="0"/>
              <w:rPr>
                <w:sz w:val="1"/>
                <w:szCs w:val="1"/>
                <w:color w:val="auto"/>
              </w:rPr>
            </w:pPr>
          </w:p>
        </w:tc>
      </w:tr>
      <w:tr>
        <w:trPr>
          <w:trHeight w:val="141"/>
        </w:trPr>
        <w:tc>
          <w:tcPr>
            <w:tcW w:w="1900" w:type="dxa"/>
            <w:vAlign w:val="bottom"/>
            <w:tcBorders>
              <w:left w:val="single" w:sz="8" w:color="auto"/>
              <w:right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tcBorders>
              <w:right w:val="single" w:sz="8" w:color="auto"/>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20" w:type="dxa"/>
            <w:vAlign w:val="bottom"/>
            <w:tcBorders>
              <w:right w:val="single" w:sz="8" w:color="auto"/>
            </w:tcBorders>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4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80" w:type="dxa"/>
            <w:vAlign w:val="bottom"/>
            <w:tcBorders>
              <w:right w:val="single" w:sz="8" w:color="auto"/>
            </w:tcBorders>
            <w:shd w:val="clear" w:color="auto" w:fill="CFF0FC"/>
          </w:tcPr>
          <w:p>
            <w:pPr>
              <w:spacing w:after="0"/>
              <w:rPr>
                <w:sz w:val="12"/>
                <w:szCs w:val="12"/>
                <w:color w:val="auto"/>
              </w:rPr>
            </w:pPr>
          </w:p>
        </w:tc>
        <w:tc>
          <w:tcPr>
            <w:tcW w:w="1540" w:type="dxa"/>
            <w:vAlign w:val="bottom"/>
            <w:tcBorders>
              <w:right w:val="single" w:sz="8" w:color="auto"/>
            </w:tcBorders>
            <w:gridSpan w:val="2"/>
            <w:shd w:val="clear" w:color="auto" w:fill="CFF0FC"/>
          </w:tcPr>
          <w:p>
            <w:pPr>
              <w:ind w:left="40"/>
              <w:spacing w:after="0" w:line="141" w:lineRule="exact"/>
              <w:rPr>
                <w:sz w:val="20"/>
                <w:szCs w:val="20"/>
                <w:color w:val="auto"/>
              </w:rPr>
            </w:pPr>
            <w:r>
              <w:rPr>
                <w:rFonts w:ascii="Arial" w:cs="Arial" w:eastAsia="Arial" w:hAnsi="Arial"/>
                <w:sz w:val="13"/>
                <w:szCs w:val="13"/>
                <w:color w:val="auto"/>
              </w:rPr>
              <w:t>• Support equipment</w:t>
            </w:r>
          </w:p>
        </w:tc>
        <w:tc>
          <w:tcPr>
            <w:tcW w:w="0" w:type="dxa"/>
            <w:vAlign w:val="bottom"/>
          </w:tcPr>
          <w:p>
            <w:pPr>
              <w:spacing w:after="0"/>
              <w:rPr>
                <w:sz w:val="1"/>
                <w:szCs w:val="1"/>
                <w:color w:val="auto"/>
              </w:rPr>
            </w:pPr>
          </w:p>
        </w:tc>
      </w:tr>
      <w:tr>
        <w:trPr>
          <w:trHeight w:val="153"/>
        </w:trPr>
        <w:tc>
          <w:tcPr>
            <w:tcW w:w="1900" w:type="dxa"/>
            <w:vAlign w:val="bottom"/>
            <w:tcBorders>
              <w:left w:val="single" w:sz="8" w:color="auto"/>
              <w:bottom w:val="single" w:sz="8" w:color="auto"/>
              <w:right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right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right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right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right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right w:val="single" w:sz="8" w:color="auto"/>
            </w:tcBorders>
            <w:shd w:val="clear" w:color="auto" w:fill="CFF0FC"/>
          </w:tcPr>
          <w:p>
            <w:pPr>
              <w:spacing w:after="0"/>
              <w:rPr>
                <w:sz w:val="13"/>
                <w:szCs w:val="13"/>
                <w:color w:val="auto"/>
              </w:rPr>
            </w:pPr>
          </w:p>
        </w:tc>
        <w:tc>
          <w:tcPr>
            <w:tcW w:w="1540" w:type="dxa"/>
            <w:vAlign w:val="bottom"/>
            <w:tcBorders>
              <w:bottom w:val="single" w:sz="8" w:color="auto"/>
              <w:right w:val="single" w:sz="8" w:color="auto"/>
            </w:tcBorders>
            <w:gridSpan w:val="2"/>
            <w:shd w:val="clear" w:color="auto" w:fill="CFF0FC"/>
          </w:tcPr>
          <w:p>
            <w:pPr>
              <w:ind w:left="40"/>
              <w:spacing w:after="0"/>
              <w:rPr>
                <w:sz w:val="20"/>
                <w:szCs w:val="20"/>
                <w:color w:val="auto"/>
              </w:rPr>
            </w:pPr>
            <w:r>
              <w:rPr>
                <w:rFonts w:ascii="Arial" w:cs="Arial" w:eastAsia="Arial" w:hAnsi="Arial"/>
                <w:sz w:val="13"/>
                <w:szCs w:val="13"/>
                <w:color w:val="auto"/>
              </w:rPr>
              <w:t>• Transmission fluids</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500" w:firstLine="593"/>
        <w:spacing w:after="0" w:line="265" w:lineRule="auto"/>
        <w:rPr>
          <w:sz w:val="20"/>
          <w:szCs w:val="20"/>
          <w:color w:val="auto"/>
        </w:rPr>
      </w:pPr>
      <w:r>
        <w:rPr>
          <w:rFonts w:ascii="Arial" w:cs="Arial" w:eastAsia="Arial" w:hAnsi="Arial"/>
          <w:sz w:val="16"/>
          <w:szCs w:val="16"/>
          <w:color w:val="auto"/>
        </w:rPr>
        <w:t>Refer to NOTE 19, “Concentration of Risk” in Part II, Item 8, of this Annual Report on Form 10-K for additional information on our significant original equipment manufacturer (“OEM”) customers.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North America</w:t>
      </w:r>
    </w:p>
    <w:p>
      <w:pPr>
        <w:spacing w:after="0" w:line="135" w:lineRule="exact"/>
        <w:rPr>
          <w:sz w:val="20"/>
          <w:szCs w:val="20"/>
          <w:color w:val="auto"/>
        </w:rPr>
      </w:pPr>
    </w:p>
    <w:p>
      <w:pPr>
        <w:ind w:right="100" w:firstLine="522"/>
        <w:spacing w:after="0" w:line="265" w:lineRule="auto"/>
        <w:rPr>
          <w:sz w:val="20"/>
          <w:szCs w:val="20"/>
          <w:color w:val="auto"/>
        </w:rPr>
      </w:pPr>
      <w:r>
        <w:rPr>
          <w:rFonts w:ascii="Arial" w:cs="Arial" w:eastAsia="Arial" w:hAnsi="Arial"/>
          <w:sz w:val="16"/>
          <w:szCs w:val="16"/>
          <w:b w:val="1"/>
          <w:bCs w:val="1"/>
          <w:i w:val="1"/>
          <w:iCs w:val="1"/>
          <w:color w:val="auto"/>
        </w:rPr>
        <w:t xml:space="preserve">On-Highway. </w:t>
      </w:r>
      <w:r>
        <w:rPr>
          <w:rFonts w:ascii="Arial" w:cs="Arial" w:eastAsia="Arial" w:hAnsi="Arial"/>
          <w:sz w:val="16"/>
          <w:szCs w:val="16"/>
          <w:color w:val="auto"/>
        </w:rPr>
        <w:t>We are the largest manufacturer of fully automatic transmissions for the on-highway medium- and heavy-duty commercial vehicle market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North America. The following is a summary of our on-highway net sales by vehicle class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68580</wp:posOffset>
            </wp:positionV>
            <wp:extent cx="3563620" cy="2296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3620" cy="229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firstLine="522"/>
        <w:spacing w:after="0" w:line="239" w:lineRule="auto"/>
        <w:rPr>
          <w:sz w:val="20"/>
          <w:szCs w:val="20"/>
          <w:color w:val="auto"/>
        </w:rPr>
      </w:pPr>
      <w:r>
        <w:rPr>
          <w:rFonts w:ascii="Arial" w:cs="Arial" w:eastAsia="Arial" w:hAnsi="Arial"/>
          <w:sz w:val="16"/>
          <w:szCs w:val="16"/>
          <w:color w:val="auto"/>
        </w:rPr>
        <w:t>Our core North American on-highway market includes Class 4-5, Class 6-7 and Class 8 straight trucks, conventional transit, shuttle and coach buses, school buses and motorhomes. Class 8 trucks are subdivided into two markets: straight and tractor. Class 8 straight trucks are those with a unified body (e.g., refuse, construction, and dump trucks), while tractors have a vehicle chassis that is separable from the trailer they pull. We have been supplying transmissions for Class 8 straight trucks for decades, and it is a core end market for us. Today, we have very limited exposure to the Class 8 line-haul tractor market because lower priced manual transmissions and AMTs generally meet the needs of these vehicles which are primarily used in long distance hauling.</w:t>
      </w:r>
    </w:p>
    <w:p>
      <w:pPr>
        <w:spacing w:after="0" w:line="105" w:lineRule="exact"/>
        <w:rPr>
          <w:sz w:val="20"/>
          <w:szCs w:val="20"/>
          <w:color w:val="auto"/>
        </w:rPr>
      </w:pPr>
    </w:p>
    <w:p>
      <w:pPr>
        <w:jc w:val="both"/>
        <w:ind w:right="300" w:firstLine="522"/>
        <w:spacing w:after="0" w:line="272" w:lineRule="auto"/>
        <w:rPr>
          <w:sz w:val="20"/>
          <w:szCs w:val="20"/>
          <w:color w:val="auto"/>
        </w:rPr>
      </w:pPr>
      <w:r>
        <w:rPr>
          <w:rFonts w:ascii="Arial" w:cs="Arial" w:eastAsia="Arial" w:hAnsi="Arial"/>
          <w:sz w:val="15"/>
          <w:szCs w:val="15"/>
          <w:color w:val="auto"/>
        </w:rPr>
        <w:t>We also provide electric hybrid and fully electric propulsion solutions within the North American on-highway market. The interest in conserving fuel and reducing greenhouse gas emissions is driving demand for more fuel efficient commercial vehicles. Our customers for transit bus applications are typically city, state and federal governmental entities. We compete primarily with BAE Systems plc and manufacturers of fully electric propulsion solutions in this market.</w:t>
      </w:r>
    </w:p>
    <w:p>
      <w:pPr>
        <w:spacing w:after="0" w:line="83" w:lineRule="exact"/>
        <w:rPr>
          <w:sz w:val="20"/>
          <w:szCs w:val="20"/>
          <w:color w:val="auto"/>
        </w:rPr>
      </w:pPr>
    </w:p>
    <w:p>
      <w:pPr>
        <w:ind w:firstLine="522"/>
        <w:spacing w:after="0" w:line="235" w:lineRule="auto"/>
        <w:rPr>
          <w:sz w:val="20"/>
          <w:szCs w:val="20"/>
          <w:color w:val="auto"/>
        </w:rPr>
      </w:pPr>
      <w:r>
        <w:rPr>
          <w:rFonts w:ascii="Arial" w:cs="Arial" w:eastAsia="Arial" w:hAnsi="Arial"/>
          <w:sz w:val="16"/>
          <w:szCs w:val="16"/>
          <w:color w:val="auto"/>
        </w:rPr>
        <w:t>We sell substantially all of our transmissions and propulsion solutions in the North American on-highway market to OEMs. These OEMs, in turn, install our transmissions and propulsion solutions in vehicles in which our product is either the exclusive transmission or propulsion solution available or is specifically requested by end users. In 2020, OEM customers representing over 95% of our North American on-highway unit volume participated in long-term agreements (“LTA”) with us. Generally, these LTAs offer the OEM customer defined levels of mutual commitment with respect to growing Allison’s presence in the OEMs’ products and promotional efforts, pricing and sharing of commodity cost risk. The length of our LTAs is typically between three and five years. We often compete in this market against independent manufacturers of manual transmissions, AMTs, electric hybrid and fully electric propulsion solutions, fully automatic transmissions manufactured by Ford Motor Company (“Ford”), ZF Friedrichshafen AG (“ZF”) and Voith GmbH (“Voith”), and against vertically integrated OEMs in certain weight classes that use their own internally manufactured transmissions in certain vehicles.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a summary of our competitive position by vehicle class in the North America On-Highway end market.</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240" w:type="dxa"/>
            <w:vAlign w:val="bottom"/>
            <w:tcBorders>
              <w:top w:val="single" w:sz="8" w:color="auto"/>
              <w:left w:val="single" w:sz="8" w:color="auto"/>
              <w:right w:val="single" w:sz="8" w:color="auto"/>
            </w:tcBorders>
          </w:tcPr>
          <w:p>
            <w:pPr>
              <w:spacing w:after="0"/>
              <w:rPr>
                <w:sz w:val="13"/>
                <w:szCs w:val="13"/>
                <w:color w:val="auto"/>
              </w:rPr>
            </w:pPr>
          </w:p>
        </w:tc>
        <w:tc>
          <w:tcPr>
            <w:tcW w:w="1920" w:type="dxa"/>
            <w:vAlign w:val="bottom"/>
            <w:tcBorders>
              <w:top w:val="single" w:sz="8" w:color="auto"/>
              <w:right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6"/>
              </w:rPr>
              <w:t>CLASS 4-5</w:t>
            </w:r>
          </w:p>
        </w:tc>
        <w:tc>
          <w:tcPr>
            <w:tcW w:w="1880" w:type="dxa"/>
            <w:vAlign w:val="bottom"/>
            <w:tcBorders>
              <w:top w:val="single" w:sz="8" w:color="auto"/>
              <w:right w:val="single" w:sz="8" w:color="auto"/>
            </w:tcBorders>
          </w:tcPr>
          <w:p>
            <w:pPr>
              <w:jc w:val="center"/>
              <w:ind w:right="87"/>
              <w:spacing w:after="0"/>
              <w:rPr>
                <w:sz w:val="20"/>
                <w:szCs w:val="20"/>
                <w:color w:val="auto"/>
              </w:rPr>
            </w:pPr>
            <w:r>
              <w:rPr>
                <w:rFonts w:ascii="Arial" w:cs="Arial" w:eastAsia="Arial" w:hAnsi="Arial"/>
                <w:sz w:val="13"/>
                <w:szCs w:val="13"/>
                <w:b w:val="1"/>
                <w:bCs w:val="1"/>
                <w:color w:val="auto"/>
                <w:w w:val="96"/>
              </w:rPr>
              <w:t>CLASS 6-7</w:t>
            </w:r>
          </w:p>
        </w:tc>
        <w:tc>
          <w:tcPr>
            <w:tcW w:w="1900" w:type="dxa"/>
            <w:vAlign w:val="bottom"/>
            <w:tcBorders>
              <w:top w:val="single" w:sz="8" w:color="auto"/>
              <w:right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5"/>
              </w:rPr>
              <w:t>CLASS 8 STRAIGHT</w:t>
            </w:r>
          </w:p>
        </w:tc>
        <w:tc>
          <w:tcPr>
            <w:tcW w:w="1880" w:type="dxa"/>
            <w:vAlign w:val="bottom"/>
            <w:tcBorders>
              <w:top w:val="single" w:sz="8" w:color="auto"/>
              <w:right w:val="single" w:sz="8" w:color="auto"/>
            </w:tcBorders>
          </w:tcPr>
          <w:p>
            <w:pPr>
              <w:spacing w:after="0"/>
              <w:rPr>
                <w:sz w:val="13"/>
                <w:szCs w:val="13"/>
                <w:color w:val="auto"/>
              </w:rPr>
            </w:pPr>
          </w:p>
        </w:tc>
        <w:tc>
          <w:tcPr>
            <w:tcW w:w="1440" w:type="dxa"/>
            <w:vAlign w:val="bottom"/>
            <w:tcBorders>
              <w:top w:val="single" w:sz="8" w:color="auto"/>
              <w:right w:val="single" w:sz="8" w:color="auto"/>
            </w:tcBorders>
          </w:tcPr>
          <w:p>
            <w:pPr>
              <w:spacing w:after="0"/>
              <w:rPr>
                <w:sz w:val="13"/>
                <w:szCs w:val="13"/>
                <w:color w:val="auto"/>
              </w:rPr>
            </w:pPr>
          </w:p>
        </w:tc>
      </w:tr>
      <w:tr>
        <w:trPr>
          <w:trHeight w:val="153"/>
        </w:trPr>
        <w:tc>
          <w:tcPr>
            <w:tcW w:w="2240" w:type="dxa"/>
            <w:vAlign w:val="bottom"/>
            <w:tcBorders>
              <w:left w:val="single" w:sz="8" w:color="auto"/>
              <w:bottom w:val="single" w:sz="8" w:color="auto"/>
              <w:right w:val="single" w:sz="8" w:color="auto"/>
            </w:tcBorders>
          </w:tcPr>
          <w:p>
            <w:pPr>
              <w:spacing w:after="0"/>
              <w:rPr>
                <w:sz w:val="13"/>
                <w:szCs w:val="13"/>
                <w:color w:val="auto"/>
              </w:rPr>
            </w:pPr>
          </w:p>
        </w:tc>
        <w:tc>
          <w:tcPr>
            <w:tcW w:w="192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5"/>
              </w:rPr>
              <w:t>TRUCKS</w:t>
            </w:r>
          </w:p>
        </w:tc>
        <w:tc>
          <w:tcPr>
            <w:tcW w:w="1880" w:type="dxa"/>
            <w:vAlign w:val="bottom"/>
            <w:tcBorders>
              <w:bottom w:val="single" w:sz="8" w:color="auto"/>
              <w:right w:val="single" w:sz="8" w:color="auto"/>
            </w:tcBorders>
          </w:tcPr>
          <w:p>
            <w:pPr>
              <w:jc w:val="center"/>
              <w:ind w:right="87"/>
              <w:spacing w:after="0"/>
              <w:rPr>
                <w:sz w:val="20"/>
                <w:szCs w:val="20"/>
                <w:color w:val="auto"/>
              </w:rPr>
            </w:pPr>
            <w:r>
              <w:rPr>
                <w:rFonts w:ascii="Arial" w:cs="Arial" w:eastAsia="Arial" w:hAnsi="Arial"/>
                <w:sz w:val="13"/>
                <w:szCs w:val="13"/>
                <w:b w:val="1"/>
                <w:bCs w:val="1"/>
                <w:color w:val="auto"/>
                <w:w w:val="95"/>
              </w:rPr>
              <w:t>TRUCKS</w:t>
            </w:r>
          </w:p>
        </w:tc>
        <w:tc>
          <w:tcPr>
            <w:tcW w:w="1900" w:type="dxa"/>
            <w:vAlign w:val="bottom"/>
            <w:tcBorders>
              <w:bottom w:val="single" w:sz="8" w:color="auto"/>
              <w:right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5"/>
              </w:rPr>
              <w:t>TRUCKS</w:t>
            </w:r>
          </w:p>
        </w:tc>
        <w:tc>
          <w:tcPr>
            <w:tcW w:w="1880" w:type="dxa"/>
            <w:vAlign w:val="bottom"/>
            <w:tcBorders>
              <w:bottom w:val="single" w:sz="8" w:color="auto"/>
              <w:right w:val="single" w:sz="8" w:color="auto"/>
            </w:tcBorders>
          </w:tcPr>
          <w:p>
            <w:pPr>
              <w:jc w:val="center"/>
              <w:ind w:right="87"/>
              <w:spacing w:after="0"/>
              <w:rPr>
                <w:sz w:val="20"/>
                <w:szCs w:val="20"/>
                <w:color w:val="auto"/>
              </w:rPr>
            </w:pPr>
            <w:r>
              <w:rPr>
                <w:rFonts w:ascii="Arial" w:cs="Arial" w:eastAsia="Arial" w:hAnsi="Arial"/>
                <w:sz w:val="13"/>
                <w:szCs w:val="13"/>
                <w:b w:val="1"/>
                <w:bCs w:val="1"/>
                <w:color w:val="auto"/>
                <w:w w:val="96"/>
              </w:rPr>
              <w:t>SCHOOL BUSES</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MOTORHOMES</w:t>
            </w:r>
          </w:p>
        </w:tc>
      </w:tr>
      <w:tr>
        <w:trPr>
          <w:trHeight w:val="180"/>
        </w:trPr>
        <w:tc>
          <w:tcPr>
            <w:tcW w:w="2240" w:type="dxa"/>
            <w:vAlign w:val="bottom"/>
            <w:tcBorders>
              <w:left w:val="single" w:sz="8" w:color="auto"/>
              <w:bottom w:val="single" w:sz="8" w:color="auto"/>
              <w:right w:val="single" w:sz="8" w:color="auto"/>
            </w:tcBorders>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2020 SHARE</w:t>
            </w:r>
          </w:p>
        </w:tc>
        <w:tc>
          <w:tcPr>
            <w:tcW w:w="1920" w:type="dxa"/>
            <w:vAlign w:val="bottom"/>
            <w:tcBorders>
              <w:bottom w:val="single" w:sz="8" w:color="auto"/>
              <w:right w:val="single" w:sz="8" w:color="auto"/>
            </w:tcBorders>
            <w:shd w:val="clear" w:color="auto" w:fill="CFF0FC"/>
          </w:tcPr>
          <w:p>
            <w:pPr>
              <w:jc w:val="center"/>
              <w:ind w:right="90"/>
              <w:spacing w:after="0" w:line="180" w:lineRule="exact"/>
              <w:rPr>
                <w:sz w:val="20"/>
                <w:szCs w:val="20"/>
                <w:color w:val="auto"/>
              </w:rPr>
            </w:pPr>
            <w:r>
              <w:rPr>
                <w:rFonts w:ascii="Arial" w:cs="Arial" w:eastAsia="Arial" w:hAnsi="Arial"/>
                <w:sz w:val="16"/>
                <w:szCs w:val="16"/>
                <w:color w:val="auto"/>
                <w:w w:val="99"/>
              </w:rPr>
              <w:t>14%</w:t>
            </w:r>
          </w:p>
        </w:tc>
        <w:tc>
          <w:tcPr>
            <w:tcW w:w="1880" w:type="dxa"/>
            <w:vAlign w:val="bottom"/>
            <w:tcBorders>
              <w:bottom w:val="single" w:sz="8" w:color="auto"/>
              <w:right w:val="single" w:sz="8" w:color="auto"/>
            </w:tcBorders>
            <w:shd w:val="clear" w:color="auto" w:fill="CFF0FC"/>
          </w:tcPr>
          <w:p>
            <w:pPr>
              <w:jc w:val="center"/>
              <w:ind w:right="87"/>
              <w:spacing w:after="0" w:line="180" w:lineRule="exact"/>
              <w:rPr>
                <w:sz w:val="20"/>
                <w:szCs w:val="20"/>
                <w:color w:val="auto"/>
              </w:rPr>
            </w:pPr>
            <w:r>
              <w:rPr>
                <w:rFonts w:ascii="Arial" w:cs="Arial" w:eastAsia="Arial" w:hAnsi="Arial"/>
                <w:sz w:val="16"/>
                <w:szCs w:val="16"/>
                <w:color w:val="auto"/>
                <w:w w:val="99"/>
              </w:rPr>
              <w:t>75%</w:t>
            </w:r>
          </w:p>
        </w:tc>
        <w:tc>
          <w:tcPr>
            <w:tcW w:w="1900" w:type="dxa"/>
            <w:vAlign w:val="bottom"/>
            <w:tcBorders>
              <w:bottom w:val="single" w:sz="8" w:color="auto"/>
              <w:right w:val="single" w:sz="8" w:color="auto"/>
            </w:tcBorders>
            <w:shd w:val="clear" w:color="auto" w:fill="CFF0FC"/>
          </w:tcPr>
          <w:p>
            <w:pPr>
              <w:jc w:val="center"/>
              <w:ind w:right="67"/>
              <w:spacing w:after="0" w:line="180" w:lineRule="exact"/>
              <w:rPr>
                <w:sz w:val="20"/>
                <w:szCs w:val="20"/>
                <w:color w:val="auto"/>
              </w:rPr>
            </w:pPr>
            <w:r>
              <w:rPr>
                <w:rFonts w:ascii="Arial" w:cs="Arial" w:eastAsia="Arial" w:hAnsi="Arial"/>
                <w:sz w:val="16"/>
                <w:szCs w:val="16"/>
                <w:color w:val="auto"/>
                <w:w w:val="99"/>
              </w:rPr>
              <w:t>80%</w:t>
            </w:r>
          </w:p>
        </w:tc>
        <w:tc>
          <w:tcPr>
            <w:tcW w:w="1880" w:type="dxa"/>
            <w:vAlign w:val="bottom"/>
            <w:tcBorders>
              <w:bottom w:val="single" w:sz="8" w:color="auto"/>
              <w:right w:val="single" w:sz="8" w:color="auto"/>
            </w:tcBorders>
            <w:shd w:val="clear" w:color="auto" w:fill="CFF0FC"/>
          </w:tcPr>
          <w:p>
            <w:pPr>
              <w:jc w:val="right"/>
              <w:ind w:right="787"/>
              <w:spacing w:after="0" w:line="180" w:lineRule="exact"/>
              <w:rPr>
                <w:sz w:val="20"/>
                <w:szCs w:val="20"/>
                <w:color w:val="auto"/>
              </w:rPr>
            </w:pPr>
            <w:r>
              <w:rPr>
                <w:rFonts w:ascii="Arial" w:cs="Arial" w:eastAsia="Arial" w:hAnsi="Arial"/>
                <w:sz w:val="16"/>
                <w:szCs w:val="16"/>
                <w:color w:val="auto"/>
              </w:rPr>
              <w:t>84%</w:t>
            </w:r>
          </w:p>
        </w:tc>
        <w:tc>
          <w:tcPr>
            <w:tcW w:w="1440" w:type="dxa"/>
            <w:vAlign w:val="bottom"/>
            <w:tcBorders>
              <w:bottom w:val="single" w:sz="8" w:color="auto"/>
              <w:right w:val="single" w:sz="8" w:color="auto"/>
            </w:tcBorders>
            <w:shd w:val="clear" w:color="auto" w:fill="CFF0FC"/>
          </w:tcPr>
          <w:p>
            <w:pPr>
              <w:jc w:val="right"/>
              <w:ind w:right="487"/>
              <w:spacing w:after="0" w:line="180" w:lineRule="exact"/>
              <w:rPr>
                <w:sz w:val="20"/>
                <w:szCs w:val="20"/>
                <w:color w:val="auto"/>
              </w:rPr>
            </w:pPr>
            <w:r>
              <w:rPr>
                <w:rFonts w:ascii="Arial" w:cs="Arial" w:eastAsia="Arial" w:hAnsi="Arial"/>
                <w:sz w:val="16"/>
                <w:szCs w:val="16"/>
                <w:color w:val="auto"/>
              </w:rPr>
              <w:t>47%</w:t>
            </w:r>
          </w:p>
        </w:tc>
      </w:tr>
      <w:tr>
        <w:trPr>
          <w:trHeight w:val="159"/>
        </w:trPr>
        <w:tc>
          <w:tcPr>
            <w:tcW w:w="2240" w:type="dxa"/>
            <w:vAlign w:val="bottom"/>
            <w:tcBorders>
              <w:left w:val="single" w:sz="8" w:color="auto"/>
              <w:right w:val="single" w:sz="8" w:color="auto"/>
            </w:tcBorders>
          </w:tcPr>
          <w:p>
            <w:pPr>
              <w:spacing w:after="0" w:line="159" w:lineRule="exact"/>
              <w:rPr>
                <w:sz w:val="20"/>
                <w:szCs w:val="20"/>
                <w:color w:val="auto"/>
              </w:rPr>
            </w:pPr>
            <w:r>
              <w:rPr>
                <w:rFonts w:ascii="Arial" w:cs="Arial" w:eastAsia="Arial" w:hAnsi="Arial"/>
                <w:sz w:val="16"/>
                <w:szCs w:val="16"/>
                <w:b w:val="1"/>
                <w:bCs w:val="1"/>
                <w:color w:val="auto"/>
              </w:rPr>
              <w:t>PRIMARY COMPETITION</w:t>
            </w:r>
          </w:p>
        </w:tc>
        <w:tc>
          <w:tcPr>
            <w:tcW w:w="1920" w:type="dxa"/>
            <w:vAlign w:val="bottom"/>
            <w:tcBorders>
              <w:right w:val="single" w:sz="8" w:color="auto"/>
            </w:tcBorders>
          </w:tcPr>
          <w:p>
            <w:pPr>
              <w:ind w:left="100"/>
              <w:spacing w:after="0" w:line="159" w:lineRule="exact"/>
              <w:rPr>
                <w:sz w:val="20"/>
                <w:szCs w:val="20"/>
                <w:color w:val="auto"/>
              </w:rPr>
            </w:pPr>
            <w:r>
              <w:rPr>
                <w:rFonts w:ascii="Arial" w:cs="Arial" w:eastAsia="Arial" w:hAnsi="Arial"/>
                <w:sz w:val="16"/>
                <w:szCs w:val="16"/>
                <w:color w:val="auto"/>
              </w:rPr>
              <w:t>• Ford</w:t>
            </w:r>
          </w:p>
        </w:tc>
        <w:tc>
          <w:tcPr>
            <w:tcW w:w="18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rPr>
              <w:t>• Manual</w:t>
            </w:r>
          </w:p>
        </w:tc>
        <w:tc>
          <w:tcPr>
            <w:tcW w:w="1900" w:type="dxa"/>
            <w:vAlign w:val="bottom"/>
            <w:tcBorders>
              <w:right w:val="single" w:sz="8" w:color="auto"/>
            </w:tcBorders>
          </w:tcPr>
          <w:p>
            <w:pPr>
              <w:ind w:left="100"/>
              <w:spacing w:after="0" w:line="159" w:lineRule="exact"/>
              <w:rPr>
                <w:sz w:val="20"/>
                <w:szCs w:val="20"/>
                <w:color w:val="auto"/>
              </w:rPr>
            </w:pPr>
            <w:r>
              <w:rPr>
                <w:rFonts w:ascii="Arial" w:cs="Arial" w:eastAsia="Arial" w:hAnsi="Arial"/>
                <w:sz w:val="16"/>
                <w:szCs w:val="16"/>
                <w:color w:val="auto"/>
              </w:rPr>
              <w:t>• Manual</w:t>
            </w:r>
          </w:p>
        </w:tc>
        <w:tc>
          <w:tcPr>
            <w:tcW w:w="18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rPr>
              <w:t>• Ford</w:t>
            </w:r>
          </w:p>
        </w:tc>
        <w:tc>
          <w:tcPr>
            <w:tcW w:w="1440" w:type="dxa"/>
            <w:vAlign w:val="bottom"/>
            <w:tcBorders>
              <w:right w:val="single" w:sz="8" w:color="auto"/>
            </w:tcBorders>
          </w:tcPr>
          <w:p>
            <w:pPr>
              <w:ind w:left="100"/>
              <w:spacing w:after="0" w:line="159" w:lineRule="exact"/>
              <w:rPr>
                <w:sz w:val="20"/>
                <w:szCs w:val="20"/>
                <w:color w:val="auto"/>
              </w:rPr>
            </w:pPr>
            <w:r>
              <w:rPr>
                <w:rFonts w:ascii="Arial" w:cs="Arial" w:eastAsia="Arial" w:hAnsi="Arial"/>
                <w:sz w:val="16"/>
                <w:szCs w:val="16"/>
                <w:color w:val="auto"/>
              </w:rPr>
              <w:t>• Ford</w:t>
            </w:r>
          </w:p>
        </w:tc>
      </w:tr>
      <w:tr>
        <w:trPr>
          <w:trHeight w:val="176"/>
        </w:trPr>
        <w:tc>
          <w:tcPr>
            <w:tcW w:w="2240" w:type="dxa"/>
            <w:vAlign w:val="bottom"/>
            <w:tcBorders>
              <w:left w:val="single" w:sz="8" w:color="auto"/>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6"/>
                <w:szCs w:val="16"/>
                <w:color w:val="auto"/>
              </w:rPr>
              <w:t>Transmissions</w:t>
            </w:r>
          </w:p>
        </w:tc>
        <w:tc>
          <w:tcPr>
            <w:tcW w:w="190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16"/>
                <w:szCs w:val="16"/>
                <w:color w:val="auto"/>
              </w:rPr>
              <w:t>Transmissions</w:t>
            </w:r>
          </w:p>
        </w:tc>
        <w:tc>
          <w:tcPr>
            <w:tcW w:w="188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r>
      <w:tr>
        <w:trPr>
          <w:trHeight w:val="197"/>
        </w:trPr>
        <w:tc>
          <w:tcPr>
            <w:tcW w:w="2240" w:type="dxa"/>
            <w:vAlign w:val="bottom"/>
            <w:tcBorders>
              <w:left w:val="single" w:sz="8" w:color="auto"/>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 Ford</w:t>
            </w:r>
          </w:p>
        </w:tc>
        <w:tc>
          <w:tcPr>
            <w:tcW w:w="1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 AMTs</w:t>
            </w:r>
          </w:p>
        </w:tc>
        <w:tc>
          <w:tcPr>
            <w:tcW w:w="18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r>
    </w:tbl>
    <w:p>
      <w:pPr>
        <w:spacing w:after="0" w:line="120" w:lineRule="exact"/>
        <w:rPr>
          <w:sz w:val="20"/>
          <w:szCs w:val="20"/>
          <w:color w:val="auto"/>
        </w:rPr>
      </w:pPr>
    </w:p>
    <w:p>
      <w:pPr>
        <w:ind w:right="260" w:firstLine="522"/>
        <w:spacing w:after="0" w:line="263" w:lineRule="auto"/>
        <w:rPr>
          <w:sz w:val="20"/>
          <w:szCs w:val="20"/>
          <w:color w:val="auto"/>
        </w:rPr>
      </w:pPr>
      <w:r>
        <w:rPr>
          <w:rFonts w:ascii="Arial" w:cs="Arial" w:eastAsia="Arial" w:hAnsi="Arial"/>
          <w:sz w:val="15"/>
          <w:szCs w:val="15"/>
          <w:b w:val="1"/>
          <w:bCs w:val="1"/>
          <w:i w:val="1"/>
          <w:iCs w:val="1"/>
          <w:color w:val="auto"/>
        </w:rPr>
        <w:t xml:space="preserve">Off-Highway. </w:t>
      </w:r>
      <w:r>
        <w:rPr>
          <w:rFonts w:ascii="Arial" w:cs="Arial" w:eastAsia="Arial" w:hAnsi="Arial"/>
          <w:sz w:val="15"/>
          <w:szCs w:val="15"/>
          <w:color w:val="auto"/>
        </w:rPr>
        <w:t>We have provided products used in vehicles and equipment that serve energy, mining and construction applications in North America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over 70 years. Off-highway energy applications include hydraulic fracturing equipment, well-stimulation equipment, pumping equipment, and well-servicing rigs, which often use a fully automatic transmission to propel the vehicle and drive auxiliary equipment. We supply our heavy duty off-highway transmissions to producers of well-stimulation and well-servicing equipment. Competition includes Caterpillar Inc. (“Caterpillar”) and Twin Disc, Inc. (“Twin Disc”).</w:t>
      </w:r>
    </w:p>
    <w:p>
      <w:pPr>
        <w:spacing w:after="0" w:line="89" w:lineRule="exact"/>
        <w:rPr>
          <w:sz w:val="20"/>
          <w:szCs w:val="20"/>
          <w:color w:val="auto"/>
        </w:rPr>
      </w:pPr>
    </w:p>
    <w:p>
      <w:pPr>
        <w:ind w:right="140" w:firstLine="522"/>
        <w:spacing w:after="0" w:line="237" w:lineRule="auto"/>
        <w:rPr>
          <w:sz w:val="20"/>
          <w:szCs w:val="20"/>
          <w:color w:val="auto"/>
        </w:rPr>
      </w:pPr>
      <w:r>
        <w:rPr>
          <w:rFonts w:ascii="Arial" w:cs="Arial" w:eastAsia="Arial" w:hAnsi="Arial"/>
          <w:sz w:val="16"/>
          <w:szCs w:val="16"/>
          <w:color w:val="auto"/>
        </w:rPr>
        <w:t>We also provide heavy-duty transmissions used in mining trucks, specialty vehicles and construction vehicles. Mining applications include trucks used to haul various commodities and other products, including rigid dump trucks, underground trucks and long-haul tractor trailer trucks with load capacities between 40 to 110 tons. Our major competitors in this end market are Caterpillar and Komatsu Ltd. (“Komatsu”), both of which are vertically integrated and manufacture fully automatic transmissions for their own vehicles. Specialty vehicles using our heavy-duty transmissions include airport rescue and firefighting vehicles and heavy-equipment transporters. Our major competitor in this end market is Twin Disc. Construction applications include articulated dump trucks, with Caterpillar, Volvo Group (“Volvo”) and ZF as competitors.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Outside North America</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Outside North America we serve several different markets, including: Europe, Middle East, Africa (collectively, “EMEA”), Asia-Pacific and South America.</w:t>
      </w:r>
    </w:p>
    <w:p>
      <w:pPr>
        <w:spacing w:after="0" w:line="145" w:lineRule="exact"/>
        <w:rPr>
          <w:sz w:val="20"/>
          <w:szCs w:val="20"/>
          <w:color w:val="auto"/>
        </w:rPr>
      </w:pPr>
    </w:p>
    <w:p>
      <w:pPr>
        <w:ind w:right="20" w:firstLine="522"/>
        <w:spacing w:after="0" w:line="237" w:lineRule="auto"/>
        <w:rPr>
          <w:sz w:val="20"/>
          <w:szCs w:val="20"/>
          <w:color w:val="auto"/>
        </w:rPr>
      </w:pPr>
      <w:r>
        <w:rPr>
          <w:rFonts w:ascii="Arial" w:cs="Arial" w:eastAsia="Arial" w:hAnsi="Arial"/>
          <w:sz w:val="16"/>
          <w:szCs w:val="16"/>
          <w:b w:val="1"/>
          <w:bCs w:val="1"/>
          <w:i w:val="1"/>
          <w:iCs w:val="1"/>
          <w:color w:val="auto"/>
        </w:rPr>
        <w:t xml:space="preserve">On-Highway. </w:t>
      </w:r>
      <w:r>
        <w:rPr>
          <w:rFonts w:ascii="Arial" w:cs="Arial" w:eastAsia="Arial" w:hAnsi="Arial"/>
          <w:sz w:val="16"/>
          <w:szCs w:val="16"/>
          <w:color w:val="auto"/>
        </w:rPr>
        <w:t>We are the largest manufacturer of fully automatic transmissions for the commercial vehicle market outside of North America. While the 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fully automatic transmissions in the medium- and heavy-duty commercial vehicle market has been widely accepted in North America, markets outside North America continue to be dominated by manual transmissions. Where adopted, fully automatic transmission-equipped medium- and heavy-duty commercial vehicles are concentrated in certain vocational end markets. We often compete in this market against independent manufacturers of manual transmissions, AMTs, electric hybrid and fully electric propulsion solutions, fully automatic transmissions manufactured by ZF, Voith, and Shaanxi Fast Gear Co., Ltd. and against vertically integrated OEMs. The following is a summary of our on-highway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81280</wp:posOffset>
            </wp:positionV>
            <wp:extent cx="3489325" cy="17151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8932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522"/>
        <w:spacing w:after="0" w:line="237" w:lineRule="auto"/>
        <w:rPr>
          <w:sz w:val="20"/>
          <w:szCs w:val="20"/>
          <w:color w:val="auto"/>
        </w:rPr>
      </w:pPr>
      <w:r>
        <w:rPr>
          <w:rFonts w:ascii="Arial" w:cs="Arial" w:eastAsia="Arial" w:hAnsi="Arial"/>
          <w:sz w:val="16"/>
          <w:szCs w:val="16"/>
          <w:b w:val="1"/>
          <w:bCs w:val="1"/>
          <w:i w:val="1"/>
          <w:iCs w:val="1"/>
          <w:color w:val="auto"/>
        </w:rPr>
        <w:t>Europe, Middle East, Africa</w:t>
      </w:r>
      <w:r>
        <w:rPr>
          <w:rFonts w:ascii="Arial" w:cs="Arial" w:eastAsia="Arial" w:hAnsi="Arial"/>
          <w:sz w:val="16"/>
          <w:szCs w:val="16"/>
          <w:color w:val="auto"/>
        </w:rPr>
        <w:t>. EMEA is composed of several different markets, each of which differs from our core North American market by the degree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maturity, sophistication and acceptance of fully automatic transmission and electric propulsion solution technology. Within Europe, we serve Western European developed markets, as well as Russian and Eastern European emerging markets, principally in the refuse, emergency, bus, coach, distribution and utility markets. Competition in Western Europe is most notably characterized by a high level of vertical powertrain integration with OEMs often utilizing their own manual transmissions and AMTs in their vehicles. The Middle East and Africa regions are generally characterized by very limited local vehicle production, with imports from the U.S., South America, Turkey, China, India and Europe accounting for the majority of vehicles.</w:t>
      </w:r>
    </w:p>
    <w:p>
      <w:pPr>
        <w:spacing w:after="0" w:line="108" w:lineRule="exact"/>
        <w:rPr>
          <w:sz w:val="20"/>
          <w:szCs w:val="20"/>
          <w:color w:val="auto"/>
        </w:rPr>
      </w:pPr>
    </w:p>
    <w:p>
      <w:pPr>
        <w:ind w:right="20" w:firstLine="522"/>
        <w:spacing w:after="0" w:line="239" w:lineRule="auto"/>
        <w:rPr>
          <w:sz w:val="20"/>
          <w:szCs w:val="20"/>
          <w:color w:val="auto"/>
        </w:rPr>
      </w:pPr>
      <w:r>
        <w:rPr>
          <w:rFonts w:ascii="Arial" w:cs="Arial" w:eastAsia="Arial" w:hAnsi="Arial"/>
          <w:sz w:val="16"/>
          <w:szCs w:val="16"/>
          <w:b w:val="1"/>
          <w:bCs w:val="1"/>
          <w:i w:val="1"/>
          <w:iCs w:val="1"/>
          <w:color w:val="auto"/>
        </w:rPr>
        <w:t xml:space="preserve">Asia-Pacific. </w:t>
      </w:r>
      <w:r>
        <w:rPr>
          <w:rFonts w:ascii="Arial" w:cs="Arial" w:eastAsia="Arial" w:hAnsi="Arial"/>
          <w:sz w:val="16"/>
          <w:szCs w:val="16"/>
          <w:color w:val="auto"/>
        </w:rPr>
        <w:t>Our key Asia-Pacific markets include China, Japan, India, and South Korea; however, we actively participate in several other important Asia-Pacific countries including Australia, Taiwan, Indonesia, Malaysia and Thailand, which are primarily importers of commercial vehicles. Within Asia-Pacific, our sales efforts are principally focused on the transit bus and vocational truck markets. Currently, manual transmissions are the predominant transmissions used in commercial vehicles in the Asia-Pacific region. In China, subsidies offered by governmental entities continue to drive the development and adoption of fully electric propulsion solutions for use in the transit bus market.</w:t>
      </w:r>
    </w:p>
    <w:p>
      <w:pPr>
        <w:spacing w:after="0" w:line="105" w:lineRule="exact"/>
        <w:rPr>
          <w:sz w:val="20"/>
          <w:szCs w:val="20"/>
          <w:color w:val="auto"/>
        </w:rPr>
      </w:pPr>
    </w:p>
    <w:p>
      <w:pPr>
        <w:ind w:right="1040" w:firstLine="522"/>
        <w:spacing w:after="0" w:line="265" w:lineRule="auto"/>
        <w:rPr>
          <w:sz w:val="20"/>
          <w:szCs w:val="20"/>
          <w:color w:val="auto"/>
        </w:rPr>
      </w:pPr>
      <w:r>
        <w:rPr>
          <w:rFonts w:ascii="Arial" w:cs="Arial" w:eastAsia="Arial" w:hAnsi="Arial"/>
          <w:sz w:val="16"/>
          <w:szCs w:val="16"/>
          <w:b w:val="1"/>
          <w:bCs w:val="1"/>
          <w:i w:val="1"/>
          <w:iCs w:val="1"/>
          <w:color w:val="auto"/>
        </w:rPr>
        <w:t>South America</w:t>
      </w:r>
      <w:r>
        <w:rPr>
          <w:rFonts w:ascii="Arial" w:cs="Arial" w:eastAsia="Arial" w:hAnsi="Arial"/>
          <w:sz w:val="16"/>
          <w:szCs w:val="16"/>
          <w:color w:val="auto"/>
        </w:rPr>
        <w:t>. The South American region is characterized by a high level of OEM integration, with captive manual transmission and AMT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Currently, manual transmissions are the predominant transmissions used in commercial vehicles in South America.</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 xml:space="preserve">Off-Highway. </w:t>
      </w:r>
      <w:r>
        <w:rPr>
          <w:rFonts w:ascii="Arial" w:cs="Arial" w:eastAsia="Arial" w:hAnsi="Arial"/>
          <w:sz w:val="16"/>
          <w:szCs w:val="16"/>
          <w:color w:val="auto"/>
        </w:rPr>
        <w:t>The following is a summary of our off-highway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97790</wp:posOffset>
            </wp:positionV>
            <wp:extent cx="3563620" cy="1699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3620" cy="169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20" w:firstLine="522"/>
        <w:spacing w:after="0" w:line="272" w:lineRule="auto"/>
        <w:rPr>
          <w:sz w:val="20"/>
          <w:szCs w:val="20"/>
          <w:color w:val="auto"/>
        </w:rPr>
      </w:pPr>
      <w:r>
        <w:rPr>
          <w:rFonts w:ascii="Arial" w:cs="Arial" w:eastAsia="Arial" w:hAnsi="Arial"/>
          <w:sz w:val="15"/>
          <w:szCs w:val="15"/>
          <w:b w:val="1"/>
          <w:bCs w:val="1"/>
          <w:i w:val="1"/>
          <w:iCs w:val="1"/>
          <w:color w:val="auto"/>
        </w:rPr>
        <w:t xml:space="preserve">Europe, Middle East, Africa. </w:t>
      </w:r>
      <w:r>
        <w:rPr>
          <w:rFonts w:ascii="Arial" w:cs="Arial" w:eastAsia="Arial" w:hAnsi="Arial"/>
          <w:sz w:val="15"/>
          <w:szCs w:val="15"/>
          <w:color w:val="auto"/>
        </w:rPr>
        <w:t>Our off-highway markets in EMEA are mining and construction. Our major off-highway competitors are Caterpillar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Komatsu, both of which are vertically integrated manufacturers of off-highway mining vehicles, including the specific fully automatic transmission used in their mining trucks. A typical construction application is a rigid or articulated dump truck, with competition from Caterpillar, Dana Inc., Volvo and ZF transmissions.</w:t>
      </w:r>
    </w:p>
    <w:p>
      <w:pPr>
        <w:spacing w:after="0" w:line="83" w:lineRule="exact"/>
        <w:rPr>
          <w:sz w:val="20"/>
          <w:szCs w:val="20"/>
          <w:color w:val="auto"/>
        </w:rPr>
      </w:pPr>
    </w:p>
    <w:p>
      <w:pPr>
        <w:jc w:val="both"/>
        <w:ind w:right="140" w:firstLine="522"/>
        <w:spacing w:after="0" w:line="247" w:lineRule="auto"/>
        <w:rPr>
          <w:sz w:val="20"/>
          <w:szCs w:val="20"/>
          <w:color w:val="auto"/>
        </w:rPr>
      </w:pPr>
      <w:r>
        <w:rPr>
          <w:rFonts w:ascii="Arial" w:cs="Arial" w:eastAsia="Arial" w:hAnsi="Arial"/>
          <w:sz w:val="16"/>
          <w:szCs w:val="16"/>
          <w:b w:val="1"/>
          <w:bCs w:val="1"/>
          <w:i w:val="1"/>
          <w:iCs w:val="1"/>
          <w:color w:val="auto"/>
        </w:rPr>
        <w:t>Asia-Pacific</w:t>
      </w:r>
      <w:r>
        <w:rPr>
          <w:rFonts w:ascii="Arial" w:cs="Arial" w:eastAsia="Arial" w:hAnsi="Arial"/>
          <w:sz w:val="16"/>
          <w:szCs w:val="16"/>
          <w:color w:val="auto"/>
        </w:rPr>
        <w:t>. Off-highway markets in Asia are shared by energy, mining and construction applications. Our primary competitors are Caterpillar, Danyang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Winstar Auto Parts Co., Ltd., Twin Disc and Xi’an FC Intelligence Transmission Co. Ltd., in energy applications; Caterpillar, Danyang Winstar Auto Parts Co., Ltd. and Komatsu in mining applications; and Caterpillar, Volvo and ZF in construction applications.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Defense</w:t>
      </w:r>
    </w:p>
    <w:p>
      <w:pPr>
        <w:spacing w:after="0" w:line="135" w:lineRule="exact"/>
        <w:rPr>
          <w:sz w:val="20"/>
          <w:szCs w:val="20"/>
          <w:color w:val="auto"/>
        </w:rPr>
      </w:pPr>
    </w:p>
    <w:p>
      <w:pPr>
        <w:ind w:right="180" w:firstLine="522"/>
        <w:spacing w:after="0" w:line="263" w:lineRule="auto"/>
        <w:rPr>
          <w:sz w:val="20"/>
          <w:szCs w:val="20"/>
          <w:color w:val="auto"/>
        </w:rPr>
      </w:pPr>
      <w:r>
        <w:rPr>
          <w:rFonts w:ascii="Arial" w:cs="Arial" w:eastAsia="Arial" w:hAnsi="Arial"/>
          <w:sz w:val="15"/>
          <w:szCs w:val="15"/>
          <w:color w:val="auto"/>
        </w:rPr>
        <w:t>We have a long-standing relationship with the U.S. Department of Defense (“DOD”) dating back to 1946, when we began developing our first-generation tank transmission. Today, we sell substantially all of the transmissions for medium- and heavy-tactical wheeled vehicle platforms including the Joint Light Tactical Vehicle, Light Armored Vehicle, Stryker Armored Vehicle, Mine Resistant Ambush Protected Vehicle, the Family of Medium Tactical Vehicles, Heavy Expanded Mobility Tactical Trucks, Heavy Dump Truck and Heavy Equipment Transporters. Transmissions for our wheeled vehicle platforms are typically sold to OEMs.</w:t>
      </w:r>
    </w:p>
    <w:p>
      <w:pPr>
        <w:spacing w:after="0" w:line="89" w:lineRule="exact"/>
        <w:rPr>
          <w:sz w:val="20"/>
          <w:szCs w:val="20"/>
          <w:color w:val="auto"/>
        </w:rPr>
      </w:pPr>
    </w:p>
    <w:p>
      <w:pPr>
        <w:ind w:right="140" w:firstLine="522"/>
        <w:spacing w:after="0" w:line="241" w:lineRule="auto"/>
        <w:rPr>
          <w:sz w:val="20"/>
          <w:szCs w:val="20"/>
          <w:color w:val="auto"/>
        </w:rPr>
      </w:pPr>
      <w:r>
        <w:rPr>
          <w:rFonts w:ascii="Arial" w:cs="Arial" w:eastAsia="Arial" w:hAnsi="Arial"/>
          <w:sz w:val="16"/>
          <w:szCs w:val="16"/>
          <w:color w:val="auto"/>
        </w:rPr>
        <w:t>We are also the supplier on two of the three key tracked vehicle platforms, the Abrams tank and the M113 family of vehicles, which are sold directly to the DOD. Additionally, we sell parts kits to licensees for the production of transmissions for tracked vehicles manufactured outside North America, and our defense products are in approximately 110 countries around the world. See Part I, Item 1A, “Risk Factors” of this Annual Report on Form 10-K for a discussion of risks associated with our contracts with the DOD.</w:t>
      </w:r>
    </w:p>
    <w:p>
      <w:pPr>
        <w:spacing w:after="0" w:line="106" w:lineRule="exact"/>
        <w:rPr>
          <w:sz w:val="20"/>
          <w:szCs w:val="20"/>
          <w:color w:val="auto"/>
        </w:rPr>
      </w:pPr>
    </w:p>
    <w:p>
      <w:pPr>
        <w:ind w:right="160" w:firstLine="522"/>
        <w:spacing w:after="0" w:line="265" w:lineRule="auto"/>
        <w:rPr>
          <w:sz w:val="20"/>
          <w:szCs w:val="20"/>
          <w:color w:val="auto"/>
        </w:rPr>
      </w:pPr>
      <w:r>
        <w:rPr>
          <w:rFonts w:ascii="Arial" w:cs="Arial" w:eastAsia="Arial" w:hAnsi="Arial"/>
          <w:sz w:val="16"/>
          <w:szCs w:val="16"/>
          <w:color w:val="auto"/>
        </w:rPr>
        <w:t>Globally, we face competition primarily from L3 Technologies, Inc., Renk AG and SAPA S.p.A for supply of tracked vehicle transmissions. Additionally, we face limited competition from ZF in certain defense wheeled vehicles.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 Parts, Support Equipment and Other</w:t>
      </w:r>
    </w:p>
    <w:p>
      <w:pPr>
        <w:spacing w:after="0" w:line="135" w:lineRule="exact"/>
        <w:rPr>
          <w:sz w:val="20"/>
          <w:szCs w:val="20"/>
          <w:color w:val="auto"/>
        </w:rPr>
      </w:pPr>
    </w:p>
    <w:p>
      <w:pPr>
        <w:ind w:firstLine="522"/>
        <w:spacing w:after="0" w:line="241" w:lineRule="auto"/>
        <w:rPr>
          <w:sz w:val="20"/>
          <w:szCs w:val="20"/>
          <w:color w:val="auto"/>
        </w:rPr>
      </w:pPr>
      <w:r>
        <w:rPr>
          <w:rFonts w:ascii="Arial" w:cs="Arial" w:eastAsia="Arial" w:hAnsi="Arial"/>
          <w:sz w:val="16"/>
          <w:szCs w:val="16"/>
          <w:color w:val="auto"/>
        </w:rPr>
        <w:t>Our service parts, support equipment and other end market is comprised of: Allison-branded service parts and transmission fluids, aluminum die cast components, extended transmission coverage, remanufactured transmissions, royalties, saleable engineering and support equipment. The aftermarket provides us with a relatively stable source of revenues as the installed base of vehicles and equipment utilizing our solutions continues to grow. The need for replacement parts is driven by normal vehicle and equipment maintenance requirements.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Uninterrupted operation is generally critical for end users’ profitability. In addition, beginning in 2019 we began selling aluminum die casting components following our acquisition of Walker Die Casting.</w:t>
      </w:r>
    </w:p>
    <w:p>
      <w:pPr>
        <w:spacing w:after="0" w:line="87" w:lineRule="exact"/>
        <w:rPr>
          <w:sz w:val="20"/>
          <w:szCs w:val="20"/>
          <w:color w:val="auto"/>
        </w:rPr>
      </w:pPr>
    </w:p>
    <w:p>
      <w:pPr>
        <w:ind w:right="40" w:firstLine="522"/>
        <w:spacing w:after="0" w:line="254" w:lineRule="auto"/>
        <w:rPr>
          <w:sz w:val="20"/>
          <w:szCs w:val="20"/>
          <w:color w:val="auto"/>
        </w:rPr>
      </w:pPr>
      <w:r>
        <w:rPr>
          <w:rFonts w:ascii="Arial" w:cs="Arial" w:eastAsia="Arial" w:hAnsi="Arial"/>
          <w:sz w:val="15"/>
          <w:szCs w:val="15"/>
          <w:color w:val="auto"/>
        </w:rPr>
        <w:t>The sale of Allison-branded parts and fluids, remanufactured transmissions and support equipment is fundamental to our brand promise. We have assembled a worldwide network of approximately 1,400 independent distributor and dealer locations to sell, service and support our solutions. As part of our brand strategy, our distributors and dealers are required to sell genuine Allison-branded parts. Within the aftermarket, we offer remanufactured transmissions under our ReTran brand, which provides a cost-effective alternative for transmission repairs and replacements. We also provide support equipment to our OEMs to assist in installing new Allison solutions into vehicles, and, therefore, sales of support equipment are dependent upon sales of new solutions. The competition for service parts and ReTran transmissions comes from a variety of smaller-scale companies sourcing non-genuine “will-fit” parts from unauthorized manufacturers. These “will-fit” parts often do not meet our product specifications, and therefore may be of lesser quality than genuine Allison parts.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Product Offerings</w:t>
      </w:r>
    </w:p>
    <w:p>
      <w:pPr>
        <w:spacing w:after="0" w:line="131" w:lineRule="exact"/>
        <w:rPr>
          <w:sz w:val="20"/>
          <w:szCs w:val="20"/>
          <w:color w:val="auto"/>
        </w:rPr>
      </w:pPr>
    </w:p>
    <w:p>
      <w:pPr>
        <w:ind w:right="320" w:firstLine="522"/>
        <w:spacing w:after="0" w:line="265" w:lineRule="auto"/>
        <w:rPr>
          <w:sz w:val="20"/>
          <w:szCs w:val="20"/>
          <w:color w:val="auto"/>
        </w:rPr>
      </w:pPr>
      <w:r>
        <w:rPr>
          <w:rFonts w:ascii="Arial" w:cs="Arial" w:eastAsia="Arial" w:hAnsi="Arial"/>
          <w:sz w:val="16"/>
          <w:szCs w:val="16"/>
          <w:color w:val="auto"/>
        </w:rPr>
        <w:t>Allison transmissions and electric propulsion solutions are sold under the Allison Transmission brand name and remanufactured transmissions are sold under the ReTran brand name. The following is a summary of our product lines.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9"/>
          <w:szCs w:val="19"/>
          <w:b w:val="1"/>
          <w:bCs w:val="1"/>
          <w:i w:val="1"/>
          <w:iCs w:val="1"/>
          <w:color w:val="auto"/>
        </w:rPr>
        <w:t>On-Highway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0100" cy="2676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100" cy="2676525"/>
                    </a:xfrm>
                    <a:prstGeom prst="rect">
                      <a:avLst/>
                    </a:prstGeom>
                    <a:noFill/>
                  </pic:spPr>
                </pic:pic>
              </a:graphicData>
            </a:graphic>
          </wp:anchor>
        </w:drawing>
      </w:r>
    </w:p>
    <w:p>
      <w:pPr>
        <w:spacing w:after="0" w:line="4"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Product</w:t>
            </w:r>
          </w:p>
        </w:tc>
        <w:tc>
          <w:tcPr>
            <w:tcW w:w="2200" w:type="dxa"/>
            <w:vAlign w:val="bottom"/>
          </w:tcPr>
          <w:p>
            <w:pPr>
              <w:spacing w:after="0"/>
              <w:rPr>
                <w:sz w:val="16"/>
                <w:szCs w:val="16"/>
                <w:color w:val="auto"/>
              </w:rPr>
            </w:pPr>
          </w:p>
        </w:tc>
        <w:tc>
          <w:tcPr>
            <w:tcW w:w="4260" w:type="dxa"/>
            <w:vAlign w:val="bottom"/>
          </w:tcPr>
          <w:p>
            <w:pPr>
              <w:ind w:left="560"/>
              <w:spacing w:after="0"/>
              <w:rPr>
                <w:sz w:val="20"/>
                <w:szCs w:val="20"/>
                <w:color w:val="auto"/>
              </w:rPr>
            </w:pPr>
            <w:r>
              <w:rPr>
                <w:rFonts w:ascii="Arial" w:cs="Arial" w:eastAsia="Arial" w:hAnsi="Arial"/>
                <w:sz w:val="16"/>
                <w:szCs w:val="16"/>
                <w:b w:val="1"/>
                <w:bCs w:val="1"/>
                <w:color w:val="auto"/>
              </w:rPr>
              <w:t>Applications</w:t>
            </w:r>
          </w:p>
        </w:tc>
      </w:tr>
      <w:tr>
        <w:trPr>
          <w:trHeight w:val="159"/>
        </w:trPr>
        <w:tc>
          <w:tcPr>
            <w:tcW w:w="4000" w:type="dxa"/>
            <w:vAlign w:val="bottom"/>
            <w:tcBorders>
              <w:top w:val="single" w:sz="8" w:color="auto"/>
            </w:tcBorders>
            <w:shd w:val="clear" w:color="auto" w:fill="CFF0FC"/>
          </w:tcPr>
          <w:p>
            <w:pPr>
              <w:jc w:val="center"/>
              <w:spacing w:after="0" w:line="159" w:lineRule="exact"/>
              <w:rPr>
                <w:sz w:val="20"/>
                <w:szCs w:val="20"/>
                <w:color w:val="auto"/>
              </w:rPr>
            </w:pPr>
            <w:r>
              <w:rPr>
                <w:rFonts w:ascii="Arial" w:cs="Arial" w:eastAsia="Arial" w:hAnsi="Arial"/>
                <w:sz w:val="16"/>
                <w:szCs w:val="16"/>
                <w:color w:val="auto"/>
                <w:w w:val="98"/>
              </w:rPr>
              <w:t>1000 Series</w:t>
            </w:r>
          </w:p>
        </w:tc>
        <w:tc>
          <w:tcPr>
            <w:tcW w:w="260" w:type="dxa"/>
            <w:vAlign w:val="bottom"/>
            <w:tcBorders>
              <w:top w:val="single" w:sz="8" w:color="CFF0FC"/>
            </w:tcBorders>
            <w:shd w:val="clear" w:color="auto" w:fill="CFF0FC"/>
          </w:tcPr>
          <w:p>
            <w:pPr>
              <w:spacing w:after="0"/>
              <w:rPr>
                <w:sz w:val="13"/>
                <w:szCs w:val="13"/>
                <w:color w:val="auto"/>
              </w:rPr>
            </w:pPr>
          </w:p>
        </w:tc>
        <w:tc>
          <w:tcPr>
            <w:tcW w:w="2200" w:type="dxa"/>
            <w:vAlign w:val="bottom"/>
            <w:tcBorders>
              <w:top w:val="single" w:sz="8" w:color="auto"/>
            </w:tcBorders>
            <w:shd w:val="clear" w:color="auto" w:fill="CFF0FC"/>
          </w:tcPr>
          <w:p>
            <w:pPr>
              <w:spacing w:after="0" w:line="159" w:lineRule="exact"/>
              <w:rPr>
                <w:sz w:val="20"/>
                <w:szCs w:val="20"/>
                <w:color w:val="auto"/>
              </w:rPr>
            </w:pPr>
            <w:r>
              <w:rPr>
                <w:rFonts w:ascii="Arial" w:cs="Arial" w:eastAsia="Arial" w:hAnsi="Arial"/>
                <w:sz w:val="16"/>
                <w:szCs w:val="16"/>
                <w:color w:val="auto"/>
              </w:rPr>
              <w:t>Distribution</w:t>
            </w:r>
          </w:p>
        </w:tc>
        <w:tc>
          <w:tcPr>
            <w:tcW w:w="4260" w:type="dxa"/>
            <w:vAlign w:val="bottom"/>
            <w:tcBorders>
              <w:top w:val="single" w:sz="8" w:color="auto"/>
            </w:tcBorders>
            <w:shd w:val="clear" w:color="auto" w:fill="CFF0FC"/>
          </w:tcPr>
          <w:p>
            <w:pPr>
              <w:ind w:left="1020"/>
              <w:spacing w:after="0" w:line="159" w:lineRule="exact"/>
              <w:rPr>
                <w:sz w:val="20"/>
                <w:szCs w:val="20"/>
                <w:color w:val="auto"/>
              </w:rPr>
            </w:pPr>
            <w:r>
              <w:rPr>
                <w:rFonts w:ascii="Arial" w:cs="Arial" w:eastAsia="Arial" w:hAnsi="Arial"/>
                <w:sz w:val="16"/>
                <w:szCs w:val="16"/>
                <w:color w:val="auto"/>
              </w:rPr>
              <w:t>Services</w:t>
            </w:r>
          </w:p>
        </w:tc>
      </w:tr>
      <w:tr>
        <w:trPr>
          <w:trHeight w:val="176"/>
        </w:trPr>
        <w:tc>
          <w:tcPr>
            <w:tcW w:w="4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line="176" w:lineRule="exact"/>
              <w:rPr>
                <w:sz w:val="20"/>
                <w:szCs w:val="20"/>
                <w:color w:val="auto"/>
              </w:rPr>
            </w:pPr>
            <w:r>
              <w:rPr>
                <w:rFonts w:ascii="Arial" w:cs="Arial" w:eastAsia="Arial" w:hAnsi="Arial"/>
                <w:sz w:val="16"/>
                <w:szCs w:val="16"/>
                <w:color w:val="auto"/>
              </w:rPr>
              <w:t>Motorhome</w:t>
            </w:r>
          </w:p>
        </w:tc>
        <w:tc>
          <w:tcPr>
            <w:tcW w:w="4260" w:type="dxa"/>
            <w:vAlign w:val="bottom"/>
            <w:shd w:val="clear" w:color="auto" w:fill="CFF0FC"/>
          </w:tcPr>
          <w:p>
            <w:pPr>
              <w:ind w:left="1020"/>
              <w:spacing w:after="0" w:line="176" w:lineRule="exact"/>
              <w:rPr>
                <w:sz w:val="20"/>
                <w:szCs w:val="20"/>
                <w:color w:val="auto"/>
              </w:rPr>
            </w:pPr>
            <w:r>
              <w:rPr>
                <w:rFonts w:ascii="Arial" w:cs="Arial" w:eastAsia="Arial" w:hAnsi="Arial"/>
                <w:sz w:val="16"/>
                <w:szCs w:val="16"/>
                <w:color w:val="auto"/>
              </w:rPr>
              <w:t>Specialty</w:t>
            </w:r>
          </w:p>
        </w:tc>
      </w:tr>
      <w:tr>
        <w:trPr>
          <w:trHeight w:val="176"/>
        </w:trPr>
        <w:tc>
          <w:tcPr>
            <w:tcW w:w="4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line="176" w:lineRule="exact"/>
              <w:rPr>
                <w:sz w:val="20"/>
                <w:szCs w:val="20"/>
                <w:color w:val="auto"/>
              </w:rPr>
            </w:pPr>
            <w:r>
              <w:rPr>
                <w:rFonts w:ascii="Arial" w:cs="Arial" w:eastAsia="Arial" w:hAnsi="Arial"/>
                <w:sz w:val="16"/>
                <w:szCs w:val="16"/>
                <w:color w:val="auto"/>
              </w:rPr>
              <w:t>Refuse</w:t>
            </w:r>
          </w:p>
        </w:tc>
        <w:tc>
          <w:tcPr>
            <w:tcW w:w="4260" w:type="dxa"/>
            <w:vAlign w:val="bottom"/>
            <w:shd w:val="clear" w:color="auto" w:fill="CFF0FC"/>
          </w:tcPr>
          <w:p>
            <w:pPr>
              <w:ind w:left="1020"/>
              <w:spacing w:after="0" w:line="176" w:lineRule="exact"/>
              <w:rPr>
                <w:sz w:val="20"/>
                <w:szCs w:val="20"/>
                <w:color w:val="auto"/>
              </w:rPr>
            </w:pPr>
            <w:r>
              <w:rPr>
                <w:rFonts w:ascii="Arial" w:cs="Arial" w:eastAsia="Arial" w:hAnsi="Arial"/>
                <w:sz w:val="16"/>
                <w:szCs w:val="16"/>
                <w:color w:val="auto"/>
              </w:rPr>
              <w:t>Wheeled Defense</w:t>
            </w:r>
          </w:p>
        </w:tc>
      </w:tr>
      <w:tr>
        <w:trPr>
          <w:trHeight w:val="197"/>
        </w:trPr>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16"/>
                <w:szCs w:val="16"/>
                <w:color w:val="auto"/>
              </w:rPr>
              <w:t>School/Shuttle Bus</w:t>
            </w:r>
          </w:p>
        </w:tc>
        <w:tc>
          <w:tcPr>
            <w:tcW w:w="4260" w:type="dxa"/>
            <w:vAlign w:val="bottom"/>
            <w:shd w:val="clear" w:color="auto" w:fill="CFF0FC"/>
          </w:tcPr>
          <w:p>
            <w:pPr>
              <w:spacing w:after="0"/>
              <w:rPr>
                <w:sz w:val="17"/>
                <w:szCs w:val="17"/>
                <w:color w:val="auto"/>
              </w:rPr>
            </w:pPr>
          </w:p>
        </w:tc>
      </w:tr>
      <w:tr>
        <w:trPr>
          <w:trHeight w:val="167"/>
        </w:trPr>
        <w:tc>
          <w:tcPr>
            <w:tcW w:w="4260" w:type="dxa"/>
            <w:vAlign w:val="bottom"/>
            <w:gridSpan w:val="2"/>
          </w:tcPr>
          <w:p>
            <w:pPr>
              <w:jc w:val="center"/>
              <w:ind w:right="260"/>
              <w:spacing w:after="0" w:line="167" w:lineRule="exact"/>
              <w:rPr>
                <w:sz w:val="20"/>
                <w:szCs w:val="20"/>
                <w:color w:val="auto"/>
              </w:rPr>
            </w:pPr>
            <w:r>
              <w:rPr>
                <w:rFonts w:ascii="Arial" w:cs="Arial" w:eastAsia="Arial" w:hAnsi="Arial"/>
                <w:sz w:val="16"/>
                <w:szCs w:val="16"/>
                <w:color w:val="auto"/>
                <w:w w:val="98"/>
              </w:rPr>
              <w:t>2000 Series</w:t>
            </w:r>
          </w:p>
        </w:tc>
        <w:tc>
          <w:tcPr>
            <w:tcW w:w="2200" w:type="dxa"/>
            <w:vAlign w:val="bottom"/>
          </w:tcPr>
          <w:p>
            <w:pPr>
              <w:spacing w:after="0" w:line="167" w:lineRule="exact"/>
              <w:rPr>
                <w:sz w:val="20"/>
                <w:szCs w:val="20"/>
                <w:color w:val="auto"/>
              </w:rPr>
            </w:pPr>
            <w:r>
              <w:rPr>
                <w:rFonts w:ascii="Arial" w:cs="Arial" w:eastAsia="Arial" w:hAnsi="Arial"/>
                <w:sz w:val="16"/>
                <w:szCs w:val="16"/>
                <w:color w:val="auto"/>
              </w:rPr>
              <w:t>Distribution</w:t>
            </w:r>
          </w:p>
        </w:tc>
        <w:tc>
          <w:tcPr>
            <w:tcW w:w="4260" w:type="dxa"/>
            <w:vAlign w:val="bottom"/>
          </w:tcPr>
          <w:p>
            <w:pPr>
              <w:ind w:left="1020"/>
              <w:spacing w:after="0" w:line="167" w:lineRule="exact"/>
              <w:rPr>
                <w:sz w:val="20"/>
                <w:szCs w:val="20"/>
                <w:color w:val="auto"/>
              </w:rPr>
            </w:pPr>
            <w:r>
              <w:rPr>
                <w:rFonts w:ascii="Arial" w:cs="Arial" w:eastAsia="Arial" w:hAnsi="Arial"/>
                <w:sz w:val="16"/>
                <w:szCs w:val="16"/>
                <w:color w:val="auto"/>
              </w:rPr>
              <w:t>Services</w:t>
            </w:r>
          </w:p>
        </w:tc>
      </w:tr>
      <w:tr>
        <w:trPr>
          <w:trHeight w:val="176"/>
        </w:trPr>
        <w:tc>
          <w:tcPr>
            <w:tcW w:w="4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tcPr>
          <w:p>
            <w:pPr>
              <w:spacing w:after="0" w:line="176" w:lineRule="exact"/>
              <w:rPr>
                <w:sz w:val="20"/>
                <w:szCs w:val="20"/>
                <w:color w:val="auto"/>
              </w:rPr>
            </w:pPr>
            <w:r>
              <w:rPr>
                <w:rFonts w:ascii="Arial" w:cs="Arial" w:eastAsia="Arial" w:hAnsi="Arial"/>
                <w:sz w:val="16"/>
                <w:szCs w:val="16"/>
                <w:color w:val="auto"/>
              </w:rPr>
              <w:t>Motorhome</w:t>
            </w:r>
          </w:p>
        </w:tc>
        <w:tc>
          <w:tcPr>
            <w:tcW w:w="4260" w:type="dxa"/>
            <w:vAlign w:val="bottom"/>
          </w:tcPr>
          <w:p>
            <w:pPr>
              <w:ind w:left="1020"/>
              <w:spacing w:after="0" w:line="176" w:lineRule="exact"/>
              <w:rPr>
                <w:sz w:val="20"/>
                <w:szCs w:val="20"/>
                <w:color w:val="auto"/>
              </w:rPr>
            </w:pPr>
            <w:r>
              <w:rPr>
                <w:rFonts w:ascii="Arial" w:cs="Arial" w:eastAsia="Arial" w:hAnsi="Arial"/>
                <w:sz w:val="16"/>
                <w:szCs w:val="16"/>
                <w:color w:val="auto"/>
              </w:rPr>
              <w:t>Specialty</w:t>
            </w:r>
          </w:p>
        </w:tc>
      </w:tr>
      <w:tr>
        <w:trPr>
          <w:trHeight w:val="176"/>
        </w:trPr>
        <w:tc>
          <w:tcPr>
            <w:tcW w:w="4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tcPr>
          <w:p>
            <w:pPr>
              <w:spacing w:after="0" w:line="176" w:lineRule="exact"/>
              <w:rPr>
                <w:sz w:val="20"/>
                <w:szCs w:val="20"/>
                <w:color w:val="auto"/>
              </w:rPr>
            </w:pPr>
            <w:r>
              <w:rPr>
                <w:rFonts w:ascii="Arial" w:cs="Arial" w:eastAsia="Arial" w:hAnsi="Arial"/>
                <w:sz w:val="16"/>
                <w:szCs w:val="16"/>
                <w:color w:val="auto"/>
              </w:rPr>
              <w:t>Refuse</w:t>
            </w:r>
          </w:p>
        </w:tc>
        <w:tc>
          <w:tcPr>
            <w:tcW w:w="4260" w:type="dxa"/>
            <w:vAlign w:val="bottom"/>
          </w:tcPr>
          <w:p>
            <w:pPr>
              <w:ind w:left="1020"/>
              <w:spacing w:after="0" w:line="176" w:lineRule="exact"/>
              <w:rPr>
                <w:sz w:val="20"/>
                <w:szCs w:val="20"/>
                <w:color w:val="auto"/>
              </w:rPr>
            </w:pPr>
            <w:r>
              <w:rPr>
                <w:rFonts w:ascii="Arial" w:cs="Arial" w:eastAsia="Arial" w:hAnsi="Arial"/>
                <w:sz w:val="16"/>
                <w:szCs w:val="16"/>
                <w:color w:val="auto"/>
              </w:rPr>
              <w:t>Wheeled Defense</w:t>
            </w:r>
          </w:p>
        </w:tc>
      </w:tr>
      <w:tr>
        <w:trPr>
          <w:trHeight w:val="197"/>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School/Shuttle Bus</w:t>
            </w:r>
          </w:p>
        </w:tc>
        <w:tc>
          <w:tcPr>
            <w:tcW w:w="4260" w:type="dxa"/>
            <w:vAlign w:val="bottom"/>
          </w:tcPr>
          <w:p>
            <w:pPr>
              <w:spacing w:after="0"/>
              <w:rPr>
                <w:sz w:val="17"/>
                <w:szCs w:val="17"/>
                <w:color w:val="auto"/>
              </w:rPr>
            </w:pPr>
          </w:p>
        </w:tc>
      </w:tr>
      <w:tr>
        <w:trPr>
          <w:trHeight w:val="167"/>
        </w:trPr>
        <w:tc>
          <w:tcPr>
            <w:tcW w:w="4260" w:type="dxa"/>
            <w:vAlign w:val="bottom"/>
            <w:gridSpan w:val="2"/>
            <w:shd w:val="clear" w:color="auto" w:fill="CFF0FC"/>
          </w:tcPr>
          <w:p>
            <w:pPr>
              <w:jc w:val="center"/>
              <w:ind w:right="260"/>
              <w:spacing w:after="0" w:line="167" w:lineRule="exact"/>
              <w:rPr>
                <w:sz w:val="20"/>
                <w:szCs w:val="20"/>
                <w:color w:val="auto"/>
              </w:rPr>
            </w:pPr>
            <w:r>
              <w:rPr>
                <w:rFonts w:ascii="Arial" w:cs="Arial" w:eastAsia="Arial" w:hAnsi="Arial"/>
                <w:sz w:val="16"/>
                <w:szCs w:val="16"/>
                <w:color w:val="auto"/>
                <w:w w:val="98"/>
              </w:rPr>
              <w:t>3000 Series</w:t>
            </w:r>
          </w:p>
        </w:tc>
        <w:tc>
          <w:tcPr>
            <w:tcW w:w="2200" w:type="dxa"/>
            <w:vAlign w:val="bottom"/>
            <w:shd w:val="clear" w:color="auto" w:fill="CFF0FC"/>
          </w:tcPr>
          <w:p>
            <w:pPr>
              <w:spacing w:after="0" w:line="167" w:lineRule="exact"/>
              <w:rPr>
                <w:sz w:val="20"/>
                <w:szCs w:val="20"/>
                <w:color w:val="auto"/>
              </w:rPr>
            </w:pPr>
            <w:r>
              <w:rPr>
                <w:rFonts w:ascii="Arial" w:cs="Arial" w:eastAsia="Arial" w:hAnsi="Arial"/>
                <w:sz w:val="16"/>
                <w:szCs w:val="16"/>
                <w:color w:val="auto"/>
              </w:rPr>
              <w:t>Coach and Transit Bus</w:t>
            </w:r>
          </w:p>
        </w:tc>
        <w:tc>
          <w:tcPr>
            <w:tcW w:w="4260" w:type="dxa"/>
            <w:vAlign w:val="bottom"/>
            <w:shd w:val="clear" w:color="auto" w:fill="CFF0FC"/>
          </w:tcPr>
          <w:p>
            <w:pPr>
              <w:ind w:left="1020"/>
              <w:spacing w:after="0" w:line="167" w:lineRule="exact"/>
              <w:rPr>
                <w:sz w:val="20"/>
                <w:szCs w:val="20"/>
                <w:color w:val="auto"/>
              </w:rPr>
            </w:pPr>
            <w:r>
              <w:rPr>
                <w:rFonts w:ascii="Arial" w:cs="Arial" w:eastAsia="Arial" w:hAnsi="Arial"/>
                <w:sz w:val="16"/>
                <w:szCs w:val="16"/>
                <w:color w:val="auto"/>
              </w:rPr>
              <w:t>Motorhome</w:t>
            </w:r>
          </w:p>
        </w:tc>
      </w:tr>
      <w:tr>
        <w:trPr>
          <w:trHeight w:val="176"/>
        </w:trPr>
        <w:tc>
          <w:tcPr>
            <w:tcW w:w="4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line="176" w:lineRule="exact"/>
              <w:rPr>
                <w:sz w:val="20"/>
                <w:szCs w:val="20"/>
                <w:color w:val="auto"/>
              </w:rPr>
            </w:pPr>
            <w:r>
              <w:rPr>
                <w:rFonts w:ascii="Arial" w:cs="Arial" w:eastAsia="Arial" w:hAnsi="Arial"/>
                <w:sz w:val="16"/>
                <w:szCs w:val="16"/>
                <w:color w:val="auto"/>
              </w:rPr>
              <w:t>Construction</w:t>
            </w:r>
          </w:p>
        </w:tc>
        <w:tc>
          <w:tcPr>
            <w:tcW w:w="4260" w:type="dxa"/>
            <w:vAlign w:val="bottom"/>
            <w:shd w:val="clear" w:color="auto" w:fill="CFF0FC"/>
          </w:tcPr>
          <w:p>
            <w:pPr>
              <w:ind w:left="1020"/>
              <w:spacing w:after="0" w:line="176" w:lineRule="exact"/>
              <w:rPr>
                <w:sz w:val="20"/>
                <w:szCs w:val="20"/>
                <w:color w:val="auto"/>
              </w:rPr>
            </w:pPr>
            <w:r>
              <w:rPr>
                <w:rFonts w:ascii="Arial" w:cs="Arial" w:eastAsia="Arial" w:hAnsi="Arial"/>
                <w:sz w:val="16"/>
                <w:szCs w:val="16"/>
                <w:color w:val="auto"/>
              </w:rPr>
              <w:t>Refuse</w:t>
            </w:r>
          </w:p>
        </w:tc>
      </w:tr>
      <w:tr>
        <w:trPr>
          <w:trHeight w:val="176"/>
        </w:trPr>
        <w:tc>
          <w:tcPr>
            <w:tcW w:w="4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line="176" w:lineRule="exact"/>
              <w:rPr>
                <w:sz w:val="20"/>
                <w:szCs w:val="20"/>
                <w:color w:val="auto"/>
              </w:rPr>
            </w:pPr>
            <w:r>
              <w:rPr>
                <w:rFonts w:ascii="Arial" w:cs="Arial" w:eastAsia="Arial" w:hAnsi="Arial"/>
                <w:sz w:val="16"/>
                <w:szCs w:val="16"/>
                <w:color w:val="auto"/>
              </w:rPr>
              <w:t>Distribution</w:t>
            </w:r>
          </w:p>
        </w:tc>
        <w:tc>
          <w:tcPr>
            <w:tcW w:w="4260" w:type="dxa"/>
            <w:vAlign w:val="bottom"/>
            <w:shd w:val="clear" w:color="auto" w:fill="CFF0FC"/>
          </w:tcPr>
          <w:p>
            <w:pPr>
              <w:ind w:left="1020"/>
              <w:spacing w:after="0" w:line="176" w:lineRule="exact"/>
              <w:rPr>
                <w:sz w:val="20"/>
                <w:szCs w:val="20"/>
                <w:color w:val="auto"/>
              </w:rPr>
            </w:pPr>
            <w:r>
              <w:rPr>
                <w:rFonts w:ascii="Arial" w:cs="Arial" w:eastAsia="Arial" w:hAnsi="Arial"/>
                <w:sz w:val="16"/>
                <w:szCs w:val="16"/>
                <w:color w:val="auto"/>
              </w:rPr>
              <w:t>Services</w:t>
            </w:r>
          </w:p>
        </w:tc>
      </w:tr>
      <w:tr>
        <w:trPr>
          <w:trHeight w:val="176"/>
        </w:trPr>
        <w:tc>
          <w:tcPr>
            <w:tcW w:w="4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line="176" w:lineRule="exact"/>
              <w:rPr>
                <w:sz w:val="20"/>
                <w:szCs w:val="20"/>
                <w:color w:val="auto"/>
              </w:rPr>
            </w:pPr>
            <w:r>
              <w:rPr>
                <w:rFonts w:ascii="Arial" w:cs="Arial" w:eastAsia="Arial" w:hAnsi="Arial"/>
                <w:sz w:val="16"/>
                <w:szCs w:val="16"/>
                <w:color w:val="auto"/>
              </w:rPr>
              <w:t>Fire and Emergency</w:t>
            </w:r>
          </w:p>
        </w:tc>
        <w:tc>
          <w:tcPr>
            <w:tcW w:w="4260" w:type="dxa"/>
            <w:vAlign w:val="bottom"/>
            <w:shd w:val="clear" w:color="auto" w:fill="CFF0FC"/>
          </w:tcPr>
          <w:p>
            <w:pPr>
              <w:ind w:left="1020"/>
              <w:spacing w:after="0" w:line="176" w:lineRule="exact"/>
              <w:rPr>
                <w:sz w:val="20"/>
                <w:szCs w:val="20"/>
                <w:color w:val="auto"/>
              </w:rPr>
            </w:pPr>
            <w:r>
              <w:rPr>
                <w:rFonts w:ascii="Arial" w:cs="Arial" w:eastAsia="Arial" w:hAnsi="Arial"/>
                <w:sz w:val="16"/>
                <w:szCs w:val="16"/>
                <w:color w:val="auto"/>
              </w:rPr>
              <w:t>Specialty</w:t>
            </w:r>
          </w:p>
        </w:tc>
      </w:tr>
      <w:tr>
        <w:trPr>
          <w:trHeight w:val="197"/>
        </w:trPr>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20"/>
                <w:szCs w:val="20"/>
                <w:color w:val="auto"/>
              </w:rPr>
            </w:pPr>
            <w:r>
              <w:rPr>
                <w:rFonts w:ascii="Arial" w:cs="Arial" w:eastAsia="Arial" w:hAnsi="Arial"/>
                <w:sz w:val="16"/>
                <w:szCs w:val="16"/>
                <w:color w:val="auto"/>
              </w:rPr>
              <w:t>Metro Tractors</w:t>
            </w:r>
          </w:p>
        </w:tc>
        <w:tc>
          <w:tcPr>
            <w:tcW w:w="4260" w:type="dxa"/>
            <w:vAlign w:val="bottom"/>
            <w:shd w:val="clear" w:color="auto" w:fill="CFF0FC"/>
          </w:tcPr>
          <w:p>
            <w:pPr>
              <w:ind w:left="1020"/>
              <w:spacing w:after="0"/>
              <w:rPr>
                <w:sz w:val="20"/>
                <w:szCs w:val="20"/>
                <w:color w:val="auto"/>
              </w:rPr>
            </w:pPr>
            <w:r>
              <w:rPr>
                <w:rFonts w:ascii="Arial" w:cs="Arial" w:eastAsia="Arial" w:hAnsi="Arial"/>
                <w:sz w:val="16"/>
                <w:szCs w:val="16"/>
                <w:color w:val="auto"/>
              </w:rPr>
              <w:t>Wheeled Defense</w:t>
            </w:r>
          </w:p>
        </w:tc>
      </w:tr>
      <w:tr>
        <w:trPr>
          <w:trHeight w:val="167"/>
        </w:trPr>
        <w:tc>
          <w:tcPr>
            <w:tcW w:w="4260" w:type="dxa"/>
            <w:vAlign w:val="bottom"/>
            <w:gridSpan w:val="2"/>
          </w:tcPr>
          <w:p>
            <w:pPr>
              <w:jc w:val="center"/>
              <w:ind w:right="260"/>
              <w:spacing w:after="0" w:line="167" w:lineRule="exact"/>
              <w:rPr>
                <w:sz w:val="20"/>
                <w:szCs w:val="20"/>
                <w:color w:val="auto"/>
              </w:rPr>
            </w:pPr>
            <w:r>
              <w:rPr>
                <w:rFonts w:ascii="Arial" w:cs="Arial" w:eastAsia="Arial" w:hAnsi="Arial"/>
                <w:sz w:val="16"/>
                <w:szCs w:val="16"/>
                <w:color w:val="auto"/>
                <w:w w:val="98"/>
              </w:rPr>
              <w:t>4000 Series</w:t>
            </w:r>
          </w:p>
        </w:tc>
        <w:tc>
          <w:tcPr>
            <w:tcW w:w="2200" w:type="dxa"/>
            <w:vAlign w:val="bottom"/>
          </w:tcPr>
          <w:p>
            <w:pPr>
              <w:spacing w:after="0" w:line="167" w:lineRule="exact"/>
              <w:rPr>
                <w:sz w:val="20"/>
                <w:szCs w:val="20"/>
                <w:color w:val="auto"/>
              </w:rPr>
            </w:pPr>
            <w:r>
              <w:rPr>
                <w:rFonts w:ascii="Arial" w:cs="Arial" w:eastAsia="Arial" w:hAnsi="Arial"/>
                <w:sz w:val="16"/>
                <w:szCs w:val="16"/>
                <w:color w:val="auto"/>
              </w:rPr>
              <w:t>Articulated Dump Truck</w:t>
            </w:r>
          </w:p>
        </w:tc>
        <w:tc>
          <w:tcPr>
            <w:tcW w:w="4260" w:type="dxa"/>
            <w:vAlign w:val="bottom"/>
          </w:tcPr>
          <w:p>
            <w:pPr>
              <w:ind w:left="1020"/>
              <w:spacing w:after="0" w:line="167" w:lineRule="exact"/>
              <w:rPr>
                <w:sz w:val="20"/>
                <w:szCs w:val="20"/>
                <w:color w:val="auto"/>
              </w:rPr>
            </w:pPr>
            <w:r>
              <w:rPr>
                <w:rFonts w:ascii="Arial" w:cs="Arial" w:eastAsia="Arial" w:hAnsi="Arial"/>
                <w:sz w:val="16"/>
                <w:szCs w:val="16"/>
                <w:color w:val="auto"/>
              </w:rPr>
              <w:t>Metro Tractors</w:t>
            </w:r>
          </w:p>
        </w:tc>
      </w:tr>
      <w:tr>
        <w:trPr>
          <w:trHeight w:val="176"/>
        </w:trPr>
        <w:tc>
          <w:tcPr>
            <w:tcW w:w="4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tcPr>
          <w:p>
            <w:pPr>
              <w:spacing w:after="0" w:line="176" w:lineRule="exact"/>
              <w:rPr>
                <w:sz w:val="20"/>
                <w:szCs w:val="20"/>
                <w:color w:val="auto"/>
              </w:rPr>
            </w:pPr>
            <w:r>
              <w:rPr>
                <w:rFonts w:ascii="Arial" w:cs="Arial" w:eastAsia="Arial" w:hAnsi="Arial"/>
                <w:sz w:val="16"/>
                <w:szCs w:val="16"/>
                <w:color w:val="auto"/>
              </w:rPr>
              <w:t>Coach and Transit Bus</w:t>
            </w:r>
          </w:p>
        </w:tc>
        <w:tc>
          <w:tcPr>
            <w:tcW w:w="4260" w:type="dxa"/>
            <w:vAlign w:val="bottom"/>
          </w:tcPr>
          <w:p>
            <w:pPr>
              <w:ind w:left="1020"/>
              <w:spacing w:after="0" w:line="176" w:lineRule="exact"/>
              <w:rPr>
                <w:sz w:val="20"/>
                <w:szCs w:val="20"/>
                <w:color w:val="auto"/>
              </w:rPr>
            </w:pPr>
            <w:r>
              <w:rPr>
                <w:rFonts w:ascii="Arial" w:cs="Arial" w:eastAsia="Arial" w:hAnsi="Arial"/>
                <w:sz w:val="16"/>
                <w:szCs w:val="16"/>
                <w:color w:val="auto"/>
              </w:rPr>
              <w:t>Motorhome</w:t>
            </w:r>
          </w:p>
        </w:tc>
      </w:tr>
      <w:tr>
        <w:trPr>
          <w:trHeight w:val="176"/>
        </w:trPr>
        <w:tc>
          <w:tcPr>
            <w:tcW w:w="4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tcPr>
          <w:p>
            <w:pPr>
              <w:spacing w:after="0" w:line="176" w:lineRule="exact"/>
              <w:rPr>
                <w:sz w:val="20"/>
                <w:szCs w:val="20"/>
                <w:color w:val="auto"/>
              </w:rPr>
            </w:pPr>
            <w:r>
              <w:rPr>
                <w:rFonts w:ascii="Arial" w:cs="Arial" w:eastAsia="Arial" w:hAnsi="Arial"/>
                <w:sz w:val="16"/>
                <w:szCs w:val="16"/>
                <w:color w:val="auto"/>
              </w:rPr>
              <w:t>Construction</w:t>
            </w:r>
          </w:p>
        </w:tc>
        <w:tc>
          <w:tcPr>
            <w:tcW w:w="4260" w:type="dxa"/>
            <w:vAlign w:val="bottom"/>
          </w:tcPr>
          <w:p>
            <w:pPr>
              <w:ind w:left="1020"/>
              <w:spacing w:after="0" w:line="176" w:lineRule="exact"/>
              <w:rPr>
                <w:sz w:val="20"/>
                <w:szCs w:val="20"/>
                <w:color w:val="auto"/>
              </w:rPr>
            </w:pPr>
            <w:r>
              <w:rPr>
                <w:rFonts w:ascii="Arial" w:cs="Arial" w:eastAsia="Arial" w:hAnsi="Arial"/>
                <w:sz w:val="16"/>
                <w:szCs w:val="16"/>
                <w:color w:val="auto"/>
              </w:rPr>
              <w:t>Refuse</w:t>
            </w:r>
          </w:p>
        </w:tc>
      </w:tr>
      <w:tr>
        <w:trPr>
          <w:trHeight w:val="176"/>
        </w:trPr>
        <w:tc>
          <w:tcPr>
            <w:tcW w:w="4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tcPr>
          <w:p>
            <w:pPr>
              <w:spacing w:after="0" w:line="176" w:lineRule="exact"/>
              <w:rPr>
                <w:sz w:val="20"/>
                <w:szCs w:val="20"/>
                <w:color w:val="auto"/>
              </w:rPr>
            </w:pPr>
            <w:r>
              <w:rPr>
                <w:rFonts w:ascii="Arial" w:cs="Arial" w:eastAsia="Arial" w:hAnsi="Arial"/>
                <w:sz w:val="16"/>
                <w:szCs w:val="16"/>
                <w:color w:val="auto"/>
              </w:rPr>
              <w:t>Distribution</w:t>
            </w:r>
          </w:p>
        </w:tc>
        <w:tc>
          <w:tcPr>
            <w:tcW w:w="4260" w:type="dxa"/>
            <w:vAlign w:val="bottom"/>
          </w:tcPr>
          <w:p>
            <w:pPr>
              <w:ind w:left="1020"/>
              <w:spacing w:after="0" w:line="176" w:lineRule="exact"/>
              <w:rPr>
                <w:sz w:val="20"/>
                <w:szCs w:val="20"/>
                <w:color w:val="auto"/>
              </w:rPr>
            </w:pPr>
            <w:r>
              <w:rPr>
                <w:rFonts w:ascii="Arial" w:cs="Arial" w:eastAsia="Arial" w:hAnsi="Arial"/>
                <w:sz w:val="16"/>
                <w:szCs w:val="16"/>
                <w:color w:val="auto"/>
              </w:rPr>
              <w:t>Specialty</w:t>
            </w:r>
          </w:p>
        </w:tc>
      </w:tr>
      <w:tr>
        <w:trPr>
          <w:trHeight w:val="197"/>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Fire and Emergency</w:t>
            </w:r>
          </w:p>
        </w:tc>
        <w:tc>
          <w:tcPr>
            <w:tcW w:w="4260" w:type="dxa"/>
            <w:vAlign w:val="bottom"/>
          </w:tcPr>
          <w:p>
            <w:pPr>
              <w:ind w:left="1020"/>
              <w:spacing w:after="0"/>
              <w:rPr>
                <w:sz w:val="20"/>
                <w:szCs w:val="20"/>
                <w:color w:val="auto"/>
              </w:rPr>
            </w:pPr>
            <w:r>
              <w:rPr>
                <w:rFonts w:ascii="Arial" w:cs="Arial" w:eastAsia="Arial" w:hAnsi="Arial"/>
                <w:sz w:val="16"/>
                <w:szCs w:val="16"/>
                <w:color w:val="auto"/>
              </w:rPr>
              <w:t>Wheeled Defense</w:t>
            </w:r>
          </w:p>
        </w:tc>
      </w:tr>
      <w:tr>
        <w:trPr>
          <w:trHeight w:val="188"/>
        </w:trPr>
        <w:tc>
          <w:tcPr>
            <w:tcW w:w="4260" w:type="dxa"/>
            <w:vAlign w:val="bottom"/>
            <w:gridSpan w:val="2"/>
            <w:shd w:val="clear" w:color="auto" w:fill="CFF0FC"/>
          </w:tcPr>
          <w:p>
            <w:pPr>
              <w:jc w:val="center"/>
              <w:ind w:right="260"/>
              <w:spacing w:after="0"/>
              <w:rPr>
                <w:sz w:val="20"/>
                <w:szCs w:val="20"/>
                <w:color w:val="auto"/>
              </w:rPr>
            </w:pPr>
            <w:r>
              <w:rPr>
                <w:rFonts w:ascii="Arial" w:cs="Arial" w:eastAsia="Arial" w:hAnsi="Arial"/>
                <w:sz w:val="16"/>
                <w:szCs w:val="16"/>
                <w:color w:val="auto"/>
                <w:w w:val="97"/>
              </w:rPr>
              <w:t>Electric Hybrid Propulsion Solution</w:t>
            </w:r>
          </w:p>
        </w:tc>
        <w:tc>
          <w:tcPr>
            <w:tcW w:w="2200" w:type="dxa"/>
            <w:vAlign w:val="bottom"/>
            <w:shd w:val="clear" w:color="auto" w:fill="CFF0FC"/>
          </w:tcPr>
          <w:p>
            <w:pPr>
              <w:spacing w:after="0"/>
              <w:rPr>
                <w:sz w:val="20"/>
                <w:szCs w:val="20"/>
                <w:color w:val="auto"/>
              </w:rPr>
            </w:pPr>
            <w:r>
              <w:rPr>
                <w:rFonts w:ascii="Arial" w:cs="Arial" w:eastAsia="Arial" w:hAnsi="Arial"/>
                <w:sz w:val="16"/>
                <w:szCs w:val="16"/>
                <w:color w:val="auto"/>
              </w:rPr>
              <w:t>Transit and Shuttle Bus</w:t>
            </w:r>
          </w:p>
        </w:tc>
        <w:tc>
          <w:tcPr>
            <w:tcW w:w="4260" w:type="dxa"/>
            <w:vAlign w:val="bottom"/>
            <w:shd w:val="clear" w:color="auto" w:fill="CFF0FC"/>
          </w:tcPr>
          <w:p>
            <w:pPr>
              <w:spacing w:after="0"/>
              <w:rPr>
                <w:sz w:val="16"/>
                <w:szCs w:val="16"/>
                <w:color w:val="auto"/>
              </w:rPr>
            </w:pPr>
          </w:p>
        </w:tc>
      </w:tr>
      <w:tr>
        <w:trPr>
          <w:trHeight w:val="167"/>
        </w:trPr>
        <w:tc>
          <w:tcPr>
            <w:tcW w:w="4260" w:type="dxa"/>
            <w:vAlign w:val="bottom"/>
            <w:gridSpan w:val="2"/>
          </w:tcPr>
          <w:p>
            <w:pPr>
              <w:jc w:val="center"/>
              <w:ind w:right="260"/>
              <w:spacing w:after="0" w:line="167" w:lineRule="exact"/>
              <w:rPr>
                <w:sz w:val="20"/>
                <w:szCs w:val="20"/>
                <w:color w:val="auto"/>
              </w:rPr>
            </w:pPr>
            <w:r>
              <w:rPr>
                <w:rFonts w:ascii="Arial" w:cs="Arial" w:eastAsia="Arial" w:hAnsi="Arial"/>
                <w:sz w:val="16"/>
                <w:szCs w:val="16"/>
                <w:color w:val="auto"/>
                <w:w w:val="97"/>
              </w:rPr>
              <w:t>Fully Electric Propulsion Solutions</w:t>
            </w:r>
          </w:p>
        </w:tc>
        <w:tc>
          <w:tcPr>
            <w:tcW w:w="2200" w:type="dxa"/>
            <w:vAlign w:val="bottom"/>
          </w:tcPr>
          <w:p>
            <w:pPr>
              <w:spacing w:after="0" w:line="167" w:lineRule="exact"/>
              <w:rPr>
                <w:sz w:val="20"/>
                <w:szCs w:val="20"/>
                <w:color w:val="auto"/>
              </w:rPr>
            </w:pPr>
            <w:r>
              <w:rPr>
                <w:rFonts w:ascii="Arial" w:cs="Arial" w:eastAsia="Arial" w:hAnsi="Arial"/>
                <w:sz w:val="16"/>
                <w:szCs w:val="16"/>
                <w:color w:val="auto"/>
              </w:rPr>
              <w:t>Transit and Shuttle Bus</w:t>
            </w:r>
          </w:p>
        </w:tc>
        <w:tc>
          <w:tcPr>
            <w:tcW w:w="4260" w:type="dxa"/>
            <w:vAlign w:val="bottom"/>
          </w:tcPr>
          <w:p>
            <w:pPr>
              <w:spacing w:after="0"/>
              <w:rPr>
                <w:sz w:val="14"/>
                <w:szCs w:val="14"/>
                <w:color w:val="auto"/>
              </w:rPr>
            </w:pPr>
          </w:p>
        </w:tc>
      </w:tr>
      <w:tr>
        <w:trPr>
          <w:trHeight w:val="212"/>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Trucks</w:t>
            </w:r>
          </w:p>
        </w:tc>
        <w:tc>
          <w:tcPr>
            <w:tcW w:w="4260" w:type="dxa"/>
            <w:vAlign w:val="bottom"/>
          </w:tcPr>
          <w:p>
            <w:pPr>
              <w:spacing w:after="0"/>
              <w:rPr>
                <w:sz w:val="18"/>
                <w:szCs w:val="18"/>
                <w:color w:val="auto"/>
              </w:rPr>
            </w:pPr>
          </w:p>
        </w:tc>
      </w:tr>
    </w:tbl>
    <w:p>
      <w:pPr>
        <w:spacing w:after="0" w:line="322" w:lineRule="exact"/>
        <w:rPr>
          <w:sz w:val="20"/>
          <w:szCs w:val="20"/>
          <w:color w:val="auto"/>
        </w:rPr>
      </w:pPr>
    </w:p>
    <w:p>
      <w:pPr>
        <w:ind w:left="260"/>
        <w:spacing w:after="0"/>
        <w:rPr>
          <w:sz w:val="20"/>
          <w:szCs w:val="20"/>
          <w:color w:val="auto"/>
        </w:rPr>
      </w:pPr>
      <w:r>
        <w:rPr>
          <w:rFonts w:ascii="Arial" w:cs="Arial" w:eastAsia="Arial" w:hAnsi="Arial"/>
          <w:sz w:val="19"/>
          <w:szCs w:val="19"/>
          <w:b w:val="1"/>
          <w:bCs w:val="1"/>
          <w:i w:val="1"/>
          <w:iCs w:val="1"/>
          <w:color w:val="auto"/>
        </w:rPr>
        <w:t>Off-Highway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0100" cy="1431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100" cy="1431290"/>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4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Product</w:t>
            </w:r>
          </w:p>
        </w:tc>
        <w:tc>
          <w:tcPr>
            <w:tcW w:w="6460" w:type="dxa"/>
            <w:vAlign w:val="bottom"/>
          </w:tcPr>
          <w:p>
            <w:pPr>
              <w:ind w:left="2760"/>
              <w:spacing w:after="0"/>
              <w:rPr>
                <w:sz w:val="20"/>
                <w:szCs w:val="20"/>
                <w:color w:val="auto"/>
              </w:rPr>
            </w:pPr>
            <w:r>
              <w:rPr>
                <w:rFonts w:ascii="Arial" w:cs="Arial" w:eastAsia="Arial" w:hAnsi="Arial"/>
                <w:sz w:val="16"/>
                <w:szCs w:val="16"/>
                <w:b w:val="1"/>
                <w:bCs w:val="1"/>
                <w:color w:val="auto"/>
              </w:rPr>
              <w:t>Applications</w:t>
            </w:r>
          </w:p>
        </w:tc>
        <w:tc>
          <w:tcPr>
            <w:tcW w:w="280" w:type="dxa"/>
            <w:vAlign w:val="bottom"/>
          </w:tcPr>
          <w:p>
            <w:pPr>
              <w:spacing w:after="0"/>
              <w:rPr>
                <w:sz w:val="16"/>
                <w:szCs w:val="16"/>
                <w:color w:val="auto"/>
              </w:rPr>
            </w:pPr>
          </w:p>
        </w:tc>
      </w:tr>
      <w:tr>
        <w:trPr>
          <w:trHeight w:val="159"/>
        </w:trPr>
        <w:tc>
          <w:tcPr>
            <w:tcW w:w="260" w:type="dxa"/>
            <w:vAlign w:val="bottom"/>
          </w:tcPr>
          <w:p>
            <w:pPr>
              <w:spacing w:after="0"/>
              <w:rPr>
                <w:sz w:val="13"/>
                <w:szCs w:val="13"/>
                <w:color w:val="auto"/>
              </w:rPr>
            </w:pPr>
          </w:p>
        </w:tc>
        <w:tc>
          <w:tcPr>
            <w:tcW w:w="4000" w:type="dxa"/>
            <w:vAlign w:val="bottom"/>
            <w:tcBorders>
              <w:top w:val="single" w:sz="8" w:color="auto"/>
            </w:tcBorders>
            <w:shd w:val="clear" w:color="auto" w:fill="CFF0FC"/>
          </w:tcPr>
          <w:p>
            <w:pPr>
              <w:jc w:val="center"/>
              <w:spacing w:after="0" w:line="159" w:lineRule="exact"/>
              <w:rPr>
                <w:sz w:val="20"/>
                <w:szCs w:val="20"/>
                <w:color w:val="auto"/>
              </w:rPr>
            </w:pPr>
            <w:r>
              <w:rPr>
                <w:rFonts w:ascii="Arial" w:cs="Arial" w:eastAsia="Arial" w:hAnsi="Arial"/>
                <w:sz w:val="16"/>
                <w:szCs w:val="16"/>
                <w:color w:val="auto"/>
                <w:w w:val="98"/>
              </w:rPr>
              <w:t>5000 Series</w:t>
            </w:r>
          </w:p>
        </w:tc>
        <w:tc>
          <w:tcPr>
            <w:tcW w:w="260" w:type="dxa"/>
            <w:vAlign w:val="bottom"/>
            <w:tcBorders>
              <w:top w:val="single" w:sz="8" w:color="CFF0FC"/>
            </w:tcBorders>
            <w:shd w:val="clear" w:color="auto" w:fill="CFF0FC"/>
          </w:tcPr>
          <w:p>
            <w:pPr>
              <w:spacing w:after="0"/>
              <w:rPr>
                <w:sz w:val="13"/>
                <w:szCs w:val="13"/>
                <w:color w:val="auto"/>
              </w:rPr>
            </w:pPr>
          </w:p>
        </w:tc>
        <w:tc>
          <w:tcPr>
            <w:tcW w:w="6460" w:type="dxa"/>
            <w:vAlign w:val="bottom"/>
            <w:tcBorders>
              <w:top w:val="single" w:sz="8" w:color="auto"/>
            </w:tcBorders>
            <w:shd w:val="clear" w:color="auto" w:fill="CFF0FC"/>
          </w:tcPr>
          <w:p>
            <w:pPr>
              <w:spacing w:after="0" w:line="159" w:lineRule="exact"/>
              <w:rPr>
                <w:sz w:val="20"/>
                <w:szCs w:val="20"/>
                <w:color w:val="auto"/>
              </w:rPr>
            </w:pPr>
            <w:r>
              <w:rPr>
                <w:rFonts w:ascii="Arial" w:cs="Arial" w:eastAsia="Arial" w:hAnsi="Arial"/>
                <w:sz w:val="16"/>
                <w:szCs w:val="16"/>
                <w:color w:val="auto"/>
              </w:rPr>
              <w:t>Rigid and Articulated Dump Truck</w:t>
            </w:r>
          </w:p>
        </w:tc>
        <w:tc>
          <w:tcPr>
            <w:tcW w:w="280" w:type="dxa"/>
            <w:vAlign w:val="bottom"/>
          </w:tcPr>
          <w:p>
            <w:pPr>
              <w:spacing w:after="0"/>
              <w:rPr>
                <w:sz w:val="13"/>
                <w:szCs w:val="13"/>
                <w:color w:val="auto"/>
              </w:rPr>
            </w:pPr>
          </w:p>
        </w:tc>
      </w:tr>
      <w:tr>
        <w:trPr>
          <w:trHeight w:val="176"/>
        </w:trPr>
        <w:tc>
          <w:tcPr>
            <w:tcW w:w="260" w:type="dxa"/>
            <w:vAlign w:val="bottom"/>
          </w:tcPr>
          <w:p>
            <w:pPr>
              <w:spacing w:after="0"/>
              <w:rPr>
                <w:sz w:val="15"/>
                <w:szCs w:val="15"/>
                <w:color w:val="auto"/>
              </w:rPr>
            </w:pPr>
          </w:p>
        </w:tc>
        <w:tc>
          <w:tcPr>
            <w:tcW w:w="4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460" w:type="dxa"/>
            <w:vAlign w:val="bottom"/>
            <w:shd w:val="clear" w:color="auto" w:fill="CFF0FC"/>
          </w:tcPr>
          <w:p>
            <w:pPr>
              <w:spacing w:after="0" w:line="176" w:lineRule="exact"/>
              <w:rPr>
                <w:sz w:val="20"/>
                <w:szCs w:val="20"/>
                <w:color w:val="auto"/>
              </w:rPr>
            </w:pPr>
            <w:r>
              <w:rPr>
                <w:rFonts w:ascii="Arial" w:cs="Arial" w:eastAsia="Arial" w:hAnsi="Arial"/>
                <w:sz w:val="16"/>
                <w:szCs w:val="16"/>
                <w:color w:val="auto"/>
              </w:rPr>
              <w:t>Underground Mine Truck</w:t>
            </w:r>
          </w:p>
        </w:tc>
        <w:tc>
          <w:tcPr>
            <w:tcW w:w="280" w:type="dxa"/>
            <w:vAlign w:val="bottom"/>
          </w:tcPr>
          <w:p>
            <w:pPr>
              <w:spacing w:after="0"/>
              <w:rPr>
                <w:sz w:val="15"/>
                <w:szCs w:val="15"/>
                <w:color w:val="auto"/>
              </w:rPr>
            </w:pPr>
          </w:p>
        </w:tc>
      </w:tr>
      <w:tr>
        <w:trPr>
          <w:trHeight w:val="197"/>
        </w:trPr>
        <w:tc>
          <w:tcPr>
            <w:tcW w:w="260" w:type="dxa"/>
            <w:vAlign w:val="bottom"/>
          </w:tcPr>
          <w:p>
            <w:pPr>
              <w:spacing w:after="0"/>
              <w:rPr>
                <w:sz w:val="17"/>
                <w:szCs w:val="17"/>
                <w:color w:val="auto"/>
              </w:rPr>
            </w:pPr>
          </w:p>
        </w:tc>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Well Service Rigs</w:t>
            </w:r>
          </w:p>
        </w:tc>
        <w:tc>
          <w:tcPr>
            <w:tcW w:w="280" w:type="dxa"/>
            <w:vAlign w:val="bottom"/>
          </w:tcPr>
          <w:p>
            <w:pPr>
              <w:spacing w:after="0"/>
              <w:rPr>
                <w:sz w:val="17"/>
                <w:szCs w:val="17"/>
                <w:color w:val="auto"/>
              </w:rPr>
            </w:pPr>
          </w:p>
        </w:tc>
      </w:tr>
      <w:tr>
        <w:trPr>
          <w:trHeight w:val="167"/>
        </w:trPr>
        <w:tc>
          <w:tcPr>
            <w:tcW w:w="260" w:type="dxa"/>
            <w:vAlign w:val="bottom"/>
          </w:tcPr>
          <w:p>
            <w:pPr>
              <w:spacing w:after="0"/>
              <w:rPr>
                <w:sz w:val="14"/>
                <w:szCs w:val="14"/>
                <w:color w:val="auto"/>
              </w:rPr>
            </w:pPr>
          </w:p>
        </w:tc>
        <w:tc>
          <w:tcPr>
            <w:tcW w:w="4260" w:type="dxa"/>
            <w:vAlign w:val="bottom"/>
            <w:gridSpan w:val="2"/>
          </w:tcPr>
          <w:p>
            <w:pPr>
              <w:jc w:val="center"/>
              <w:ind w:right="260"/>
              <w:spacing w:after="0" w:line="167" w:lineRule="exact"/>
              <w:rPr>
                <w:sz w:val="20"/>
                <w:szCs w:val="20"/>
                <w:color w:val="auto"/>
              </w:rPr>
            </w:pPr>
            <w:r>
              <w:rPr>
                <w:rFonts w:ascii="Arial" w:cs="Arial" w:eastAsia="Arial" w:hAnsi="Arial"/>
                <w:sz w:val="16"/>
                <w:szCs w:val="16"/>
                <w:color w:val="auto"/>
                <w:w w:val="98"/>
              </w:rPr>
              <w:t>6000 Series</w:t>
            </w:r>
          </w:p>
        </w:tc>
        <w:tc>
          <w:tcPr>
            <w:tcW w:w="6460" w:type="dxa"/>
            <w:vAlign w:val="bottom"/>
          </w:tcPr>
          <w:p>
            <w:pPr>
              <w:spacing w:after="0" w:line="167" w:lineRule="exact"/>
              <w:rPr>
                <w:sz w:val="20"/>
                <w:szCs w:val="20"/>
                <w:color w:val="auto"/>
              </w:rPr>
            </w:pPr>
            <w:r>
              <w:rPr>
                <w:rFonts w:ascii="Arial" w:cs="Arial" w:eastAsia="Arial" w:hAnsi="Arial"/>
                <w:sz w:val="16"/>
                <w:szCs w:val="16"/>
                <w:color w:val="auto"/>
              </w:rPr>
              <w:t>Rigid and Articulated Dump Truck</w:t>
            </w:r>
          </w:p>
        </w:tc>
        <w:tc>
          <w:tcPr>
            <w:tcW w:w="280" w:type="dxa"/>
            <w:vAlign w:val="bottom"/>
          </w:tcPr>
          <w:p>
            <w:pPr>
              <w:spacing w:after="0"/>
              <w:rPr>
                <w:sz w:val="14"/>
                <w:szCs w:val="14"/>
                <w:color w:val="auto"/>
              </w:rPr>
            </w:pPr>
          </w:p>
        </w:tc>
      </w:tr>
      <w:tr>
        <w:trPr>
          <w:trHeight w:val="176"/>
        </w:trPr>
        <w:tc>
          <w:tcPr>
            <w:tcW w:w="2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6"/>
                <w:szCs w:val="16"/>
                <w:color w:val="auto"/>
              </w:rPr>
              <w:t>Underground Mine Truck</w:t>
            </w:r>
          </w:p>
        </w:tc>
        <w:tc>
          <w:tcPr>
            <w:tcW w:w="280" w:type="dxa"/>
            <w:vAlign w:val="bottom"/>
          </w:tcPr>
          <w:p>
            <w:pPr>
              <w:spacing w:after="0"/>
              <w:rPr>
                <w:sz w:val="15"/>
                <w:szCs w:val="15"/>
                <w:color w:val="auto"/>
              </w:rPr>
            </w:pPr>
          </w:p>
        </w:tc>
      </w:tr>
      <w:tr>
        <w:trPr>
          <w:trHeight w:val="197"/>
        </w:trPr>
        <w:tc>
          <w:tcPr>
            <w:tcW w:w="2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60" w:type="dxa"/>
            <w:vAlign w:val="bottom"/>
          </w:tcPr>
          <w:p>
            <w:pPr>
              <w:spacing w:after="0"/>
              <w:rPr>
                <w:sz w:val="20"/>
                <w:szCs w:val="20"/>
                <w:color w:val="auto"/>
              </w:rPr>
            </w:pPr>
            <w:r>
              <w:rPr>
                <w:rFonts w:ascii="Arial" w:cs="Arial" w:eastAsia="Arial" w:hAnsi="Arial"/>
                <w:sz w:val="16"/>
                <w:szCs w:val="16"/>
                <w:color w:val="auto"/>
              </w:rPr>
              <w:t>Well Service Rigs</w:t>
            </w:r>
          </w:p>
        </w:tc>
        <w:tc>
          <w:tcPr>
            <w:tcW w:w="280" w:type="dxa"/>
            <w:vAlign w:val="bottom"/>
          </w:tcPr>
          <w:p>
            <w:pPr>
              <w:spacing w:after="0"/>
              <w:rPr>
                <w:sz w:val="17"/>
                <w:szCs w:val="17"/>
                <w:color w:val="auto"/>
              </w:rPr>
            </w:pPr>
          </w:p>
        </w:tc>
      </w:tr>
      <w:tr>
        <w:trPr>
          <w:trHeight w:val="167"/>
        </w:trPr>
        <w:tc>
          <w:tcPr>
            <w:tcW w:w="260" w:type="dxa"/>
            <w:vAlign w:val="bottom"/>
          </w:tcPr>
          <w:p>
            <w:pPr>
              <w:spacing w:after="0"/>
              <w:rPr>
                <w:sz w:val="14"/>
                <w:szCs w:val="14"/>
                <w:color w:val="auto"/>
              </w:rPr>
            </w:pPr>
          </w:p>
        </w:tc>
        <w:tc>
          <w:tcPr>
            <w:tcW w:w="4260" w:type="dxa"/>
            <w:vAlign w:val="bottom"/>
            <w:gridSpan w:val="2"/>
            <w:shd w:val="clear" w:color="auto" w:fill="CFF0FC"/>
          </w:tcPr>
          <w:p>
            <w:pPr>
              <w:jc w:val="center"/>
              <w:ind w:right="260"/>
              <w:spacing w:after="0" w:line="167" w:lineRule="exact"/>
              <w:rPr>
                <w:sz w:val="20"/>
                <w:szCs w:val="20"/>
                <w:color w:val="auto"/>
              </w:rPr>
            </w:pPr>
            <w:r>
              <w:rPr>
                <w:rFonts w:ascii="Arial" w:cs="Arial" w:eastAsia="Arial" w:hAnsi="Arial"/>
                <w:sz w:val="16"/>
                <w:szCs w:val="16"/>
                <w:color w:val="auto"/>
                <w:w w:val="98"/>
              </w:rPr>
              <w:t>8000 Series</w:t>
            </w:r>
          </w:p>
        </w:tc>
        <w:tc>
          <w:tcPr>
            <w:tcW w:w="6460" w:type="dxa"/>
            <w:vAlign w:val="bottom"/>
            <w:shd w:val="clear" w:color="auto" w:fill="CFF0FC"/>
          </w:tcPr>
          <w:p>
            <w:pPr>
              <w:spacing w:after="0" w:line="167" w:lineRule="exact"/>
              <w:rPr>
                <w:sz w:val="20"/>
                <w:szCs w:val="20"/>
                <w:color w:val="auto"/>
              </w:rPr>
            </w:pPr>
            <w:r>
              <w:rPr>
                <w:rFonts w:ascii="Arial" w:cs="Arial" w:eastAsia="Arial" w:hAnsi="Arial"/>
                <w:sz w:val="16"/>
                <w:szCs w:val="16"/>
                <w:color w:val="auto"/>
              </w:rPr>
              <w:t>Hydraulic Fracturing Equipment</w:t>
            </w:r>
          </w:p>
        </w:tc>
        <w:tc>
          <w:tcPr>
            <w:tcW w:w="280" w:type="dxa"/>
            <w:vAlign w:val="bottom"/>
          </w:tcPr>
          <w:p>
            <w:pPr>
              <w:spacing w:after="0"/>
              <w:rPr>
                <w:sz w:val="14"/>
                <w:szCs w:val="14"/>
                <w:color w:val="auto"/>
              </w:rPr>
            </w:pPr>
          </w:p>
        </w:tc>
      </w:tr>
      <w:tr>
        <w:trPr>
          <w:trHeight w:val="197"/>
        </w:trPr>
        <w:tc>
          <w:tcPr>
            <w:tcW w:w="260" w:type="dxa"/>
            <w:vAlign w:val="bottom"/>
          </w:tcPr>
          <w:p>
            <w:pPr>
              <w:spacing w:after="0"/>
              <w:rPr>
                <w:sz w:val="17"/>
                <w:szCs w:val="17"/>
                <w:color w:val="auto"/>
              </w:rPr>
            </w:pPr>
          </w:p>
        </w:tc>
        <w:tc>
          <w:tcPr>
            <w:tcW w:w="4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Rigid Dump Trucks</w:t>
            </w:r>
          </w:p>
        </w:tc>
        <w:tc>
          <w:tcPr>
            <w:tcW w:w="280" w:type="dxa"/>
            <w:vAlign w:val="bottom"/>
          </w:tcPr>
          <w:p>
            <w:pPr>
              <w:spacing w:after="0"/>
              <w:rPr>
                <w:sz w:val="17"/>
                <w:szCs w:val="17"/>
                <w:color w:val="auto"/>
              </w:rPr>
            </w:pPr>
          </w:p>
        </w:tc>
      </w:tr>
      <w:tr>
        <w:trPr>
          <w:trHeight w:val="167"/>
        </w:trPr>
        <w:tc>
          <w:tcPr>
            <w:tcW w:w="260" w:type="dxa"/>
            <w:vAlign w:val="bottom"/>
          </w:tcPr>
          <w:p>
            <w:pPr>
              <w:spacing w:after="0"/>
              <w:rPr>
                <w:sz w:val="14"/>
                <w:szCs w:val="14"/>
                <w:color w:val="auto"/>
              </w:rPr>
            </w:pPr>
          </w:p>
        </w:tc>
        <w:tc>
          <w:tcPr>
            <w:tcW w:w="4260" w:type="dxa"/>
            <w:vAlign w:val="bottom"/>
            <w:gridSpan w:val="2"/>
          </w:tcPr>
          <w:p>
            <w:pPr>
              <w:jc w:val="center"/>
              <w:ind w:right="260"/>
              <w:spacing w:after="0" w:line="167" w:lineRule="exact"/>
              <w:rPr>
                <w:sz w:val="20"/>
                <w:szCs w:val="20"/>
                <w:color w:val="auto"/>
              </w:rPr>
            </w:pPr>
            <w:r>
              <w:rPr>
                <w:rFonts w:ascii="Arial" w:cs="Arial" w:eastAsia="Arial" w:hAnsi="Arial"/>
                <w:sz w:val="16"/>
                <w:szCs w:val="16"/>
                <w:color w:val="auto"/>
                <w:w w:val="98"/>
              </w:rPr>
              <w:t>9000 Series</w:t>
            </w:r>
          </w:p>
        </w:tc>
        <w:tc>
          <w:tcPr>
            <w:tcW w:w="6460" w:type="dxa"/>
            <w:vAlign w:val="bottom"/>
          </w:tcPr>
          <w:p>
            <w:pPr>
              <w:spacing w:after="0" w:line="167" w:lineRule="exact"/>
              <w:rPr>
                <w:sz w:val="20"/>
                <w:szCs w:val="20"/>
                <w:color w:val="auto"/>
              </w:rPr>
            </w:pPr>
            <w:r>
              <w:rPr>
                <w:rFonts w:ascii="Arial" w:cs="Arial" w:eastAsia="Arial" w:hAnsi="Arial"/>
                <w:sz w:val="16"/>
                <w:szCs w:val="16"/>
                <w:color w:val="auto"/>
              </w:rPr>
              <w:t>Hydraulic Fracturing Equipment</w:t>
            </w:r>
          </w:p>
        </w:tc>
        <w:tc>
          <w:tcPr>
            <w:tcW w:w="280" w:type="dxa"/>
            <w:vAlign w:val="bottom"/>
          </w:tcPr>
          <w:p>
            <w:pPr>
              <w:spacing w:after="0"/>
              <w:rPr>
                <w:sz w:val="14"/>
                <w:szCs w:val="14"/>
                <w:color w:val="auto"/>
              </w:rPr>
            </w:pPr>
          </w:p>
        </w:tc>
      </w:tr>
      <w:tr>
        <w:trPr>
          <w:trHeight w:val="197"/>
        </w:trPr>
        <w:tc>
          <w:tcPr>
            <w:tcW w:w="26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Rigid Dump Trucks</w:t>
            </w:r>
          </w:p>
        </w:tc>
        <w:tc>
          <w:tcPr>
            <w:tcW w:w="280" w:type="dxa"/>
            <w:vAlign w:val="bottom"/>
            <w:tcBorders>
              <w:bottom w:val="single" w:sz="8" w:color="auto"/>
            </w:tcBorders>
          </w:tcPr>
          <w:p>
            <w:pPr>
              <w:spacing w:after="0"/>
              <w:rPr>
                <w:sz w:val="17"/>
                <w:szCs w:val="17"/>
                <w:color w:val="auto"/>
              </w:rPr>
            </w:pPr>
          </w:p>
        </w:tc>
      </w:tr>
      <w:tr>
        <w:trPr>
          <w:trHeight w:val="371"/>
        </w:trPr>
        <w:tc>
          <w:tcPr>
            <w:tcW w:w="2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60" w:type="dxa"/>
            <w:vAlign w:val="bottom"/>
          </w:tcPr>
          <w:p>
            <w:pPr>
              <w:ind w:left="1020"/>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24"/>
                <w:szCs w:val="24"/>
                <w:color w:val="auto"/>
              </w:rPr>
            </w:pPr>
          </w:p>
        </w:tc>
      </w:tr>
      <w:tr>
        <w:trPr>
          <w:trHeight w:val="83"/>
        </w:trPr>
        <w:tc>
          <w:tcPr>
            <w:tcW w:w="260" w:type="dxa"/>
            <w:vAlign w:val="bottom"/>
            <w:tcBorders>
              <w:bottom w:val="single" w:sz="8" w:color="9A9A9A"/>
            </w:tcBorders>
          </w:tcPr>
          <w:p>
            <w:pPr>
              <w:spacing w:after="0"/>
              <w:rPr>
                <w:sz w:val="7"/>
                <w:szCs w:val="7"/>
                <w:color w:val="auto"/>
              </w:rPr>
            </w:pPr>
          </w:p>
        </w:tc>
        <w:tc>
          <w:tcPr>
            <w:tcW w:w="40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4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60"/>
        <w:spacing w:after="0"/>
        <w:rPr>
          <w:sz w:val="20"/>
          <w:szCs w:val="20"/>
          <w:color w:val="auto"/>
        </w:rPr>
      </w:pPr>
      <w:r>
        <w:rPr>
          <w:rFonts w:ascii="Arial" w:cs="Arial" w:eastAsia="Arial" w:hAnsi="Arial"/>
          <w:sz w:val="19"/>
          <w:szCs w:val="19"/>
          <w:b w:val="1"/>
          <w:bCs w:val="1"/>
          <w:i w:val="1"/>
          <w:iCs w:val="1"/>
          <w:color w:val="auto"/>
        </w:rPr>
        <w:t>Defense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0100" cy="641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100" cy="641350"/>
                    </a:xfrm>
                    <a:prstGeom prst="rect">
                      <a:avLst/>
                    </a:prstGeom>
                    <a:noFill/>
                  </pic:spPr>
                </pic:pic>
              </a:graphicData>
            </a:graphic>
          </wp:anchor>
        </w:drawing>
      </w:r>
    </w:p>
    <w:p>
      <w:pPr>
        <w:spacing w:after="0" w:line="4"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260" w:type="dxa"/>
            <w:vAlign w:val="bottom"/>
            <w:gridSpan w:val="2"/>
          </w:tcPr>
          <w:p>
            <w:pPr>
              <w:ind w:left="1700"/>
              <w:spacing w:after="0"/>
              <w:rPr>
                <w:sz w:val="20"/>
                <w:szCs w:val="20"/>
                <w:color w:val="auto"/>
              </w:rPr>
            </w:pPr>
            <w:r>
              <w:rPr>
                <w:rFonts w:ascii="Arial" w:cs="Arial" w:eastAsia="Arial" w:hAnsi="Arial"/>
                <w:sz w:val="16"/>
                <w:szCs w:val="16"/>
                <w:b w:val="1"/>
                <w:bCs w:val="1"/>
                <w:color w:val="auto"/>
              </w:rPr>
              <w:t>Product</w:t>
            </w:r>
          </w:p>
        </w:tc>
        <w:tc>
          <w:tcPr>
            <w:tcW w:w="6460" w:type="dxa"/>
            <w:vAlign w:val="bottom"/>
          </w:tcPr>
          <w:p>
            <w:pPr>
              <w:ind w:left="2760"/>
              <w:spacing w:after="0"/>
              <w:rPr>
                <w:sz w:val="20"/>
                <w:szCs w:val="20"/>
                <w:color w:val="auto"/>
              </w:rPr>
            </w:pPr>
            <w:r>
              <w:rPr>
                <w:rFonts w:ascii="Arial" w:cs="Arial" w:eastAsia="Arial" w:hAnsi="Arial"/>
                <w:sz w:val="16"/>
                <w:szCs w:val="16"/>
                <w:b w:val="1"/>
                <w:bCs w:val="1"/>
                <w:color w:val="auto"/>
              </w:rPr>
              <w:t>Applications</w:t>
            </w:r>
          </w:p>
        </w:tc>
      </w:tr>
      <w:tr>
        <w:trPr>
          <w:trHeight w:val="180"/>
        </w:trPr>
        <w:tc>
          <w:tcPr>
            <w:tcW w:w="4000" w:type="dxa"/>
            <w:vAlign w:val="bottom"/>
            <w:tcBorders>
              <w:top w:val="single" w:sz="8" w:color="auto"/>
            </w:tcBorders>
            <w:shd w:val="clear" w:color="auto" w:fill="CFF0FC"/>
          </w:tcPr>
          <w:p>
            <w:pPr>
              <w:jc w:val="center"/>
              <w:spacing w:after="0" w:line="180" w:lineRule="exact"/>
              <w:rPr>
                <w:sz w:val="20"/>
                <w:szCs w:val="20"/>
                <w:color w:val="auto"/>
              </w:rPr>
            </w:pPr>
            <w:r>
              <w:rPr>
                <w:rFonts w:ascii="Arial" w:cs="Arial" w:eastAsia="Arial" w:hAnsi="Arial"/>
                <w:sz w:val="16"/>
                <w:szCs w:val="16"/>
                <w:color w:val="auto"/>
                <w:w w:val="96"/>
              </w:rPr>
              <w:t>X200</w:t>
            </w:r>
          </w:p>
        </w:tc>
        <w:tc>
          <w:tcPr>
            <w:tcW w:w="260" w:type="dxa"/>
            <w:vAlign w:val="bottom"/>
            <w:tcBorders>
              <w:top w:val="single" w:sz="8" w:color="CFF0FC"/>
            </w:tcBorders>
            <w:shd w:val="clear" w:color="auto" w:fill="CFF0FC"/>
          </w:tcPr>
          <w:p>
            <w:pPr>
              <w:spacing w:after="0"/>
              <w:rPr>
                <w:sz w:val="15"/>
                <w:szCs w:val="15"/>
                <w:color w:val="auto"/>
              </w:rPr>
            </w:pPr>
          </w:p>
        </w:tc>
        <w:tc>
          <w:tcPr>
            <w:tcW w:w="6460" w:type="dxa"/>
            <w:vAlign w:val="bottom"/>
            <w:tcBorders>
              <w:top w:val="single" w:sz="8" w:color="auto"/>
            </w:tcBorders>
            <w:shd w:val="clear" w:color="auto" w:fill="CFF0FC"/>
          </w:tcPr>
          <w:p>
            <w:pPr>
              <w:spacing w:after="0" w:line="180" w:lineRule="exact"/>
              <w:rPr>
                <w:sz w:val="20"/>
                <w:szCs w:val="20"/>
                <w:color w:val="auto"/>
              </w:rPr>
            </w:pPr>
            <w:r>
              <w:rPr>
                <w:rFonts w:ascii="Arial" w:cs="Arial" w:eastAsia="Arial" w:hAnsi="Arial"/>
                <w:sz w:val="16"/>
                <w:szCs w:val="16"/>
                <w:color w:val="auto"/>
              </w:rPr>
              <w:t>Tracked Vehicles</w:t>
            </w:r>
          </w:p>
        </w:tc>
      </w:tr>
      <w:tr>
        <w:trPr>
          <w:trHeight w:val="188"/>
        </w:trPr>
        <w:tc>
          <w:tcPr>
            <w:tcW w:w="4260" w:type="dxa"/>
            <w:vAlign w:val="bottom"/>
            <w:gridSpan w:val="2"/>
          </w:tcPr>
          <w:p>
            <w:pPr>
              <w:jc w:val="center"/>
              <w:ind w:right="280"/>
              <w:spacing w:after="0"/>
              <w:rPr>
                <w:sz w:val="20"/>
                <w:szCs w:val="20"/>
                <w:color w:val="auto"/>
              </w:rPr>
            </w:pPr>
            <w:r>
              <w:rPr>
                <w:rFonts w:ascii="Arial" w:cs="Arial" w:eastAsia="Arial" w:hAnsi="Arial"/>
                <w:sz w:val="16"/>
                <w:szCs w:val="16"/>
                <w:color w:val="auto"/>
                <w:w w:val="97"/>
              </w:rPr>
              <w:t>3040MX</w:t>
            </w:r>
          </w:p>
        </w:tc>
        <w:tc>
          <w:tcPr>
            <w:tcW w:w="6460" w:type="dxa"/>
            <w:vAlign w:val="bottom"/>
          </w:tcPr>
          <w:p>
            <w:pPr>
              <w:spacing w:after="0"/>
              <w:rPr>
                <w:sz w:val="20"/>
                <w:szCs w:val="20"/>
                <w:color w:val="auto"/>
              </w:rPr>
            </w:pPr>
            <w:r>
              <w:rPr>
                <w:rFonts w:ascii="Arial" w:cs="Arial" w:eastAsia="Arial" w:hAnsi="Arial"/>
                <w:sz w:val="16"/>
                <w:szCs w:val="16"/>
                <w:color w:val="auto"/>
              </w:rPr>
              <w:t>Tracked Vehicles</w:t>
            </w:r>
          </w:p>
        </w:tc>
      </w:tr>
      <w:tr>
        <w:trPr>
          <w:trHeight w:val="188"/>
        </w:trPr>
        <w:tc>
          <w:tcPr>
            <w:tcW w:w="4260" w:type="dxa"/>
            <w:vAlign w:val="bottom"/>
            <w:gridSpan w:val="2"/>
            <w:shd w:val="clear" w:color="auto" w:fill="CFF0FC"/>
          </w:tcPr>
          <w:p>
            <w:pPr>
              <w:jc w:val="center"/>
              <w:ind w:right="260"/>
              <w:spacing w:after="0"/>
              <w:rPr>
                <w:sz w:val="20"/>
                <w:szCs w:val="20"/>
                <w:color w:val="auto"/>
              </w:rPr>
            </w:pPr>
            <w:r>
              <w:rPr>
                <w:rFonts w:ascii="Arial" w:cs="Arial" w:eastAsia="Arial" w:hAnsi="Arial"/>
                <w:sz w:val="16"/>
                <w:szCs w:val="16"/>
                <w:color w:val="auto"/>
                <w:w w:val="95"/>
              </w:rPr>
              <w:t>X1100</w:t>
            </w:r>
          </w:p>
        </w:tc>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Tracked Vehicles</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Development and Engineering</w:t>
      </w:r>
    </w:p>
    <w:p>
      <w:pPr>
        <w:spacing w:after="0" w:line="135" w:lineRule="exact"/>
        <w:rPr>
          <w:sz w:val="20"/>
          <w:szCs w:val="20"/>
          <w:color w:val="auto"/>
        </w:rPr>
      </w:pPr>
    </w:p>
    <w:p>
      <w:pPr>
        <w:ind w:right="180" w:firstLine="522"/>
        <w:spacing w:after="0" w:line="258" w:lineRule="auto"/>
        <w:rPr>
          <w:sz w:val="20"/>
          <w:szCs w:val="20"/>
          <w:color w:val="auto"/>
        </w:rPr>
      </w:pPr>
      <w:r>
        <w:rPr>
          <w:rFonts w:ascii="Arial" w:cs="Arial" w:eastAsia="Arial" w:hAnsi="Arial"/>
          <w:sz w:val="15"/>
          <w:szCs w:val="15"/>
          <w:color w:val="auto"/>
        </w:rPr>
        <w:t>We maintain product development and engineering capability dedicated to the design, development, refinement and support of our fully automatic transmissions and electric hybrid and fully electric propulsion systems. We believe our customers expect our products to provide unparalleled performance and value defined in various ways, including delivering maximum cargo in minimum time, using the least amount of fuel possible while employing the fewest vehicles possible and experiencing maximum vehicle uptime. In response to those needs and the evolving customer focus on fuel efficiency, we provide vehicle specification guidelines, propulsion control software and mechanical components to optimize fuel economy while delivering desired vehicle performance.</w:t>
      </w:r>
    </w:p>
    <w:p>
      <w:pPr>
        <w:spacing w:after="0" w:line="94" w:lineRule="exact"/>
        <w:rPr>
          <w:sz w:val="20"/>
          <w:szCs w:val="20"/>
          <w:color w:val="auto"/>
        </w:rPr>
      </w:pPr>
    </w:p>
    <w:p>
      <w:pPr>
        <w:ind w:firstLine="522"/>
        <w:spacing w:after="0" w:line="234" w:lineRule="auto"/>
        <w:rPr>
          <w:sz w:val="20"/>
          <w:szCs w:val="20"/>
          <w:color w:val="auto"/>
        </w:rPr>
      </w:pPr>
      <w:r>
        <w:rPr>
          <w:rFonts w:ascii="Arial" w:cs="Arial" w:eastAsia="Arial" w:hAnsi="Arial"/>
          <w:sz w:val="16"/>
          <w:szCs w:val="16"/>
          <w:color w:val="auto"/>
        </w:rPr>
        <w:t>Further, we are developing new technology to improve fuel efficiency and fuel economy by allowing engines to operate more efficiently and at lower speeds to avoid consuming fuel without compromising performance. Some examples of these development efforts include the announcements of our first 9-speed transmission and the uprated variant of our existing 3000 Series transmission for the on-highway regional haul end-market. We also pioneered electric hybrid-propulsion in commercial vehicles and beginning in 2019, we announced our fully electric propulsion solutions. Building on our existing engineering capabilities and technology acquired in 2019 we continue to enhance our existing electric hybrid-propulsion system with additional electrification features, including our eGen Flex product which has the ability to operate in electric only mode for up to 10 miles. We also continue to develop and enhance new alternative technologies for use in our global commercial vehicle markets, including fully electric centrally-located drive and electrified-axle solutions such as our eGen Power product. Finally, our product development and engineering efforts also extend into our Off-Highway and Defense end-markets through initiatives to develop more efficient and higher-horsepower hydraulic fracturing and mining transmissions, as well as new cross-drive transmissions for tracked applications. From time to time, we also acquire certain licenses to provide us with technology to complement our portfolio of products and product initiatives.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 Organization</w:t>
      </w:r>
    </w:p>
    <w:p>
      <w:pPr>
        <w:spacing w:after="0" w:line="135" w:lineRule="exact"/>
        <w:rPr>
          <w:sz w:val="20"/>
          <w:szCs w:val="20"/>
          <w:color w:val="auto"/>
        </w:rPr>
      </w:pPr>
    </w:p>
    <w:p>
      <w:pPr>
        <w:ind w:right="40" w:firstLine="522"/>
        <w:spacing w:after="0" w:line="258" w:lineRule="auto"/>
        <w:rPr>
          <w:sz w:val="20"/>
          <w:szCs w:val="20"/>
          <w:color w:val="auto"/>
        </w:rPr>
      </w:pPr>
      <w:r>
        <w:rPr>
          <w:rFonts w:ascii="Arial" w:cs="Arial" w:eastAsia="Arial" w:hAnsi="Arial"/>
          <w:sz w:val="15"/>
          <w:szCs w:val="15"/>
          <w:color w:val="auto"/>
        </w:rPr>
        <w:t>Our sales and marketing effort is organized along geographic and customer lines and is comprised of marketing, sales and service professionals, supported by application engineers worldwide. In North America, selling efforts in the on-highway end market are organized by distributor area responsibility, OEM sales and, for our large end users, national accounts. Outside North America, we manage our sales, marketing, service and application engineering professionals through regional areas of responsibility. These regional management teams distribute OEM service and application engineering resources globally. We manage our defense products sales, marketing, service and application engineering through professionals based in Indianapolis, Indiana and Detroit, Michigan.</w:t>
      </w:r>
    </w:p>
    <w:p>
      <w:pPr>
        <w:spacing w:after="0" w:line="94" w:lineRule="exact"/>
        <w:rPr>
          <w:sz w:val="20"/>
          <w:szCs w:val="20"/>
          <w:color w:val="auto"/>
        </w:rPr>
      </w:pPr>
    </w:p>
    <w:p>
      <w:pPr>
        <w:ind w:right="100" w:firstLine="522"/>
        <w:spacing w:after="0" w:line="272" w:lineRule="auto"/>
        <w:rPr>
          <w:sz w:val="20"/>
          <w:szCs w:val="20"/>
          <w:color w:val="auto"/>
        </w:rPr>
      </w:pPr>
      <w:r>
        <w:rPr>
          <w:rFonts w:ascii="Arial" w:cs="Arial" w:eastAsia="Arial" w:hAnsi="Arial"/>
          <w:sz w:val="15"/>
          <w:szCs w:val="15"/>
          <w:color w:val="auto"/>
        </w:rPr>
        <w:t>We have developed a marketing strategy to reach OEM customers as well as end users. We target our end users primarily through marketing activities by our sales staff, who directly call on end users and attend local trade shows, targeting specific vocations globally and through our plant tour programs, where end users may test our products on our Indianapolis test track and our enhanced customer experience demonstration track at our Hungary facility.</w:t>
      </w:r>
    </w:p>
    <w:p>
      <w:pPr>
        <w:spacing w:after="0" w:line="83" w:lineRule="exact"/>
        <w:rPr>
          <w:sz w:val="20"/>
          <w:szCs w:val="20"/>
          <w:color w:val="auto"/>
        </w:rPr>
      </w:pPr>
    </w:p>
    <w:p>
      <w:pPr>
        <w:ind w:right="60" w:firstLine="522"/>
        <w:spacing w:after="0" w:line="265" w:lineRule="auto"/>
        <w:rPr>
          <w:sz w:val="20"/>
          <w:szCs w:val="20"/>
          <w:color w:val="auto"/>
        </w:rPr>
      </w:pPr>
      <w:r>
        <w:rPr>
          <w:rFonts w:ascii="Arial" w:cs="Arial" w:eastAsia="Arial" w:hAnsi="Arial"/>
          <w:sz w:val="16"/>
          <w:szCs w:val="16"/>
          <w:color w:val="auto"/>
        </w:rPr>
        <w:t>While our marketing management uses the term “customer” interchangeably for OEMs and end users, the primary objective of our marketing strategy is to create demand for fully automatic transmissions and electric propulsion solutions through:</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left="760" w:hanging="179"/>
        <w:spacing w:after="0" w:line="242" w:lineRule="auto"/>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OEM promotion of our products and incorporation of fully automatic transmissions and electric propulsion solutions in their commercial vehicle product offerings;</w:t>
      </w:r>
    </w:p>
    <w:p>
      <w:pPr>
        <w:ind w:left="760" w:hanging="179"/>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Allison representative and/or Allison distributor contact with identified, major end users; and</w:t>
      </w:r>
    </w:p>
    <w:p>
      <w:pPr>
        <w:spacing w:after="0" w:line="6" w:lineRule="exact"/>
        <w:rPr>
          <w:rFonts w:ascii="Times New Roman" w:cs="Times New Roman" w:eastAsia="Times New Roman" w:hAnsi="Times New Roman"/>
          <w:sz w:val="16"/>
          <w:szCs w:val="16"/>
          <w:color w:val="auto"/>
        </w:rPr>
      </w:pPr>
    </w:p>
    <w:p>
      <w:pPr>
        <w:ind w:left="760" w:hanging="179"/>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network of independent dealers who contact other end users.</w:t>
      </w:r>
    </w:p>
    <w:p>
      <w:pPr>
        <w:spacing w:after="0" w:line="132" w:lineRule="exact"/>
        <w:rPr>
          <w:sz w:val="20"/>
          <w:szCs w:val="20"/>
          <w:color w:val="auto"/>
        </w:rPr>
      </w:pPr>
    </w:p>
    <w:p>
      <w:pPr>
        <w:ind w:right="160" w:firstLine="522"/>
        <w:spacing w:after="0" w:line="265" w:lineRule="auto"/>
        <w:rPr>
          <w:sz w:val="20"/>
          <w:szCs w:val="20"/>
          <w:color w:val="auto"/>
        </w:rPr>
      </w:pPr>
      <w:r>
        <w:rPr>
          <w:rFonts w:ascii="Arial" w:cs="Arial" w:eastAsia="Arial" w:hAnsi="Arial"/>
          <w:sz w:val="16"/>
          <w:szCs w:val="16"/>
          <w:color w:val="auto"/>
        </w:rPr>
        <w:t>The process is interactive, as Allison representatives, Allison distributors, OEMs and dealers educate customers and respond to the specific applications, requirements and needs of numerous specialty markets.</w:t>
      </w:r>
    </w:p>
    <w:p>
      <w:pPr>
        <w:spacing w:after="0" w:line="87" w:lineRule="exact"/>
        <w:rPr>
          <w:sz w:val="20"/>
          <w:szCs w:val="20"/>
          <w:color w:val="auto"/>
        </w:rPr>
      </w:pPr>
    </w:p>
    <w:p>
      <w:pPr>
        <w:ind w:right="100" w:firstLine="522"/>
        <w:spacing w:after="0" w:line="241" w:lineRule="auto"/>
        <w:rPr>
          <w:sz w:val="20"/>
          <w:szCs w:val="20"/>
          <w:color w:val="auto"/>
        </w:rPr>
      </w:pPr>
      <w:r>
        <w:rPr>
          <w:rFonts w:ascii="Arial" w:cs="Arial" w:eastAsia="Arial" w:hAnsi="Arial"/>
          <w:sz w:val="16"/>
          <w:szCs w:val="16"/>
          <w:color w:val="auto"/>
        </w:rPr>
        <w:t>Similarly, we work with customers, dealers and OEMs to educate, improve and simplify how they specify vehicles and vehicle systems in order to optimize vehicle performance and fuel consumption. Our field organization also works closely with distributors who, in turn, work with dealers to provide end users with education, parts, service and warranty support. The defense marketing group follows a defined plan that identifies country, vehicle and specific OEMs and then approaches the ultimate end user through a variety of channels.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135" w:lineRule="exact"/>
        <w:rPr>
          <w:sz w:val="20"/>
          <w:szCs w:val="20"/>
          <w:color w:val="auto"/>
        </w:rPr>
      </w:pPr>
    </w:p>
    <w:p>
      <w:pPr>
        <w:ind w:right="40" w:firstLine="522"/>
        <w:spacing w:after="0" w:line="237" w:lineRule="auto"/>
        <w:rPr>
          <w:sz w:val="20"/>
          <w:szCs w:val="20"/>
          <w:color w:val="auto"/>
        </w:rPr>
      </w:pPr>
      <w:r>
        <w:rPr>
          <w:rFonts w:ascii="Arial" w:cs="Arial" w:eastAsia="Arial" w:hAnsi="Arial"/>
          <w:sz w:val="16"/>
          <w:szCs w:val="16"/>
          <w:color w:val="auto"/>
        </w:rPr>
        <w:t>Our manufacturing strategy provides for distributed capability in manufacturing and assembly of our products for the global commercial vehicle market. Our primary manufacturing facilities, located in Indianapolis, Indiana, consist of approximately 2.3 million square feet of usable manufacturing space in six plants. We also have established customization and parts distribution in the United States, The Netherlands, Brazil, China, Hungary, India and Japan. Our high volume on-highway products are produced in multiple global locations (United States, Chennai, India and Szentgotthard, Hungary), while off-highway, electric hybrid propulsion and defense tracked products are produced in Indianapolis and fully electric propulsion solutions are produced in Auburn Hills, Michigan. In addition, our aluminum die cast components are produced in Lewisburg, Tennessee.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Suppliers and Raw Materials</w:t>
      </w:r>
    </w:p>
    <w:p>
      <w:pPr>
        <w:spacing w:after="0" w:line="135" w:lineRule="exact"/>
        <w:rPr>
          <w:sz w:val="20"/>
          <w:szCs w:val="20"/>
          <w:color w:val="auto"/>
        </w:rPr>
      </w:pPr>
    </w:p>
    <w:p>
      <w:pPr>
        <w:ind w:right="60" w:firstLine="522"/>
        <w:spacing w:after="0" w:line="236" w:lineRule="auto"/>
        <w:rPr>
          <w:sz w:val="20"/>
          <w:szCs w:val="20"/>
          <w:color w:val="auto"/>
        </w:rPr>
      </w:pPr>
      <w:r>
        <w:rPr>
          <w:rFonts w:ascii="Arial" w:cs="Arial" w:eastAsia="Arial" w:hAnsi="Arial"/>
          <w:sz w:val="16"/>
          <w:szCs w:val="16"/>
          <w:color w:val="auto"/>
        </w:rPr>
        <w:t>A significant amount of the part numbers that make up our transmissions and electric propulsion solutions are purchased from outside suppliers, and during 2020, we purchased approximately $687 million of direct materials and components from outside suppliers. The largest elements of our direct spending are aluminum and steel castings and forgings that are formed by our suppliers into our larger components and assemblies for use in our transmissions and electric propulsion solutions. Our spending on aluminum and steel raw materials directly and indirectly through our purchase of these components constituted approximately 13% of our direct material and component costs in 2020. The balance of our direct and indirect materials and components costs are primarily composed of value-added services and conversion costs. Our supply contracts, along with an intensive supplier selection and performance monitoring process, have enabled us to establish and maintain close relationships with suppliers and have contributed to our overall operating efficiency and quality.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35" w:lineRule="exact"/>
        <w:rPr>
          <w:sz w:val="20"/>
          <w:szCs w:val="20"/>
          <w:color w:val="auto"/>
        </w:rPr>
      </w:pPr>
    </w:p>
    <w:p>
      <w:pPr>
        <w:ind w:firstLine="522"/>
        <w:spacing w:after="0" w:line="237" w:lineRule="auto"/>
        <w:rPr>
          <w:sz w:val="20"/>
          <w:szCs w:val="20"/>
          <w:color w:val="auto"/>
        </w:rPr>
      </w:pPr>
      <w:r>
        <w:rPr>
          <w:rFonts w:ascii="Arial" w:cs="Arial" w:eastAsia="Arial" w:hAnsi="Arial"/>
          <w:sz w:val="16"/>
          <w:szCs w:val="16"/>
          <w:color w:val="auto"/>
        </w:rPr>
        <w:t>Patents, trademarks, and other proprietary rights are important to the continued success of our business. We also rely upon trade secrets, know-how, continuing technological innovation and licensing opportunities to develop and maintain our competitive position. We protect our proprietary rights through a variety of methods, including confidentiality agreements and proprietary information agreements with suppliers, employees, consultants and others who may have access to our proprietary information. We own and have licensing arrangements for a number of U.S. and foreign patents related to our products and business. We do not consider our business to be dependent on any single patent, nor will the expiration of any single patent materially affect our business. Our current patents will expire over various periods and we continue to file new patent applications on newly-developed technology.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35" w:lineRule="exact"/>
        <w:rPr>
          <w:sz w:val="20"/>
          <w:szCs w:val="20"/>
          <w:color w:val="auto"/>
        </w:rPr>
      </w:pPr>
    </w:p>
    <w:p>
      <w:pPr>
        <w:ind w:right="80" w:firstLine="522"/>
        <w:spacing w:after="0" w:line="239" w:lineRule="auto"/>
        <w:rPr>
          <w:sz w:val="20"/>
          <w:szCs w:val="20"/>
          <w:color w:val="auto"/>
        </w:rPr>
      </w:pPr>
      <w:r>
        <w:rPr>
          <w:rFonts w:ascii="Arial" w:cs="Arial" w:eastAsia="Arial" w:hAnsi="Arial"/>
          <w:sz w:val="16"/>
          <w:szCs w:val="16"/>
          <w:color w:val="auto"/>
        </w:rPr>
        <w:t>Overall, the demand for our products is relatively consistent over the year. However, in typical market conditions, the North American truck market experiences a higher level of production in the first half of the year due to fewer holidays and the practice of plant shutdowns in July and December. As a result of the COVID-19 pandemic, demand for our products did not align with demand experienced during typical market conditions, as we experienced a severe decrease in demand in the second quarter of 2020 with demand recovering throughout the second half of 2020. Due to the ongoing uncertainties related to the COVID-19 pandemic, we may experience non-typical market conditions and demand expectation in 2021.</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135" w:lineRule="exact"/>
        <w:rPr>
          <w:sz w:val="20"/>
          <w:szCs w:val="20"/>
          <w:color w:val="auto"/>
        </w:rPr>
      </w:pPr>
    </w:p>
    <w:p>
      <w:pPr>
        <w:ind w:right="180" w:firstLine="522"/>
        <w:spacing w:after="0" w:line="247" w:lineRule="auto"/>
        <w:rPr>
          <w:sz w:val="20"/>
          <w:szCs w:val="20"/>
          <w:color w:val="auto"/>
        </w:rPr>
      </w:pPr>
      <w:r>
        <w:rPr>
          <w:rFonts w:ascii="Arial" w:cs="Arial" w:eastAsia="Arial" w:hAnsi="Arial"/>
          <w:sz w:val="16"/>
          <w:szCs w:val="16"/>
          <w:color w:val="auto"/>
        </w:rPr>
        <w:t>At Allison, we believe in the power of our people, our processes and our products. For more than 100 years, we have built our business on these values: Quality, Customer Focus, Integrity, Innovation, and Teamwork. We use a variety of human capital measures in managing our business, including: workforce demographics; inclusion and diversity; and employee health and safety.</w:t>
      </w:r>
    </w:p>
    <w:p>
      <w:pPr>
        <w:spacing w:after="0" w:line="101" w:lineRule="exact"/>
        <w:rPr>
          <w:sz w:val="20"/>
          <w:szCs w:val="20"/>
          <w:color w:val="auto"/>
        </w:rPr>
      </w:pPr>
    </w:p>
    <w:p>
      <w:pPr>
        <w:ind w:firstLine="522"/>
        <w:spacing w:after="0" w:line="258" w:lineRule="auto"/>
        <w:rPr>
          <w:sz w:val="20"/>
          <w:szCs w:val="20"/>
          <w:color w:val="auto"/>
        </w:rPr>
      </w:pPr>
      <w:r>
        <w:rPr>
          <w:rFonts w:ascii="Arial" w:cs="Arial" w:eastAsia="Arial" w:hAnsi="Arial"/>
          <w:sz w:val="15"/>
          <w:szCs w:val="15"/>
          <w:b w:val="1"/>
          <w:bCs w:val="1"/>
          <w:i w:val="1"/>
          <w:iCs w:val="1"/>
          <w:color w:val="auto"/>
        </w:rPr>
        <w:t>Workforce Demographics</w:t>
      </w:r>
      <w:r>
        <w:rPr>
          <w:rFonts w:ascii="Arial" w:cs="Arial" w:eastAsia="Arial" w:hAnsi="Arial"/>
          <w:sz w:val="15"/>
          <w:szCs w:val="15"/>
          <w:color w:val="auto"/>
        </w:rPr>
        <w:t>. Our people continue to be a critical component in our continued success, the delivery of our values and the execution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growth initiatives. As of December 31, 2020, we had a highly skilled workforce of approximately 3,300 employees, with approximately 89% of those employees in the U.S. Approximately 47% of our U.S. employees are represented by the International Union, United Automobile, Aerospace and Agricultural Implement Workers of America (“UAW”) and are subject to a collective bargaining agreement. In December 2017, we entered into a six year collective bargaining agreement with UAW Local 933 that expires in November 2023. There have been no strikes or work stoppages due to Allison-specific issues in over 30 years.</w:t>
      </w:r>
    </w:p>
    <w:p>
      <w:pPr>
        <w:spacing w:after="0" w:line="94" w:lineRule="exact"/>
        <w:rPr>
          <w:sz w:val="20"/>
          <w:szCs w:val="20"/>
          <w:color w:val="auto"/>
        </w:rPr>
      </w:pPr>
    </w:p>
    <w:p>
      <w:pPr>
        <w:ind w:right="20" w:firstLine="522"/>
        <w:spacing w:after="0" w:line="241" w:lineRule="auto"/>
        <w:rPr>
          <w:sz w:val="20"/>
          <w:szCs w:val="20"/>
          <w:color w:val="auto"/>
        </w:rPr>
      </w:pPr>
      <w:r>
        <w:rPr>
          <w:rFonts w:ascii="Arial" w:cs="Arial" w:eastAsia="Arial" w:hAnsi="Arial"/>
          <w:sz w:val="16"/>
          <w:szCs w:val="16"/>
          <w:b w:val="1"/>
          <w:bCs w:val="1"/>
          <w:i w:val="1"/>
          <w:iCs w:val="1"/>
          <w:color w:val="auto"/>
        </w:rPr>
        <w:t>Inclusion and Diversity</w:t>
      </w:r>
      <w:r>
        <w:rPr>
          <w:rFonts w:ascii="Arial" w:cs="Arial" w:eastAsia="Arial" w:hAnsi="Arial"/>
          <w:sz w:val="16"/>
          <w:szCs w:val="16"/>
          <w:color w:val="auto"/>
        </w:rPr>
        <w:t>. Allison recognizes the power of different thought, accepts and respects each individual and strives to create an inclusive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workplace where everyone can reach their full potential, driving innovation and business results. Our inclusion and diversity efforts in 2020 include establishing an employee-led multicultural resource group, implementing continuous Unconscious Bias Corporate training, participating in career fairs at historically Black colleges and universities, and launching a speaker series to create an open forum on complex and difficult conversations about diversity and inclusion.</w:t>
      </w:r>
    </w:p>
    <w:p>
      <w:pPr>
        <w:spacing w:after="0" w:line="177" w:lineRule="exact"/>
        <w:rPr>
          <w:sz w:val="20"/>
          <w:szCs w:val="20"/>
          <w:color w:val="auto"/>
        </w:rPr>
      </w:pPr>
    </w:p>
    <w:p>
      <w:pPr>
        <w:jc w:val="both"/>
        <w:ind w:right="100" w:firstLine="522"/>
        <w:spacing w:after="0" w:line="242" w:lineRule="auto"/>
        <w:rPr>
          <w:sz w:val="20"/>
          <w:szCs w:val="20"/>
          <w:color w:val="auto"/>
        </w:rPr>
      </w:pPr>
      <w:r>
        <w:rPr>
          <w:rFonts w:ascii="Arial" w:cs="Arial" w:eastAsia="Arial" w:hAnsi="Arial"/>
          <w:sz w:val="16"/>
          <w:szCs w:val="16"/>
          <w:b w:val="1"/>
          <w:bCs w:val="1"/>
          <w:i w:val="1"/>
          <w:iCs w:val="1"/>
          <w:color w:val="auto"/>
        </w:rPr>
        <w:t>Employee Health &amp; Safety</w:t>
      </w:r>
      <w:r>
        <w:rPr>
          <w:rFonts w:ascii="Arial" w:cs="Arial" w:eastAsia="Arial" w:hAnsi="Arial"/>
          <w:sz w:val="16"/>
          <w:szCs w:val="16"/>
          <w:color w:val="auto"/>
        </w:rPr>
        <w:t>. Allison’s overriding priority is to protect the health and safety of each employee. As part of our health and safety programs</w:t>
      </w:r>
      <w:r>
        <w:rPr>
          <w:rFonts w:ascii="Times New Roman" w:cs="Times New Roman" w:eastAsia="Times New Roman" w:hAnsi="Times New Roman"/>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participate in training focused on this topic and metrics are reviewed regularly, including the number of injury incidents that occur and those incidents that result in lost work days. For 2020, we achieved an overall recordable rate of 1.53, meaning that for every 100 employees, 1.53 employees incurred an injury that resulted in recordable medical treatment and the number of lost work days was 0.28, meaning that for every 100 employees, 0.28 individuals experienced an incident that resulted in days away from work.</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Regulations</w:t>
      </w:r>
    </w:p>
    <w:p>
      <w:pPr>
        <w:spacing w:after="0" w:line="135" w:lineRule="exact"/>
        <w:rPr>
          <w:sz w:val="20"/>
          <w:szCs w:val="20"/>
          <w:color w:val="auto"/>
        </w:rPr>
      </w:pPr>
    </w:p>
    <w:p>
      <w:pPr>
        <w:ind w:right="60" w:firstLine="522"/>
        <w:spacing w:after="0" w:line="237" w:lineRule="auto"/>
        <w:rPr>
          <w:sz w:val="20"/>
          <w:szCs w:val="20"/>
          <w:color w:val="auto"/>
        </w:rPr>
      </w:pPr>
      <w:r>
        <w:rPr>
          <w:rFonts w:ascii="Arial" w:cs="Arial" w:eastAsia="Arial" w:hAnsi="Arial"/>
          <w:sz w:val="16"/>
          <w:szCs w:val="16"/>
          <w:color w:val="auto"/>
        </w:rPr>
        <w:t>We are subject to a variety of federal, state, local and foreign laws and regulations, including those governing the discharge of pollutants into the air or water, the management and disposal of hazardous substances or wastes, and the cleanup of contaminated sites. Some of our operations require environmental permits and controls to prevent and reduce air and water pollution. These permits are subject to modification, renewal and revocation by issuing authorities. In addition, certain of our products and our customer’s products are subject to certification requirements by a variety of regulatory bodies. We believe we are in substantial compliance with all material environmental laws and regulations applicable to our plants and operations. Historically, our annual costs of achieving and maintaining compliance with environmental, health and safety requirements have not been material to our financial results.</w:t>
      </w:r>
    </w:p>
    <w:p>
      <w:pPr>
        <w:spacing w:after="0" w:line="108" w:lineRule="exact"/>
        <w:rPr>
          <w:sz w:val="20"/>
          <w:szCs w:val="20"/>
          <w:color w:val="auto"/>
        </w:rPr>
      </w:pPr>
    </w:p>
    <w:p>
      <w:pPr>
        <w:ind w:right="40" w:firstLine="522"/>
        <w:spacing w:after="0" w:line="255" w:lineRule="auto"/>
        <w:rPr>
          <w:sz w:val="20"/>
          <w:szCs w:val="20"/>
          <w:color w:val="auto"/>
        </w:rPr>
      </w:pPr>
      <w:r>
        <w:rPr>
          <w:rFonts w:ascii="Arial" w:cs="Arial" w:eastAsia="Arial" w:hAnsi="Arial"/>
          <w:sz w:val="15"/>
          <w:szCs w:val="15"/>
          <w:color w:val="auto"/>
        </w:rPr>
        <w:t>Increasing global efforts to control emissions of carbon dioxide, methane, ozone, nitrogen oxide and other greenhouse gases and pollutants, as well as the shifting focus of regulatory efforts towards total emissions output, have the potential to impact our facilities, costs, products and customers. The U.S. Environmental Protection Agency (“EPA”) has taken action to control greenhouse gases from certain stationary and mobile sources. In addition, several states have taken steps, such as adoption of cap and trade programs or other regulatory systems, to address greenhouse gases. There have also been international efforts seeking legally binding reductions in emissions of greenhouse gases. These developments and further actions that may be taken in the U.S. and in other countries, states or provinces could affect our operations both positively and negatively (e.g., by affecting the demand for or suitability of some of our products).</w:t>
      </w:r>
    </w:p>
    <w:p>
      <w:pPr>
        <w:spacing w:after="0" w:line="98" w:lineRule="exact"/>
        <w:rPr>
          <w:sz w:val="20"/>
          <w:szCs w:val="20"/>
          <w:color w:val="auto"/>
        </w:rPr>
      </w:pPr>
    </w:p>
    <w:p>
      <w:pPr>
        <w:ind w:firstLine="522"/>
        <w:spacing w:after="0" w:line="237" w:lineRule="auto"/>
        <w:rPr>
          <w:sz w:val="20"/>
          <w:szCs w:val="20"/>
          <w:color w:val="auto"/>
        </w:rPr>
      </w:pPr>
      <w:r>
        <w:rPr>
          <w:rFonts w:ascii="Arial" w:cs="Arial" w:eastAsia="Arial" w:hAnsi="Arial"/>
          <w:sz w:val="16"/>
          <w:szCs w:val="16"/>
          <w:color w:val="auto"/>
        </w:rPr>
        <w:t>We also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 We do not anticipate our liabilities relating to contaminated sites will be material to our 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35" w:lineRule="exact"/>
        <w:rPr>
          <w:sz w:val="20"/>
          <w:szCs w:val="20"/>
          <w:color w:val="auto"/>
        </w:rPr>
      </w:pPr>
    </w:p>
    <w:p>
      <w:pPr>
        <w:ind w:firstLine="522"/>
        <w:spacing w:after="0" w:line="237" w:lineRule="auto"/>
        <w:rPr>
          <w:sz w:val="20"/>
          <w:szCs w:val="20"/>
          <w:color w:val="auto"/>
        </w:rPr>
      </w:pPr>
      <w:r>
        <w:rPr>
          <w:rFonts w:ascii="Arial" w:cs="Arial" w:eastAsia="Arial" w:hAnsi="Arial"/>
          <w:sz w:val="16"/>
          <w:szCs w:val="16"/>
          <w:color w:val="auto"/>
        </w:rPr>
        <w:t>We compete on the basis of product performance, quality, price, distribution capability and service in addition to other factors. We face competition from numerous manufacturers of various types of transmissions and propulsion solutions for commercial vehicles. Furthermore, we face an increasing amount of competition from vertical integration, as some of our customers are OEMs that manufacture transmissions and propulsion solutions for their own products. Despite their transmission and propulsion solutions manufacturing capabilities, we believe that our existing OEM customers have chosen to purchase certain transmissions and propulsion solutions from us due to the quality, reliability and strong brand of our transmissions and propulsion solutions and in order to limit fixed costs, minimize production risks and maintain company focus on commercial vehicle design, production and marketing.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135" w:lineRule="exact"/>
        <w:rPr>
          <w:sz w:val="20"/>
          <w:szCs w:val="20"/>
          <w:color w:val="auto"/>
        </w:rPr>
      </w:pPr>
    </w:p>
    <w:p>
      <w:pPr>
        <w:ind w:firstLine="522"/>
        <w:spacing w:after="0" w:line="235" w:lineRule="auto"/>
        <w:rPr>
          <w:sz w:val="20"/>
          <w:szCs w:val="20"/>
          <w:color w:val="auto"/>
        </w:rPr>
      </w:pPr>
      <w:r>
        <w:rPr>
          <w:rFonts w:ascii="Arial" w:cs="Arial" w:eastAsia="Arial" w:hAnsi="Arial"/>
          <w:sz w:val="16"/>
          <w:szCs w:val="16"/>
          <w:color w:val="auto"/>
        </w:rPr>
        <w:t>Allison Transmission Holdings, Inc. was incorporated in Delaware on June 22, 2007. Our principal executive offices are located at One Allison Way, Indianapolis, IN 46222 and our telephone number is (317) 242-5000. Our internet address is www.allisontransmission.com. We file annual, quarterly and current reports, proxy statements and other documents with the United States Securities and Exchange Commission (“SEC”), under the Securities Exchange Act of 1934, as amended (“Exchange Act”). These periodic and current reports and all amendments to those reports are available free of charge on the investor relations page of our website at http://ir.allisontransmission.com as soon as reasonably practicable after we electronically file them with, or furnish them to, the SEC. We have included our website address throughout this filing as textual references only. The information contained on, or accessible through, our website is not incorporated into this Annual Report on Form 10-K. The SEC also maintains an Internet site that contains reports, proxy and information statements, and other information regarding issuers that file electronically with the SEC at http://www.sec.gov.</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80"/>
          </w:cols>
          <w:pgMar w:left="320" w:top="120" w:right="39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37" w:lineRule="exact"/>
        <w:rPr>
          <w:sz w:val="20"/>
          <w:szCs w:val="20"/>
          <w:color w:val="auto"/>
        </w:rPr>
      </w:pPr>
    </w:p>
    <w:p>
      <w:pPr>
        <w:ind w:right="260" w:firstLine="593"/>
        <w:spacing w:after="0" w:line="246" w:lineRule="auto"/>
        <w:rPr>
          <w:sz w:val="20"/>
          <w:szCs w:val="20"/>
          <w:color w:val="auto"/>
        </w:rPr>
      </w:pPr>
      <w:r>
        <w:rPr>
          <w:rFonts w:ascii="Arial" w:cs="Arial" w:eastAsia="Arial" w:hAnsi="Arial"/>
          <w:sz w:val="16"/>
          <w:szCs w:val="16"/>
          <w:i w:val="1"/>
          <w:iCs w:val="1"/>
          <w:color w:val="auto"/>
        </w:rPr>
        <w:t>The following is a cautionary discussion of risks, uncertainties and assumptions that we believe are material to our business. In addition to the factors discussed elsewhere in this Annual Report on Form 10-K, the following are the material factors that, individually or in the aggregate, we believe could make our actual results differ materially from those described in any forward-looking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Operations</w:t>
      </w:r>
    </w:p>
    <w:p>
      <w:pPr>
        <w:spacing w:after="0" w:line="184" w:lineRule="exact"/>
        <w:rPr>
          <w:sz w:val="20"/>
          <w:szCs w:val="20"/>
          <w:color w:val="auto"/>
        </w:rPr>
      </w:pPr>
    </w:p>
    <w:p>
      <w:pPr>
        <w:ind w:left="400" w:right="20"/>
        <w:spacing w:after="0" w:line="273" w:lineRule="auto"/>
        <w:rPr>
          <w:sz w:val="20"/>
          <w:szCs w:val="20"/>
          <w:color w:val="auto"/>
        </w:rPr>
      </w:pPr>
      <w:r>
        <w:rPr>
          <w:rFonts w:ascii="Arial" w:cs="Arial" w:eastAsia="Arial" w:hAnsi="Arial"/>
          <w:sz w:val="16"/>
          <w:szCs w:val="16"/>
          <w:b w:val="1"/>
          <w:bCs w:val="1"/>
          <w:i w:val="1"/>
          <w:iCs w:val="1"/>
          <w:color w:val="auto"/>
        </w:rPr>
        <w:t>We participate in markets that are competitive, and our competitors’ actions could have a material adverse effect on our business, results of operations and financial condition.</w:t>
      </w:r>
    </w:p>
    <w:p>
      <w:pPr>
        <w:spacing w:after="0" w:line="73" w:lineRule="exact"/>
        <w:rPr>
          <w:sz w:val="20"/>
          <w:szCs w:val="20"/>
          <w:color w:val="auto"/>
        </w:rPr>
      </w:pPr>
    </w:p>
    <w:p>
      <w:pPr>
        <w:ind w:right="160" w:firstLine="522"/>
        <w:spacing w:after="0" w:line="258" w:lineRule="auto"/>
        <w:rPr>
          <w:sz w:val="20"/>
          <w:szCs w:val="20"/>
          <w:color w:val="auto"/>
        </w:rPr>
      </w:pPr>
      <w:r>
        <w:rPr>
          <w:rFonts w:ascii="Arial" w:cs="Arial" w:eastAsia="Arial" w:hAnsi="Arial"/>
          <w:sz w:val="15"/>
          <w:szCs w:val="15"/>
          <w:color w:val="auto"/>
        </w:rPr>
        <w:t>Our business operates in competitive markets. We compete against other existing or new global manufacturers of transmissions and propulsion solutions for commercial vehicles on the basis of product performance, quality, price, distribution capability and service in addition to other factors. In addition, we compete with manufacturers developing alternative technologies, including fully electric propulsion solutions, that may or may not require a transmission. In addition, subsidies offered by governmental entities continue to drive the development and adoption of various alternative technologies. Actions by our competitors could lead to downward pressure on prices and/or a decline in our market share, either or both of which could adversely affect our results.</w:t>
      </w:r>
    </w:p>
    <w:p>
      <w:pPr>
        <w:spacing w:after="0" w:line="94" w:lineRule="exact"/>
        <w:rPr>
          <w:sz w:val="20"/>
          <w:szCs w:val="20"/>
          <w:color w:val="auto"/>
        </w:rPr>
      </w:pPr>
    </w:p>
    <w:p>
      <w:pPr>
        <w:ind w:right="80" w:firstLine="522"/>
        <w:spacing w:after="0" w:line="251" w:lineRule="auto"/>
        <w:rPr>
          <w:sz w:val="20"/>
          <w:szCs w:val="20"/>
          <w:color w:val="auto"/>
        </w:rPr>
      </w:pPr>
      <w:r>
        <w:rPr>
          <w:rFonts w:ascii="Arial" w:cs="Arial" w:eastAsia="Arial" w:hAnsi="Arial"/>
          <w:sz w:val="15"/>
          <w:szCs w:val="15"/>
          <w:color w:val="auto"/>
        </w:rPr>
        <w:t>In addition, some of our customers or future customers are OEMs that manufacture or could in the future manufacture transmissions, propulsion solutions or alternate technologies, including electric propulsion solutions, for their own products. Despite their transmission manufacturing capabilities, our existing OEM customers have chosen to purchase certain transmissions and propulsion solutions from us due to customer demand, resulting from the quality of our products and in order to reduce fixed costs, eliminate production risks and maintain company focus. However, we cannot be certain these customers will continue to purchase our products in the future. Increased levels of production insourcing by these customers could result from a number of factors, such as shifts in our customers’ business strategies, acquisition by a customer of another transmission or propulsion solution manufacturer, the inability of third-party suppliers to meet specifications and the emergence of low-cost production opportunities in foreign countries. As a result, these OEMs may use products produced internally or by another manufacturer and no longer choose to purchase products from us. A significant reduction in the level of external sourcing by our OEM customers could significantly impact our net sales and cash flows and, accordingly, have a material adverse effect on our business, results of operations and financial condition.</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Our financial condition and results of operations have been and may continue to be materially adversely affected by the coronavirus pandemic.</w:t>
      </w:r>
    </w:p>
    <w:p>
      <w:pPr>
        <w:spacing w:after="0" w:line="143" w:lineRule="exact"/>
        <w:rPr>
          <w:sz w:val="20"/>
          <w:szCs w:val="20"/>
          <w:color w:val="auto"/>
        </w:rPr>
      </w:pPr>
    </w:p>
    <w:p>
      <w:pPr>
        <w:ind w:firstLine="522"/>
        <w:spacing w:after="0" w:line="234" w:lineRule="auto"/>
        <w:rPr>
          <w:sz w:val="20"/>
          <w:szCs w:val="20"/>
          <w:color w:val="auto"/>
        </w:rPr>
      </w:pPr>
      <w:r>
        <w:rPr>
          <w:rFonts w:ascii="Arial" w:cs="Arial" w:eastAsia="Arial" w:hAnsi="Arial"/>
          <w:sz w:val="16"/>
          <w:szCs w:val="16"/>
          <w:color w:val="auto"/>
        </w:rPr>
        <w:t>The global spread of the novel strain of coronavirus (COVID-19) that has been declared a pandemic by the World Health Organization and the preventative measures taken to contain or mitigate the outbreak have caused, and are continuing to cause, significant volatility and uncertainty and economic disruptions. Governments around the world continue to implement measures to contain or mitigate the spread of the virus, including quarantines, “shelter in place” and “stay at home” orders, travel restrictions, business curtailments and other measures, due to the ongoing pandemic. While we continue to operate our plants consistent with applicable government guidelines, during 2020 our global manufacturing facilities periodically cut back on operating levels and shifts and we experienced, and may experience again, production shutdowns at our manufacturing facilities in Hungary, India, and Tennessee during the second quarter of 2020 as a result of government orders, our inability to obtain component parts from suppliers and decreased customer demand. In addition, many of our suppliers and customers have experienced, and may continue to experience, production slowdowns and/or shutdowns, which may further impact our business, sales and results of operation.</w:t>
      </w:r>
    </w:p>
    <w:p>
      <w:pPr>
        <w:spacing w:after="0" w:line="112" w:lineRule="exact"/>
        <w:rPr>
          <w:sz w:val="20"/>
          <w:szCs w:val="20"/>
          <w:color w:val="auto"/>
        </w:rPr>
      </w:pPr>
    </w:p>
    <w:p>
      <w:pPr>
        <w:ind w:right="240" w:firstLine="522"/>
        <w:spacing w:after="0" w:line="247" w:lineRule="auto"/>
        <w:rPr>
          <w:sz w:val="20"/>
          <w:szCs w:val="20"/>
          <w:color w:val="auto"/>
        </w:rPr>
      </w:pPr>
      <w:r>
        <w:rPr>
          <w:rFonts w:ascii="Arial" w:cs="Arial" w:eastAsia="Arial" w:hAnsi="Arial"/>
          <w:sz w:val="16"/>
          <w:szCs w:val="16"/>
          <w:color w:val="auto"/>
        </w:rPr>
        <w:t>The effects of the COVID-19 pandemic on the global economy had a material impact on demand for our products and our results of operations during 2020. While we began to experience a recovery in demand for our products during the third quarter of 2020 and that recovery in demand continued in the fourth quarter of 2020,</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demand for our products and our results of operations in the future may once again be adversely impacted by the effects of the pandemic. The extent to which the COVID-19 pandemic may continue to adversely impact our business depends on future developments, which are highly uncertain and unpredictable, including the severity and duration of the outbreak, emerging variants of the virus that may be more contagious than current variants and the effectiveness of actions taken globally to contain or mitigate its effects, including the availability and pace of distribution of vaccines. Any future financial impact cannot be estimated reasonably at this time, but may materially adversely affect our business, supply chain, sales, results of operations, financial condition and cash flows. Even after the COVID-19 pandemic has subsided, we may experience materially adverse impacts to our business due to any resulting economic recession or depression that may continue to impact customer demand and the financial instability or operating viability of our suppliers and customers. Additionally, concerns over the economic impact of COVID-19 have caused extreme volatility in financial and other capital markets which may adversely impact our ability to access capital markets.</w:t>
      </w:r>
    </w:p>
    <w:p>
      <w:pPr>
        <w:spacing w:after="0" w:line="150" w:lineRule="exact"/>
        <w:rPr>
          <w:sz w:val="20"/>
          <w:szCs w:val="20"/>
          <w:color w:val="auto"/>
        </w:rPr>
      </w:pPr>
    </w:p>
    <w:p>
      <w:pPr>
        <w:ind w:left="400"/>
        <w:spacing w:after="0" w:line="273" w:lineRule="auto"/>
        <w:rPr>
          <w:sz w:val="20"/>
          <w:szCs w:val="20"/>
          <w:color w:val="auto"/>
        </w:rPr>
      </w:pPr>
      <w:r>
        <w:rPr>
          <w:rFonts w:ascii="Arial" w:cs="Arial" w:eastAsia="Arial" w:hAnsi="Arial"/>
          <w:sz w:val="16"/>
          <w:szCs w:val="16"/>
          <w:b w:val="1"/>
          <w:bCs w:val="1"/>
          <w:i w:val="1"/>
          <w:iCs w:val="1"/>
          <w:color w:val="auto"/>
        </w:rPr>
        <w:t>Volatility in and disruption to the global economic environment and changes in the regulatory and business environments in which we operate may have a material adverse effect on our business, results of operations and financial condition.</w:t>
      </w:r>
    </w:p>
    <w:p>
      <w:pPr>
        <w:spacing w:after="0" w:line="73" w:lineRule="exact"/>
        <w:rPr>
          <w:sz w:val="20"/>
          <w:szCs w:val="20"/>
          <w:color w:val="auto"/>
        </w:rPr>
      </w:pPr>
    </w:p>
    <w:p>
      <w:pPr>
        <w:ind w:right="20" w:firstLine="522"/>
        <w:spacing w:after="0" w:line="233" w:lineRule="auto"/>
        <w:rPr>
          <w:sz w:val="20"/>
          <w:szCs w:val="20"/>
          <w:color w:val="auto"/>
        </w:rPr>
      </w:pPr>
      <w:r>
        <w:rPr>
          <w:rFonts w:ascii="Arial" w:cs="Arial" w:eastAsia="Arial" w:hAnsi="Arial"/>
          <w:sz w:val="16"/>
          <w:szCs w:val="16"/>
          <w:color w:val="auto"/>
        </w:rPr>
        <w:t>The commercial vehicle industry as a whole has been more adversely affected by volatile economic conditions than many other industries, as the purchase or replacement of commercial vehicles, which are durable items, can be deferred for many reasons, including reduced spending by end users. Future changes in the regulatory and business environments in which we operate, including increased trade protectionism and tariffs, may adversely affect our ability to sell our products or source materials needed to manufacture our products. Furthermore, financial instability or bankruptcy at any of our suppliers or customers could disrupt our ability to manufacture our products and impair our ability to collect receivables, any or all of which may have a material adverse effect on our business, results of operations and financial condition. In addition, some of our customers and suppliers may experience serious cash flow problems and, thus, may find it difficult to obtain financing, if financing is available at all. As a result, our customers’ need for and ability to purchase our products or services may decrease, and our suppliers may increase their prices, reduce their output or change their terms of sale. Any inability of customers to pay us for our products and services, or any demands by suppliers for different payment terms, may materially and adversely affect our results of operations and financial condition. Furthermore, our suppliers may not be successful in generating sufficient sales or securing alternate financing arrangements, and therefore may no longer be able to supply goods and services to us. In that event, we would need to find alternate sources for these goods and services, and there is no assurance we would be able to find such alternate sources on favorable terms, if at all. Any such disruption in our supply chain could adversely affect our ability to manufacture and deliver our products on a timely basis, and thereby affect our results of operations.</w:t>
      </w:r>
    </w:p>
    <w:p>
      <w:pPr>
        <w:spacing w:after="0" w:line="157" w:lineRule="exact"/>
        <w:rPr>
          <w:sz w:val="20"/>
          <w:szCs w:val="20"/>
          <w:color w:val="auto"/>
        </w:rPr>
      </w:pPr>
    </w:p>
    <w:p>
      <w:pPr>
        <w:ind w:left="400"/>
        <w:spacing w:after="0" w:line="273" w:lineRule="auto"/>
        <w:rPr>
          <w:sz w:val="20"/>
          <w:szCs w:val="20"/>
          <w:color w:val="auto"/>
        </w:rPr>
      </w:pPr>
      <w:r>
        <w:rPr>
          <w:rFonts w:ascii="Arial" w:cs="Arial" w:eastAsia="Arial" w:hAnsi="Arial"/>
          <w:sz w:val="16"/>
          <w:szCs w:val="16"/>
          <w:b w:val="1"/>
          <w:bCs w:val="1"/>
          <w:i w:val="1"/>
          <w:iCs w:val="1"/>
          <w:color w:val="auto"/>
        </w:rPr>
        <w:t>Certain of our end users operate in highly cyclical industries, which can result in uncertainty and significantly impact the demand for our products, which could have a material adverse effect on our business, results of operations and financial condition.</w:t>
      </w:r>
    </w:p>
    <w:p>
      <w:pPr>
        <w:spacing w:after="0" w:line="73" w:lineRule="exact"/>
        <w:rPr>
          <w:sz w:val="20"/>
          <w:szCs w:val="20"/>
          <w:color w:val="auto"/>
        </w:rPr>
      </w:pPr>
    </w:p>
    <w:p>
      <w:pPr>
        <w:ind w:right="120" w:firstLine="522"/>
        <w:spacing w:after="0" w:line="235" w:lineRule="auto"/>
        <w:rPr>
          <w:sz w:val="20"/>
          <w:szCs w:val="20"/>
          <w:color w:val="auto"/>
        </w:rPr>
      </w:pPr>
      <w:r>
        <w:rPr>
          <w:rFonts w:ascii="Arial" w:cs="Arial" w:eastAsia="Arial" w:hAnsi="Arial"/>
          <w:sz w:val="16"/>
          <w:szCs w:val="16"/>
          <w:color w:val="auto"/>
        </w:rPr>
        <w:t>Some of the markets in which we operate, including energy, mining, construction, distribution and motorhomes, exhibit a high degree of cyclicality. Decisions to purchase our transmissions are largely a result of the performance of these and other industries we serve. If demand for output in these industries decreases, the demand for our products will likely decrease. Demand in these industries is impacted by numerous factors including prices of commodities, rates of infrastructure spending, housing starts, real estate equity values, interest rates, consumer spending, fuel costs, energy demands, municipal spending and commercial construction, among others. Increases or decreases in these variables globally may significantly impact the demand for our products, which could have a material adverse effect on our business, results of operations and financial condition. If we are unable to accurately predict demand, we may be unable to meet our customers’ needs, resulting in the loss of potential sales, or we may manufacture excess products, resulting in increased inventories and overcapacity in our production facilities, increasing our unit production cost and decreasing our operating margins.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3" w:lineRule="exact"/>
        <w:rPr>
          <w:sz w:val="20"/>
          <w:szCs w:val="20"/>
          <w:color w:val="auto"/>
        </w:rPr>
      </w:pPr>
    </w:p>
    <w:p>
      <w:pPr>
        <w:jc w:val="both"/>
        <w:ind w:left="400"/>
        <w:spacing w:after="0" w:line="251" w:lineRule="auto"/>
        <w:rPr>
          <w:sz w:val="20"/>
          <w:szCs w:val="20"/>
          <w:color w:val="auto"/>
        </w:rPr>
      </w:pPr>
      <w:r>
        <w:rPr>
          <w:rFonts w:ascii="Arial" w:cs="Arial" w:eastAsia="Arial" w:hAnsi="Arial"/>
          <w:sz w:val="16"/>
          <w:szCs w:val="16"/>
          <w:b w:val="1"/>
          <w:bCs w:val="1"/>
          <w:i w:val="1"/>
          <w:iCs w:val="1"/>
          <w:color w:val="auto"/>
        </w:rPr>
        <w:t>Our sales are concentrated among our top five OEM customers and the loss or consolidation of any one of these customers or the discontinuation of particular vehicle models for which we are a significant supplier could reduce our net sales and have a material adverse effect on our results of operations and financial condition.</w:t>
      </w:r>
    </w:p>
    <w:p>
      <w:pPr>
        <w:spacing w:after="0" w:line="90" w:lineRule="exact"/>
        <w:rPr>
          <w:sz w:val="20"/>
          <w:szCs w:val="20"/>
          <w:color w:val="auto"/>
        </w:rPr>
      </w:pPr>
    </w:p>
    <w:p>
      <w:pPr>
        <w:ind w:right="60" w:firstLine="522"/>
        <w:spacing w:after="0" w:line="237" w:lineRule="auto"/>
        <w:rPr>
          <w:sz w:val="20"/>
          <w:szCs w:val="20"/>
          <w:color w:val="auto"/>
        </w:rPr>
      </w:pPr>
      <w:r>
        <w:rPr>
          <w:rFonts w:ascii="Arial" w:cs="Arial" w:eastAsia="Arial" w:hAnsi="Arial"/>
          <w:sz w:val="16"/>
          <w:szCs w:val="16"/>
          <w:color w:val="auto"/>
        </w:rPr>
        <w:t>We have in the past and may in the future derive a significant portion of our net sales from a relatively limited number of OEM customers. For the years ended December 31, 2020, 2019 and 2018, our top five OEM customers accounted for approximately 53%, 54% and 49% of our net sales, respectively. Our top three customers, Daimler AG, PACCAR Inc. and Navistar International Corporation accounted for approximately 20%, 11% and 11%, respectively, of our net sales during 2020. The loss of, or consolidation of, any one of these customers, or a significant decrease in business from, one or more of these customers could harm our business. In addition, the discontinuation of particular vehicle models for which we are a significant supplier could reduce our net sales and have a material adverse effect on our results of operations.</w:t>
      </w:r>
    </w:p>
    <w:p>
      <w:pPr>
        <w:spacing w:after="0" w:line="156" w:lineRule="exact"/>
        <w:rPr>
          <w:sz w:val="20"/>
          <w:szCs w:val="20"/>
          <w:color w:val="auto"/>
        </w:rPr>
      </w:pPr>
    </w:p>
    <w:p>
      <w:pPr>
        <w:ind w:left="400"/>
        <w:spacing w:after="0" w:line="273" w:lineRule="auto"/>
        <w:rPr>
          <w:sz w:val="20"/>
          <w:szCs w:val="20"/>
          <w:color w:val="auto"/>
        </w:rPr>
      </w:pPr>
      <w:r>
        <w:rPr>
          <w:rFonts w:ascii="Arial" w:cs="Arial" w:eastAsia="Arial" w:hAnsi="Arial"/>
          <w:sz w:val="16"/>
          <w:szCs w:val="16"/>
          <w:b w:val="1"/>
          <w:bCs w:val="1"/>
          <w:i w:val="1"/>
          <w:iCs w:val="1"/>
          <w:color w:val="auto"/>
        </w:rPr>
        <w:t>Increases in cost, disruption of supply or shortage of raw materials or components used in our products could harm our business and profitability.</w:t>
      </w:r>
    </w:p>
    <w:p>
      <w:pPr>
        <w:spacing w:after="0" w:line="73" w:lineRule="exact"/>
        <w:rPr>
          <w:sz w:val="20"/>
          <w:szCs w:val="20"/>
          <w:color w:val="auto"/>
        </w:rPr>
      </w:pPr>
    </w:p>
    <w:p>
      <w:pPr>
        <w:ind w:right="40" w:firstLine="522"/>
        <w:spacing w:after="0" w:line="235" w:lineRule="auto"/>
        <w:rPr>
          <w:sz w:val="20"/>
          <w:szCs w:val="20"/>
          <w:color w:val="auto"/>
        </w:rPr>
      </w:pPr>
      <w:r>
        <w:rPr>
          <w:rFonts w:ascii="Arial" w:cs="Arial" w:eastAsia="Arial" w:hAnsi="Arial"/>
          <w:sz w:val="16"/>
          <w:szCs w:val="16"/>
          <w:color w:val="auto"/>
        </w:rPr>
        <w:t>Our products contain various raw materials, including corrosion-resistant steel, non-ferrous metals such as aluminum and nickel, and precious metals such as platinum and palladium. We use raw materials directly in manufacturing and in components that we purchase from our suppliers. We generally purchase components with significant raw material content on the open market. The prices for and availability of these raw materials fluctuate depending on market conditions. Volatility in the prices of raw materials such as steel, aluminum and nickel could increase the cost of manufacturing our products. We may not be able to pass on these costs to our customers, and this could have a material adverse effect on our business, results of operations and financial condition. Even in the event that increased costs can be passed through to customers, our gross margin percentages would decline. Additionally, our suppliers are also subject to fluctuations in the prices of raw materials and may attempt to pass all or a portion of such increases on to us. In the event they are successful in doing so, our margins would decline.</w:t>
      </w:r>
    </w:p>
    <w:p>
      <w:pPr>
        <w:spacing w:after="0" w:line="109" w:lineRule="exact"/>
        <w:rPr>
          <w:sz w:val="20"/>
          <w:szCs w:val="20"/>
          <w:color w:val="auto"/>
        </w:rPr>
      </w:pPr>
    </w:p>
    <w:p>
      <w:pPr>
        <w:ind w:firstLine="522"/>
        <w:spacing w:after="0" w:line="248" w:lineRule="auto"/>
        <w:rPr>
          <w:sz w:val="20"/>
          <w:szCs w:val="20"/>
          <w:color w:val="auto"/>
        </w:rPr>
      </w:pPr>
      <w:r>
        <w:rPr>
          <w:rFonts w:ascii="Arial" w:cs="Arial" w:eastAsia="Arial" w:hAnsi="Arial"/>
          <w:sz w:val="15"/>
          <w:szCs w:val="15"/>
          <w:color w:val="auto"/>
        </w:rPr>
        <w:t>In 2020, approximately 75% of our total spending on components was sourced from approximately 40 suppliers, some of which are the single source for such components. All of the suppliers from which we purchase materials and components used in our business are fully validated suppliers, meaning the suppliers’ manufacturing processes and inputs have been validated under a production part approval process (“PPAP”). Furthermore, there are only a limited number of suppliers for certain of the materials used in our business, such as corrosion-resistant steel. As a result, our business is subject to the risk of additional price fluctuations and periodic delays in the delivery of our materials or components if supplies from a validated supplier are interrupted and a new supplier, if one is available, must be validated or materials and components must be purchased from a supplier without a completed PPAP, which could increase our risk of purchasing non-conforming components. Any such price fluctuations or delays, if significant, could harm our profitability or operations. In addition, the loss of a supplier could result in significant material cost increases or reduce our production capacity. We have experienced, and expect to continue to experience, delays in the availability and receipt of component parts as a result of the COVID-19 pandemic, some of which may materially impact our ability to meet customer demand. We also cannot guarantee we will be able to maintain favorable arrangements and relationships with these suppliers. An increase in the cost or a sustained interruption in the supply or shortage of some of these raw materials or components that may be caused by a deterioration of our relationships with suppliers or by events such as natural disasters, power outages, labor strikes, public health crisis such as pandemics and epidemics or the like could negatively impact our business, results of operations and financial condition. Although we have agreements with many of our customers that we will pass such price increases through to them, such contracts may be canceled by our customers and/or we may not be able to recoup the costs of such price increases. Additionally, if we are unable to continue to purchase our required quantities of raw materials on commercially reasonable terms, or at all, if we are unable to maintain or enter into purchasing contracts for commodities, or if delivery of materials or component parts from suppliers is delayed or non-conforming, our operations could be disrupted, we may not be able to meet customer demand, or our profitability or our financial results may be materially impacted.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3" w:lineRule="exact"/>
        <w:rPr>
          <w:sz w:val="20"/>
          <w:szCs w:val="20"/>
          <w:color w:val="auto"/>
        </w:rPr>
      </w:pPr>
    </w:p>
    <w:p>
      <w:pPr>
        <w:jc w:val="both"/>
        <w:ind w:left="400"/>
        <w:spacing w:after="0" w:line="251" w:lineRule="auto"/>
        <w:rPr>
          <w:sz w:val="20"/>
          <w:szCs w:val="20"/>
          <w:color w:val="auto"/>
        </w:rPr>
      </w:pPr>
      <w:r>
        <w:rPr>
          <w:rFonts w:ascii="Arial" w:cs="Arial" w:eastAsia="Arial" w:hAnsi="Arial"/>
          <w:sz w:val="16"/>
          <w:szCs w:val="16"/>
          <w:b w:val="1"/>
          <w:bCs w:val="1"/>
          <w:i w:val="1"/>
          <w:iCs w:val="1"/>
          <w:color w:val="auto"/>
        </w:rPr>
        <w:t>Our sales to the Defense end market are to government entities and contractors for the U.S. and foreign governments, and the loss of a significant number of our contracts, or budgetary declines or future reductions or changes in spending by the U.S. or foreign governments could have a material adverse effect on our results of operations and financial condition.</w:t>
      </w:r>
    </w:p>
    <w:p>
      <w:pPr>
        <w:spacing w:after="0" w:line="90" w:lineRule="exact"/>
        <w:rPr>
          <w:sz w:val="20"/>
          <w:szCs w:val="20"/>
          <w:color w:val="auto"/>
        </w:rPr>
      </w:pPr>
    </w:p>
    <w:p>
      <w:pPr>
        <w:jc w:val="both"/>
        <w:ind w:right="160" w:firstLine="522"/>
        <w:spacing w:after="0" w:line="241" w:lineRule="auto"/>
        <w:rPr>
          <w:sz w:val="20"/>
          <w:szCs w:val="20"/>
          <w:color w:val="auto"/>
        </w:rPr>
      </w:pPr>
      <w:r>
        <w:rPr>
          <w:rFonts w:ascii="Arial" w:cs="Arial" w:eastAsia="Arial" w:hAnsi="Arial"/>
          <w:sz w:val="16"/>
          <w:szCs w:val="16"/>
          <w:color w:val="auto"/>
        </w:rPr>
        <w:t>Our net sales to the Defense end market are derived from contracts (revenue arrangements) with agencies of, and prime system contractors for, the U.S. government and foreign governments. If a significant number of our Defense contracts and subcontracts are simultaneously delayed or cancelled for budgetary, performance or other reasons, it would have a material adverse effect on our results of operations and financial condition. Approximately 9%, or $182 million, of our net sales for the year ended December 31, 2020 were from our Defense end market.</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future financial results may be adversely affected by:</w:t>
      </w:r>
    </w:p>
    <w:p>
      <w:pPr>
        <w:spacing w:after="0" w:line="133" w:lineRule="exact"/>
        <w:rPr>
          <w:sz w:val="20"/>
          <w:szCs w:val="20"/>
          <w:color w:val="auto"/>
        </w:rPr>
      </w:pPr>
    </w:p>
    <w:p>
      <w:pPr>
        <w:ind w:left="800" w:hanging="207"/>
        <w:spacing w:after="0"/>
        <w:tabs>
          <w:tab w:leader="none" w:pos="80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declines in, or uncertainty regarding, U.S. or foreign government defense budgets;</w:t>
      </w:r>
    </w:p>
    <w:p>
      <w:pPr>
        <w:spacing w:after="0" w:line="26" w:lineRule="exact"/>
        <w:rPr>
          <w:rFonts w:ascii="Times New Roman" w:cs="Times New Roman" w:eastAsia="Times New Roman" w:hAnsi="Times New Roman"/>
          <w:sz w:val="16"/>
          <w:szCs w:val="16"/>
          <w:color w:val="auto"/>
        </w:rPr>
      </w:pPr>
    </w:p>
    <w:p>
      <w:pPr>
        <w:ind w:left="800" w:right="520" w:hanging="207"/>
        <w:spacing w:after="0" w:line="234" w:lineRule="auto"/>
        <w:tabs>
          <w:tab w:leader="none" w:pos="80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curtailment of the U.S. government’s use of technology or other services and product providers, including curtailment due to government budget reductions, future government shutdowns and related fiscal matters;</w:t>
      </w:r>
    </w:p>
    <w:p>
      <w:pPr>
        <w:ind w:left="800" w:hanging="207"/>
        <w:spacing w:after="0"/>
        <w:tabs>
          <w:tab w:leader="none" w:pos="80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geopolitical developments, including economic sanctions, that affect demand for our products and services;</w:t>
      </w:r>
    </w:p>
    <w:p>
      <w:pPr>
        <w:spacing w:after="0" w:line="6" w:lineRule="exact"/>
        <w:rPr>
          <w:rFonts w:ascii="Times New Roman" w:cs="Times New Roman" w:eastAsia="Times New Roman" w:hAnsi="Times New Roman"/>
          <w:sz w:val="16"/>
          <w:szCs w:val="16"/>
          <w:color w:val="auto"/>
        </w:rPr>
      </w:pPr>
    </w:p>
    <w:p>
      <w:pPr>
        <w:ind w:left="800" w:hanging="207"/>
        <w:spacing w:after="0"/>
        <w:tabs>
          <w:tab w:leader="none" w:pos="80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technological developments that impact purchasing decisions or our competitive position; and</w:t>
      </w:r>
    </w:p>
    <w:p>
      <w:pPr>
        <w:spacing w:after="0" w:line="14" w:lineRule="exact"/>
        <w:rPr>
          <w:rFonts w:ascii="Times New Roman" w:cs="Times New Roman" w:eastAsia="Times New Roman" w:hAnsi="Times New Roman"/>
          <w:sz w:val="16"/>
          <w:szCs w:val="16"/>
          <w:color w:val="auto"/>
        </w:rPr>
      </w:pPr>
    </w:p>
    <w:p>
      <w:pPr>
        <w:ind w:left="800" w:hanging="207"/>
        <w:spacing w:after="0"/>
        <w:tabs>
          <w:tab w:leader="none" w:pos="80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increased regulatory requirements for defense contractors.</w:t>
      </w:r>
    </w:p>
    <w:p>
      <w:pPr>
        <w:spacing w:after="0" w:line="193" w:lineRule="exact"/>
        <w:rPr>
          <w:sz w:val="20"/>
          <w:szCs w:val="20"/>
          <w:color w:val="auto"/>
        </w:rPr>
      </w:pPr>
    </w:p>
    <w:p>
      <w:pPr>
        <w:ind w:left="400" w:right="20"/>
        <w:spacing w:after="0" w:line="273" w:lineRule="auto"/>
        <w:rPr>
          <w:sz w:val="20"/>
          <w:szCs w:val="20"/>
          <w:color w:val="auto"/>
        </w:rPr>
      </w:pPr>
      <w:r>
        <w:rPr>
          <w:rFonts w:ascii="Arial" w:cs="Arial" w:eastAsia="Arial" w:hAnsi="Arial"/>
          <w:sz w:val="16"/>
          <w:szCs w:val="16"/>
          <w:b w:val="1"/>
          <w:bCs w:val="1"/>
          <w:i w:val="1"/>
          <w:iCs w:val="1"/>
          <w:color w:val="auto"/>
        </w:rPr>
        <w:t>Our brand and reputation are dependent on the continued participation and level of service of our numerous independent distributors and dealers.</w:t>
      </w:r>
    </w:p>
    <w:p>
      <w:pPr>
        <w:spacing w:after="0" w:line="73" w:lineRule="exact"/>
        <w:rPr>
          <w:sz w:val="20"/>
          <w:szCs w:val="20"/>
          <w:color w:val="auto"/>
        </w:rPr>
      </w:pPr>
    </w:p>
    <w:p>
      <w:pPr>
        <w:ind w:right="80" w:firstLine="522"/>
        <w:spacing w:after="0" w:line="255" w:lineRule="auto"/>
        <w:rPr>
          <w:sz w:val="20"/>
          <w:szCs w:val="20"/>
          <w:color w:val="auto"/>
        </w:rPr>
      </w:pPr>
      <w:r>
        <w:rPr>
          <w:rFonts w:ascii="Arial" w:cs="Arial" w:eastAsia="Arial" w:hAnsi="Arial"/>
          <w:sz w:val="15"/>
          <w:szCs w:val="15"/>
          <w:color w:val="auto"/>
        </w:rPr>
        <w:t>We work with a network of approximately 1,400 independent distributors and dealers that provide post-sale service, service parts and support equipment. Because we depend on the pull-through demand generated by end users for our products, any actions by the independent distributors or dealers, which are not in our control, may harm our reputation and damage the brand loyalty among our customer base. In the event that we are not able to maintain our brand reputation because of the actions of our independent distributors and dealers, we may face difficulty in maintaining our pricing positions with respect to some of our products or have reduced demand for our products, which could negatively impact our business, results of operations and financial condition. In addition, if a significant number of independent dealers were to terminate their contracts, it could adversely impact our business, results of operations and financial condition.</w:t>
      </w:r>
    </w:p>
    <w:p>
      <w:pPr>
        <w:spacing w:after="0" w:line="147" w:lineRule="exact"/>
        <w:rPr>
          <w:sz w:val="20"/>
          <w:szCs w:val="20"/>
          <w:color w:val="auto"/>
        </w:rPr>
      </w:pPr>
    </w:p>
    <w:p>
      <w:pPr>
        <w:ind w:left="400"/>
        <w:spacing w:after="0" w:line="273" w:lineRule="auto"/>
        <w:rPr>
          <w:sz w:val="20"/>
          <w:szCs w:val="20"/>
          <w:color w:val="auto"/>
        </w:rPr>
      </w:pPr>
      <w:r>
        <w:rPr>
          <w:rFonts w:ascii="Arial" w:cs="Arial" w:eastAsia="Arial" w:hAnsi="Arial"/>
          <w:sz w:val="16"/>
          <w:szCs w:val="16"/>
          <w:b w:val="1"/>
          <w:bCs w:val="1"/>
          <w:i w:val="1"/>
          <w:iCs w:val="1"/>
          <w:color w:val="auto"/>
        </w:rPr>
        <w:t>We are subject to cybersecurity risks to operational systems, security systems, or infrastructure owned by Allison or third-party vendors or suppliers.</w:t>
      </w:r>
    </w:p>
    <w:p>
      <w:pPr>
        <w:spacing w:after="0" w:line="73" w:lineRule="exact"/>
        <w:rPr>
          <w:sz w:val="20"/>
          <w:szCs w:val="20"/>
          <w:color w:val="auto"/>
        </w:rPr>
      </w:pPr>
    </w:p>
    <w:p>
      <w:pPr>
        <w:ind w:right="20" w:firstLine="522"/>
        <w:spacing w:after="0" w:line="233" w:lineRule="auto"/>
        <w:rPr>
          <w:sz w:val="20"/>
          <w:szCs w:val="20"/>
          <w:color w:val="auto"/>
        </w:rPr>
      </w:pPr>
      <w:r>
        <w:rPr>
          <w:rFonts w:ascii="Arial" w:cs="Arial" w:eastAsia="Arial" w:hAnsi="Arial"/>
          <w:sz w:val="16"/>
          <w:szCs w:val="16"/>
          <w:color w:val="auto"/>
        </w:rPr>
        <w:t>We are at risk for interruptions, outages, and breaches of: (i) operational systems, including business, financial, accounting, product development, data processing, or manufacturing processes, owned by us or our third-party vendors or suppliers; (ii) facility security systems, owned by us or our third-party vendors or suppliers; and/or (iii) transmission control modules or other in-product technology, owned by us or our third-party vendors or suppliers. Such cyber incidents could materially disrupt operational systems; result in loss of intellectual property, trade secrets or other proprietary or competitively sensitive information; compromise personally identifiable information of employees, customers, suppliers, or others; jeopardize the security of our facilities; and/or affect the performance of transmission control modules or other in-product technology. A cyber incident could be caused by malicious third parties using sophisticated, targeted methods to circumvent firewalls, encryption, and other security defenses, including hacking, fraud, trickery, or other forms of deception. The techniques used by third parties change frequently and may be difficult to detect for long periods of time. A significant cyber incident could impact production capability, harm our reputation and/or subject us to regulatory actions or litigation, any of which could materially affect our business, results of operations and financial condition. While we utilize a number of measures to prevent, detect and mitigate these threats, including employee education, monitoring of networks and systems, and maintenance of backup and protective systems, there is no guarantee such efforts will be successful in preventing a cyber incident. As a result of the COVID-19 pandemic, a significant subset of our global salaried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640"/>
        <w:spacing w:after="0" w:line="265" w:lineRule="auto"/>
        <w:rPr>
          <w:sz w:val="20"/>
          <w:szCs w:val="20"/>
          <w:color w:val="auto"/>
        </w:rPr>
      </w:pPr>
      <w:r>
        <w:rPr>
          <w:rFonts w:ascii="Arial" w:cs="Arial" w:eastAsia="Arial" w:hAnsi="Arial"/>
          <w:sz w:val="16"/>
          <w:szCs w:val="16"/>
          <w:color w:val="auto"/>
        </w:rPr>
        <w:t>employees are working remotely, which may pose a heightened risk for cyber incidents, including cybersecurity attacks and unauthorized dissemination of proprietary or confidential information, or other disruptions of our operational systems, security systems or infrastructure.</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In the event of a catastrophic loss of our key manufacturing facility, our business would be adversely affected.</w:t>
      </w:r>
    </w:p>
    <w:p>
      <w:pPr>
        <w:spacing w:after="0" w:line="131" w:lineRule="exact"/>
        <w:rPr>
          <w:sz w:val="20"/>
          <w:szCs w:val="20"/>
          <w:color w:val="auto"/>
        </w:rPr>
      </w:pPr>
    </w:p>
    <w:p>
      <w:pPr>
        <w:ind w:right="20" w:firstLine="522"/>
        <w:spacing w:after="0" w:line="234" w:lineRule="auto"/>
        <w:rPr>
          <w:sz w:val="20"/>
          <w:szCs w:val="20"/>
          <w:color w:val="auto"/>
        </w:rPr>
      </w:pPr>
      <w:r>
        <w:rPr>
          <w:rFonts w:ascii="Arial" w:cs="Arial" w:eastAsia="Arial" w:hAnsi="Arial"/>
          <w:sz w:val="16"/>
          <w:szCs w:val="16"/>
          <w:color w:val="auto"/>
        </w:rPr>
        <w:t>While we manufacture our products in several facilities and maintain insurance covering our facilities, including business interruption insurance, a catastrophic loss of the use of all or a portion of one of our manufacturing facilities due to accident, labor issues, weather conditions, acts of war, political unrest, terrorist activity, natural disaster, public health crisis, such as pandemics and epidemics or otherwise, whether short- or long-term, would have a material adverse effect on our business, results of operations and financial condition. Our most significant concentration of manufacturing is around our corporate headquarters in Indianapolis, Indiana, where we produce approximately 90% of our transmissions. In addition to our Indianapolis manufacturing facilities, we currently operate manufacturing facilities for our fully electric propulsion solutions in Auburn Hills, Michigan, for our transmissions in both Szentgotthard, Hungary and Chennai, India and for our aluminum die cast components in Lewisburg, Tennessee. In the event of a disruption at the Indianapolis facilities, our other facilities may not be adequately equipped to operate at a level sufficient to compensate for the volume of production at the Indianapolis facility due to their size and the fact that they have not yet been tested for such significant increases in production volume.</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Labor unrest could have a material adverse effect on our business, results of operations and financial condition.</w:t>
      </w:r>
    </w:p>
    <w:p>
      <w:pPr>
        <w:spacing w:after="0" w:line="131" w:lineRule="exact"/>
        <w:rPr>
          <w:sz w:val="20"/>
          <w:szCs w:val="20"/>
          <w:color w:val="auto"/>
        </w:rPr>
      </w:pPr>
    </w:p>
    <w:p>
      <w:pPr>
        <w:ind w:right="100" w:firstLine="522"/>
        <w:spacing w:after="0" w:line="299" w:lineRule="auto"/>
        <w:rPr>
          <w:sz w:val="20"/>
          <w:szCs w:val="20"/>
          <w:color w:val="auto"/>
        </w:rPr>
      </w:pPr>
      <w:r>
        <w:rPr>
          <w:rFonts w:ascii="Arial" w:cs="Arial" w:eastAsia="Arial" w:hAnsi="Arial"/>
          <w:sz w:val="15"/>
          <w:szCs w:val="15"/>
          <w:color w:val="auto"/>
        </w:rPr>
        <w:t>As of December 31, 2020, approximately 47% of our U.S. employees, representing approximately 42% of our total employees, were represented by the UAW and are subject to a collective bargaining agreement. Our current collective bargaining agreement with UAW Local 933 is effective through November 2023.</w:t>
      </w:r>
    </w:p>
    <w:p>
      <w:pPr>
        <w:spacing w:after="0" w:line="63" w:lineRule="exact"/>
        <w:rPr>
          <w:sz w:val="20"/>
          <w:szCs w:val="20"/>
          <w:color w:val="auto"/>
        </w:rPr>
      </w:pPr>
    </w:p>
    <w:p>
      <w:pPr>
        <w:ind w:right="40" w:firstLine="522"/>
        <w:spacing w:after="0" w:line="241" w:lineRule="auto"/>
        <w:rPr>
          <w:sz w:val="20"/>
          <w:szCs w:val="20"/>
          <w:color w:val="auto"/>
        </w:rPr>
      </w:pPr>
      <w:r>
        <w:rPr>
          <w:rFonts w:ascii="Arial" w:cs="Arial" w:eastAsia="Arial" w:hAnsi="Arial"/>
          <w:sz w:val="16"/>
          <w:szCs w:val="16"/>
          <w:color w:val="auto"/>
        </w:rPr>
        <w:t>In addition to our unionized work force, many of our direct and indirect customers and vendors have unionized work forces. Strikes, work stoppages or slowdowns experienced by these customers or vendors or their other suppliers could result in slowdowns or closings of assembly plants that use our products or supply materials for use in the production of our products. Organizations responsible for shipping our products may also be impacted by strikes. Any interruption in the delivery of our products could reduce demand for our products and could have a material adverse effect on us.</w:t>
      </w:r>
    </w:p>
    <w:p>
      <w:pPr>
        <w:spacing w:after="0" w:line="106" w:lineRule="exact"/>
        <w:rPr>
          <w:sz w:val="20"/>
          <w:szCs w:val="20"/>
          <w:color w:val="auto"/>
        </w:rPr>
      </w:pPr>
    </w:p>
    <w:p>
      <w:pPr>
        <w:ind w:right="40" w:firstLine="522"/>
        <w:spacing w:after="0" w:line="247" w:lineRule="auto"/>
        <w:rPr>
          <w:sz w:val="20"/>
          <w:szCs w:val="20"/>
          <w:color w:val="auto"/>
        </w:rPr>
      </w:pPr>
      <w:r>
        <w:rPr>
          <w:rFonts w:ascii="Arial" w:cs="Arial" w:eastAsia="Arial" w:hAnsi="Arial"/>
          <w:sz w:val="16"/>
          <w:szCs w:val="16"/>
          <w:color w:val="auto"/>
        </w:rPr>
        <w:t>In general, we consider our labor relations with all of our employees to be good. However, in the future we may be subject to labor unrest. If strikes, work stoppages or lock-outs at our facilities or at the facilities of our vendors or customers occur or continue for a long period of time, our business, results of operations and financial condition may be materially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Strategic Risks</w:t>
      </w:r>
    </w:p>
    <w:p>
      <w:pPr>
        <w:spacing w:after="0" w:line="180" w:lineRule="exact"/>
        <w:rPr>
          <w:sz w:val="20"/>
          <w:szCs w:val="20"/>
          <w:color w:val="auto"/>
        </w:rPr>
      </w:pPr>
    </w:p>
    <w:p>
      <w:pPr>
        <w:ind w:left="400" w:right="20"/>
        <w:spacing w:after="0" w:line="273" w:lineRule="auto"/>
        <w:rPr>
          <w:sz w:val="20"/>
          <w:szCs w:val="20"/>
          <w:color w:val="auto"/>
        </w:rPr>
      </w:pPr>
      <w:r>
        <w:rPr>
          <w:rFonts w:ascii="Arial" w:cs="Arial" w:eastAsia="Arial" w:hAnsi="Arial"/>
          <w:sz w:val="16"/>
          <w:szCs w:val="16"/>
          <w:b w:val="1"/>
          <w:bCs w:val="1"/>
          <w:i w:val="1"/>
          <w:iCs w:val="1"/>
          <w:color w:val="auto"/>
        </w:rPr>
        <w:t>Our success depends on research and development efforts, and we may not be successful in developing or introducing new products and technologies and responding to customer needs.</w:t>
      </w:r>
    </w:p>
    <w:p>
      <w:pPr>
        <w:spacing w:after="0" w:line="73" w:lineRule="exact"/>
        <w:rPr>
          <w:sz w:val="20"/>
          <w:szCs w:val="20"/>
          <w:color w:val="auto"/>
        </w:rPr>
      </w:pPr>
    </w:p>
    <w:p>
      <w:pPr>
        <w:ind w:firstLine="522"/>
        <w:spacing w:after="0" w:line="237" w:lineRule="auto"/>
        <w:rPr>
          <w:sz w:val="20"/>
          <w:szCs w:val="20"/>
          <w:color w:val="auto"/>
        </w:rPr>
      </w:pPr>
      <w:r>
        <w:rPr>
          <w:rFonts w:ascii="Arial" w:cs="Arial" w:eastAsia="Arial" w:hAnsi="Arial"/>
          <w:sz w:val="16"/>
          <w:szCs w:val="16"/>
          <w:color w:val="auto"/>
        </w:rPr>
        <w:t>Our success depends on our ability to develop or introduce new products and technologies and improve the efficiency and performance of our current products, and we invest significant resources in research and development in order to do so. We currently have enhancements to our existing products and technologies and new products and technologies under development, including electric hybrid and fully electric propulsion solutions, for planned introduction into certain end markets. The development of new products and technologies is difficult, time-consuming and costly and the timetable for commercial release is uncertain. Not all of our new product launches have been successful, and we may not be successful in the future in introducing other new products and responding to customer needs. In addition, it often takes significant time, in some cases multiple fleet buy cycles,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color w:val="auto"/>
        </w:rPr>
        <w:t>before customers gain experience with new products and technologies and those new products and technologies become widely-accepted by the market, if at all. Given the early stages of development of some of these new products and technologies, there can be no guarantee of future market acceptance and investment returns with respect to these products. In addition, the increased adoption of electric propulsion solutions could result in lower demand for our fully automatic transmissions and, over time, the demand for related service parts and support equipment, which would impact our margins. If we do not adequately anticipate the changing needs of our customers by keeping pace with improvements and changes in transmission-related or vehicle propulsion technology and developing and introducing new and effective products and technologies on a timely basis, or if the products and technologies we develop do not become market-leading, our competitive position and prospects could be harmed. If our competitors are able to respond to changing market demands and adopt new technologies more quickly than we do, demand for our products could decline, our competitive position could be harmed, our future research and development activities may be constrained due to intellectual property rights of others, licenses for technologies that would enable us to keep pace with our competitors may not be available on commercially reasonable terms if at all and we may not be able to recoup a return on our development investments. Moreover, changing customer demands as well as evolving regulatory, safety and environmental standards could require us to adapt our products and technologies to address such changes. As a result, in the future we may experience delays in the introduction of some or all of our new products or modifications or enhancements of existing products. Furthermore, there may be production delays due to unanticipated technological setbacks, which may, in turn, delay the release of new products to our end users. If we experience significant delays or increased costs in the production, launch or acceptance of our products and technologies, our net sales and results of operations may be materially adversely affected.</w:t>
      </w:r>
    </w:p>
    <w:p>
      <w:pPr>
        <w:spacing w:after="0" w:line="164" w:lineRule="exact"/>
        <w:rPr>
          <w:sz w:val="20"/>
          <w:szCs w:val="20"/>
          <w:color w:val="auto"/>
        </w:rPr>
      </w:pPr>
    </w:p>
    <w:p>
      <w:pPr>
        <w:ind w:left="400"/>
        <w:spacing w:after="0" w:line="273" w:lineRule="auto"/>
        <w:rPr>
          <w:sz w:val="20"/>
          <w:szCs w:val="20"/>
          <w:color w:val="auto"/>
        </w:rPr>
      </w:pPr>
      <w:r>
        <w:rPr>
          <w:rFonts w:ascii="Arial" w:cs="Arial" w:eastAsia="Arial" w:hAnsi="Arial"/>
          <w:sz w:val="16"/>
          <w:szCs w:val="16"/>
          <w:b w:val="1"/>
          <w:bCs w:val="1"/>
          <w:i w:val="1"/>
          <w:iCs w:val="1"/>
          <w:color w:val="auto"/>
        </w:rPr>
        <w:t>Our long-term growth prospects and results of operations may be impaired if the rate of adoption of fully automatic transmissions in commercial vehicles outside North America does not increase.</w:t>
      </w:r>
    </w:p>
    <w:p>
      <w:pPr>
        <w:spacing w:after="0" w:line="73" w:lineRule="exact"/>
        <w:rPr>
          <w:sz w:val="20"/>
          <w:szCs w:val="20"/>
          <w:color w:val="auto"/>
        </w:rPr>
      </w:pPr>
    </w:p>
    <w:p>
      <w:pPr>
        <w:ind w:right="260" w:firstLine="522"/>
        <w:spacing w:after="0" w:line="235" w:lineRule="auto"/>
        <w:rPr>
          <w:sz w:val="20"/>
          <w:szCs w:val="20"/>
          <w:color w:val="auto"/>
        </w:rPr>
      </w:pPr>
      <w:r>
        <w:rPr>
          <w:rFonts w:ascii="Arial" w:cs="Arial" w:eastAsia="Arial" w:hAnsi="Arial"/>
          <w:sz w:val="16"/>
          <w:szCs w:val="16"/>
          <w:color w:val="auto"/>
        </w:rPr>
        <w:t>Our long-term growth strategy depends in part on an increased rate of automaticity outside North America. As part of that strategy, we have established manufacturing facilities in India and Hungary. We have also dedicated significant human resources to serve markets where we anticipate increased adoption of automaticity, including China, India, Brazil and Russia. However, manual transmissions remain the market leader outside North America and there can be no assurance that adoption of automatic transmissions will increase. Factors potentially impacting adoption of automatic transmissions outside of North America include the large existing installed base of manual transmissions, customer preferences for manual transmissions, commercial vehicle OEM vertical integration into manual transmission and AMT manufacturing, increased competition from AMTs, electric propulsion solutions, and other alternative transmission and propulsion solution technologies and failure to further develop the Allison brand. If the rate of adoption of fully automatic transmissions does not increase as we have anticipated, our long-term growth prospects and results of operations may be impaired.</w:t>
      </w:r>
    </w:p>
    <w:p>
      <w:pPr>
        <w:spacing w:after="0" w:line="158" w:lineRule="exact"/>
        <w:rPr>
          <w:sz w:val="20"/>
          <w:szCs w:val="20"/>
          <w:color w:val="auto"/>
        </w:rPr>
      </w:pPr>
    </w:p>
    <w:p>
      <w:pPr>
        <w:ind w:left="400"/>
        <w:spacing w:after="0" w:line="273" w:lineRule="auto"/>
        <w:rPr>
          <w:sz w:val="20"/>
          <w:szCs w:val="20"/>
          <w:color w:val="auto"/>
        </w:rPr>
      </w:pPr>
      <w:r>
        <w:rPr>
          <w:rFonts w:ascii="Arial" w:cs="Arial" w:eastAsia="Arial" w:hAnsi="Arial"/>
          <w:sz w:val="16"/>
          <w:szCs w:val="16"/>
          <w:b w:val="1"/>
          <w:bCs w:val="1"/>
          <w:i w:val="1"/>
          <w:iCs w:val="1"/>
          <w:color w:val="auto"/>
        </w:rPr>
        <w:t>Our international operations, in particular our emerging markets, are subject to various risks which could have a material adverse effect on our business, results of operations and financial condition.</w:t>
      </w:r>
    </w:p>
    <w:p>
      <w:pPr>
        <w:spacing w:after="0" w:line="73" w:lineRule="exact"/>
        <w:rPr>
          <w:sz w:val="20"/>
          <w:szCs w:val="20"/>
          <w:color w:val="auto"/>
        </w:rPr>
      </w:pPr>
    </w:p>
    <w:p>
      <w:pPr>
        <w:ind w:right="120" w:firstLine="522"/>
        <w:spacing w:after="0" w:line="239" w:lineRule="auto"/>
        <w:rPr>
          <w:sz w:val="20"/>
          <w:szCs w:val="20"/>
          <w:color w:val="auto"/>
        </w:rPr>
      </w:pPr>
      <w:r>
        <w:rPr>
          <w:rFonts w:ascii="Arial" w:cs="Arial" w:eastAsia="Arial" w:hAnsi="Arial"/>
          <w:sz w:val="16"/>
          <w:szCs w:val="16"/>
          <w:color w:val="auto"/>
        </w:rPr>
        <w:t>Our business is subject to certain risks associated with doing business internationally, particularly in emerging markets. Outside-North America net sales represented approximately 21% of our net sales for 2020. Most of our operations are in the U.S., but we also have manufacturing and customization facilities in India and Hungary with a services agreement with Stellantis NV and customization capability in Brazil, The Netherlands, China and Japan. Further, we intend to continue to pursue growth opportunities for our business in a variety of business environments outside the U.S., which could exacerbate the risks set forth below. Our international operations are subject to, without limitation, the following risks:</w:t>
      </w:r>
    </w:p>
    <w:p>
      <w:pPr>
        <w:spacing w:after="0" w:line="105" w:lineRule="exact"/>
        <w:rPr>
          <w:sz w:val="20"/>
          <w:szCs w:val="20"/>
          <w:color w:val="auto"/>
        </w:rPr>
      </w:pPr>
    </w:p>
    <w:p>
      <w:pPr>
        <w:ind w:left="5540" w:right="1900" w:hanging="4959"/>
        <w:spacing w:after="0" w:line="540" w:lineRule="auto"/>
        <w:tabs>
          <w:tab w:leader="none" w:pos="772"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the burden of complying with multiple and possibly conflicting laws and any unexpected changes in regulatory requirements;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15010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3" w:lineRule="exact"/>
        <w:rPr>
          <w:sz w:val="20"/>
          <w:szCs w:val="20"/>
          <w:color w:val="auto"/>
        </w:rPr>
      </w:pPr>
    </w:p>
    <w:p>
      <w:pPr>
        <w:ind w:left="760" w:right="380" w:hanging="179"/>
        <w:spacing w:after="0" w:line="242" w:lineRule="auto"/>
        <w:tabs>
          <w:tab w:leader="none" w:pos="7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foreign currency exchange controls, sanctions, import and export restrictions and tariffs, including restrictions promulgated by the Office of Foreign Assets Control of the U.S. Department of the Treasury, and other trade protection regulations and measures;</w:t>
      </w:r>
    </w:p>
    <w:p>
      <w:pPr>
        <w:ind w:left="760" w:right="340" w:hanging="179"/>
        <w:spacing w:after="0" w:line="229" w:lineRule="auto"/>
        <w:tabs>
          <w:tab w:leader="none" w:pos="7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political risks, including increased trade protectionism and risks of loss due to civil disturbances, acts of terrorism, acts of war, guerilla activities and insurrection;</w:t>
      </w:r>
    </w:p>
    <w:p>
      <w:pPr>
        <w:ind w:left="760" w:hanging="179"/>
        <w:spacing w:after="0"/>
        <w:tabs>
          <w:tab w:leader="none" w:pos="7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unstable economic, financial and market conditions and increased expenses as a result of inflation or higher interest rates;</w:t>
      </w:r>
    </w:p>
    <w:p>
      <w:pPr>
        <w:spacing w:after="0" w:line="6" w:lineRule="exact"/>
        <w:rPr>
          <w:rFonts w:ascii="Times New Roman" w:cs="Times New Roman" w:eastAsia="Times New Roman" w:hAnsi="Times New Roman"/>
          <w:sz w:val="16"/>
          <w:szCs w:val="16"/>
          <w:color w:val="auto"/>
        </w:rPr>
      </w:pPr>
    </w:p>
    <w:p>
      <w:pPr>
        <w:ind w:left="760" w:hanging="179"/>
        <w:spacing w:after="0"/>
        <w:tabs>
          <w:tab w:leader="none" w:pos="760" w:val="left"/>
        </w:tabs>
        <w:numPr>
          <w:ilvl w:val="0"/>
          <w:numId w:val="6"/>
        </w:numPr>
        <w:rPr>
          <w:rFonts w:ascii="Times New Roman" w:cs="Times New Roman" w:eastAsia="Times New Roman" w:hAnsi="Times New Roman"/>
          <w:sz w:val="15"/>
          <w:szCs w:val="15"/>
          <w:color w:val="auto"/>
        </w:rPr>
      </w:pPr>
      <w:r>
        <w:rPr>
          <w:rFonts w:ascii="Arial" w:cs="Arial" w:eastAsia="Arial" w:hAnsi="Arial"/>
          <w:sz w:val="15"/>
          <w:szCs w:val="15"/>
          <w:color w:val="auto"/>
        </w:rPr>
        <w:t>difficulties in enforcement of third-party contractual obligations and intellectual property rights and collecting receivables through foreign legal systems;</w:t>
      </w:r>
    </w:p>
    <w:p>
      <w:pPr>
        <w:spacing w:after="0" w:line="26" w:lineRule="exact"/>
        <w:rPr>
          <w:rFonts w:ascii="Times New Roman" w:cs="Times New Roman" w:eastAsia="Times New Roman" w:hAnsi="Times New Roman"/>
          <w:sz w:val="15"/>
          <w:szCs w:val="15"/>
          <w:color w:val="auto"/>
        </w:rPr>
      </w:pPr>
    </w:p>
    <w:p>
      <w:pPr>
        <w:ind w:left="760" w:hanging="179"/>
        <w:spacing w:after="0"/>
        <w:tabs>
          <w:tab w:leader="none" w:pos="7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difficulty in staffing and managing international operations and the application of foreign labor regulations;</w:t>
      </w:r>
    </w:p>
    <w:p>
      <w:pPr>
        <w:spacing w:after="0" w:line="14" w:lineRule="exact"/>
        <w:rPr>
          <w:rFonts w:ascii="Times New Roman" w:cs="Times New Roman" w:eastAsia="Times New Roman" w:hAnsi="Times New Roman"/>
          <w:sz w:val="16"/>
          <w:szCs w:val="16"/>
          <w:color w:val="auto"/>
        </w:rPr>
      </w:pPr>
    </w:p>
    <w:p>
      <w:pPr>
        <w:ind w:left="760" w:hanging="179"/>
        <w:spacing w:after="0"/>
        <w:tabs>
          <w:tab w:leader="none" w:pos="7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local product preferences and product requirements;</w:t>
      </w:r>
    </w:p>
    <w:p>
      <w:pPr>
        <w:spacing w:after="0" w:line="14" w:lineRule="exact"/>
        <w:rPr>
          <w:rFonts w:ascii="Times New Roman" w:cs="Times New Roman" w:eastAsia="Times New Roman" w:hAnsi="Times New Roman"/>
          <w:sz w:val="16"/>
          <w:szCs w:val="16"/>
          <w:color w:val="auto"/>
        </w:rPr>
      </w:pPr>
    </w:p>
    <w:p>
      <w:pPr>
        <w:ind w:left="760" w:right="20" w:hanging="179"/>
        <w:spacing w:after="0" w:line="234" w:lineRule="auto"/>
        <w:tabs>
          <w:tab w:leader="none" w:pos="7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fluctuations in currency exchange rates to the extent that our assets or liabilities are denominated in a currency other than the functional currency of the country where we operate;</w:t>
      </w:r>
    </w:p>
    <w:p>
      <w:pPr>
        <w:ind w:left="760" w:right="440" w:hanging="179"/>
        <w:spacing w:after="0" w:line="229" w:lineRule="auto"/>
        <w:tabs>
          <w:tab w:leader="none" w:pos="7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potentially adverse tax consequences from changes in tax laws, requirements relating to withholding taxes on remittances and other payments by subsidiaries and restrictions on our ability to repatriate dividends from our subsidiaries; and</w:t>
      </w:r>
    </w:p>
    <w:p>
      <w:pPr>
        <w:ind w:left="760" w:right="80" w:hanging="179"/>
        <w:spacing w:after="0" w:line="239" w:lineRule="auto"/>
        <w:tabs>
          <w:tab w:leader="none" w:pos="7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exposure to liabilities under anti-corruption and anti-money laundering laws, including the U.S. Foreign Corrupt Practices Act (“FCPA”) and similar laws and regulations in other jurisdictions.</w:t>
      </w:r>
    </w:p>
    <w:p>
      <w:pPr>
        <w:spacing w:after="0" w:line="235" w:lineRule="exact"/>
        <w:rPr>
          <w:sz w:val="20"/>
          <w:szCs w:val="20"/>
          <w:color w:val="auto"/>
        </w:rPr>
      </w:pPr>
    </w:p>
    <w:p>
      <w:pPr>
        <w:ind w:right="160" w:firstLine="522"/>
        <w:spacing w:after="0" w:line="265" w:lineRule="auto"/>
        <w:rPr>
          <w:sz w:val="20"/>
          <w:szCs w:val="20"/>
          <w:color w:val="auto"/>
        </w:rPr>
      </w:pPr>
      <w:r>
        <w:rPr>
          <w:rFonts w:ascii="Arial" w:cs="Arial" w:eastAsia="Arial" w:hAnsi="Arial"/>
          <w:sz w:val="16"/>
          <w:szCs w:val="16"/>
          <w:color w:val="auto"/>
        </w:rPr>
        <w:t>Any one of these factors could materially adversely affect our sales of products or services to international customers or harm our reputation, which could have a material adverse effect on our business, results of operations and financial condition.</w:t>
      </w:r>
    </w:p>
    <w:p>
      <w:pPr>
        <w:spacing w:after="0" w:line="136" w:lineRule="exact"/>
        <w:rPr>
          <w:sz w:val="20"/>
          <w:szCs w:val="20"/>
          <w:color w:val="auto"/>
        </w:rPr>
      </w:pPr>
    </w:p>
    <w:p>
      <w:pPr>
        <w:ind w:left="400" w:right="20"/>
        <w:spacing w:after="0" w:line="273" w:lineRule="auto"/>
        <w:rPr>
          <w:sz w:val="20"/>
          <w:szCs w:val="20"/>
          <w:color w:val="auto"/>
        </w:rPr>
      </w:pPr>
      <w:r>
        <w:rPr>
          <w:rFonts w:ascii="Arial" w:cs="Arial" w:eastAsia="Arial" w:hAnsi="Arial"/>
          <w:sz w:val="16"/>
          <w:szCs w:val="16"/>
          <w:b w:val="1"/>
          <w:bCs w:val="1"/>
          <w:i w:val="1"/>
          <w:iCs w:val="1"/>
          <w:color w:val="auto"/>
        </w:rPr>
        <w:t>We may not be able to identify or consummate acquisitions or achieve expected benefits from or effectively integrate acquisitions, which could harm our growth.</w:t>
      </w:r>
    </w:p>
    <w:p>
      <w:pPr>
        <w:spacing w:after="0" w:line="73" w:lineRule="exact"/>
        <w:rPr>
          <w:sz w:val="20"/>
          <w:szCs w:val="20"/>
          <w:color w:val="auto"/>
        </w:rPr>
      </w:pPr>
    </w:p>
    <w:p>
      <w:pPr>
        <w:ind w:right="40" w:firstLine="522"/>
        <w:spacing w:after="0" w:line="265" w:lineRule="auto"/>
        <w:rPr>
          <w:sz w:val="20"/>
          <w:szCs w:val="20"/>
          <w:color w:val="auto"/>
        </w:rPr>
      </w:pPr>
      <w:r>
        <w:rPr>
          <w:rFonts w:ascii="Arial" w:cs="Arial" w:eastAsia="Arial" w:hAnsi="Arial"/>
          <w:sz w:val="16"/>
          <w:szCs w:val="16"/>
          <w:color w:val="auto"/>
        </w:rPr>
        <w:t>From time to time we evaluate selective acquisitions and strategic investments. Potential and completed acquisitions involve many risks that could have an adverse effect on our business, financial condition or results of operations, including:</w:t>
      </w:r>
    </w:p>
    <w:p>
      <w:pPr>
        <w:spacing w:after="0" w:line="87" w:lineRule="exact"/>
        <w:rPr>
          <w:sz w:val="20"/>
          <w:szCs w:val="20"/>
          <w:color w:val="auto"/>
        </w:rPr>
      </w:pPr>
    </w:p>
    <w:p>
      <w:pPr>
        <w:ind w:left="760" w:hanging="179"/>
        <w:spacing w:after="0" w:line="242" w:lineRule="auto"/>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identify suitable acquisition candidates, prevail against competing potential acquirers and negotiate and consummate acquisitions on terms attractive to us;</w:t>
      </w:r>
    </w:p>
    <w:p>
      <w:pPr>
        <w:jc w:val="both"/>
        <w:ind w:left="760" w:right="20" w:hanging="179"/>
        <w:spacing w:after="0" w:line="229" w:lineRule="auto"/>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difficulties in integrating personnel and sales forces, operations, manufacturing, logistics, research and development, information technology, communications, purchasing, accounting, marketing, administration and other systems and processes and otherwise assimilating the operations of the acquired company;</w:t>
      </w:r>
    </w:p>
    <w:p>
      <w:pPr>
        <w:spacing w:after="0" w:line="1" w:lineRule="exact"/>
        <w:rPr>
          <w:rFonts w:ascii="Times New Roman" w:cs="Times New Roman" w:eastAsia="Times New Roman" w:hAnsi="Times New Roman"/>
          <w:sz w:val="16"/>
          <w:szCs w:val="16"/>
          <w:color w:val="auto"/>
        </w:rPr>
      </w:pPr>
    </w:p>
    <w:p>
      <w:pPr>
        <w:ind w:left="760" w:hanging="179"/>
        <w:spacing w:after="0"/>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diversion of resources, including diverting management’s attention from our current operations;</w:t>
      </w:r>
    </w:p>
    <w:p>
      <w:pPr>
        <w:spacing w:after="0" w:line="6" w:lineRule="exact"/>
        <w:rPr>
          <w:rFonts w:ascii="Times New Roman" w:cs="Times New Roman" w:eastAsia="Times New Roman" w:hAnsi="Times New Roman"/>
          <w:sz w:val="16"/>
          <w:szCs w:val="16"/>
          <w:color w:val="auto"/>
        </w:rPr>
      </w:pPr>
    </w:p>
    <w:p>
      <w:pPr>
        <w:ind w:left="760" w:hanging="179"/>
        <w:spacing w:after="0"/>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risks of entering new geographic or product markets in which we have limited or no direct prior experience;</w:t>
      </w:r>
    </w:p>
    <w:p>
      <w:pPr>
        <w:spacing w:after="0" w:line="14" w:lineRule="exact"/>
        <w:rPr>
          <w:rFonts w:ascii="Times New Roman" w:cs="Times New Roman" w:eastAsia="Times New Roman" w:hAnsi="Times New Roman"/>
          <w:sz w:val="16"/>
          <w:szCs w:val="16"/>
          <w:color w:val="auto"/>
        </w:rPr>
      </w:pPr>
    </w:p>
    <w:p>
      <w:pPr>
        <w:ind w:left="760" w:right="20" w:hanging="179"/>
        <w:spacing w:after="0" w:line="234" w:lineRule="auto"/>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potential loss of key customers, employees or suppliers of the acquired company or adverse effects on our existing business relationships with our suppliers and customers;</w:t>
      </w:r>
    </w:p>
    <w:p>
      <w:pPr>
        <w:ind w:left="760" w:hanging="179"/>
        <w:spacing w:after="0"/>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potential incurrence of indebtedness to fund the acquisition;</w:t>
      </w:r>
    </w:p>
    <w:p>
      <w:pPr>
        <w:spacing w:after="0" w:line="6" w:lineRule="exact"/>
        <w:rPr>
          <w:rFonts w:ascii="Times New Roman" w:cs="Times New Roman" w:eastAsia="Times New Roman" w:hAnsi="Times New Roman"/>
          <w:sz w:val="16"/>
          <w:szCs w:val="16"/>
          <w:color w:val="auto"/>
        </w:rPr>
      </w:pPr>
    </w:p>
    <w:p>
      <w:pPr>
        <w:ind w:left="760" w:hanging="179"/>
        <w:spacing w:after="0"/>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acquired business not achieving anticipated revenues, earnings, cash flow or market share;</w:t>
      </w:r>
    </w:p>
    <w:p>
      <w:pPr>
        <w:spacing w:after="0" w:line="14" w:lineRule="exact"/>
        <w:rPr>
          <w:rFonts w:ascii="Times New Roman" w:cs="Times New Roman" w:eastAsia="Times New Roman" w:hAnsi="Times New Roman"/>
          <w:sz w:val="16"/>
          <w:szCs w:val="16"/>
          <w:color w:val="auto"/>
        </w:rPr>
      </w:pPr>
    </w:p>
    <w:p>
      <w:pPr>
        <w:ind w:left="760" w:hanging="179"/>
        <w:spacing w:after="0"/>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excess capacity;</w:t>
      </w:r>
    </w:p>
    <w:p>
      <w:pPr>
        <w:spacing w:after="0" w:line="14" w:lineRule="exact"/>
        <w:rPr>
          <w:rFonts w:ascii="Times New Roman" w:cs="Times New Roman" w:eastAsia="Times New Roman" w:hAnsi="Times New Roman"/>
          <w:sz w:val="16"/>
          <w:szCs w:val="16"/>
          <w:color w:val="auto"/>
        </w:rPr>
      </w:pPr>
    </w:p>
    <w:p>
      <w:pPr>
        <w:ind w:left="760" w:hanging="179"/>
        <w:spacing w:after="0"/>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achieve the expected synergies or cost savings resulting from the acquisition;</w:t>
      </w:r>
    </w:p>
    <w:p>
      <w:pPr>
        <w:spacing w:after="0" w:line="14" w:lineRule="exact"/>
        <w:rPr>
          <w:rFonts w:ascii="Times New Roman" w:cs="Times New Roman" w:eastAsia="Times New Roman" w:hAnsi="Times New Roman"/>
          <w:sz w:val="16"/>
          <w:szCs w:val="16"/>
          <w:color w:val="auto"/>
        </w:rPr>
      </w:pPr>
    </w:p>
    <w:p>
      <w:pPr>
        <w:ind w:left="760" w:hanging="179"/>
        <w:spacing w:after="0"/>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need for additional investments post-acquisition that could be greater than anticipated;</w:t>
      </w:r>
    </w:p>
    <w:p>
      <w:pPr>
        <w:spacing w:after="0" w:line="14" w:lineRule="exact"/>
        <w:rPr>
          <w:rFonts w:ascii="Times New Roman" w:cs="Times New Roman" w:eastAsia="Times New Roman" w:hAnsi="Times New Roman"/>
          <w:sz w:val="16"/>
          <w:szCs w:val="16"/>
          <w:color w:val="auto"/>
        </w:rPr>
      </w:pPr>
    </w:p>
    <w:p>
      <w:pPr>
        <w:ind w:left="760" w:hanging="179"/>
        <w:spacing w:after="0"/>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U.S. and foreign competition laws and regulations on our ability to make certain acquisitions;</w:t>
      </w:r>
    </w:p>
    <w:p>
      <w:pPr>
        <w:spacing w:after="0" w:line="14" w:lineRule="exact"/>
        <w:rPr>
          <w:rFonts w:ascii="Times New Roman" w:cs="Times New Roman" w:eastAsia="Times New Roman" w:hAnsi="Times New Roman"/>
          <w:sz w:val="16"/>
          <w:szCs w:val="16"/>
          <w:color w:val="auto"/>
        </w:rPr>
      </w:pPr>
    </w:p>
    <w:p>
      <w:pPr>
        <w:ind w:left="760" w:hanging="179"/>
        <w:spacing w:after="0"/>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inaccurate assessment of undisclosed, contingent or other liabilities or problems and unanticipated costs associated with the acquisition;</w:t>
      </w:r>
    </w:p>
    <w:p>
      <w:pPr>
        <w:spacing w:after="0" w:line="14" w:lineRule="exact"/>
        <w:rPr>
          <w:rFonts w:ascii="Times New Roman" w:cs="Times New Roman" w:eastAsia="Times New Roman" w:hAnsi="Times New Roman"/>
          <w:sz w:val="16"/>
          <w:szCs w:val="16"/>
          <w:color w:val="auto"/>
        </w:rPr>
      </w:pPr>
    </w:p>
    <w:p>
      <w:pPr>
        <w:ind w:left="760" w:hanging="179"/>
        <w:spacing w:after="0" w:line="234" w:lineRule="auto"/>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incorrect estimates made in accounting for acquisitions, incurrence of non-recurring charges and write-off of significant amounts of goodwill that could adversely affect our financial results; and</w:t>
      </w:r>
    </w:p>
    <w:p>
      <w:pPr>
        <w:ind w:left="760" w:hanging="179"/>
        <w:spacing w:after="0"/>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dilution of earnings.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ind w:right="120" w:firstLine="522"/>
        <w:spacing w:after="0" w:line="263" w:lineRule="auto"/>
        <w:rPr>
          <w:sz w:val="20"/>
          <w:szCs w:val="20"/>
          <w:color w:val="auto"/>
        </w:rPr>
      </w:pPr>
      <w:r>
        <w:rPr>
          <w:rFonts w:ascii="Arial" w:cs="Arial" w:eastAsia="Arial" w:hAnsi="Arial"/>
          <w:sz w:val="15"/>
          <w:szCs w:val="15"/>
          <w:color w:val="auto"/>
        </w:rPr>
        <w:t>We may also face liability with respect to acquired businesses for violations of environmental or other laws occurring prior to the date of our acquisition, and some or all of these liabilities may not be covered by environmental or other insurance secured to mitigate the risk or by indemnification from the sellers from which we acquired these businesses. We could also incur significant costs, including, but not limited to, remediation costs, natural resources damages, civil or criminal fines and sanctions and third-party claims, as a result of past or future violations of, or liabilities associated with, environmental or other laws.</w:t>
      </w:r>
    </w:p>
    <w:p>
      <w:pPr>
        <w:spacing w:after="0" w:line="89" w:lineRule="exact"/>
        <w:rPr>
          <w:sz w:val="20"/>
          <w:szCs w:val="20"/>
          <w:color w:val="auto"/>
        </w:rPr>
      </w:pPr>
    </w:p>
    <w:p>
      <w:pPr>
        <w:ind w:right="40" w:firstLine="522"/>
        <w:spacing w:after="0" w:line="247" w:lineRule="auto"/>
        <w:rPr>
          <w:sz w:val="20"/>
          <w:szCs w:val="20"/>
          <w:color w:val="auto"/>
        </w:rPr>
      </w:pPr>
      <w:r>
        <w:rPr>
          <w:rFonts w:ascii="Arial" w:cs="Arial" w:eastAsia="Arial" w:hAnsi="Arial"/>
          <w:sz w:val="16"/>
          <w:szCs w:val="16"/>
          <w:color w:val="auto"/>
        </w:rPr>
        <w:t>We cannot offer any assurance that we will be able to consummate any future acquisitions, strategic investments or other business combinations. If we are unable to identify suitable acquisition candidates or to consummate and successfully integrate our recent and any future acquisitions, our business and results of operations may be adversely affected as a result.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and Regulatory Risks</w:t>
      </w:r>
    </w:p>
    <w:p>
      <w:pPr>
        <w:spacing w:after="0" w:line="180" w:lineRule="exact"/>
        <w:rPr>
          <w:sz w:val="20"/>
          <w:szCs w:val="20"/>
          <w:color w:val="auto"/>
        </w:rPr>
      </w:pPr>
    </w:p>
    <w:p>
      <w:pPr>
        <w:ind w:left="400"/>
        <w:spacing w:after="0" w:line="307" w:lineRule="auto"/>
        <w:rPr>
          <w:sz w:val="20"/>
          <w:szCs w:val="20"/>
          <w:color w:val="auto"/>
        </w:rPr>
      </w:pPr>
      <w:r>
        <w:rPr>
          <w:rFonts w:ascii="Arial" w:cs="Arial" w:eastAsia="Arial" w:hAnsi="Arial"/>
          <w:sz w:val="15"/>
          <w:szCs w:val="15"/>
          <w:b w:val="1"/>
          <w:bCs w:val="1"/>
          <w:i w:val="1"/>
          <w:iCs w:val="1"/>
          <w:color w:val="auto"/>
        </w:rPr>
        <w:t>Any events that impact our brand name, including if the products we manufacture or distribute are found to be defective, could have an adverse effect on our reputation, cause us to incur significant costs and negatively impact our business, results of operations and financial condition.</w:t>
      </w:r>
    </w:p>
    <w:p>
      <w:pPr>
        <w:spacing w:after="0" w:line="50" w:lineRule="exact"/>
        <w:rPr>
          <w:sz w:val="20"/>
          <w:szCs w:val="20"/>
          <w:color w:val="auto"/>
        </w:rPr>
      </w:pPr>
    </w:p>
    <w:p>
      <w:pPr>
        <w:ind w:right="40" w:firstLine="522"/>
        <w:spacing w:after="0" w:line="234" w:lineRule="auto"/>
        <w:rPr>
          <w:sz w:val="20"/>
          <w:szCs w:val="20"/>
          <w:color w:val="auto"/>
        </w:rPr>
      </w:pPr>
      <w:r>
        <w:rPr>
          <w:rFonts w:ascii="Arial" w:cs="Arial" w:eastAsia="Arial" w:hAnsi="Arial"/>
          <w:sz w:val="16"/>
          <w:szCs w:val="16"/>
          <w:color w:val="auto"/>
        </w:rPr>
        <w:t>We face exposure to product liability claims in the event that the use of our products has, or is alleged to have, resulted in injury, death or other adverse effects. We currently maintain product liability insurance coverage, but we cannot be assured that we will be able to obtain such insurance on acceptable terms in the future, if at all, or that any such insurance will provide adequate coverage against potential claims. Product liability claims can be expensive to defend and can divert the attention of management and other personnel for long periods of time, regardless of the ultimate outcome. An unsuccessful product liability defense could have a material adverse effect on our business, results of operation, financial condition or prospects. If one of our products is determined to be defective, we may face substantial warranty costs and may be responsible for significant costs associated with a product recall or a redesign. We have had defect and warranty issues associated with certain of our products in the past, and we cannot give assurance similar product defects will not occur in the future. See NOTE 10, “Product Warranty Liabilities” of Notes to Consolidated Financial Statements included in Part II, Item 8 of this Annual Report on Form 10-K for additional details regarding these warranty issues.</w:t>
      </w:r>
    </w:p>
    <w:p>
      <w:pPr>
        <w:spacing w:after="0" w:line="112" w:lineRule="exact"/>
        <w:rPr>
          <w:sz w:val="20"/>
          <w:szCs w:val="20"/>
          <w:color w:val="auto"/>
        </w:rPr>
      </w:pPr>
    </w:p>
    <w:p>
      <w:pPr>
        <w:ind w:right="120" w:firstLine="522"/>
        <w:spacing w:after="0" w:line="237" w:lineRule="auto"/>
        <w:rPr>
          <w:sz w:val="20"/>
          <w:szCs w:val="20"/>
          <w:color w:val="auto"/>
        </w:rPr>
      </w:pPr>
      <w:r>
        <w:rPr>
          <w:rFonts w:ascii="Arial" w:cs="Arial" w:eastAsia="Arial" w:hAnsi="Arial"/>
          <w:sz w:val="16"/>
          <w:szCs w:val="16"/>
          <w:color w:val="auto"/>
        </w:rPr>
        <w:t>Furthermore, our business depends on the strong brand reputation we believe we have developed. In addition to the risk of defective products, we also face significant risks in our efforts to penetrate new markets, where we have limited brand recognition. We also rely on our reputation with end users of our products to specify our products when purchasing new vehicles from our OEM customers. In the event we are not able to maintain or enhance our brand in these new markets or our reputation is damaged in our existing markets as a result of product defects or recalls, we may face difficulty in maintaining our pricing positions with respect to some of our products or experience reduced demand for our products, which could negatively impact our business, results of operations and financial condition.</w:t>
      </w:r>
    </w:p>
    <w:p>
      <w:pPr>
        <w:spacing w:after="0" w:line="108" w:lineRule="exact"/>
        <w:rPr>
          <w:sz w:val="20"/>
          <w:szCs w:val="20"/>
          <w:color w:val="auto"/>
        </w:rPr>
      </w:pPr>
    </w:p>
    <w:p>
      <w:pPr>
        <w:ind w:right="100" w:firstLine="522"/>
        <w:spacing w:after="0" w:line="247" w:lineRule="auto"/>
        <w:rPr>
          <w:sz w:val="20"/>
          <w:szCs w:val="20"/>
          <w:color w:val="auto"/>
        </w:rPr>
      </w:pPr>
      <w:r>
        <w:rPr>
          <w:rFonts w:ascii="Arial" w:cs="Arial" w:eastAsia="Arial" w:hAnsi="Arial"/>
          <w:sz w:val="16"/>
          <w:szCs w:val="16"/>
          <w:color w:val="auto"/>
        </w:rPr>
        <w:t>Additionally, we license the “Allison Transmission” name and certain related trademarks to third parties. If any third party uses the trade name “Allison Transmission” in ways that adversely affect such trade name or trademark, our reputation could suffer damage, which in turn could have a material adverse effect on our business, results of operations and financial condition.</w:t>
      </w:r>
    </w:p>
    <w:p>
      <w:pPr>
        <w:spacing w:after="0" w:line="150" w:lineRule="exact"/>
        <w:rPr>
          <w:sz w:val="20"/>
          <w:szCs w:val="20"/>
          <w:color w:val="auto"/>
        </w:rPr>
      </w:pPr>
    </w:p>
    <w:p>
      <w:pPr>
        <w:ind w:left="400"/>
        <w:spacing w:after="0" w:line="273" w:lineRule="auto"/>
        <w:rPr>
          <w:sz w:val="20"/>
          <w:szCs w:val="20"/>
          <w:color w:val="auto"/>
        </w:rPr>
      </w:pPr>
      <w:r>
        <w:rPr>
          <w:rFonts w:ascii="Arial" w:cs="Arial" w:eastAsia="Arial" w:hAnsi="Arial"/>
          <w:sz w:val="16"/>
          <w:szCs w:val="16"/>
          <w:b w:val="1"/>
          <w:bCs w:val="1"/>
          <w:i w:val="1"/>
          <w:iCs w:val="1"/>
          <w:color w:val="auto"/>
        </w:rPr>
        <w:t>Many of the key patents and unpatented technology we use in our business are licensed to us, not owned by us, and our ability to use and enforce such patents and technology is restricted by the terms of the license.</w:t>
      </w:r>
    </w:p>
    <w:p>
      <w:pPr>
        <w:spacing w:after="0" w:line="73" w:lineRule="exact"/>
        <w:rPr>
          <w:sz w:val="20"/>
          <w:szCs w:val="20"/>
          <w:color w:val="auto"/>
        </w:rPr>
      </w:pPr>
    </w:p>
    <w:p>
      <w:pPr>
        <w:jc w:val="both"/>
        <w:ind w:right="120" w:firstLine="522"/>
        <w:spacing w:after="0" w:line="247" w:lineRule="auto"/>
        <w:rPr>
          <w:sz w:val="20"/>
          <w:szCs w:val="20"/>
          <w:color w:val="auto"/>
        </w:rPr>
      </w:pPr>
      <w:r>
        <w:rPr>
          <w:rFonts w:ascii="Arial" w:cs="Arial" w:eastAsia="Arial" w:hAnsi="Arial"/>
          <w:sz w:val="16"/>
          <w:szCs w:val="16"/>
          <w:color w:val="auto"/>
        </w:rPr>
        <w:t>Protecting our intellectual property rights is critical to our ability to compete and succeed as a company. General Motors Company (“GM”) has granted us an irrevocable, perpetual, royalty-free, worldwide license under a large number of U.S. and foreign patents and patent applications, as well as certain unpatented technology and know-how, to design, develop, manufacture, use and sell fully automatic transmissions and electric hybrid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propulsion solution for use in certain vocational vehicles, defense vehicles and off-road products. With respect to the bulk of the intellectual property licensed to us, our license is exclusive with respect to the design, development, manufacture, use and sale of fully automatic transmissions and electric hybrid propulsion solution in vocational vehicles above certain weight rating thresholds, certain defense vehicles and certain off-road products. It is non-exclusive with respect to certain other products that are within the scope of the licensed patents or to which the licensed technology can be applied. GM continues to own such patents and technology, and GM has the right, in the first instance, to control the maintenance, enforcement and defense of such patents and the prosecution of the licensed patent applications. In addition, our ability to sublicense our rights is limited.</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We rely on unpatented technology, which exposes us to certain risks.</w:t>
      </w:r>
    </w:p>
    <w:p>
      <w:pPr>
        <w:spacing w:after="0" w:line="131" w:lineRule="exact"/>
        <w:rPr>
          <w:sz w:val="20"/>
          <w:szCs w:val="20"/>
          <w:color w:val="auto"/>
        </w:rPr>
      </w:pPr>
    </w:p>
    <w:p>
      <w:pPr>
        <w:ind w:right="40" w:firstLine="522"/>
        <w:spacing w:after="0" w:line="247" w:lineRule="auto"/>
        <w:rPr>
          <w:sz w:val="20"/>
          <w:szCs w:val="20"/>
          <w:color w:val="auto"/>
        </w:rPr>
      </w:pPr>
      <w:r>
        <w:rPr>
          <w:rFonts w:ascii="Arial" w:cs="Arial" w:eastAsia="Arial" w:hAnsi="Arial"/>
          <w:sz w:val="16"/>
          <w:szCs w:val="16"/>
          <w:color w:val="auto"/>
        </w:rPr>
        <w:t>We currently do, and may continue in the future to, rely on unpatented proprietary technology. In such regard, we cannot be assured that any of our applications for protection of our intellectual property rights will be approved or that others will not infringe or challenge our intellectual property rights. It is possible our competitors will independently develop the same or similar technology or otherwise obtain access to our unpatented technology.</w:t>
      </w:r>
    </w:p>
    <w:p>
      <w:pPr>
        <w:spacing w:after="0" w:line="101" w:lineRule="exact"/>
        <w:rPr>
          <w:sz w:val="20"/>
          <w:szCs w:val="20"/>
          <w:color w:val="auto"/>
        </w:rPr>
      </w:pPr>
    </w:p>
    <w:p>
      <w:pPr>
        <w:ind w:firstLine="522"/>
        <w:spacing w:after="0" w:line="233" w:lineRule="auto"/>
        <w:rPr>
          <w:sz w:val="20"/>
          <w:szCs w:val="20"/>
          <w:color w:val="auto"/>
        </w:rPr>
      </w:pPr>
      <w:r>
        <w:rPr>
          <w:rFonts w:ascii="Arial" w:cs="Arial" w:eastAsia="Arial" w:hAnsi="Arial"/>
          <w:sz w:val="16"/>
          <w:szCs w:val="16"/>
          <w:color w:val="auto"/>
        </w:rPr>
        <w:t>Although we believe the loss or expiration of any single patent would not have a material effect on our business, results of operations or financial position, there can be no assurance that any one, or more, of the patents or any other intellectual property owned by or licensed to us, will not be challenged, invalidated or circumvented by third parties. In fact, a number of the patents licensed to us are set to expire in the next few years. When a patent expires, the inventions it discloses can be used freely by others. Thus, the competitive advantage that we gain from the patents licensed to us will decrease over time, and a greater burden will be placed on our own research and development and licensing efforts to develop and otherwise acquire technologies to keep pace with improvements of transmission-related technology in the marketplace. We enter into confidentiality and invention assignment agreements with employees, and into non-disclosure agreements with suppliers and appropriate customers so as to limit access to and disclosure of our proprietary information. We cannot be assured that these measures will provide meaningful protection for our trade secrets, know-how or other proprietary information in the event of any unauthorized use, misappropriation or disclosure. If we are unable to maintain the proprietary nature of our technologies, our ability to sustain margins on some or all of our products may be affected, which could reduce our sales and profitability. Moreover, the protection provided for our intellectual property by the laws and courts of foreign nations may not be as advantageous to us as the protection available under U.S. law.</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Environmental, health and safety laws and regulations may impose significant compliance costs and liabilities on us.</w:t>
      </w:r>
    </w:p>
    <w:p>
      <w:pPr>
        <w:spacing w:after="0" w:line="131" w:lineRule="exact"/>
        <w:rPr>
          <w:sz w:val="20"/>
          <w:szCs w:val="20"/>
          <w:color w:val="auto"/>
        </w:rPr>
      </w:pPr>
    </w:p>
    <w:p>
      <w:pPr>
        <w:ind w:right="20" w:firstLine="522"/>
        <w:spacing w:after="0" w:line="233" w:lineRule="auto"/>
        <w:rPr>
          <w:sz w:val="20"/>
          <w:szCs w:val="20"/>
          <w:color w:val="auto"/>
        </w:rPr>
      </w:pPr>
      <w:r>
        <w:rPr>
          <w:rFonts w:ascii="Arial" w:cs="Arial" w:eastAsia="Arial" w:hAnsi="Arial"/>
          <w:sz w:val="16"/>
          <w:szCs w:val="16"/>
          <w:color w:val="auto"/>
        </w:rPr>
        <w:t>We are subject to many environmental, health and safety laws and regulations governing emissions to air, discharges to water, the generation, handling and disposal of waste and the cleanup of contaminated properties. Compliance with these laws and regulations is costly. We have incurred and expect to continue to incur significant costs to maintain or achieve compliance with applicable environmental, health and safety laws and regulations. Moreover, if these environmental, health and safety laws and regulations become more stringent or expand to include a larger portion of our products or our customer’s products in the future, we could incur additional costs in order to ensure that our business and products comply with such regulations. In addition, we may not be successful in complying with, or the vehicle or customer OEMs to which we sell our products may choose not to comply with, such laws and regulations, which could impact our ability to sell our products in certain locations. Furthermore, if our products that are already placed in service are found to be non-compliant with certain laws, regulations and certifications, we may incur additional costs and fines. We cannot assure that we are in full compliance with all environmental, health and safety laws and regulations. Our failure to comply with applicable environmental, health and safety laws and regulations and permit requirements could result in civil or criminal fines, penalties or enforcement actions, third-party claims for property damage and personal injury, requirements to clean up property or to pay for the costs of cleanup or regulatory or judicial orders enjoining or curtailing operations or requiring corrective measures, including the installation of pollution control equipment or remedial actions. Our failure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comply could also result in our failure to secure adequate insurance for our business, resulting in significant exposure, diminished ability to hedge our risks and material modifications of our business operations.</w:t>
      </w:r>
    </w:p>
    <w:p>
      <w:pPr>
        <w:spacing w:after="0" w:line="87" w:lineRule="exact"/>
        <w:rPr>
          <w:sz w:val="20"/>
          <w:szCs w:val="20"/>
          <w:color w:val="auto"/>
        </w:rPr>
      </w:pPr>
    </w:p>
    <w:p>
      <w:pPr>
        <w:ind w:right="20" w:firstLine="522"/>
        <w:spacing w:after="0" w:line="239" w:lineRule="auto"/>
        <w:rPr>
          <w:sz w:val="20"/>
          <w:szCs w:val="20"/>
          <w:color w:val="auto"/>
        </w:rPr>
      </w:pPr>
      <w:r>
        <w:rPr>
          <w:rFonts w:ascii="Arial" w:cs="Arial" w:eastAsia="Arial" w:hAnsi="Arial"/>
          <w:sz w:val="16"/>
          <w:szCs w:val="16"/>
          <w:color w:val="auto"/>
        </w:rPr>
        <w:t>We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w:t>
      </w:r>
    </w:p>
    <w:p>
      <w:pPr>
        <w:spacing w:after="0" w:line="105" w:lineRule="exact"/>
        <w:rPr>
          <w:sz w:val="20"/>
          <w:szCs w:val="20"/>
          <w:color w:val="auto"/>
        </w:rPr>
      </w:pPr>
    </w:p>
    <w:p>
      <w:pPr>
        <w:ind w:right="20" w:firstLine="522"/>
        <w:spacing w:after="0" w:line="236" w:lineRule="auto"/>
        <w:rPr>
          <w:sz w:val="20"/>
          <w:szCs w:val="20"/>
          <w:color w:val="auto"/>
        </w:rPr>
      </w:pPr>
      <w:r>
        <w:rPr>
          <w:rFonts w:ascii="Arial" w:cs="Arial" w:eastAsia="Arial" w:hAnsi="Arial"/>
          <w:sz w:val="16"/>
          <w:szCs w:val="16"/>
          <w:color w:val="auto"/>
        </w:rPr>
        <w:t>We manage the remediation of historical soil and groundwater contamination at our Indianapolis, Indiana facilities under an Agreed Order of Consent with the EPA. See Part II, Item 8, NOTE 18, “Commitments and Contingencies” of this Annual Report on Form 10-K. There can be no assurances that future environmental remediation obligations will not have a material adverse effect on our results of operations and financial condition. In addition, we occasionally evaluate alternatives with respect to our facilities, including possible dispositions or closings. Investigations undertaken in connection with these activities may lead to discoveries of contamination that must be remediated, and closings of facilities may trigger remediation requirements that are not applicable to operating facilities. We may also face lawsuits brought by third parties that either allege property damage or personal injury as a result of, or seek reimbursement for costs associated with, such contamination.</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Our business and financial results may be adversely affected by U.S. government contracting risks.</w:t>
      </w:r>
    </w:p>
    <w:p>
      <w:pPr>
        <w:spacing w:after="0" w:line="131" w:lineRule="exact"/>
        <w:rPr>
          <w:sz w:val="20"/>
          <w:szCs w:val="20"/>
          <w:color w:val="auto"/>
        </w:rPr>
      </w:pPr>
    </w:p>
    <w:p>
      <w:pPr>
        <w:ind w:right="20" w:firstLine="522"/>
        <w:spacing w:after="0" w:line="236" w:lineRule="auto"/>
        <w:rPr>
          <w:sz w:val="20"/>
          <w:szCs w:val="20"/>
          <w:color w:val="auto"/>
        </w:rPr>
      </w:pPr>
      <w:r>
        <w:rPr>
          <w:rFonts w:ascii="Arial" w:cs="Arial" w:eastAsia="Arial" w:hAnsi="Arial"/>
          <w:sz w:val="16"/>
          <w:szCs w:val="16"/>
          <w:color w:val="auto"/>
        </w:rPr>
        <w:t>We are subject to various laws and regulations applicable to parties doing business with the U.S. government, including laws and regulations governing performance of U.S. government contracts, the use and treatment of U.S. government furnished property and the nature of materials used in our products. We may be unilaterally suspended or barred from conducting business with the U.S. government, or become subject to fines or other sanctions if we are found to have violated such laws or regulations. As a result of the need to comply with these laws and regulations, we are subject to increased risks of governmental investigations, civil fraud actions, criminal prosecutions, whistleblower lawsuits and other enforcement actions. The laws and regulations to which we are subject include, but are not limited to, Export Administration Regulations, the Federal Acquisition Regulation, International Traffic in Arms Regulations and regulations from the Bureau of Alcohol, Tobacco and Firearms and the FCPA.</w:t>
      </w:r>
    </w:p>
    <w:p>
      <w:pPr>
        <w:spacing w:after="0" w:line="107" w:lineRule="exact"/>
        <w:rPr>
          <w:sz w:val="20"/>
          <w:szCs w:val="20"/>
          <w:color w:val="auto"/>
        </w:rPr>
      </w:pPr>
    </w:p>
    <w:p>
      <w:pPr>
        <w:ind w:right="20" w:firstLine="522"/>
        <w:spacing w:after="0" w:line="236" w:lineRule="auto"/>
        <w:rPr>
          <w:sz w:val="20"/>
          <w:szCs w:val="20"/>
          <w:color w:val="auto"/>
        </w:rPr>
      </w:pPr>
      <w:r>
        <w:rPr>
          <w:rFonts w:ascii="Arial" w:cs="Arial" w:eastAsia="Arial" w:hAnsi="Arial"/>
          <w:sz w:val="16"/>
          <w:szCs w:val="16"/>
          <w:color w:val="auto"/>
        </w:rPr>
        <w:t>U.S. government contracts are subject to modification, curtailment or termination by the U.S. government without prior written notice, either for convenience or for default as a result of our failure to perform under the applicable contract. If terminated by the U.S. government as a result of our default, we could be liable for additional costs the U.S. government incurs in acquiring undelivered goods or services from another source and any other damages it suffers. Additionally, we cannot assign prime U.S. government contracts without the prior consent of the U.S. government contracting officer, and we are required to register with the Central Contractor Registration Database. Furthermore, the U.S. government periodically audits our governmental contract costs, which could result in fines, penalties or adjustment of costs and prices under the contracts. The result of, or expiration of the statute of limitations for, such audits could have an impact on reported net income and cash flow from operations.</w:t>
      </w:r>
    </w:p>
    <w:p>
      <w:pPr>
        <w:spacing w:after="0" w:line="156" w:lineRule="exact"/>
        <w:rPr>
          <w:sz w:val="20"/>
          <w:szCs w:val="20"/>
          <w:color w:val="auto"/>
        </w:rPr>
      </w:pPr>
    </w:p>
    <w:p>
      <w:pPr>
        <w:ind w:left="400"/>
        <w:spacing w:after="0" w:line="307" w:lineRule="auto"/>
        <w:rPr>
          <w:sz w:val="20"/>
          <w:szCs w:val="20"/>
          <w:color w:val="auto"/>
        </w:rPr>
      </w:pPr>
      <w:r>
        <w:rPr>
          <w:rFonts w:ascii="Arial" w:cs="Arial" w:eastAsia="Arial" w:hAnsi="Arial"/>
          <w:sz w:val="15"/>
          <w:szCs w:val="15"/>
          <w:b w:val="1"/>
          <w:bCs w:val="1"/>
          <w:i w:val="1"/>
          <w:iCs w:val="1"/>
          <w:color w:val="auto"/>
        </w:rPr>
        <w:t>Provisions of our amended and restated certificate of incorporation and amended and restated bylaws and Delaware law might discourage, delay or prevent a change of control of our company or changes in our management and, as a result, depress the trading price of our common stock.</w:t>
      </w:r>
    </w:p>
    <w:p>
      <w:pPr>
        <w:spacing w:after="0" w:line="50" w:lineRule="exact"/>
        <w:rPr>
          <w:sz w:val="20"/>
          <w:szCs w:val="20"/>
          <w:color w:val="auto"/>
        </w:rPr>
      </w:pPr>
    </w:p>
    <w:p>
      <w:pPr>
        <w:ind w:right="440" w:firstLine="522"/>
        <w:spacing w:after="0" w:line="299" w:lineRule="auto"/>
        <w:rPr>
          <w:sz w:val="20"/>
          <w:szCs w:val="20"/>
          <w:color w:val="auto"/>
        </w:rPr>
      </w:pPr>
      <w:r>
        <w:rPr>
          <w:rFonts w:ascii="Arial" w:cs="Arial" w:eastAsia="Arial" w:hAnsi="Arial"/>
          <w:sz w:val="15"/>
          <w:szCs w:val="15"/>
          <w:color w:val="auto"/>
        </w:rPr>
        <w:t>Our amended and restated certificate of incorporation and amended and restated bylaws contain provisions that could discourage, delay or prevent a change in control of our company or changes in our management that the stockholders of our company may deem advantageous. These provisions: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left="760" w:right="320" w:hanging="179"/>
        <w:spacing w:after="0" w:line="242"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authorize the issuance of blank check preferred stock that our Board of Directors could issue to increase the number of outstanding shares and to discourage a takeover attempt;</w:t>
      </w:r>
    </w:p>
    <w:p>
      <w:pPr>
        <w:ind w:left="760" w:hanging="179"/>
        <w:spacing w:after="0"/>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limit the ability of stockholders to remove directors only “for cause”;</w:t>
      </w:r>
    </w:p>
    <w:p>
      <w:pPr>
        <w:spacing w:after="0" w:line="6" w:lineRule="exact"/>
        <w:rPr>
          <w:rFonts w:ascii="Times New Roman" w:cs="Times New Roman" w:eastAsia="Times New Roman" w:hAnsi="Times New Roman"/>
          <w:sz w:val="16"/>
          <w:szCs w:val="16"/>
          <w:color w:val="auto"/>
        </w:rPr>
      </w:pPr>
    </w:p>
    <w:p>
      <w:pPr>
        <w:ind w:left="760" w:hanging="179"/>
        <w:spacing w:after="0"/>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prohibit our stockholders from calling a special meeting of stockholders;</w:t>
      </w:r>
    </w:p>
    <w:p>
      <w:pPr>
        <w:spacing w:after="0" w:line="14" w:lineRule="exact"/>
        <w:rPr>
          <w:rFonts w:ascii="Times New Roman" w:cs="Times New Roman" w:eastAsia="Times New Roman" w:hAnsi="Times New Roman"/>
          <w:sz w:val="16"/>
          <w:szCs w:val="16"/>
          <w:color w:val="auto"/>
        </w:rPr>
      </w:pPr>
    </w:p>
    <w:p>
      <w:pPr>
        <w:ind w:left="760" w:hanging="179"/>
        <w:spacing w:after="0"/>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14" w:lineRule="exact"/>
        <w:rPr>
          <w:rFonts w:ascii="Times New Roman" w:cs="Times New Roman" w:eastAsia="Times New Roman" w:hAnsi="Times New Roman"/>
          <w:sz w:val="16"/>
          <w:szCs w:val="16"/>
          <w:color w:val="auto"/>
        </w:rPr>
      </w:pPr>
    </w:p>
    <w:p>
      <w:pPr>
        <w:ind w:left="760" w:hanging="179"/>
        <w:spacing w:after="0"/>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provide that the Board of Directors is expressly authorized to adopt, or to alter or repeal our bylaws;</w:t>
      </w:r>
    </w:p>
    <w:p>
      <w:pPr>
        <w:spacing w:after="0" w:line="14" w:lineRule="exact"/>
        <w:rPr>
          <w:rFonts w:ascii="Times New Roman" w:cs="Times New Roman" w:eastAsia="Times New Roman" w:hAnsi="Times New Roman"/>
          <w:sz w:val="16"/>
          <w:szCs w:val="16"/>
          <w:color w:val="auto"/>
        </w:rPr>
      </w:pPr>
    </w:p>
    <w:p>
      <w:pPr>
        <w:ind w:left="760" w:right="500" w:hanging="179"/>
        <w:spacing w:after="0" w:line="234"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stockholder meetings; and</w:t>
      </w:r>
    </w:p>
    <w:p>
      <w:pPr>
        <w:ind w:left="760" w:right="320" w:hanging="179"/>
        <w:spacing w:after="0" w:line="239"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require the approval of holders of at least two-thirds of the outstanding shares of common stock to amend the bylaws and certain provisions of the certificate of incorporation.</w:t>
      </w:r>
    </w:p>
    <w:p>
      <w:pPr>
        <w:spacing w:after="0" w:line="235" w:lineRule="exact"/>
        <w:rPr>
          <w:sz w:val="20"/>
          <w:szCs w:val="20"/>
          <w:color w:val="auto"/>
        </w:rPr>
      </w:pPr>
    </w:p>
    <w:p>
      <w:pPr>
        <w:ind w:firstLine="522"/>
        <w:spacing w:after="0" w:line="247" w:lineRule="auto"/>
        <w:rPr>
          <w:sz w:val="20"/>
          <w:szCs w:val="20"/>
          <w:color w:val="auto"/>
        </w:rPr>
      </w:pPr>
      <w:r>
        <w:rPr>
          <w:rFonts w:ascii="Arial" w:cs="Arial" w:eastAsia="Arial" w:hAnsi="Arial"/>
          <w:sz w:val="16"/>
          <w:szCs w:val="16"/>
          <w:color w:val="auto"/>
        </w:rPr>
        <w:t>These anti-takeover defenses could discourage, delay or prevent a transaction involving a change in control of our company that our stockholders may believe to be in their best interests. These provisions could also discourage proxy contests and make it more difficult for our stockholders to elect directors of their choosing and cause us to take corporate actions other than those they desire.</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60"/>
          </w:cols>
          <w:pgMar w:left="320" w:top="120" w:right="41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Indebtedness and Financial Risks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Our substantial indebtedness could adversely affect our financial health, restrict our activities and affect our ability to meet our obligations.</w:t>
      </w:r>
    </w:p>
    <w:p>
      <w:pPr>
        <w:spacing w:after="0" w:line="131" w:lineRule="exact"/>
        <w:rPr>
          <w:sz w:val="20"/>
          <w:szCs w:val="20"/>
          <w:color w:val="auto"/>
        </w:rPr>
      </w:pPr>
    </w:p>
    <w:p>
      <w:pPr>
        <w:ind w:firstLine="522"/>
        <w:spacing w:after="0" w:line="251" w:lineRule="auto"/>
        <w:rPr>
          <w:sz w:val="20"/>
          <w:szCs w:val="20"/>
          <w:color w:val="auto"/>
        </w:rPr>
      </w:pPr>
      <w:r>
        <w:rPr>
          <w:rFonts w:ascii="Arial" w:cs="Arial" w:eastAsia="Arial" w:hAnsi="Arial"/>
          <w:sz w:val="15"/>
          <w:szCs w:val="15"/>
          <w:color w:val="auto"/>
        </w:rPr>
        <w:t xml:space="preserve">We have a significant amount of indebtedness. As of December 31, 2020, we had total indebtedness of $2,538 million and we would have been able to borrow an additional $ 645 million, net of $5 million of outstanding letters of credit, under Allison Transmission Inc.’s (“ATI”), our wholly-owned subsidiary, </w:t>
      </w:r>
      <w:r>
        <w:rPr>
          <w:rFonts w:ascii="Arial" w:cs="Arial" w:eastAsia="Arial" w:hAnsi="Arial"/>
          <w:sz w:val="15"/>
          <w:szCs w:val="15"/>
          <w:color w:val="212529"/>
        </w:rPr>
        <w:t>new</w:t>
      </w:r>
      <w:r>
        <w:rPr>
          <w:rFonts w:ascii="Arial" w:cs="Arial" w:eastAsia="Arial" w:hAnsi="Arial"/>
          <w:sz w:val="15"/>
          <w:szCs w:val="15"/>
          <w:color w:val="auto"/>
        </w:rPr>
        <w:t xml:space="preserve"> </w:t>
      </w:r>
      <w:r>
        <w:rPr>
          <w:rFonts w:ascii="Arial" w:cs="Arial" w:eastAsia="Arial" w:hAnsi="Arial"/>
          <w:sz w:val="15"/>
          <w:szCs w:val="15"/>
          <w:color w:val="212529"/>
        </w:rPr>
        <w:t xml:space="preserve">revolving credit facility with commitments in the amount of $650 million due September 2025 </w:t>
      </w:r>
      <w:r>
        <w:rPr>
          <w:rFonts w:ascii="Arial" w:cs="Arial" w:eastAsia="Arial" w:hAnsi="Arial"/>
          <w:sz w:val="15"/>
          <w:szCs w:val="15"/>
          <w:color w:val="000000"/>
        </w:rPr>
        <w:t>(“New Revolving Credit Facility”). As of December 31, 2020, we had</w:t>
      </w:r>
      <w:r>
        <w:rPr>
          <w:rFonts w:ascii="Arial" w:cs="Arial" w:eastAsia="Arial" w:hAnsi="Arial"/>
          <w:sz w:val="15"/>
          <w:szCs w:val="15"/>
          <w:color w:val="212529"/>
        </w:rPr>
        <w:t xml:space="preserve"> </w:t>
      </w:r>
      <w:r>
        <w:rPr>
          <w:rFonts w:ascii="Arial" w:cs="Arial" w:eastAsia="Arial" w:hAnsi="Arial"/>
          <w:sz w:val="15"/>
          <w:szCs w:val="15"/>
          <w:color w:val="000000"/>
        </w:rPr>
        <w:t xml:space="preserve">no outstanding borrowings against the New Revolving Credit Facility. At December 31, 2020, $638 million of our total indebtedness was associated with ATI’s </w:t>
      </w:r>
      <w:r>
        <w:rPr>
          <w:rFonts w:ascii="Arial" w:cs="Arial" w:eastAsia="Arial" w:hAnsi="Arial"/>
          <w:sz w:val="15"/>
          <w:szCs w:val="15"/>
          <w:color w:val="212529"/>
        </w:rPr>
        <w:t>new</w:t>
      </w:r>
      <w:r>
        <w:rPr>
          <w:rFonts w:ascii="Arial" w:cs="Arial" w:eastAsia="Arial" w:hAnsi="Arial"/>
          <w:sz w:val="15"/>
          <w:szCs w:val="15"/>
          <w:color w:val="000000"/>
        </w:rPr>
        <w:t xml:space="preserve"> </w:t>
      </w:r>
      <w:r>
        <w:rPr>
          <w:rFonts w:ascii="Arial" w:cs="Arial" w:eastAsia="Arial" w:hAnsi="Arial"/>
          <w:sz w:val="15"/>
          <w:szCs w:val="15"/>
          <w:color w:val="212529"/>
        </w:rPr>
        <w:t>term loan facility due March 2026 (“New Term Loan”</w:t>
      </w:r>
      <w:r>
        <w:rPr>
          <w:rFonts w:ascii="Arial" w:cs="Arial" w:eastAsia="Arial" w:hAnsi="Arial"/>
          <w:sz w:val="15"/>
          <w:szCs w:val="15"/>
          <w:color w:val="000000"/>
        </w:rPr>
        <w:t>, and together with the New Revolving Credit Facility, the “New Senior Secured Credit Facility”), $400 million of</w:t>
      </w:r>
      <w:r>
        <w:rPr>
          <w:rFonts w:ascii="Arial" w:cs="Arial" w:eastAsia="Arial" w:hAnsi="Arial"/>
          <w:sz w:val="15"/>
          <w:szCs w:val="15"/>
          <w:color w:val="212529"/>
        </w:rPr>
        <w:t xml:space="preserve"> </w:t>
      </w:r>
      <w:r>
        <w:rPr>
          <w:rFonts w:ascii="Arial" w:cs="Arial" w:eastAsia="Arial" w:hAnsi="Arial"/>
          <w:sz w:val="15"/>
          <w:szCs w:val="15"/>
          <w:color w:val="000000"/>
        </w:rPr>
        <w:t>our total indebtedness was associated with ATI’s 4.75% Senior Notes due October 2027 (“4.75% Senior Notes”), $ 500 million of our total indebtedness was associated with ATI’s 5.875% Senior Notes due June 2029 (“5.875% Senior Notes”) and $1,000 million of our total indebtedness was associated with ATI’s 3.75% Senior Notes due January 2031 (“3.75% Senior Notes”, and together with the 4.75% Senior Notes and 5.875% Senior Notes, the “Senior Notes”). For a complete description of the terms of the New Senior Secured Credit Facility and the Senior Notes, please see Part II, Item 7, “Management’s Discussion and Analysis of Financial Condition and Results of Operations – Liquidity and Capital Resources” of this Annual Report on Form 10-K.</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substantial indebtedness could have important consequences. For example, it could:</w:t>
      </w:r>
    </w:p>
    <w:p>
      <w:pPr>
        <w:spacing w:after="0" w:line="133" w:lineRule="exact"/>
        <w:rPr>
          <w:sz w:val="20"/>
          <w:szCs w:val="20"/>
          <w:color w:val="auto"/>
        </w:rPr>
      </w:pPr>
    </w:p>
    <w:p>
      <w:pPr>
        <w:ind w:left="760" w:hanging="179"/>
        <w:spacing w:after="0"/>
        <w:tabs>
          <w:tab w:leader="none" w:pos="76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make it more difficult for us to satisfy our obligations under our indebtedness;</w:t>
      </w:r>
    </w:p>
    <w:p>
      <w:pPr>
        <w:spacing w:after="0" w:line="26" w:lineRule="exact"/>
        <w:rPr>
          <w:rFonts w:ascii="Times New Roman" w:cs="Times New Roman" w:eastAsia="Times New Roman" w:hAnsi="Times New Roman"/>
          <w:sz w:val="16"/>
          <w:szCs w:val="16"/>
          <w:color w:val="auto"/>
        </w:rPr>
      </w:pPr>
    </w:p>
    <w:p>
      <w:pPr>
        <w:ind w:left="760" w:right="40" w:hanging="179"/>
        <w:spacing w:after="0" w:line="232" w:lineRule="auto"/>
        <w:tabs>
          <w:tab w:leader="none" w:pos="76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require us to further dedicate a substantial portion of our cash flow from operations to payments of principal and interest on our indebtedness, thereby reducing the availability of our cash flow to fund acquisitions, working capital, capital expenditures, research and development efforts and other general corporate purposes;</w:t>
      </w:r>
    </w:p>
    <w:p>
      <w:pPr>
        <w:spacing w:after="0" w:line="2" w:lineRule="exact"/>
        <w:rPr>
          <w:rFonts w:ascii="Times New Roman" w:cs="Times New Roman" w:eastAsia="Times New Roman" w:hAnsi="Times New Roman"/>
          <w:sz w:val="16"/>
          <w:szCs w:val="16"/>
          <w:color w:val="auto"/>
        </w:rPr>
      </w:pPr>
    </w:p>
    <w:p>
      <w:pPr>
        <w:ind w:left="760" w:right="280" w:hanging="179"/>
        <w:spacing w:after="0" w:line="229" w:lineRule="auto"/>
        <w:tabs>
          <w:tab w:leader="none" w:pos="76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increase our vulnerability to and limit our flexibility in planning for, or reacting to, downturns or changes in our business and the industry in which we operate;</w:t>
      </w:r>
    </w:p>
    <w:p>
      <w:pPr>
        <w:ind w:left="760" w:hanging="179"/>
        <w:spacing w:after="0"/>
        <w:tabs>
          <w:tab w:leader="none" w:pos="76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restrict us from making strategic acquisitions or cause us to make non-strategic divestitures;</w:t>
      </w:r>
    </w:p>
    <w:p>
      <w:pPr>
        <w:spacing w:after="0" w:line="6" w:lineRule="exact"/>
        <w:rPr>
          <w:rFonts w:ascii="Times New Roman" w:cs="Times New Roman" w:eastAsia="Times New Roman" w:hAnsi="Times New Roman"/>
          <w:sz w:val="16"/>
          <w:szCs w:val="16"/>
          <w:color w:val="auto"/>
        </w:rPr>
      </w:pPr>
    </w:p>
    <w:p>
      <w:pPr>
        <w:ind w:left="760" w:hanging="179"/>
        <w:spacing w:after="0"/>
        <w:tabs>
          <w:tab w:leader="none" w:pos="76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expose us to the risk of increased interest rates as borrowings under the Senior Secured Credit Facility are subject to variable rates of interest;</w:t>
      </w:r>
    </w:p>
    <w:p>
      <w:pPr>
        <w:spacing w:after="0" w:line="14" w:lineRule="exact"/>
        <w:rPr>
          <w:rFonts w:ascii="Times New Roman" w:cs="Times New Roman" w:eastAsia="Times New Roman" w:hAnsi="Times New Roman"/>
          <w:sz w:val="16"/>
          <w:szCs w:val="16"/>
          <w:color w:val="auto"/>
        </w:rPr>
      </w:pPr>
    </w:p>
    <w:p>
      <w:pPr>
        <w:ind w:left="760" w:hanging="179"/>
        <w:spacing w:after="0"/>
        <w:tabs>
          <w:tab w:leader="none" w:pos="76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place us at a competitive disadvantage compared to our competitors that have less debt; and</w:t>
      </w:r>
    </w:p>
    <w:p>
      <w:pPr>
        <w:spacing w:after="0" w:line="14" w:lineRule="exact"/>
        <w:rPr>
          <w:rFonts w:ascii="Times New Roman" w:cs="Times New Roman" w:eastAsia="Times New Roman" w:hAnsi="Times New Roman"/>
          <w:sz w:val="16"/>
          <w:szCs w:val="16"/>
          <w:color w:val="auto"/>
        </w:rPr>
      </w:pPr>
    </w:p>
    <w:p>
      <w:pPr>
        <w:ind w:left="760" w:hanging="179"/>
        <w:spacing w:after="0"/>
        <w:tabs>
          <w:tab w:leader="none" w:pos="76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limit our ability to borrow additional funds.</w:t>
      </w:r>
    </w:p>
    <w:p>
      <w:pPr>
        <w:spacing w:after="0" w:line="273" w:lineRule="exact"/>
        <w:rPr>
          <w:sz w:val="20"/>
          <w:szCs w:val="20"/>
          <w:color w:val="auto"/>
        </w:rPr>
      </w:pPr>
    </w:p>
    <w:p>
      <w:pPr>
        <w:ind w:firstLine="522"/>
        <w:spacing w:after="0" w:line="241" w:lineRule="auto"/>
        <w:rPr>
          <w:sz w:val="20"/>
          <w:szCs w:val="20"/>
          <w:color w:val="auto"/>
        </w:rPr>
      </w:pPr>
      <w:r>
        <w:rPr>
          <w:rFonts w:ascii="Arial" w:cs="Arial" w:eastAsia="Arial" w:hAnsi="Arial"/>
          <w:sz w:val="16"/>
          <w:szCs w:val="16"/>
          <w:color w:val="auto"/>
        </w:rPr>
        <w:t>In addition, the New Revolving Credit Facility contains a maximum total senior secured leverage ratio. The New Senior Secured Credit Facility and the indentures governing the Senior Notes also contain other negative and affirmative covenants that will limit our ability to engage in activities that may be in our long-term best interests. Our failure to comply with any of the covenants could result in an event of default which, if not cured or waived, could result in the acceleration of all of our indebtedness.</w:t>
      </w:r>
    </w:p>
    <w:p>
      <w:pPr>
        <w:spacing w:after="0" w:line="106" w:lineRule="exact"/>
        <w:rPr>
          <w:sz w:val="20"/>
          <w:szCs w:val="20"/>
          <w:color w:val="auto"/>
        </w:rPr>
      </w:pPr>
    </w:p>
    <w:p>
      <w:pPr>
        <w:ind w:firstLine="522"/>
        <w:spacing w:after="0" w:line="236" w:lineRule="auto"/>
        <w:rPr>
          <w:sz w:val="20"/>
          <w:szCs w:val="20"/>
          <w:color w:val="auto"/>
        </w:rPr>
      </w:pPr>
      <w:r>
        <w:rPr>
          <w:rFonts w:ascii="Arial" w:cs="Arial" w:eastAsia="Arial" w:hAnsi="Arial"/>
          <w:sz w:val="16"/>
          <w:szCs w:val="16"/>
          <w:color w:val="auto"/>
        </w:rPr>
        <w:t>Further, the New Term Loan bears interest at fluctuating interest rates, primarily based on the London Interbank Offered Rate ("LIBOR"). In July 2017, the Financial Conduct Authority, a regulator of financial services firms in the United Kingdom, announced its intention to stop persuading or compelling banks to submit LIBOR rates after 2021. In response to concerns regarding the future of LIBOR, the Board of Governors of the Federal Reserve System and the Federal Reserve Bank of New York convened the Alternative Reference Rates Committee (“ARRC”) to identify alternatives to LIBOR. The ARRC has recommended a benchmark replacement to assist issuers in continued capital market entry while safeguarding against LIBOR’s discontinuation. The initial steps in the ARRC’s recommended provision reference variations of the Secured Overnight Financing Rate (“SOFR”). At this time, it is not possible to predict whether SOFR will attain market traction as a LIBOR replacement.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40" w:firstLine="522"/>
        <w:spacing w:after="0" w:line="235" w:lineRule="auto"/>
        <w:rPr>
          <w:sz w:val="20"/>
          <w:szCs w:val="20"/>
          <w:color w:val="auto"/>
        </w:rPr>
      </w:pPr>
      <w:r>
        <w:rPr>
          <w:rFonts w:ascii="Arial" w:cs="Arial" w:eastAsia="Arial" w:hAnsi="Arial"/>
          <w:sz w:val="16"/>
          <w:szCs w:val="16"/>
          <w:color w:val="auto"/>
        </w:rPr>
        <w:t>On November 30, 2020, ICE Benchmark Administration Limited, the administrator of LIBOR, announced that it will consult on its intention to cease the publication of the one week and two month LIBOR settings immediately following the LIBOR publication on December 31, 2021, and the remaining LIBOR settings immediately following the LIBOR publication on June 30, 2023. The outcome of such consultation and its impact on LIBOR could materially affect the economics as well as the timing of the transition away from LIBOR. We are unable to predict the outcome of this consultation and, accordingly, whether LIBOR will cease to exist after calendar year 2023, the effect of any changes, any establishment of alternative reference rates or any other reforms to LIBOR or any replacement of LIBOR that may be enacted in the United Kingdom or elsewhere. Such changes, reforms or replacements relating to LIBOR could have an adverse impact on the market for or value of any LIBOR-linked securities, loans, derivatives and other financial obligations or extensions of credit held by us or on our overall financial condition or results of operations.</w:t>
      </w:r>
    </w:p>
    <w:p>
      <w:pPr>
        <w:spacing w:after="0" w:line="158" w:lineRule="exact"/>
        <w:rPr>
          <w:sz w:val="20"/>
          <w:szCs w:val="20"/>
          <w:color w:val="auto"/>
        </w:rPr>
      </w:pPr>
    </w:p>
    <w:p>
      <w:pPr>
        <w:ind w:left="300"/>
        <w:spacing w:after="0" w:line="273" w:lineRule="auto"/>
        <w:rPr>
          <w:sz w:val="20"/>
          <w:szCs w:val="20"/>
          <w:color w:val="auto"/>
        </w:rPr>
      </w:pPr>
      <w:r>
        <w:rPr>
          <w:rFonts w:ascii="Arial" w:cs="Arial" w:eastAsia="Arial" w:hAnsi="Arial"/>
          <w:sz w:val="16"/>
          <w:szCs w:val="16"/>
          <w:b w:val="1"/>
          <w:bCs w:val="1"/>
          <w:i w:val="1"/>
          <w:iCs w:val="1"/>
          <w:color w:val="auto"/>
        </w:rPr>
        <w:t>To service our indebtedness, we will require a significant amount of cash, and our ability to generate cash depends on many factors beyond our control.</w:t>
      </w:r>
    </w:p>
    <w:p>
      <w:pPr>
        <w:spacing w:after="0" w:line="73" w:lineRule="exact"/>
        <w:rPr>
          <w:sz w:val="20"/>
          <w:szCs w:val="20"/>
          <w:color w:val="auto"/>
        </w:rPr>
      </w:pPr>
    </w:p>
    <w:p>
      <w:pPr>
        <w:ind w:right="20" w:firstLine="522"/>
        <w:spacing w:after="0" w:line="247" w:lineRule="auto"/>
        <w:rPr>
          <w:sz w:val="20"/>
          <w:szCs w:val="20"/>
          <w:color w:val="auto"/>
        </w:rPr>
      </w:pPr>
      <w:r>
        <w:rPr>
          <w:rFonts w:ascii="Arial" w:cs="Arial" w:eastAsia="Arial" w:hAnsi="Arial"/>
          <w:sz w:val="16"/>
          <w:szCs w:val="16"/>
          <w:color w:val="auto"/>
        </w:rPr>
        <w:t>Our ability to make cash payments on our indebtedness and to fund planned capital expenditures will depend on our ability to generate significant operating cash flow in the future. This, to a significant extent, is subject to general economic, financial, competitive, legislative, regulatory and other factors that are beyond our control.</w:t>
      </w:r>
    </w:p>
    <w:p>
      <w:pPr>
        <w:spacing w:after="0" w:line="101" w:lineRule="exact"/>
        <w:rPr>
          <w:sz w:val="20"/>
          <w:szCs w:val="20"/>
          <w:color w:val="auto"/>
        </w:rPr>
      </w:pPr>
    </w:p>
    <w:p>
      <w:pPr>
        <w:ind w:right="20" w:firstLine="522"/>
        <w:spacing w:after="0" w:line="237" w:lineRule="auto"/>
        <w:rPr>
          <w:sz w:val="20"/>
          <w:szCs w:val="20"/>
          <w:color w:val="auto"/>
        </w:rPr>
      </w:pPr>
      <w:r>
        <w:rPr>
          <w:rFonts w:ascii="Arial" w:cs="Arial" w:eastAsia="Arial" w:hAnsi="Arial"/>
          <w:sz w:val="16"/>
          <w:szCs w:val="16"/>
          <w:color w:val="auto"/>
        </w:rPr>
        <w:t>We cannot ensure that our business will generate sufficient cash flow from operations or that future borrowings will be available to us under the New Senior Secured Credit Facility in an amount sufficient to enable us to pay our indebtedness or to fund our other liquidity needs. In such circumstances, we may need to refinance all or a portion of our indebtedness on or before maturity. We cannot ensure that we will be able to refinance any of our indebtedness on commercially reasonable terms or at all. If we cannot service our indebtedness, we may have to take actions such as selling assets, seeking additional equity or reducing or delaying capital expenditures, strategic acquisitions, investments and alliances. We cannot ensure that any such actions, if necessary, could be effected on commercially reasonable terms or at all.</w:t>
      </w:r>
    </w:p>
    <w:p>
      <w:pPr>
        <w:spacing w:after="0" w:line="156" w:lineRule="exact"/>
        <w:rPr>
          <w:sz w:val="20"/>
          <w:szCs w:val="20"/>
          <w:color w:val="auto"/>
        </w:rPr>
      </w:pPr>
    </w:p>
    <w:p>
      <w:pPr>
        <w:ind w:left="300"/>
        <w:spacing w:after="0" w:line="273" w:lineRule="auto"/>
        <w:rPr>
          <w:sz w:val="20"/>
          <w:szCs w:val="20"/>
          <w:color w:val="auto"/>
        </w:rPr>
      </w:pPr>
      <w:r>
        <w:rPr>
          <w:rFonts w:ascii="Arial" w:cs="Arial" w:eastAsia="Arial" w:hAnsi="Arial"/>
          <w:sz w:val="16"/>
          <w:szCs w:val="16"/>
          <w:b w:val="1"/>
          <w:bCs w:val="1"/>
          <w:i w:val="1"/>
          <w:iCs w:val="1"/>
          <w:color w:val="auto"/>
        </w:rPr>
        <w:t>If we fail to pay principal, premium, if any, and interest on our indebtedness or to otherwise comply with the covenants in the instruments governing our indebtedness, we may be forced into bankruptcy or liquidation by our lenders.</w:t>
      </w:r>
    </w:p>
    <w:p>
      <w:pPr>
        <w:spacing w:after="0" w:line="73" w:lineRule="exact"/>
        <w:rPr>
          <w:sz w:val="20"/>
          <w:szCs w:val="20"/>
          <w:color w:val="auto"/>
        </w:rPr>
      </w:pPr>
    </w:p>
    <w:p>
      <w:pPr>
        <w:ind w:right="40" w:firstLine="522"/>
        <w:spacing w:after="0" w:line="234" w:lineRule="auto"/>
        <w:rPr>
          <w:sz w:val="20"/>
          <w:szCs w:val="20"/>
          <w:color w:val="auto"/>
        </w:rPr>
      </w:pPr>
      <w:r>
        <w:rPr>
          <w:rFonts w:ascii="Arial" w:cs="Arial" w:eastAsia="Arial" w:hAnsi="Arial"/>
          <w:sz w:val="16"/>
          <w:szCs w:val="16"/>
          <w:color w:val="auto"/>
        </w:rPr>
        <w:t>If we are unable to generate sufficient cash flow or are otherwise unable to obtain funds necessary to meet required payments of principal, premium, if any, and interest on our indebtedness, or if we otherwise fail to comply with the various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New Senior Secured Credit Facility could elect to terminate their commitments thereunder, cease making further loans and institute foreclosure proceedings against our assets, and we could be forced into bankruptcy or liquidation. If our operating performance declines, we may in the future need to obtain waivers from the required lenders under the New Senior Secured Credit Facility to avoid being in default. If we or any of our subsidiaries breach the covenants under the New Senior Secured Credit Facility and seek a waiver, we may not be able to obtain a waiver from the required lenders. If this occurs, we would be in default under the New Senior Secured Credit Facility, the lenders could exercise their rights, as described above, and we could be forced into bankruptcy or liquidation.</w:t>
      </w:r>
    </w:p>
    <w:p>
      <w:pPr>
        <w:spacing w:after="0" w:line="160" w:lineRule="exact"/>
        <w:rPr>
          <w:sz w:val="20"/>
          <w:szCs w:val="20"/>
          <w:color w:val="auto"/>
        </w:rPr>
      </w:pPr>
    </w:p>
    <w:p>
      <w:pPr>
        <w:ind w:left="300" w:right="20"/>
        <w:spacing w:after="0" w:line="273" w:lineRule="auto"/>
        <w:rPr>
          <w:sz w:val="20"/>
          <w:szCs w:val="20"/>
          <w:color w:val="auto"/>
        </w:rPr>
      </w:pPr>
      <w:r>
        <w:rPr>
          <w:rFonts w:ascii="Arial" w:cs="Arial" w:eastAsia="Arial" w:hAnsi="Arial"/>
          <w:sz w:val="16"/>
          <w:szCs w:val="16"/>
          <w:b w:val="1"/>
          <w:bCs w:val="1"/>
          <w:i w:val="1"/>
          <w:iCs w:val="1"/>
          <w:color w:val="auto"/>
        </w:rPr>
        <w:t>Despite current indebtedness levels, we and our subsidiaries may still be able to incur additional indebtedness, which could further exacerbate the risks associated with our substantial financial leverage.</w:t>
      </w:r>
    </w:p>
    <w:p>
      <w:pPr>
        <w:spacing w:after="0" w:line="73" w:lineRule="exact"/>
        <w:rPr>
          <w:sz w:val="20"/>
          <w:szCs w:val="20"/>
          <w:color w:val="auto"/>
        </w:rPr>
      </w:pPr>
    </w:p>
    <w:p>
      <w:pPr>
        <w:ind w:firstLine="522"/>
        <w:spacing w:after="0" w:line="265" w:lineRule="auto"/>
        <w:rPr>
          <w:sz w:val="20"/>
          <w:szCs w:val="20"/>
          <w:color w:val="auto"/>
        </w:rPr>
      </w:pPr>
      <w:r>
        <w:rPr>
          <w:rFonts w:ascii="Arial" w:cs="Arial" w:eastAsia="Arial" w:hAnsi="Arial"/>
          <w:sz w:val="16"/>
          <w:szCs w:val="16"/>
          <w:color w:val="auto"/>
        </w:rPr>
        <w:t>We and our subsidiaries may be able to incur additional indebtedness in the future because the terms of our indebtedness do not fully prohibit us or our subsidiaries from doing so. Subject to covenant compliance and certain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conditions, our indebtedness permits additional borrowing, including total borrowing up to $ 645 million under the New Revolving Credit Facility, net of $5 million in letters of credit. If new debt is added to our current debt levels and our subsidiaries’ current debt levels, the related risks that we and they now face could intensify.</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Our pension and other post-retirement benefits funding obligations could increase as a result of a variety of factors.</w:t>
      </w:r>
    </w:p>
    <w:p>
      <w:pPr>
        <w:spacing w:after="0" w:line="131" w:lineRule="exact"/>
        <w:rPr>
          <w:sz w:val="20"/>
          <w:szCs w:val="20"/>
          <w:color w:val="auto"/>
        </w:rPr>
      </w:pPr>
    </w:p>
    <w:p>
      <w:pPr>
        <w:ind w:right="60" w:firstLine="522"/>
        <w:spacing w:after="0" w:line="248" w:lineRule="auto"/>
        <w:rPr>
          <w:sz w:val="20"/>
          <w:szCs w:val="20"/>
          <w:color w:val="auto"/>
        </w:rPr>
      </w:pPr>
      <w:r>
        <w:rPr>
          <w:rFonts w:ascii="Arial" w:cs="Arial" w:eastAsia="Arial" w:hAnsi="Arial"/>
          <w:sz w:val="15"/>
          <w:szCs w:val="15"/>
          <w:color w:val="auto"/>
        </w:rPr>
        <w:t>Our earnings may be positively or negatively impacted by the amount of income or expense recorded for our defined benefit pension plans and other post-retirement benefits (“OPEB”). Accounting principles generally accepted in the United States of America (“GAAP”) require that income or expense for defined benefit pension plans be calculated at the annual measurement date using actuarial assumptions and calculations. These calculations reflect certain assumptions, the most significant of which relate to the capital markets, interest rates, health care inflation rates and other economic conditions. Changes in key economic indicators can change these assumptions. These assumptions, along with the actual value of assets at the measurement date, will impact the calculation of pension expense for the year. Although GAAP pension expense and pension contributions are not directly related, the key economic indicators that affect GAAP pension expense also affect the amount of cash that we would contribute to our defined benefit pension plans. Because the values of these defined benefit pension plans’ assets have fluctuated and will fluctuate in response to changing market conditions, the amount of gains or losses that will be recognized in subsequent periods, the impact on the funded status of the defined benefit pension plans and the future minimum required contributions, if any, could have a material adverse effect on our business, results of operations and financial condition. The magnitude of such impact cannot be determined with certainty at this time. However, the effect of a one percentage point decrease in the assumed discount rate would result in an increase in the December 31, 2020 defined benefit pension plans obligation of approximately $31 million. Likewise, a one percentage point decrease in the effective interest rate for determining defined benefit pension plans contributions would result in an increase in the minimum required contributions for 2021 of approximately $4 million. Similarly, a one percentage point decrease in the assumed discount rate would result in an increase in the December 31, 2020 OPEB obligation of approximately $16 million. As of December 31, 2020, the unfunded status of our defined benefit pension plans was $7 million and the unfunded status of our OPEB plan was $107 million.</w:t>
      </w:r>
    </w:p>
    <w:p>
      <w:pPr>
        <w:spacing w:after="0" w:line="158" w:lineRule="exact"/>
        <w:rPr>
          <w:sz w:val="20"/>
          <w:szCs w:val="20"/>
          <w:color w:val="auto"/>
        </w:rPr>
      </w:pPr>
    </w:p>
    <w:p>
      <w:pPr>
        <w:ind w:left="400"/>
        <w:spacing w:after="0" w:line="273" w:lineRule="auto"/>
        <w:rPr>
          <w:sz w:val="20"/>
          <w:szCs w:val="20"/>
          <w:color w:val="auto"/>
        </w:rPr>
      </w:pPr>
      <w:r>
        <w:rPr>
          <w:rFonts w:ascii="Arial" w:cs="Arial" w:eastAsia="Arial" w:hAnsi="Arial"/>
          <w:sz w:val="16"/>
          <w:szCs w:val="16"/>
          <w:b w:val="1"/>
          <w:bCs w:val="1"/>
          <w:i w:val="1"/>
          <w:iCs w:val="1"/>
          <w:color w:val="auto"/>
        </w:rPr>
        <w:t>An impairment in the carrying value of goodwill, other intangible assets or long-lived assets could negatively affect our consolidated results of operations and net worth.</w:t>
      </w:r>
    </w:p>
    <w:p>
      <w:pPr>
        <w:spacing w:after="0" w:line="73" w:lineRule="exact"/>
        <w:rPr>
          <w:sz w:val="20"/>
          <w:szCs w:val="20"/>
          <w:color w:val="auto"/>
        </w:rPr>
      </w:pPr>
    </w:p>
    <w:p>
      <w:pPr>
        <w:ind w:right="20" w:firstLine="522"/>
        <w:spacing w:after="0" w:line="234" w:lineRule="auto"/>
        <w:rPr>
          <w:sz w:val="20"/>
          <w:szCs w:val="20"/>
          <w:color w:val="auto"/>
        </w:rPr>
      </w:pPr>
      <w:r>
        <w:rPr>
          <w:rFonts w:ascii="Arial" w:cs="Arial" w:eastAsia="Arial" w:hAnsi="Arial"/>
          <w:sz w:val="16"/>
          <w:szCs w:val="16"/>
          <w:color w:val="auto"/>
        </w:rPr>
        <w:t>Pursuant to GAAP, we are required to assess our goodwill and indefinite-lived intangible assets to determine if they are impaired on an annual basis, or more often if events or changes in circumstances indicate that impairment may have occurred. Intangible assets with finite lives are amortized over the useful life and are reviewed for impairment on triggering events such as events or changes in circumstances indicating that an impairment may have occurred. If the testing performed indicates that impairment has occurred, we are required to record a non-cash impairment charge for the difference between the carrying value of the goodwill and the implied fair value of the goodwill or the carrying value of the intangible assets and the fair value of the intangible assets in the period the determination is made. Disruptions to our business, end market conditions, protracted economic weakness, unsuccessful development of product and unexpected significant declines in operating results may result in charges for goodwill and other asset impairments. See NOTE 2, “Summary of Significant Accounting Policies” and NOTE 6 “Goodwill and Other Intangible Assets” of Notes to Consolidated Financial Statements included in Part II, Item 8 of this Annual Report on Form 10-K for additional details.</w:t>
      </w:r>
    </w:p>
    <w:p>
      <w:pPr>
        <w:spacing w:after="0" w:line="112" w:lineRule="exact"/>
        <w:rPr>
          <w:sz w:val="20"/>
          <w:szCs w:val="20"/>
          <w:color w:val="auto"/>
        </w:rPr>
      </w:pPr>
    </w:p>
    <w:p>
      <w:pPr>
        <w:ind w:right="20" w:firstLine="522"/>
        <w:spacing w:after="0" w:line="258" w:lineRule="auto"/>
        <w:rPr>
          <w:sz w:val="20"/>
          <w:szCs w:val="20"/>
          <w:color w:val="auto"/>
        </w:rPr>
      </w:pPr>
      <w:r>
        <w:rPr>
          <w:rFonts w:ascii="Arial" w:cs="Arial" w:eastAsia="Arial" w:hAnsi="Arial"/>
          <w:sz w:val="15"/>
          <w:szCs w:val="15"/>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a significant change in the projected future cash flows generated by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 and could have a material adverse effect on the results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480"/>
        <w:spacing w:after="0" w:line="265" w:lineRule="auto"/>
        <w:rPr>
          <w:sz w:val="20"/>
          <w:szCs w:val="20"/>
          <w:color w:val="auto"/>
        </w:rPr>
      </w:pPr>
      <w:r>
        <w:rPr>
          <w:rFonts w:ascii="Arial" w:cs="Arial" w:eastAsia="Arial" w:hAnsi="Arial"/>
          <w:sz w:val="16"/>
          <w:szCs w:val="16"/>
          <w:color w:val="auto"/>
        </w:rPr>
        <w:t>our operations. See NOTE 2, “Summary of Significant Accounting Policies” and NOTE 5 “Property, Plant and Equipment” of Notes to Consolidated Financial Statements included in Part II, Item 8 of this Annual Report on Form 10-K for additional details.</w:t>
      </w:r>
    </w:p>
    <w:p>
      <w:pPr>
        <w:spacing w:after="0" w:line="136" w:lineRule="exact"/>
        <w:rPr>
          <w:sz w:val="20"/>
          <w:szCs w:val="20"/>
          <w:color w:val="auto"/>
        </w:rPr>
      </w:pPr>
    </w:p>
    <w:p>
      <w:pPr>
        <w:jc w:val="both"/>
        <w:ind w:left="300"/>
        <w:spacing w:after="0" w:line="251" w:lineRule="auto"/>
        <w:rPr>
          <w:sz w:val="20"/>
          <w:szCs w:val="20"/>
          <w:color w:val="auto"/>
        </w:rPr>
      </w:pPr>
      <w:r>
        <w:rPr>
          <w:rFonts w:ascii="Arial" w:cs="Arial" w:eastAsia="Arial" w:hAnsi="Arial"/>
          <w:sz w:val="16"/>
          <w:szCs w:val="16"/>
          <w:b w:val="1"/>
          <w:bCs w:val="1"/>
          <w:i w:val="1"/>
          <w:iCs w:val="1"/>
          <w:color w:val="auto"/>
        </w:rPr>
        <w:t>Our ability to pay regular dividends on our common stock is subject to the discretion of our Board of Directors and may be limited by our structure and statutory restrictions and restrictions imposed by the New Senior Secured Credit Facility and the indentures governing the Senior Notes as well as any future agreements.</w:t>
      </w:r>
    </w:p>
    <w:p>
      <w:pPr>
        <w:spacing w:after="0" w:line="137" w:lineRule="exact"/>
        <w:rPr>
          <w:sz w:val="20"/>
          <w:szCs w:val="20"/>
          <w:color w:val="auto"/>
        </w:rPr>
      </w:pPr>
    </w:p>
    <w:p>
      <w:pPr>
        <w:ind w:right="20" w:firstLine="522"/>
        <w:spacing w:after="0" w:line="234" w:lineRule="auto"/>
        <w:rPr>
          <w:sz w:val="20"/>
          <w:szCs w:val="20"/>
          <w:color w:val="auto"/>
        </w:rPr>
      </w:pPr>
      <w:r>
        <w:rPr>
          <w:rFonts w:ascii="Arial" w:cs="Arial" w:eastAsia="Arial" w:hAnsi="Arial"/>
          <w:sz w:val="16"/>
          <w:szCs w:val="16"/>
          <w:color w:val="auto"/>
        </w:rPr>
        <w:t>Our Board of Directors increased the quarterly dividend to $0.17 per share of common stock in the first quarter of 2020, an increase from the quarterly dividend of $0.15 per share of common stock maintained since the fourth quarter of 2014. However, the payment of future dividends will be at the discretion of our Board of Directors and will depend on, among other things, our earnings, financial condition, capital requirements, level of indebtedness, statutory and contractual restrictions applying to the payment of dividends and other considerations that our Board of Directors deems relevant. The New Senior Secured Credit Facility and the indentures governing the Senior Notes also effectively limit our ability to pay dividends. As a consequence of these limitations and restrictions, we may not be able to make, or may have to reduce or eliminate, the payment of dividends on our common stock. Accordingly, our stockholders may have to sell some or all of their common stock after price appreciation in order to generate cash flow from their investment. Our stockholders may not receive a gain on their investment when they sell their common stock, and they may lose the entire amount of the investment. Additionally, any change in the level of our dividends or the suspension of the payment thereof could adversely affect the market price of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35" w:lineRule="exact"/>
        <w:rPr>
          <w:sz w:val="20"/>
          <w:szCs w:val="20"/>
          <w:color w:val="auto"/>
        </w:rPr>
      </w:pPr>
    </w:p>
    <w:p>
      <w:pPr>
        <w:ind w:right="80" w:firstLine="522"/>
        <w:spacing w:after="0" w:line="299" w:lineRule="auto"/>
        <w:rPr>
          <w:sz w:val="20"/>
          <w:szCs w:val="20"/>
          <w:color w:val="auto"/>
        </w:rPr>
      </w:pPr>
      <w:r>
        <w:rPr>
          <w:rFonts w:ascii="Arial" w:cs="Arial" w:eastAsia="Arial" w:hAnsi="Arial"/>
          <w:sz w:val="15"/>
          <w:szCs w:val="15"/>
          <w:color w:val="auto"/>
        </w:rPr>
        <w:t>Our world headquarters, which we own, is located at One Allison Way, Indianapolis, Indiana 46222. As of December 31, 2020, we have approximately 20 manufacturing and certain other facilities in eight countries. The following table sets forth certain information regarding our significant facilities.</w:t>
      </w:r>
    </w:p>
    <w:p>
      <w:pPr>
        <w:spacing w:after="0" w:line="111"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3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Approximate</w:t>
            </w:r>
          </w:p>
        </w:tc>
        <w:tc>
          <w:tcPr>
            <w:tcW w:w="1040" w:type="dxa"/>
            <w:vAlign w:val="bottom"/>
          </w:tcPr>
          <w:p>
            <w:pPr>
              <w:jc w:val="right"/>
              <w:ind w:right="204"/>
              <w:spacing w:after="0"/>
              <w:rPr>
                <w:sz w:val="20"/>
                <w:szCs w:val="20"/>
                <w:color w:val="auto"/>
              </w:rPr>
            </w:pPr>
            <w:r>
              <w:rPr>
                <w:rFonts w:ascii="Arial" w:cs="Arial" w:eastAsia="Arial" w:hAnsi="Arial"/>
                <w:sz w:val="13"/>
                <w:szCs w:val="13"/>
                <w:b w:val="1"/>
                <w:bCs w:val="1"/>
                <w:color w:val="auto"/>
              </w:rPr>
              <w:t>Owned /</w:t>
            </w:r>
          </w:p>
        </w:tc>
        <w:tc>
          <w:tcPr>
            <w:tcW w:w="16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41"/>
        </w:trPr>
        <w:tc>
          <w:tcPr>
            <w:tcW w:w="266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Plant</w:t>
            </w:r>
          </w:p>
        </w:tc>
        <w:tc>
          <w:tcPr>
            <w:tcW w:w="1960" w:type="dxa"/>
            <w:vAlign w:val="bottom"/>
            <w:gridSpan w:val="2"/>
          </w:tcPr>
          <w:p>
            <w:pPr>
              <w:ind w:left="640"/>
              <w:spacing w:after="0" w:line="141" w:lineRule="exact"/>
              <w:rPr>
                <w:sz w:val="20"/>
                <w:szCs w:val="20"/>
                <w:color w:val="auto"/>
              </w:rPr>
            </w:pPr>
            <w:r>
              <w:rPr>
                <w:rFonts w:ascii="Arial" w:cs="Arial" w:eastAsia="Arial" w:hAnsi="Arial"/>
                <w:sz w:val="13"/>
                <w:szCs w:val="13"/>
                <w:b w:val="1"/>
                <w:bCs w:val="1"/>
                <w:color w:val="auto"/>
              </w:rPr>
              <w:t>Location</w:t>
            </w:r>
          </w:p>
        </w:tc>
        <w:tc>
          <w:tcPr>
            <w:tcW w:w="1380" w:type="dxa"/>
            <w:vAlign w:val="bottom"/>
            <w:gridSpan w:val="2"/>
          </w:tcPr>
          <w:p>
            <w:pPr>
              <w:jc w:val="center"/>
              <w:ind w:right="260"/>
              <w:spacing w:after="0" w:line="141" w:lineRule="exact"/>
              <w:rPr>
                <w:sz w:val="20"/>
                <w:szCs w:val="20"/>
                <w:color w:val="auto"/>
              </w:rPr>
            </w:pPr>
            <w:r>
              <w:rPr>
                <w:rFonts w:ascii="Arial" w:cs="Arial" w:eastAsia="Arial" w:hAnsi="Arial"/>
                <w:sz w:val="13"/>
                <w:szCs w:val="13"/>
                <w:b w:val="1"/>
                <w:bCs w:val="1"/>
                <w:color w:val="auto"/>
                <w:w w:val="95"/>
              </w:rPr>
              <w:t>Size (ft2)</w:t>
            </w:r>
          </w:p>
        </w:tc>
        <w:tc>
          <w:tcPr>
            <w:tcW w:w="1040" w:type="dxa"/>
            <w:vAlign w:val="bottom"/>
          </w:tcPr>
          <w:p>
            <w:pPr>
              <w:jc w:val="right"/>
              <w:ind w:right="244"/>
              <w:spacing w:after="0" w:line="141" w:lineRule="exact"/>
              <w:rPr>
                <w:sz w:val="20"/>
                <w:szCs w:val="20"/>
                <w:color w:val="auto"/>
              </w:rPr>
            </w:pPr>
            <w:r>
              <w:rPr>
                <w:rFonts w:ascii="Arial" w:cs="Arial" w:eastAsia="Arial" w:hAnsi="Arial"/>
                <w:sz w:val="13"/>
                <w:szCs w:val="13"/>
                <w:b w:val="1"/>
                <w:bCs w:val="1"/>
                <w:color w:val="auto"/>
              </w:rPr>
              <w:t>Leased</w:t>
            </w:r>
          </w:p>
        </w:tc>
        <w:tc>
          <w:tcPr>
            <w:tcW w:w="160" w:type="dxa"/>
            <w:vAlign w:val="bottom"/>
          </w:tcPr>
          <w:p>
            <w:pPr>
              <w:spacing w:after="0"/>
              <w:rPr>
                <w:sz w:val="12"/>
                <w:szCs w:val="12"/>
                <w:color w:val="auto"/>
              </w:rPr>
            </w:pPr>
          </w:p>
        </w:tc>
        <w:tc>
          <w:tcPr>
            <w:tcW w:w="2940" w:type="dxa"/>
            <w:vAlign w:val="bottom"/>
          </w:tcPr>
          <w:p>
            <w:pPr>
              <w:ind w:left="1120"/>
              <w:spacing w:after="0" w:line="141" w:lineRule="exact"/>
              <w:rPr>
                <w:sz w:val="20"/>
                <w:szCs w:val="20"/>
                <w:color w:val="auto"/>
              </w:rPr>
            </w:pPr>
            <w:r>
              <w:rPr>
                <w:rFonts w:ascii="Arial" w:cs="Arial" w:eastAsia="Arial" w:hAnsi="Arial"/>
                <w:sz w:val="13"/>
                <w:szCs w:val="13"/>
                <w:b w:val="1"/>
                <w:bCs w:val="1"/>
                <w:color w:val="auto"/>
              </w:rPr>
              <w:t>Description</w:t>
            </w:r>
          </w:p>
        </w:tc>
      </w:tr>
      <w:tr>
        <w:trPr>
          <w:trHeight w:val="20"/>
        </w:trPr>
        <w:tc>
          <w:tcPr>
            <w:tcW w:w="300" w:type="dxa"/>
            <w:vAlign w:val="bottom"/>
            <w:tcBorders>
              <w:bottom w:val="single" w:sz="8" w:color="CFF0FC"/>
            </w:tcBorders>
            <w:shd w:val="clear" w:color="auto" w:fill="000000"/>
          </w:tcPr>
          <w:p>
            <w:pPr>
              <w:spacing w:after="0" w:line="20" w:lineRule="exact"/>
              <w:rPr>
                <w:sz w:val="1"/>
                <w:szCs w:val="1"/>
                <w:color w:val="auto"/>
              </w:rPr>
            </w:pPr>
          </w:p>
        </w:tc>
        <w:tc>
          <w:tcPr>
            <w:tcW w:w="2360" w:type="dxa"/>
            <w:vAlign w:val="bottom"/>
            <w:tcBorders>
              <w:bottom w:val="single" w:sz="8" w:color="CFF0FC"/>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r>
        <w:trPr>
          <w:trHeight w:val="171"/>
        </w:trPr>
        <w:tc>
          <w:tcPr>
            <w:tcW w:w="2660" w:type="dxa"/>
            <w:vAlign w:val="bottom"/>
            <w:gridSpan w:val="2"/>
            <w:shd w:val="clear" w:color="auto" w:fill="CFF0FC"/>
          </w:tcPr>
          <w:p>
            <w:pPr>
              <w:spacing w:after="0" w:line="171" w:lineRule="exact"/>
              <w:rPr>
                <w:sz w:val="20"/>
                <w:szCs w:val="20"/>
                <w:color w:val="auto"/>
              </w:rPr>
            </w:pPr>
            <w:r>
              <w:rPr>
                <w:rFonts w:ascii="Arial" w:cs="Arial" w:eastAsia="Arial" w:hAnsi="Arial"/>
                <w:sz w:val="16"/>
                <w:szCs w:val="16"/>
                <w:color w:val="auto"/>
              </w:rPr>
              <w:t>Plant #3</w:t>
            </w:r>
          </w:p>
        </w:tc>
        <w:tc>
          <w:tcPr>
            <w:tcW w:w="1820" w:type="dxa"/>
            <w:vAlign w:val="bottom"/>
            <w:shd w:val="clear" w:color="auto" w:fill="CFF0FC"/>
          </w:tcPr>
          <w:p>
            <w:pPr>
              <w:spacing w:after="0" w:line="171" w:lineRule="exact"/>
              <w:rPr>
                <w:sz w:val="20"/>
                <w:szCs w:val="20"/>
                <w:color w:val="auto"/>
              </w:rPr>
            </w:pPr>
            <w:r>
              <w:rPr>
                <w:rFonts w:ascii="Arial" w:cs="Arial" w:eastAsia="Arial" w:hAnsi="Arial"/>
                <w:sz w:val="16"/>
                <w:szCs w:val="16"/>
                <w:color w:val="auto"/>
              </w:rPr>
              <w:t>Indianapolis</w:t>
            </w:r>
          </w:p>
        </w:tc>
        <w:tc>
          <w:tcPr>
            <w:tcW w:w="14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24"/>
              <w:spacing w:after="0" w:line="171" w:lineRule="exact"/>
              <w:rPr>
                <w:sz w:val="20"/>
                <w:szCs w:val="20"/>
                <w:color w:val="auto"/>
              </w:rPr>
            </w:pPr>
            <w:r>
              <w:rPr>
                <w:rFonts w:ascii="Arial" w:cs="Arial" w:eastAsia="Arial" w:hAnsi="Arial"/>
                <w:sz w:val="16"/>
                <w:szCs w:val="16"/>
                <w:color w:val="auto"/>
              </w:rPr>
              <w:t>927,000</w:t>
            </w: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1" w:lineRule="exact"/>
              <w:rPr>
                <w:sz w:val="20"/>
                <w:szCs w:val="20"/>
                <w:color w:val="auto"/>
              </w:rPr>
            </w:pPr>
            <w:r>
              <w:rPr>
                <w:rFonts w:ascii="Arial" w:cs="Arial" w:eastAsia="Arial" w:hAnsi="Arial"/>
                <w:sz w:val="16"/>
                <w:szCs w:val="16"/>
                <w:color w:val="auto"/>
              </w:rPr>
              <w:t>Own</w:t>
            </w:r>
          </w:p>
        </w:tc>
        <w:tc>
          <w:tcPr>
            <w:tcW w:w="160" w:type="dxa"/>
            <w:vAlign w:val="bottom"/>
            <w:shd w:val="clear" w:color="auto" w:fill="CFF0FC"/>
          </w:tcPr>
          <w:p>
            <w:pPr>
              <w:spacing w:after="0"/>
              <w:rPr>
                <w:sz w:val="14"/>
                <w:szCs w:val="14"/>
                <w:color w:val="auto"/>
              </w:rPr>
            </w:pPr>
          </w:p>
        </w:tc>
        <w:tc>
          <w:tcPr>
            <w:tcW w:w="2940" w:type="dxa"/>
            <w:vAlign w:val="bottom"/>
            <w:shd w:val="clear" w:color="auto" w:fill="CFF0FC"/>
          </w:tcPr>
          <w:p>
            <w:pPr>
              <w:spacing w:after="0" w:line="171" w:lineRule="exact"/>
              <w:rPr>
                <w:sz w:val="20"/>
                <w:szCs w:val="20"/>
                <w:color w:val="auto"/>
              </w:rPr>
            </w:pPr>
            <w:r>
              <w:rPr>
                <w:rFonts w:ascii="Arial" w:cs="Arial" w:eastAsia="Arial" w:hAnsi="Arial"/>
                <w:sz w:val="16"/>
                <w:szCs w:val="16"/>
                <w:color w:val="auto"/>
              </w:rPr>
              <w:t>Engineering, Operational Support</w:t>
            </w:r>
          </w:p>
        </w:tc>
      </w:tr>
      <w:tr>
        <w:trPr>
          <w:trHeight w:val="188"/>
        </w:trPr>
        <w:tc>
          <w:tcPr>
            <w:tcW w:w="2660" w:type="dxa"/>
            <w:vAlign w:val="bottom"/>
            <w:gridSpan w:val="2"/>
          </w:tcPr>
          <w:p>
            <w:pPr>
              <w:spacing w:after="0"/>
              <w:rPr>
                <w:sz w:val="20"/>
                <w:szCs w:val="20"/>
                <w:color w:val="auto"/>
              </w:rPr>
            </w:pPr>
            <w:r>
              <w:rPr>
                <w:rFonts w:ascii="Arial" w:cs="Arial" w:eastAsia="Arial" w:hAnsi="Arial"/>
                <w:sz w:val="16"/>
                <w:szCs w:val="16"/>
                <w:color w:val="auto"/>
              </w:rPr>
              <w:t>Plant #4</w:t>
            </w:r>
          </w:p>
        </w:tc>
        <w:tc>
          <w:tcPr>
            <w:tcW w:w="1960" w:type="dxa"/>
            <w:vAlign w:val="bottom"/>
            <w:gridSpan w:val="2"/>
          </w:tcPr>
          <w:p>
            <w:pPr>
              <w:spacing w:after="0"/>
              <w:rPr>
                <w:sz w:val="20"/>
                <w:szCs w:val="20"/>
                <w:color w:val="auto"/>
              </w:rPr>
            </w:pPr>
            <w:r>
              <w:rPr>
                <w:rFonts w:ascii="Arial" w:cs="Arial" w:eastAsia="Arial" w:hAnsi="Arial"/>
                <w:sz w:val="16"/>
                <w:szCs w:val="16"/>
                <w:color w:val="auto"/>
              </w:rPr>
              <w:t>Indianapolis</w:t>
            </w: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425,900</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Own</w:t>
            </w:r>
          </w:p>
        </w:tc>
        <w:tc>
          <w:tcPr>
            <w:tcW w:w="3100" w:type="dxa"/>
            <w:vAlign w:val="bottom"/>
            <w:gridSpan w:val="2"/>
          </w:tcPr>
          <w:p>
            <w:pPr>
              <w:ind w:left="160"/>
              <w:spacing w:after="0"/>
              <w:rPr>
                <w:sz w:val="20"/>
                <w:szCs w:val="20"/>
                <w:color w:val="auto"/>
              </w:rPr>
            </w:pPr>
            <w:r>
              <w:rPr>
                <w:rFonts w:ascii="Arial" w:cs="Arial" w:eastAsia="Arial" w:hAnsi="Arial"/>
                <w:sz w:val="16"/>
                <w:szCs w:val="16"/>
                <w:color w:val="auto"/>
              </w:rPr>
              <w:t>Manufacturing</w:t>
            </w:r>
          </w:p>
        </w:tc>
      </w:tr>
      <w:tr>
        <w:trPr>
          <w:trHeight w:val="188"/>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Plant #6</w:t>
            </w:r>
          </w:p>
        </w:tc>
        <w:tc>
          <w:tcPr>
            <w:tcW w:w="1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Indianapolis</w:t>
            </w:r>
          </w:p>
        </w:tc>
        <w:tc>
          <w:tcPr>
            <w:tcW w:w="122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431,500</w:t>
            </w: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Own</w:t>
            </w:r>
          </w:p>
        </w:tc>
        <w:tc>
          <w:tcPr>
            <w:tcW w:w="310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Manufacturing</w:t>
            </w:r>
          </w:p>
        </w:tc>
      </w:tr>
      <w:tr>
        <w:trPr>
          <w:trHeight w:val="188"/>
        </w:trPr>
        <w:tc>
          <w:tcPr>
            <w:tcW w:w="2660" w:type="dxa"/>
            <w:vAlign w:val="bottom"/>
            <w:gridSpan w:val="2"/>
          </w:tcPr>
          <w:p>
            <w:pPr>
              <w:spacing w:after="0"/>
              <w:rPr>
                <w:sz w:val="20"/>
                <w:szCs w:val="20"/>
                <w:color w:val="auto"/>
              </w:rPr>
            </w:pPr>
            <w:r>
              <w:rPr>
                <w:rFonts w:ascii="Arial" w:cs="Arial" w:eastAsia="Arial" w:hAnsi="Arial"/>
                <w:sz w:val="16"/>
                <w:szCs w:val="16"/>
                <w:color w:val="auto"/>
              </w:rPr>
              <w:t>Plant #12</w:t>
            </w:r>
          </w:p>
        </w:tc>
        <w:tc>
          <w:tcPr>
            <w:tcW w:w="1960" w:type="dxa"/>
            <w:vAlign w:val="bottom"/>
            <w:gridSpan w:val="2"/>
          </w:tcPr>
          <w:p>
            <w:pPr>
              <w:spacing w:after="0"/>
              <w:rPr>
                <w:sz w:val="20"/>
                <w:szCs w:val="20"/>
                <w:color w:val="auto"/>
              </w:rPr>
            </w:pPr>
            <w:r>
              <w:rPr>
                <w:rFonts w:ascii="Arial" w:cs="Arial" w:eastAsia="Arial" w:hAnsi="Arial"/>
                <w:sz w:val="16"/>
                <w:szCs w:val="16"/>
                <w:color w:val="auto"/>
              </w:rPr>
              <w:t>Indianapolis</w:t>
            </w: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534,900</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Own</w:t>
            </w:r>
          </w:p>
        </w:tc>
        <w:tc>
          <w:tcPr>
            <w:tcW w:w="3100" w:type="dxa"/>
            <w:vAlign w:val="bottom"/>
            <w:gridSpan w:val="2"/>
          </w:tcPr>
          <w:p>
            <w:pPr>
              <w:ind w:left="160"/>
              <w:spacing w:after="0"/>
              <w:rPr>
                <w:sz w:val="20"/>
                <w:szCs w:val="20"/>
                <w:color w:val="auto"/>
              </w:rPr>
            </w:pPr>
            <w:r>
              <w:rPr>
                <w:rFonts w:ascii="Arial" w:cs="Arial" w:eastAsia="Arial" w:hAnsi="Arial"/>
                <w:sz w:val="16"/>
                <w:szCs w:val="16"/>
                <w:color w:val="auto"/>
              </w:rPr>
              <w:t>Manufacturing</w:t>
            </w:r>
          </w:p>
        </w:tc>
      </w:tr>
      <w:tr>
        <w:trPr>
          <w:trHeight w:val="188"/>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Plant #14 and #15</w:t>
            </w:r>
          </w:p>
        </w:tc>
        <w:tc>
          <w:tcPr>
            <w:tcW w:w="1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Indianapolis</w:t>
            </w:r>
          </w:p>
        </w:tc>
        <w:tc>
          <w:tcPr>
            <w:tcW w:w="122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481,100</w:t>
            </w: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Own</w:t>
            </w:r>
          </w:p>
        </w:tc>
        <w:tc>
          <w:tcPr>
            <w:tcW w:w="310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Manufacturing</w:t>
            </w:r>
          </w:p>
        </w:tc>
      </w:tr>
      <w:tr>
        <w:trPr>
          <w:trHeight w:val="188"/>
        </w:trPr>
        <w:tc>
          <w:tcPr>
            <w:tcW w:w="2660" w:type="dxa"/>
            <w:vAlign w:val="bottom"/>
            <w:gridSpan w:val="2"/>
          </w:tcPr>
          <w:p>
            <w:pPr>
              <w:spacing w:after="0"/>
              <w:rPr>
                <w:sz w:val="20"/>
                <w:szCs w:val="20"/>
                <w:color w:val="auto"/>
              </w:rPr>
            </w:pPr>
            <w:r>
              <w:rPr>
                <w:rFonts w:ascii="Arial" w:cs="Arial" w:eastAsia="Arial" w:hAnsi="Arial"/>
                <w:sz w:val="16"/>
                <w:szCs w:val="16"/>
                <w:color w:val="auto"/>
              </w:rPr>
              <w:t>Plant #16</w:t>
            </w:r>
          </w:p>
        </w:tc>
        <w:tc>
          <w:tcPr>
            <w:tcW w:w="1960" w:type="dxa"/>
            <w:vAlign w:val="bottom"/>
            <w:gridSpan w:val="2"/>
          </w:tcPr>
          <w:p>
            <w:pPr>
              <w:spacing w:after="0"/>
              <w:rPr>
                <w:sz w:val="20"/>
                <w:szCs w:val="20"/>
                <w:color w:val="auto"/>
              </w:rPr>
            </w:pPr>
            <w:r>
              <w:rPr>
                <w:rFonts w:ascii="Arial" w:cs="Arial" w:eastAsia="Arial" w:hAnsi="Arial"/>
                <w:sz w:val="16"/>
                <w:szCs w:val="16"/>
                <w:color w:val="auto"/>
              </w:rPr>
              <w:t>Indianapolis</w:t>
            </w: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391,700</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Own</w:t>
            </w:r>
          </w:p>
        </w:tc>
        <w:tc>
          <w:tcPr>
            <w:tcW w:w="3100" w:type="dxa"/>
            <w:vAlign w:val="bottom"/>
            <w:gridSpan w:val="2"/>
          </w:tcPr>
          <w:p>
            <w:pPr>
              <w:ind w:left="160"/>
              <w:spacing w:after="0"/>
              <w:rPr>
                <w:sz w:val="20"/>
                <w:szCs w:val="20"/>
                <w:color w:val="auto"/>
              </w:rPr>
            </w:pPr>
            <w:r>
              <w:rPr>
                <w:rFonts w:ascii="Arial" w:cs="Arial" w:eastAsia="Arial" w:hAnsi="Arial"/>
                <w:sz w:val="16"/>
                <w:szCs w:val="16"/>
                <w:color w:val="auto"/>
              </w:rPr>
              <w:t>Manufacturing</w:t>
            </w:r>
          </w:p>
        </w:tc>
      </w:tr>
      <w:tr>
        <w:trPr>
          <w:trHeight w:val="188"/>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Plant #17</w:t>
            </w:r>
          </w:p>
        </w:tc>
        <w:tc>
          <w:tcPr>
            <w:tcW w:w="1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Indianapolis</w:t>
            </w:r>
          </w:p>
        </w:tc>
        <w:tc>
          <w:tcPr>
            <w:tcW w:w="122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389,000</w:t>
            </w: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Own</w:t>
            </w:r>
          </w:p>
        </w:tc>
        <w:tc>
          <w:tcPr>
            <w:tcW w:w="310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Parts Distribution Center</w:t>
            </w:r>
          </w:p>
        </w:tc>
      </w:tr>
      <w:tr>
        <w:trPr>
          <w:trHeight w:val="167"/>
        </w:trPr>
        <w:tc>
          <w:tcPr>
            <w:tcW w:w="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960" w:type="dxa"/>
            <w:vAlign w:val="bottom"/>
            <w:gridSpan w:val="2"/>
          </w:tcPr>
          <w:p>
            <w:pPr>
              <w:spacing w:after="0" w:line="167" w:lineRule="exact"/>
              <w:rPr>
                <w:sz w:val="20"/>
                <w:szCs w:val="20"/>
                <w:color w:val="auto"/>
              </w:rPr>
            </w:pPr>
            <w:r>
              <w:rPr>
                <w:rFonts w:ascii="Arial" w:cs="Arial" w:eastAsia="Arial" w:hAnsi="Arial"/>
                <w:sz w:val="16"/>
                <w:szCs w:val="16"/>
                <w:color w:val="auto"/>
              </w:rPr>
              <w:t>Auburn Hills, Michigan,</w:t>
            </w: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00" w:type="dxa"/>
            <w:vAlign w:val="bottom"/>
            <w:gridSpan w:val="2"/>
          </w:tcPr>
          <w:p>
            <w:pPr>
              <w:ind w:left="160"/>
              <w:spacing w:after="0" w:line="167" w:lineRule="exact"/>
              <w:rPr>
                <w:sz w:val="20"/>
                <w:szCs w:val="20"/>
                <w:color w:val="auto"/>
              </w:rPr>
            </w:pPr>
            <w:r>
              <w:rPr>
                <w:rFonts w:ascii="Arial" w:cs="Arial" w:eastAsia="Arial" w:hAnsi="Arial"/>
                <w:sz w:val="16"/>
                <w:szCs w:val="16"/>
                <w:color w:val="auto"/>
              </w:rPr>
              <w:t>Engineering, Operational Support,</w:t>
            </w:r>
          </w:p>
        </w:tc>
      </w:tr>
      <w:tr>
        <w:trPr>
          <w:trHeight w:val="197"/>
        </w:trPr>
        <w:tc>
          <w:tcPr>
            <w:tcW w:w="2660" w:type="dxa"/>
            <w:vAlign w:val="bottom"/>
            <w:gridSpan w:val="2"/>
          </w:tcPr>
          <w:p>
            <w:pPr>
              <w:spacing w:after="0"/>
              <w:rPr>
                <w:sz w:val="20"/>
                <w:szCs w:val="20"/>
                <w:color w:val="auto"/>
              </w:rPr>
            </w:pPr>
            <w:r>
              <w:rPr>
                <w:rFonts w:ascii="Arial" w:cs="Arial" w:eastAsia="Arial" w:hAnsi="Arial"/>
                <w:sz w:val="16"/>
                <w:szCs w:val="16"/>
                <w:color w:val="auto"/>
              </w:rPr>
              <w:t>Auburn Hills</w:t>
            </w:r>
          </w:p>
        </w:tc>
        <w:tc>
          <w:tcPr>
            <w:tcW w:w="1960" w:type="dxa"/>
            <w:vAlign w:val="bottom"/>
            <w:gridSpan w:val="2"/>
          </w:tcPr>
          <w:p>
            <w:pPr>
              <w:spacing w:after="0"/>
              <w:rPr>
                <w:sz w:val="20"/>
                <w:szCs w:val="20"/>
                <w:color w:val="auto"/>
              </w:rPr>
            </w:pPr>
            <w:r>
              <w:rPr>
                <w:rFonts w:ascii="Arial" w:cs="Arial" w:eastAsia="Arial" w:hAnsi="Arial"/>
                <w:sz w:val="16"/>
                <w:szCs w:val="16"/>
                <w:color w:val="auto"/>
              </w:rPr>
              <w:t>USA</w:t>
            </w: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110,400</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Lease</w:t>
            </w:r>
          </w:p>
        </w:tc>
        <w:tc>
          <w:tcPr>
            <w:tcW w:w="3100" w:type="dxa"/>
            <w:vAlign w:val="bottom"/>
            <w:gridSpan w:val="2"/>
          </w:tcPr>
          <w:p>
            <w:pPr>
              <w:ind w:left="160"/>
              <w:spacing w:after="0"/>
              <w:rPr>
                <w:sz w:val="20"/>
                <w:szCs w:val="20"/>
                <w:color w:val="auto"/>
              </w:rPr>
            </w:pPr>
            <w:r>
              <w:rPr>
                <w:rFonts w:ascii="Arial" w:cs="Arial" w:eastAsia="Arial" w:hAnsi="Arial"/>
                <w:sz w:val="16"/>
                <w:szCs w:val="16"/>
                <w:color w:val="auto"/>
              </w:rPr>
              <w:t>Manufacturing</w:t>
            </w:r>
          </w:p>
        </w:tc>
      </w:tr>
      <w:tr>
        <w:trPr>
          <w:trHeight w:val="167"/>
        </w:trPr>
        <w:tc>
          <w:tcPr>
            <w:tcW w:w="300" w:type="dxa"/>
            <w:vAlign w:val="bottom"/>
            <w:shd w:val="clear" w:color="auto" w:fill="CFF0FC"/>
          </w:tcPr>
          <w:p>
            <w:pPr>
              <w:spacing w:after="0"/>
              <w:rPr>
                <w:sz w:val="14"/>
                <w:szCs w:val="14"/>
                <w:color w:val="auto"/>
              </w:rPr>
            </w:pPr>
          </w:p>
        </w:tc>
        <w:tc>
          <w:tcPr>
            <w:tcW w:w="2360" w:type="dxa"/>
            <w:vAlign w:val="bottom"/>
            <w:shd w:val="clear" w:color="auto" w:fill="CFF0FC"/>
          </w:tcPr>
          <w:p>
            <w:pPr>
              <w:spacing w:after="0"/>
              <w:rPr>
                <w:sz w:val="14"/>
                <w:szCs w:val="14"/>
                <w:color w:val="auto"/>
              </w:rPr>
            </w:pPr>
          </w:p>
        </w:tc>
        <w:tc>
          <w:tcPr>
            <w:tcW w:w="1960" w:type="dxa"/>
            <w:vAlign w:val="bottom"/>
            <w:gridSpan w:val="2"/>
            <w:shd w:val="clear" w:color="auto" w:fill="CFF0FC"/>
          </w:tcPr>
          <w:p>
            <w:pPr>
              <w:spacing w:after="0" w:line="167" w:lineRule="exact"/>
              <w:rPr>
                <w:sz w:val="20"/>
                <w:szCs w:val="20"/>
                <w:color w:val="auto"/>
              </w:rPr>
            </w:pPr>
            <w:r>
              <w:rPr>
                <w:rFonts w:ascii="Arial" w:cs="Arial" w:eastAsia="Arial" w:hAnsi="Arial"/>
                <w:sz w:val="16"/>
                <w:szCs w:val="16"/>
                <w:color w:val="auto"/>
              </w:rPr>
              <w:t>Lewisburg, Tennessee,</w:t>
            </w: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940" w:type="dxa"/>
            <w:vAlign w:val="bottom"/>
            <w:shd w:val="clear" w:color="auto" w:fill="CFF0FC"/>
          </w:tcPr>
          <w:p>
            <w:pPr>
              <w:spacing w:after="0"/>
              <w:rPr>
                <w:sz w:val="14"/>
                <w:szCs w:val="14"/>
                <w:color w:val="auto"/>
              </w:rPr>
            </w:pPr>
          </w:p>
        </w:tc>
      </w:tr>
      <w:tr>
        <w:trPr>
          <w:trHeight w:val="197"/>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Walker Die Casting</w:t>
            </w:r>
          </w:p>
        </w:tc>
        <w:tc>
          <w:tcPr>
            <w:tcW w:w="1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USA</w:t>
            </w:r>
          </w:p>
        </w:tc>
        <w:tc>
          <w:tcPr>
            <w:tcW w:w="122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774,100</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Own</w:t>
            </w:r>
          </w:p>
        </w:tc>
        <w:tc>
          <w:tcPr>
            <w:tcW w:w="310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Manufacturing</w:t>
            </w:r>
          </w:p>
        </w:tc>
      </w:tr>
      <w:tr>
        <w:trPr>
          <w:trHeight w:val="188"/>
        </w:trPr>
        <w:tc>
          <w:tcPr>
            <w:tcW w:w="2660" w:type="dxa"/>
            <w:vAlign w:val="bottom"/>
            <w:gridSpan w:val="2"/>
          </w:tcPr>
          <w:p>
            <w:pPr>
              <w:spacing w:after="0"/>
              <w:rPr>
                <w:sz w:val="20"/>
                <w:szCs w:val="20"/>
                <w:color w:val="auto"/>
              </w:rPr>
            </w:pPr>
            <w:r>
              <w:rPr>
                <w:rFonts w:ascii="Arial" w:cs="Arial" w:eastAsia="Arial" w:hAnsi="Arial"/>
                <w:sz w:val="16"/>
                <w:szCs w:val="16"/>
                <w:color w:val="auto"/>
              </w:rPr>
              <w:t>Szentgotthard</w:t>
            </w:r>
          </w:p>
        </w:tc>
        <w:tc>
          <w:tcPr>
            <w:tcW w:w="1960" w:type="dxa"/>
            <w:vAlign w:val="bottom"/>
            <w:gridSpan w:val="2"/>
          </w:tcPr>
          <w:p>
            <w:pPr>
              <w:spacing w:after="0"/>
              <w:rPr>
                <w:sz w:val="20"/>
                <w:szCs w:val="20"/>
                <w:color w:val="auto"/>
              </w:rPr>
            </w:pPr>
            <w:r>
              <w:rPr>
                <w:rFonts w:ascii="Arial" w:cs="Arial" w:eastAsia="Arial" w:hAnsi="Arial"/>
                <w:sz w:val="16"/>
                <w:szCs w:val="16"/>
                <w:color w:val="auto"/>
              </w:rPr>
              <w:t>Hungary</w:t>
            </w: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149,000</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Own</w:t>
            </w:r>
          </w:p>
        </w:tc>
        <w:tc>
          <w:tcPr>
            <w:tcW w:w="3100" w:type="dxa"/>
            <w:vAlign w:val="bottom"/>
            <w:gridSpan w:val="2"/>
          </w:tcPr>
          <w:p>
            <w:pPr>
              <w:ind w:left="160"/>
              <w:spacing w:after="0"/>
              <w:rPr>
                <w:sz w:val="20"/>
                <w:szCs w:val="20"/>
                <w:color w:val="auto"/>
              </w:rPr>
            </w:pPr>
            <w:r>
              <w:rPr>
                <w:rFonts w:ascii="Arial" w:cs="Arial" w:eastAsia="Arial" w:hAnsi="Arial"/>
                <w:sz w:val="16"/>
                <w:szCs w:val="16"/>
                <w:color w:val="auto"/>
              </w:rPr>
              <w:t>Manufacturing &amp; Customization</w:t>
            </w:r>
          </w:p>
        </w:tc>
      </w:tr>
      <w:tr>
        <w:trPr>
          <w:trHeight w:val="188"/>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Chennai</w:t>
            </w:r>
          </w:p>
        </w:tc>
        <w:tc>
          <w:tcPr>
            <w:tcW w:w="1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India</w:t>
            </w:r>
          </w:p>
        </w:tc>
        <w:tc>
          <w:tcPr>
            <w:tcW w:w="122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258,500</w:t>
            </w: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Own</w:t>
            </w:r>
          </w:p>
        </w:tc>
        <w:tc>
          <w:tcPr>
            <w:tcW w:w="310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Manufacturing</w:t>
            </w:r>
          </w:p>
        </w:tc>
      </w:tr>
    </w:tbl>
    <w:p>
      <w:pPr>
        <w:spacing w:after="0" w:line="155" w:lineRule="exact"/>
        <w:rPr>
          <w:sz w:val="20"/>
          <w:szCs w:val="20"/>
          <w:color w:val="auto"/>
        </w:rPr>
      </w:pPr>
    </w:p>
    <w:p>
      <w:pPr>
        <w:ind w:firstLine="522"/>
        <w:spacing w:after="0" w:line="265" w:lineRule="auto"/>
        <w:rPr>
          <w:sz w:val="20"/>
          <w:szCs w:val="20"/>
          <w:color w:val="auto"/>
        </w:rPr>
      </w:pPr>
      <w:r>
        <w:rPr>
          <w:rFonts w:ascii="Arial" w:cs="Arial" w:eastAsia="Arial" w:hAnsi="Arial"/>
          <w:sz w:val="16"/>
          <w:szCs w:val="16"/>
          <w:color w:val="auto"/>
        </w:rPr>
        <w:t>We believe all our facilities are suitable for their intended purpose, are being efficiently utilized and provide adequate capacity to meet demand for the next several years. The table above does not include sales offices located in various countries.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35" w:lineRule="exact"/>
        <w:rPr>
          <w:sz w:val="20"/>
          <w:szCs w:val="20"/>
          <w:color w:val="auto"/>
        </w:rPr>
      </w:pPr>
    </w:p>
    <w:p>
      <w:pPr>
        <w:ind w:right="120" w:firstLine="522"/>
        <w:spacing w:after="0" w:line="239" w:lineRule="auto"/>
        <w:rPr>
          <w:sz w:val="20"/>
          <w:szCs w:val="20"/>
          <w:color w:val="auto"/>
        </w:rPr>
      </w:pPr>
      <w:r>
        <w:rPr>
          <w:rFonts w:ascii="Arial" w:cs="Arial" w:eastAsia="Arial" w:hAnsi="Arial"/>
          <w:sz w:val="16"/>
          <w:szCs w:val="16"/>
          <w:color w:val="auto"/>
        </w:rPr>
        <w:t>We are subject to various contingencies, including routine legal proceedings and claims arising out of the normal course of business. These proceedings primarily involve commercial claims, product liability claims, personal injury claims and workers’ compensation claims. The outcome of these lawsuits, legal proceedings and claims cannot be predicted with certainty. Nevertheless, we believe the outcome of any of these currently existing proceedings, even if determined adversely, would not have a material adverse effect on our financial condition or results of operations. See also NOTE 18, “Commitments and Contingencies” in Part II, Item 8, of this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80"/>
          </w:cols>
          <w:pgMar w:left="320" w:top="120" w:right="399" w:bottom="1440" w:gutter="0" w:footer="0" w:header="0"/>
        </w:sectPr>
      </w:pPr>
    </w:p>
    <w:bookmarkStart w:id="32" w:name="page33"/>
    <w:bookmarkEnd w:id="32"/>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PART II.</w:t>
      </w:r>
    </w:p>
    <w:p>
      <w:pPr>
        <w:spacing w:after="0" w:line="180" w:lineRule="exact"/>
        <w:rPr>
          <w:sz w:val="20"/>
          <w:szCs w:val="20"/>
          <w:color w:val="auto"/>
        </w:rPr>
      </w:pPr>
    </w:p>
    <w:p>
      <w:pPr>
        <w:ind w:left="6" w:right="2380"/>
        <w:spacing w:after="0" w:line="414" w:lineRule="auto"/>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526"/>
        <w:spacing w:after="0"/>
        <w:rPr>
          <w:sz w:val="20"/>
          <w:szCs w:val="20"/>
          <w:color w:val="auto"/>
        </w:rPr>
      </w:pPr>
      <w:r>
        <w:rPr>
          <w:rFonts w:ascii="Arial" w:cs="Arial" w:eastAsia="Arial" w:hAnsi="Arial"/>
          <w:sz w:val="16"/>
          <w:szCs w:val="16"/>
          <w:color w:val="auto"/>
        </w:rPr>
        <w:t>Our common stock is listed on the NYSE under the symbol “ALSN.”</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Holders</w:t>
      </w:r>
    </w:p>
    <w:p>
      <w:pPr>
        <w:spacing w:after="0" w:line="135" w:lineRule="exact"/>
        <w:rPr>
          <w:sz w:val="20"/>
          <w:szCs w:val="20"/>
          <w:color w:val="auto"/>
        </w:rPr>
      </w:pPr>
    </w:p>
    <w:p>
      <w:pPr>
        <w:ind w:left="6" w:right="200" w:firstLine="522"/>
        <w:spacing w:after="0" w:line="247" w:lineRule="auto"/>
        <w:rPr>
          <w:sz w:val="20"/>
          <w:szCs w:val="20"/>
          <w:color w:val="auto"/>
        </w:rPr>
      </w:pPr>
      <w:r>
        <w:rPr>
          <w:rFonts w:ascii="Arial" w:cs="Arial" w:eastAsia="Arial" w:hAnsi="Arial"/>
          <w:sz w:val="16"/>
          <w:szCs w:val="16"/>
          <w:color w:val="auto"/>
        </w:rPr>
        <w:t>As of February 4, 2021, there were approximately 65,900 stockholders of record of our common stock, which includes the actual number of holders registered on the books of the Company and holders of shares in “street name” or persons, partnerships, associations, corporations or other entities identified in security position listings maintained by depositories.</w:t>
      </w:r>
    </w:p>
    <w:p>
      <w:pPr>
        <w:spacing w:after="0" w:line="14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Unregistered Sales of Equity Securities</w:t>
      </w:r>
    </w:p>
    <w:p>
      <w:pPr>
        <w:spacing w:after="0" w:line="135" w:lineRule="exact"/>
        <w:rPr>
          <w:sz w:val="20"/>
          <w:szCs w:val="20"/>
          <w:color w:val="auto"/>
        </w:rPr>
      </w:pPr>
    </w:p>
    <w:p>
      <w:pPr>
        <w:ind w:left="6" w:right="200" w:firstLine="522"/>
        <w:spacing w:after="0" w:line="265" w:lineRule="auto"/>
        <w:rPr>
          <w:sz w:val="20"/>
          <w:szCs w:val="20"/>
          <w:color w:val="auto"/>
        </w:rPr>
      </w:pPr>
      <w:r>
        <w:rPr>
          <w:rFonts w:ascii="Arial" w:cs="Arial" w:eastAsia="Arial" w:hAnsi="Arial"/>
          <w:sz w:val="16"/>
          <w:szCs w:val="16"/>
          <w:color w:val="auto"/>
        </w:rPr>
        <w:t>During the period covered by this Annual Report on Form 10-K, we did not offer or sell any equity securities that were not registered under the Securities Act of 1933, as amended (the “Securities Act”).</w:t>
      </w:r>
    </w:p>
    <w:p>
      <w:pPr>
        <w:spacing w:after="0" w:line="13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35" w:lineRule="exact"/>
        <w:rPr>
          <w:sz w:val="20"/>
          <w:szCs w:val="20"/>
          <w:color w:val="auto"/>
        </w:rPr>
      </w:pPr>
    </w:p>
    <w:p>
      <w:pPr>
        <w:ind w:left="6" w:right="20" w:firstLine="522"/>
        <w:spacing w:after="0" w:line="258" w:lineRule="auto"/>
        <w:rPr>
          <w:sz w:val="20"/>
          <w:szCs w:val="20"/>
          <w:color w:val="auto"/>
        </w:rPr>
      </w:pPr>
      <w:r>
        <w:rPr>
          <w:rFonts w:ascii="Arial" w:cs="Arial" w:eastAsia="Arial" w:hAnsi="Arial"/>
          <w:sz w:val="15"/>
          <w:szCs w:val="15"/>
          <w:color w:val="auto"/>
        </w:rPr>
        <w:t>On November 14, 2016, our Board of Directors authorized us to repurchase up to $1,000 million of our common stock pursuant to a stock repurchase program (the “Repurchase Program”). The Board of Directors approved increases of $500 million, $500 million and $1,000 million on November 8, 2017, July 30, 2018 and May 9, 2019, respectively, bringing the authorized total repurchases under the Repurchase Program to $3,000 million. The terms of the Repurchase Program provide that we may repurchase shares of our common stock, from time to time depending on market conditions and corporate needs, in the open market or through privately negotiated transactions in accordance with Rule 10b-18 of the Exchange Act. The Repurchase Program does not have an expiration date.</w:t>
      </w:r>
    </w:p>
    <w:p>
      <w:pPr>
        <w:spacing w:after="0" w:line="94" w:lineRule="exact"/>
        <w:rPr>
          <w:sz w:val="20"/>
          <w:szCs w:val="20"/>
          <w:color w:val="auto"/>
        </w:rPr>
      </w:pPr>
    </w:p>
    <w:p>
      <w:pPr>
        <w:ind w:left="526"/>
        <w:spacing w:after="0"/>
        <w:rPr>
          <w:sz w:val="20"/>
          <w:szCs w:val="20"/>
          <w:color w:val="auto"/>
        </w:rPr>
      </w:pPr>
      <w:r>
        <w:rPr>
          <w:rFonts w:ascii="Arial" w:cs="Arial" w:eastAsia="Arial" w:hAnsi="Arial"/>
          <w:sz w:val="16"/>
          <w:szCs w:val="16"/>
          <w:color w:val="auto"/>
        </w:rPr>
        <w:t>The following table sets forth information related to our repurchase of our common stock on a monthly basis in the three months ended December 31,</w:t>
      </w:r>
    </w:p>
    <w:p>
      <w:pPr>
        <w:spacing w:after="0" w:line="12" w:lineRule="exact"/>
        <w:rPr>
          <w:sz w:val="20"/>
          <w:szCs w:val="20"/>
          <w:color w:val="auto"/>
        </w:rPr>
      </w:pPr>
    </w:p>
    <w:p>
      <w:pPr>
        <w:ind w:left="6"/>
        <w:spacing w:after="0"/>
        <w:rPr>
          <w:sz w:val="20"/>
          <w:szCs w:val="20"/>
          <w:color w:val="auto"/>
        </w:rPr>
      </w:pPr>
      <w:r>
        <w:rPr>
          <w:rFonts w:ascii="Arial" w:cs="Arial" w:eastAsia="Arial" w:hAnsi="Arial"/>
          <w:sz w:val="16"/>
          <w:szCs w:val="16"/>
          <w:color w:val="auto"/>
        </w:rPr>
        <w:t>2020:</w:t>
      </w:r>
    </w:p>
    <w:p>
      <w:pPr>
        <w:spacing w:after="0" w:line="160"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4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jc w:val="center"/>
              <w:ind w:right="52"/>
              <w:spacing w:after="0"/>
              <w:rPr>
                <w:sz w:val="20"/>
                <w:szCs w:val="20"/>
                <w:color w:val="auto"/>
              </w:rPr>
            </w:pPr>
            <w:r>
              <w:rPr>
                <w:rFonts w:ascii="Arial" w:cs="Arial" w:eastAsia="Arial" w:hAnsi="Arial"/>
                <w:sz w:val="13"/>
                <w:szCs w:val="13"/>
                <w:b w:val="1"/>
                <w:bCs w:val="1"/>
                <w:color w:val="auto"/>
                <w:w w:val="96"/>
              </w:rPr>
              <w:t>Total Number of</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5"/>
              </w:rPr>
              <w:t>Shares Purchased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ind w:right="192"/>
              <w:spacing w:after="0" w:line="141" w:lineRule="exact"/>
              <w:rPr>
                <w:sz w:val="20"/>
                <w:szCs w:val="20"/>
                <w:color w:val="auto"/>
              </w:rPr>
            </w:pPr>
            <w:r>
              <w:rPr>
                <w:rFonts w:ascii="Arial" w:cs="Arial" w:eastAsia="Arial" w:hAnsi="Arial"/>
                <w:sz w:val="13"/>
                <w:szCs w:val="13"/>
                <w:b w:val="1"/>
                <w:bCs w:val="1"/>
                <w:color w:val="auto"/>
                <w:w w:val="98"/>
              </w:rPr>
              <w:t>Approximate</w:t>
            </w:r>
          </w:p>
        </w:tc>
        <w:tc>
          <w:tcPr>
            <w:tcW w:w="0" w:type="dxa"/>
            <w:vAlign w:val="bottom"/>
          </w:tcPr>
          <w:p>
            <w:pPr>
              <w:spacing w:after="0"/>
              <w:rPr>
                <w:sz w:val="1"/>
                <w:szCs w:val="1"/>
                <w:color w:val="auto"/>
              </w:rPr>
            </w:pPr>
          </w:p>
        </w:tc>
      </w:tr>
      <w:tr>
        <w:trPr>
          <w:trHeight w:val="141"/>
        </w:trPr>
        <w:tc>
          <w:tcPr>
            <w:tcW w:w="4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4"/>
              </w:rPr>
              <w:t>as Part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ind w:right="192"/>
              <w:spacing w:after="0" w:line="141" w:lineRule="exact"/>
              <w:rPr>
                <w:sz w:val="20"/>
                <w:szCs w:val="20"/>
                <w:color w:val="auto"/>
              </w:rPr>
            </w:pPr>
            <w:r>
              <w:rPr>
                <w:rFonts w:ascii="Arial" w:cs="Arial" w:eastAsia="Arial" w:hAnsi="Arial"/>
                <w:sz w:val="13"/>
                <w:szCs w:val="13"/>
                <w:b w:val="1"/>
                <w:bCs w:val="1"/>
                <w:color w:val="auto"/>
                <w:w w:val="94"/>
              </w:rPr>
              <w:t>Dollar Value of</w:t>
            </w:r>
          </w:p>
        </w:tc>
        <w:tc>
          <w:tcPr>
            <w:tcW w:w="0" w:type="dxa"/>
            <w:vAlign w:val="bottom"/>
          </w:tcPr>
          <w:p>
            <w:pPr>
              <w:spacing w:after="0"/>
              <w:rPr>
                <w:sz w:val="1"/>
                <w:szCs w:val="1"/>
                <w:color w:val="auto"/>
              </w:rPr>
            </w:pPr>
          </w:p>
        </w:tc>
      </w:tr>
      <w:tr>
        <w:trPr>
          <w:trHeight w:val="141"/>
        </w:trPr>
        <w:tc>
          <w:tcPr>
            <w:tcW w:w="4360" w:type="dxa"/>
            <w:vAlign w:val="bottom"/>
          </w:tcPr>
          <w:p>
            <w:pPr>
              <w:spacing w:after="0"/>
              <w:rPr>
                <w:sz w:val="12"/>
                <w:szCs w:val="12"/>
                <w:color w:val="auto"/>
              </w:rPr>
            </w:pPr>
          </w:p>
        </w:tc>
        <w:tc>
          <w:tcPr>
            <w:tcW w:w="1580" w:type="dxa"/>
            <w:vAlign w:val="bottom"/>
          </w:tcPr>
          <w:p>
            <w:pPr>
              <w:jc w:val="center"/>
              <w:ind w:right="48"/>
              <w:spacing w:after="0" w:line="141" w:lineRule="exact"/>
              <w:rPr>
                <w:sz w:val="20"/>
                <w:szCs w:val="20"/>
                <w:color w:val="auto"/>
              </w:rPr>
            </w:pPr>
            <w:r>
              <w:rPr>
                <w:rFonts w:ascii="Arial" w:cs="Arial" w:eastAsia="Arial" w:hAnsi="Arial"/>
                <w:sz w:val="13"/>
                <w:szCs w:val="13"/>
                <w:b w:val="1"/>
                <w:bCs w:val="1"/>
                <w:color w:val="auto"/>
                <w:w w:val="93"/>
              </w:rPr>
              <w:t>Total Number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6"/>
              </w:rPr>
              <w:t>Publicly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ind w:right="172"/>
              <w:spacing w:after="0" w:line="141" w:lineRule="exact"/>
              <w:rPr>
                <w:sz w:val="20"/>
                <w:szCs w:val="20"/>
                <w:color w:val="auto"/>
              </w:rPr>
            </w:pPr>
            <w:r>
              <w:rPr>
                <w:rFonts w:ascii="Arial" w:cs="Arial" w:eastAsia="Arial" w:hAnsi="Arial"/>
                <w:sz w:val="13"/>
                <w:szCs w:val="13"/>
                <w:b w:val="1"/>
                <w:bCs w:val="1"/>
                <w:color w:val="auto"/>
                <w:w w:val="96"/>
              </w:rPr>
              <w:t>Shares that May</w:t>
            </w:r>
          </w:p>
        </w:tc>
        <w:tc>
          <w:tcPr>
            <w:tcW w:w="0" w:type="dxa"/>
            <w:vAlign w:val="bottom"/>
          </w:tcPr>
          <w:p>
            <w:pPr>
              <w:spacing w:after="0"/>
              <w:rPr>
                <w:sz w:val="1"/>
                <w:szCs w:val="1"/>
                <w:color w:val="auto"/>
              </w:rPr>
            </w:pPr>
          </w:p>
        </w:tc>
      </w:tr>
      <w:tr>
        <w:trPr>
          <w:trHeight w:val="136"/>
        </w:trPr>
        <w:tc>
          <w:tcPr>
            <w:tcW w:w="4360" w:type="dxa"/>
            <w:vAlign w:val="bottom"/>
          </w:tcPr>
          <w:p>
            <w:pPr>
              <w:spacing w:after="0"/>
              <w:rPr>
                <w:sz w:val="11"/>
                <w:szCs w:val="11"/>
                <w:color w:val="auto"/>
              </w:rPr>
            </w:pPr>
          </w:p>
        </w:tc>
        <w:tc>
          <w:tcPr>
            <w:tcW w:w="1580" w:type="dxa"/>
            <w:vAlign w:val="bottom"/>
          </w:tcPr>
          <w:p>
            <w:pPr>
              <w:jc w:val="center"/>
              <w:ind w:right="48"/>
              <w:spacing w:after="0" w:line="137" w:lineRule="exact"/>
              <w:rPr>
                <w:sz w:val="20"/>
                <w:szCs w:val="20"/>
                <w:color w:val="auto"/>
              </w:rPr>
            </w:pPr>
            <w:r>
              <w:rPr>
                <w:rFonts w:ascii="Arial" w:cs="Arial" w:eastAsia="Arial" w:hAnsi="Arial"/>
                <w:sz w:val="13"/>
                <w:szCs w:val="13"/>
                <w:b w:val="1"/>
                <w:bCs w:val="1"/>
                <w:color w:val="auto"/>
                <w:w w:val="97"/>
              </w:rPr>
              <w:t>of Shares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480"/>
              <w:spacing w:after="0" w:line="137" w:lineRule="exact"/>
              <w:rPr>
                <w:sz w:val="20"/>
                <w:szCs w:val="20"/>
                <w:color w:val="auto"/>
              </w:rPr>
            </w:pPr>
            <w:r>
              <w:rPr>
                <w:rFonts w:ascii="Arial" w:cs="Arial" w:eastAsia="Arial" w:hAnsi="Arial"/>
                <w:sz w:val="13"/>
                <w:szCs w:val="13"/>
                <w:b w:val="1"/>
                <w:bCs w:val="1"/>
                <w:color w:val="auto"/>
                <w:w w:val="94"/>
              </w:rPr>
              <w:t>Average Price</w:t>
            </w:r>
          </w:p>
        </w:tc>
        <w:tc>
          <w:tcPr>
            <w:tcW w:w="1600" w:type="dxa"/>
            <w:vAlign w:val="bottom"/>
          </w:tcPr>
          <w:p>
            <w:pPr>
              <w:jc w:val="center"/>
              <w:ind w:right="52"/>
              <w:spacing w:after="0" w:line="137" w:lineRule="exact"/>
              <w:rPr>
                <w:sz w:val="20"/>
                <w:szCs w:val="20"/>
                <w:color w:val="auto"/>
              </w:rPr>
            </w:pPr>
            <w:r>
              <w:rPr>
                <w:rFonts w:ascii="Arial" w:cs="Arial" w:eastAsia="Arial" w:hAnsi="Arial"/>
                <w:sz w:val="13"/>
                <w:szCs w:val="13"/>
                <w:b w:val="1"/>
                <w:bCs w:val="1"/>
                <w:color w:val="auto"/>
                <w:w w:val="95"/>
              </w:rPr>
              <w:t>Announced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jc w:val="center"/>
              <w:ind w:right="192"/>
              <w:spacing w:after="0" w:line="137" w:lineRule="exact"/>
              <w:rPr>
                <w:sz w:val="20"/>
                <w:szCs w:val="20"/>
                <w:color w:val="auto"/>
              </w:rPr>
            </w:pPr>
            <w:r>
              <w:rPr>
                <w:rFonts w:ascii="Arial" w:cs="Arial" w:eastAsia="Arial" w:hAnsi="Arial"/>
                <w:sz w:val="13"/>
                <w:szCs w:val="13"/>
                <w:b w:val="1"/>
                <w:bCs w:val="1"/>
                <w:color w:val="auto"/>
                <w:w w:val="95"/>
              </w:rPr>
              <w:t>Yet Be Purchased</w:t>
            </w:r>
          </w:p>
        </w:tc>
        <w:tc>
          <w:tcPr>
            <w:tcW w:w="0" w:type="dxa"/>
            <w:vAlign w:val="bottom"/>
          </w:tcPr>
          <w:p>
            <w:pPr>
              <w:spacing w:after="0"/>
              <w:rPr>
                <w:sz w:val="1"/>
                <w:szCs w:val="1"/>
                <w:color w:val="auto"/>
              </w:rPr>
            </w:pPr>
          </w:p>
        </w:tc>
      </w:tr>
      <w:tr>
        <w:trPr>
          <w:trHeight w:val="157"/>
        </w:trPr>
        <w:tc>
          <w:tcPr>
            <w:tcW w:w="4360" w:type="dxa"/>
            <w:vAlign w:val="bottom"/>
          </w:tcPr>
          <w:p>
            <w:pPr>
              <w:spacing w:after="0"/>
              <w:rPr>
                <w:sz w:val="13"/>
                <w:szCs w:val="13"/>
                <w:color w:val="auto"/>
              </w:rPr>
            </w:pPr>
          </w:p>
        </w:tc>
        <w:tc>
          <w:tcPr>
            <w:tcW w:w="1580" w:type="dxa"/>
            <w:vAlign w:val="bottom"/>
          </w:tcPr>
          <w:p>
            <w:pPr>
              <w:jc w:val="center"/>
              <w:ind w:right="68"/>
              <w:spacing w:after="0"/>
              <w:rPr>
                <w:sz w:val="20"/>
                <w:szCs w:val="20"/>
                <w:color w:val="auto"/>
              </w:rPr>
            </w:pPr>
            <w:r>
              <w:rPr>
                <w:rFonts w:ascii="Arial" w:cs="Arial" w:eastAsia="Arial" w:hAnsi="Arial"/>
                <w:sz w:val="13"/>
                <w:szCs w:val="13"/>
                <w:b w:val="1"/>
                <w:bCs w:val="1"/>
                <w:color w:val="auto"/>
                <w:w w:val="96"/>
              </w:rPr>
              <w:t>Purchased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4"/>
              </w:rPr>
              <w:t>Paid per Share</w:t>
            </w:r>
          </w:p>
        </w:tc>
        <w:tc>
          <w:tcPr>
            <w:tcW w:w="1600" w:type="dxa"/>
            <w:vAlign w:val="bottom"/>
          </w:tcPr>
          <w:p>
            <w:pPr>
              <w:jc w:val="center"/>
              <w:ind w:right="52"/>
              <w:spacing w:after="0" w:line="157" w:lineRule="exact"/>
              <w:rPr>
                <w:sz w:val="20"/>
                <w:szCs w:val="20"/>
                <w:color w:val="auto"/>
              </w:rPr>
            </w:pPr>
            <w:r>
              <w:rPr>
                <w:rFonts w:ascii="Arial" w:cs="Arial" w:eastAsia="Arial" w:hAnsi="Arial"/>
                <w:sz w:val="11"/>
                <w:szCs w:val="11"/>
                <w:b w:val="1"/>
                <w:bCs w:val="1"/>
                <w:color w:val="auto"/>
              </w:rPr>
              <w:t>Programs</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center"/>
              <w:ind w:right="192"/>
              <w:spacing w:after="0" w:line="157" w:lineRule="exact"/>
              <w:rPr>
                <w:sz w:val="20"/>
                <w:szCs w:val="20"/>
                <w:color w:val="auto"/>
              </w:rPr>
            </w:pPr>
            <w:r>
              <w:rPr>
                <w:rFonts w:ascii="Arial" w:cs="Arial" w:eastAsia="Arial" w:hAnsi="Arial"/>
                <w:sz w:val="11"/>
                <w:szCs w:val="11"/>
                <w:b w:val="1"/>
                <w:bCs w:val="1"/>
                <w:color w:val="auto"/>
              </w:rPr>
              <w:t>Under Programs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80"/>
        </w:trPr>
        <w:tc>
          <w:tcPr>
            <w:tcW w:w="43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October 1 – October 31, 2020</w:t>
            </w:r>
          </w:p>
        </w:tc>
        <w:tc>
          <w:tcPr>
            <w:tcW w:w="1580" w:type="dxa"/>
            <w:vAlign w:val="bottom"/>
            <w:tcBorders>
              <w:top w:val="single" w:sz="8" w:color="auto"/>
            </w:tcBorders>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287,083</w:t>
            </w:r>
          </w:p>
        </w:tc>
        <w:tc>
          <w:tcPr>
            <w:tcW w:w="18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ind w:right="28"/>
              <w:spacing w:after="0" w:line="180" w:lineRule="exact"/>
              <w:rPr>
                <w:sz w:val="20"/>
                <w:szCs w:val="20"/>
                <w:color w:val="auto"/>
              </w:rPr>
            </w:pPr>
            <w:r>
              <w:rPr>
                <w:rFonts w:ascii="Arial" w:cs="Arial" w:eastAsia="Arial" w:hAnsi="Arial"/>
                <w:sz w:val="16"/>
                <w:szCs w:val="16"/>
                <w:color w:val="auto"/>
              </w:rPr>
              <w:t>38.30</w:t>
            </w:r>
          </w:p>
        </w:tc>
        <w:tc>
          <w:tcPr>
            <w:tcW w:w="180" w:type="dxa"/>
            <w:vAlign w:val="bottom"/>
            <w:tcBorders>
              <w:top w:val="single" w:sz="8" w:color="CFF0FC"/>
            </w:tcBorders>
            <w:shd w:val="clear" w:color="auto" w:fill="CFF0FC"/>
          </w:tcPr>
          <w:p>
            <w:pPr>
              <w:spacing w:after="0"/>
              <w:rPr>
                <w:sz w:val="15"/>
                <w:szCs w:val="15"/>
                <w:color w:val="auto"/>
              </w:rPr>
            </w:pPr>
          </w:p>
        </w:tc>
        <w:tc>
          <w:tcPr>
            <w:tcW w:w="1600" w:type="dxa"/>
            <w:vAlign w:val="bottom"/>
            <w:tcBorders>
              <w:top w:val="single" w:sz="8" w:color="auto"/>
            </w:tcBorders>
            <w:shd w:val="clear" w:color="auto" w:fill="CFF0FC"/>
          </w:tcPr>
          <w:p>
            <w:pPr>
              <w:jc w:val="right"/>
              <w:ind w:right="52"/>
              <w:spacing w:after="0" w:line="180" w:lineRule="exact"/>
              <w:rPr>
                <w:sz w:val="20"/>
                <w:szCs w:val="20"/>
                <w:color w:val="auto"/>
              </w:rPr>
            </w:pPr>
            <w:r>
              <w:rPr>
                <w:rFonts w:ascii="Arial" w:cs="Arial" w:eastAsia="Arial" w:hAnsi="Arial"/>
                <w:sz w:val="16"/>
                <w:szCs w:val="16"/>
                <w:color w:val="auto"/>
              </w:rPr>
              <w:t>287,083</w:t>
            </w:r>
          </w:p>
        </w:tc>
        <w:tc>
          <w:tcPr>
            <w:tcW w:w="16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FF0FC"/>
          </w:tcPr>
          <w:p>
            <w:pPr>
              <w:jc w:val="right"/>
              <w:ind w:right="52"/>
              <w:spacing w:after="0" w:line="180" w:lineRule="exact"/>
              <w:rPr>
                <w:sz w:val="20"/>
                <w:szCs w:val="20"/>
                <w:color w:val="auto"/>
              </w:rPr>
            </w:pPr>
            <w:r>
              <w:rPr>
                <w:rFonts w:ascii="Arial" w:cs="Arial" w:eastAsia="Arial" w:hAnsi="Arial"/>
                <w:sz w:val="16"/>
                <w:szCs w:val="16"/>
                <w:color w:val="auto"/>
              </w:rPr>
              <w:t>845,105,989</w:t>
            </w:r>
          </w:p>
        </w:tc>
        <w:tc>
          <w:tcPr>
            <w:tcW w:w="0" w:type="dxa"/>
            <w:vAlign w:val="bottom"/>
          </w:tcPr>
          <w:p>
            <w:pPr>
              <w:spacing w:after="0"/>
              <w:rPr>
                <w:sz w:val="1"/>
                <w:szCs w:val="1"/>
                <w:color w:val="auto"/>
              </w:rPr>
            </w:pPr>
          </w:p>
        </w:tc>
      </w:tr>
      <w:tr>
        <w:trPr>
          <w:trHeight w:val="188"/>
        </w:trPr>
        <w:tc>
          <w:tcPr>
            <w:tcW w:w="4360" w:type="dxa"/>
            <w:vAlign w:val="bottom"/>
          </w:tcPr>
          <w:p>
            <w:pPr>
              <w:spacing w:after="0"/>
              <w:rPr>
                <w:sz w:val="20"/>
                <w:szCs w:val="20"/>
                <w:color w:val="auto"/>
              </w:rPr>
            </w:pPr>
            <w:r>
              <w:rPr>
                <w:rFonts w:ascii="Arial" w:cs="Arial" w:eastAsia="Arial" w:hAnsi="Arial"/>
                <w:sz w:val="16"/>
                <w:szCs w:val="16"/>
                <w:color w:val="auto"/>
              </w:rPr>
              <w:t>November 1 – November 30, 2020</w:t>
            </w:r>
          </w:p>
        </w:tc>
        <w:tc>
          <w:tcPr>
            <w:tcW w:w="1580" w:type="dxa"/>
            <w:vAlign w:val="bottom"/>
          </w:tcPr>
          <w:p>
            <w:pPr>
              <w:jc w:val="right"/>
              <w:ind w:right="48"/>
              <w:spacing w:after="0"/>
              <w:rPr>
                <w:sz w:val="20"/>
                <w:szCs w:val="20"/>
                <w:color w:val="auto"/>
              </w:rPr>
            </w:pPr>
            <w:r>
              <w:rPr>
                <w:rFonts w:ascii="Arial" w:cs="Arial" w:eastAsia="Arial" w:hAnsi="Arial"/>
                <w:sz w:val="16"/>
                <w:szCs w:val="16"/>
                <w:color w:val="auto"/>
              </w:rPr>
              <w:t>348,451</w:t>
            </w:r>
          </w:p>
        </w:tc>
        <w:tc>
          <w:tcPr>
            <w:tcW w:w="36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8"/>
              <w:spacing w:after="0"/>
              <w:rPr>
                <w:sz w:val="20"/>
                <w:szCs w:val="20"/>
                <w:color w:val="auto"/>
              </w:rPr>
            </w:pPr>
            <w:r>
              <w:rPr>
                <w:rFonts w:ascii="Arial" w:cs="Arial" w:eastAsia="Arial" w:hAnsi="Arial"/>
                <w:sz w:val="16"/>
                <w:szCs w:val="16"/>
                <w:color w:val="auto"/>
              </w:rPr>
              <w:t>39.52</w:t>
            </w:r>
          </w:p>
        </w:tc>
        <w:tc>
          <w:tcPr>
            <w:tcW w:w="180" w:type="dxa"/>
            <w:vAlign w:val="bottom"/>
          </w:tcPr>
          <w:p>
            <w:pPr>
              <w:spacing w:after="0"/>
              <w:rPr>
                <w:sz w:val="16"/>
                <w:szCs w:val="16"/>
                <w:color w:val="auto"/>
              </w:rPr>
            </w:pPr>
          </w:p>
        </w:tc>
        <w:tc>
          <w:tcPr>
            <w:tcW w:w="1600" w:type="dxa"/>
            <w:vAlign w:val="bottom"/>
          </w:tcPr>
          <w:p>
            <w:pPr>
              <w:jc w:val="right"/>
              <w:ind w:right="52"/>
              <w:spacing w:after="0"/>
              <w:rPr>
                <w:sz w:val="20"/>
                <w:szCs w:val="20"/>
                <w:color w:val="auto"/>
              </w:rPr>
            </w:pPr>
            <w:r>
              <w:rPr>
                <w:rFonts w:ascii="Arial" w:cs="Arial" w:eastAsia="Arial" w:hAnsi="Arial"/>
                <w:sz w:val="16"/>
                <w:szCs w:val="16"/>
                <w:color w:val="auto"/>
              </w:rPr>
              <w:t>348,451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2"/>
              <w:spacing w:after="0"/>
              <w:rPr>
                <w:sz w:val="20"/>
                <w:szCs w:val="20"/>
                <w:color w:val="auto"/>
              </w:rPr>
            </w:pPr>
            <w:r>
              <w:rPr>
                <w:rFonts w:ascii="Arial" w:cs="Arial" w:eastAsia="Arial" w:hAnsi="Arial"/>
                <w:sz w:val="16"/>
                <w:szCs w:val="16"/>
                <w:color w:val="auto"/>
              </w:rPr>
              <w:t>831,336,696</w:t>
            </w:r>
          </w:p>
        </w:tc>
        <w:tc>
          <w:tcPr>
            <w:tcW w:w="0" w:type="dxa"/>
            <w:vAlign w:val="bottom"/>
          </w:tcPr>
          <w:p>
            <w:pPr>
              <w:spacing w:after="0"/>
              <w:rPr>
                <w:sz w:val="1"/>
                <w:szCs w:val="1"/>
                <w:color w:val="auto"/>
              </w:rPr>
            </w:pPr>
          </w:p>
        </w:tc>
      </w:tr>
      <w:tr>
        <w:trPr>
          <w:trHeight w:val="188"/>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December 1 – December 31, 2020</w:t>
            </w:r>
          </w:p>
        </w:tc>
        <w:tc>
          <w:tcPr>
            <w:tcW w:w="1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6"/>
                <w:szCs w:val="16"/>
                <w:color w:val="auto"/>
              </w:rPr>
              <w:t>105,832</w:t>
            </w:r>
          </w:p>
        </w:tc>
        <w:tc>
          <w:tcPr>
            <w:tcW w:w="360" w:type="dxa"/>
            <w:vAlign w:val="bottom"/>
            <w:tcBorders>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6"/>
                <w:szCs w:val="16"/>
                <w:color w:val="auto"/>
              </w:rPr>
              <w:t>41.37</w:t>
            </w:r>
          </w:p>
        </w:tc>
        <w:tc>
          <w:tcPr>
            <w:tcW w:w="180" w:type="dxa"/>
            <w:vAlign w:val="bottom"/>
            <w:tcBorders>
              <w:bottom w:val="single" w:sz="8" w:color="CFF0FC"/>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6"/>
                <w:szCs w:val="16"/>
                <w:color w:val="auto"/>
              </w:rPr>
              <w:t>105,832</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FF0FC"/>
            </w:tcBorders>
            <w:shd w:val="clear" w:color="auto" w:fill="CFF0FC"/>
          </w:tcPr>
          <w:p>
            <w:pPr>
              <w:jc w:val="right"/>
              <w:ind w:right="52"/>
              <w:spacing w:after="0"/>
              <w:rPr>
                <w:sz w:val="20"/>
                <w:szCs w:val="20"/>
                <w:color w:val="auto"/>
              </w:rPr>
            </w:pPr>
            <w:r>
              <w:rPr>
                <w:rFonts w:ascii="Arial" w:cs="Arial" w:eastAsia="Arial" w:hAnsi="Arial"/>
                <w:sz w:val="16"/>
                <w:szCs w:val="16"/>
                <w:color w:val="auto"/>
              </w:rPr>
              <w:t>826,958,805</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20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60" w:type="dxa"/>
            <w:vAlign w:val="bottom"/>
            <w:vMerge w:val="continue"/>
          </w:tcPr>
          <w:p>
            <w:pPr>
              <w:spacing w:after="0"/>
              <w:rPr>
                <w:sz w:val="14"/>
                <w:szCs w:val="14"/>
                <w:color w:val="auto"/>
              </w:rPr>
            </w:pPr>
          </w:p>
        </w:tc>
        <w:tc>
          <w:tcPr>
            <w:tcW w:w="1580" w:type="dxa"/>
            <w:vAlign w:val="bottom"/>
            <w:tcBorders>
              <w:bottom w:val="single" w:sz="8" w:color="auto"/>
            </w:tcBorders>
          </w:tcPr>
          <w:p>
            <w:pPr>
              <w:jc w:val="right"/>
              <w:ind w:right="48"/>
              <w:spacing w:after="0" w:line="163" w:lineRule="exact"/>
              <w:rPr>
                <w:sz w:val="20"/>
                <w:szCs w:val="20"/>
                <w:color w:val="auto"/>
              </w:rPr>
            </w:pPr>
            <w:r>
              <w:rPr>
                <w:rFonts w:ascii="Arial" w:cs="Arial" w:eastAsia="Arial" w:hAnsi="Arial"/>
                <w:sz w:val="16"/>
                <w:szCs w:val="16"/>
                <w:color w:val="auto"/>
              </w:rPr>
              <w:t>741,366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Borders>
              <w:bottom w:val="single" w:sz="8" w:color="auto"/>
            </w:tcBorders>
          </w:tcPr>
          <w:p>
            <w:pPr>
              <w:jc w:val="right"/>
              <w:ind w:right="52"/>
              <w:spacing w:after="0" w:line="163" w:lineRule="exact"/>
              <w:rPr>
                <w:sz w:val="20"/>
                <w:szCs w:val="20"/>
                <w:color w:val="auto"/>
              </w:rPr>
            </w:pPr>
            <w:r>
              <w:rPr>
                <w:rFonts w:ascii="Arial" w:cs="Arial" w:eastAsia="Arial" w:hAnsi="Arial"/>
                <w:sz w:val="16"/>
                <w:szCs w:val="16"/>
                <w:color w:val="auto"/>
              </w:rPr>
              <w:t>741,366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306" w:hanging="306"/>
        <w:spacing w:after="0"/>
        <w:tabs>
          <w:tab w:leader="none" w:pos="306" w:val="left"/>
        </w:tabs>
        <w:numPr>
          <w:ilvl w:val="0"/>
          <w:numId w:val="10"/>
        </w:numPr>
        <w:rPr>
          <w:rFonts w:ascii="Arial" w:cs="Arial" w:eastAsia="Arial" w:hAnsi="Arial"/>
          <w:sz w:val="13"/>
          <w:szCs w:val="13"/>
          <w:color w:val="auto"/>
        </w:rPr>
      </w:pPr>
      <w:r>
        <w:rPr>
          <w:rFonts w:ascii="Arial" w:cs="Arial" w:eastAsia="Arial" w:hAnsi="Arial"/>
          <w:sz w:val="16"/>
          <w:szCs w:val="16"/>
          <w:color w:val="auto"/>
        </w:rPr>
        <w:t>These values reflect repurchases made under the Repurchase Program.</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Issuances Under Equity Compensation Plans</w:t>
      </w:r>
    </w:p>
    <w:p>
      <w:pPr>
        <w:spacing w:after="0" w:line="135" w:lineRule="exact"/>
        <w:rPr>
          <w:sz w:val="20"/>
          <w:szCs w:val="20"/>
          <w:color w:val="auto"/>
        </w:rPr>
      </w:pPr>
    </w:p>
    <w:p>
      <w:pPr>
        <w:ind w:left="526"/>
        <w:spacing w:after="0"/>
        <w:rPr>
          <w:sz w:val="20"/>
          <w:szCs w:val="20"/>
          <w:color w:val="auto"/>
        </w:rPr>
      </w:pPr>
      <w:r>
        <w:rPr>
          <w:rFonts w:ascii="Arial" w:cs="Arial" w:eastAsia="Arial" w:hAnsi="Arial"/>
          <w:sz w:val="15"/>
          <w:szCs w:val="15"/>
          <w:color w:val="auto"/>
        </w:rPr>
        <w:t>For information regarding the securities authorized for issuance under our equity compensation plans, see Part III, Item 12 of this Annual Report on Form</w:t>
      </w:r>
    </w:p>
    <w:p>
      <w:pPr>
        <w:spacing w:after="0" w:line="24" w:lineRule="exact"/>
        <w:rPr>
          <w:sz w:val="20"/>
          <w:szCs w:val="20"/>
          <w:color w:val="auto"/>
        </w:rPr>
      </w:pPr>
    </w:p>
    <w:p>
      <w:pPr>
        <w:ind w:left="6"/>
        <w:spacing w:after="0"/>
        <w:rPr>
          <w:sz w:val="20"/>
          <w:szCs w:val="20"/>
          <w:color w:val="auto"/>
        </w:rPr>
      </w:pPr>
      <w:r>
        <w:rPr>
          <w:rFonts w:ascii="Arial" w:cs="Arial" w:eastAsia="Arial" w:hAnsi="Arial"/>
          <w:sz w:val="16"/>
          <w:szCs w:val="16"/>
          <w:color w:val="auto"/>
        </w:rPr>
        <w:t>10-K.</w:t>
      </w:r>
    </w:p>
    <w:p>
      <w:pPr>
        <w:spacing w:after="0" w:line="160"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715010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0" w:right="31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Comparative Stock Performance Graph</w:t>
      </w:r>
    </w:p>
    <w:p>
      <w:pPr>
        <w:spacing w:after="0" w:line="135" w:lineRule="exact"/>
        <w:rPr>
          <w:sz w:val="20"/>
          <w:szCs w:val="20"/>
          <w:color w:val="auto"/>
        </w:rPr>
      </w:pPr>
    </w:p>
    <w:p>
      <w:pPr>
        <w:ind w:right="40" w:firstLine="522"/>
        <w:spacing w:after="0" w:line="247" w:lineRule="auto"/>
        <w:rPr>
          <w:sz w:val="20"/>
          <w:szCs w:val="20"/>
          <w:color w:val="auto"/>
        </w:rPr>
      </w:pPr>
      <w:r>
        <w:rPr>
          <w:rFonts w:ascii="Arial" w:cs="Arial" w:eastAsia="Arial" w:hAnsi="Arial"/>
          <w:sz w:val="16"/>
          <w:szCs w:val="16"/>
          <w:color w:val="auto"/>
        </w:rPr>
        <w:t>The information included under the heading “Comparative Stock Performance Graph” in this Item 5 of Part II of this Annual Report on Form 10-K shall not be deemed to be “soliciting material” or subject to Regulation 14A or 14C, shall not be deemed “filed” for purposes of Section 18 of the Exchange Act, or otherwise subject to the liabilities of that section, nor shall it be deemed incorporated by reference in any filing under the Securities Act or the Exchange Act.</w:t>
      </w:r>
    </w:p>
    <w:p>
      <w:pPr>
        <w:spacing w:after="0" w:line="101" w:lineRule="exact"/>
        <w:rPr>
          <w:sz w:val="20"/>
          <w:szCs w:val="20"/>
          <w:color w:val="auto"/>
        </w:rPr>
      </w:pPr>
    </w:p>
    <w:p>
      <w:pPr>
        <w:ind w:right="240" w:firstLine="522"/>
        <w:spacing w:after="0" w:line="241" w:lineRule="auto"/>
        <w:rPr>
          <w:sz w:val="20"/>
          <w:szCs w:val="20"/>
          <w:color w:val="auto"/>
        </w:rPr>
      </w:pPr>
      <w:r>
        <w:rPr>
          <w:rFonts w:ascii="Arial" w:cs="Arial" w:eastAsia="Arial" w:hAnsi="Arial"/>
          <w:sz w:val="16"/>
          <w:szCs w:val="16"/>
          <w:color w:val="auto"/>
        </w:rPr>
        <w:t>Set forth below is a graph comparing the total cumulative returns of ALSN, the S&amp;P 500 Index and an index of peer companies selected by us. Our peer group includes Donaldson Company, Inc., Graco Inc., Roper Technologies, Inc., Gentex Corporation, Rockwell Automation, Inc. and Sensata Technologies Holding PLC. The graph assumes $100 was invested on December 31, 2015 in our common stock and each of the indices and that all dividends, if any,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102870</wp:posOffset>
            </wp:positionV>
            <wp:extent cx="4950460" cy="25050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50460" cy="250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As of</w:t>
            </w:r>
          </w:p>
        </w:tc>
        <w:tc>
          <w:tcPr>
            <w:tcW w:w="140" w:type="dxa"/>
            <w:vAlign w:val="bottom"/>
          </w:tcPr>
          <w:p>
            <w:pPr>
              <w:spacing w:after="0"/>
              <w:rPr>
                <w:sz w:val="12"/>
                <w:szCs w:val="12"/>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8"/>
              </w:rPr>
              <w:t>As of</w:t>
            </w:r>
          </w:p>
        </w:tc>
        <w:tc>
          <w:tcPr>
            <w:tcW w:w="140" w:type="dxa"/>
            <w:vAlign w:val="bottom"/>
          </w:tcPr>
          <w:p>
            <w:pPr>
              <w:spacing w:after="0"/>
              <w:rPr>
                <w:sz w:val="12"/>
                <w:szCs w:val="12"/>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8"/>
              </w:rPr>
              <w:t>As of</w:t>
            </w:r>
          </w:p>
        </w:tc>
        <w:tc>
          <w:tcPr>
            <w:tcW w:w="120" w:type="dxa"/>
            <w:vAlign w:val="bottom"/>
          </w:tcPr>
          <w:p>
            <w:pPr>
              <w:spacing w:after="0"/>
              <w:rPr>
                <w:sz w:val="12"/>
                <w:szCs w:val="12"/>
                <w:color w:val="auto"/>
              </w:rPr>
            </w:pPr>
          </w:p>
        </w:tc>
        <w:tc>
          <w:tcPr>
            <w:tcW w:w="1180" w:type="dxa"/>
            <w:vAlign w:val="bottom"/>
          </w:tcPr>
          <w:p>
            <w:pPr>
              <w:jc w:val="center"/>
              <w:ind w:right="190"/>
              <w:spacing w:after="0"/>
              <w:rPr>
                <w:sz w:val="20"/>
                <w:szCs w:val="20"/>
                <w:color w:val="auto"/>
              </w:rPr>
            </w:pPr>
            <w:r>
              <w:rPr>
                <w:rFonts w:ascii="Arial" w:cs="Arial" w:eastAsia="Arial" w:hAnsi="Arial"/>
                <w:sz w:val="13"/>
                <w:szCs w:val="13"/>
                <w:b w:val="1"/>
                <w:bCs w:val="1"/>
                <w:color w:val="auto"/>
                <w:w w:val="98"/>
              </w:rPr>
              <w:t>As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90"/>
              <w:spacing w:after="0"/>
              <w:rPr>
                <w:sz w:val="20"/>
                <w:szCs w:val="20"/>
                <w:color w:val="auto"/>
              </w:rPr>
            </w:pPr>
            <w:r>
              <w:rPr>
                <w:rFonts w:ascii="Arial" w:cs="Arial" w:eastAsia="Arial" w:hAnsi="Arial"/>
                <w:sz w:val="13"/>
                <w:szCs w:val="13"/>
                <w:b w:val="1"/>
                <w:bCs w:val="1"/>
                <w:color w:val="auto"/>
                <w:w w:val="92"/>
              </w:rPr>
              <w:t>As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90"/>
              <w:spacing w:after="0"/>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141"/>
        </w:trPr>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0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2"/>
                <w:szCs w:val="12"/>
                <w:color w:val="auto"/>
              </w:rPr>
            </w:pPr>
          </w:p>
        </w:tc>
        <w:tc>
          <w:tcPr>
            <w:tcW w:w="1300" w:type="dxa"/>
            <w:vAlign w:val="bottom"/>
            <w:gridSpan w:val="2"/>
          </w:tcPr>
          <w:p>
            <w:pPr>
              <w:jc w:val="center"/>
              <w:ind w:right="40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2"/>
                <w:szCs w:val="12"/>
                <w:color w:val="auto"/>
              </w:rPr>
            </w:pPr>
          </w:p>
        </w:tc>
        <w:tc>
          <w:tcPr>
            <w:tcW w:w="1320" w:type="dxa"/>
            <w:vAlign w:val="bottom"/>
            <w:gridSpan w:val="2"/>
          </w:tcPr>
          <w:p>
            <w:pPr>
              <w:jc w:val="center"/>
              <w:ind w:right="400"/>
              <w:spacing w:after="0" w:line="141" w:lineRule="exact"/>
              <w:rPr>
                <w:sz w:val="20"/>
                <w:szCs w:val="20"/>
                <w:color w:val="auto"/>
              </w:rPr>
            </w:pPr>
            <w:r>
              <w:rPr>
                <w:rFonts w:ascii="Arial" w:cs="Arial" w:eastAsia="Arial" w:hAnsi="Arial"/>
                <w:sz w:val="13"/>
                <w:szCs w:val="13"/>
                <w:b w:val="1"/>
                <w:bCs w:val="1"/>
                <w:color w:val="auto"/>
                <w:w w:val="94"/>
              </w:rPr>
              <w:t>December 31,</w:t>
            </w:r>
          </w:p>
        </w:tc>
        <w:tc>
          <w:tcPr>
            <w:tcW w:w="120" w:type="dxa"/>
            <w:vAlign w:val="bottom"/>
          </w:tcPr>
          <w:p>
            <w:pPr>
              <w:spacing w:after="0"/>
              <w:rPr>
                <w:sz w:val="12"/>
                <w:szCs w:val="12"/>
                <w:color w:val="auto"/>
              </w:rPr>
            </w:pPr>
          </w:p>
        </w:tc>
        <w:tc>
          <w:tcPr>
            <w:tcW w:w="1180" w:type="dxa"/>
            <w:vAlign w:val="bottom"/>
          </w:tcPr>
          <w:p>
            <w:pPr>
              <w:jc w:val="center"/>
              <w:ind w:right="17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9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90"/>
              <w:spacing w:after="0" w:line="141" w:lineRule="exact"/>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53"/>
        </w:trPr>
        <w:tc>
          <w:tcPr>
            <w:tcW w:w="27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2015</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2016</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2017</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3"/>
                <w:szCs w:val="13"/>
                <w:b w:val="1"/>
                <w:bCs w:val="1"/>
                <w:color w:val="auto"/>
                <w:w w:val="96"/>
              </w:rPr>
              <w:t>2018</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6"/>
              </w:rPr>
              <w:t>2019</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59"/>
        </w:trPr>
        <w:tc>
          <w:tcPr>
            <w:tcW w:w="2720" w:type="dxa"/>
            <w:vAlign w:val="bottom"/>
            <w:shd w:val="clear" w:color="auto" w:fill="CFF0FC"/>
          </w:tcPr>
          <w:p>
            <w:pPr>
              <w:spacing w:after="0" w:line="159" w:lineRule="exact"/>
              <w:rPr>
                <w:sz w:val="20"/>
                <w:szCs w:val="20"/>
                <w:color w:val="auto"/>
              </w:rPr>
            </w:pPr>
            <w:r>
              <w:rPr>
                <w:rFonts w:ascii="Arial" w:cs="Arial" w:eastAsia="Arial" w:hAnsi="Arial"/>
                <w:sz w:val="16"/>
                <w:szCs w:val="16"/>
                <w:color w:val="auto"/>
              </w:rPr>
              <w:t>Allison Transmission</w:t>
            </w: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w:t>
            </w:r>
          </w:p>
        </w:tc>
        <w:tc>
          <w:tcPr>
            <w:tcW w:w="1180" w:type="dxa"/>
            <w:vAlign w:val="bottom"/>
            <w:vMerge w:val="restart"/>
            <w:shd w:val="clear" w:color="auto" w:fill="CFF0FC"/>
          </w:tcPr>
          <w:p>
            <w:pPr>
              <w:jc w:val="right"/>
              <w:ind w:right="50"/>
              <w:spacing w:after="0"/>
              <w:rPr>
                <w:sz w:val="20"/>
                <w:szCs w:val="20"/>
                <w:color w:val="auto"/>
              </w:rPr>
            </w:pPr>
            <w:r>
              <w:rPr>
                <w:rFonts w:ascii="Arial" w:cs="Arial" w:eastAsia="Arial" w:hAnsi="Arial"/>
                <w:sz w:val="16"/>
                <w:szCs w:val="16"/>
                <w:b w:val="1"/>
                <w:bCs w:val="1"/>
                <w:color w:val="auto"/>
              </w:rPr>
              <w:t>181.14</w:t>
            </w:r>
          </w:p>
        </w:tc>
        <w:tc>
          <w:tcPr>
            <w:tcW w:w="0" w:type="dxa"/>
            <w:vAlign w:val="bottom"/>
          </w:tcPr>
          <w:p>
            <w:pPr>
              <w:spacing w:after="0"/>
              <w:rPr>
                <w:sz w:val="1"/>
                <w:szCs w:val="1"/>
                <w:color w:val="auto"/>
              </w:rPr>
            </w:pPr>
          </w:p>
        </w:tc>
      </w:tr>
      <w:tr>
        <w:trPr>
          <w:trHeight w:val="197"/>
        </w:trPr>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Holdings, Inc.</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6"/>
                <w:szCs w:val="16"/>
                <w:color w:val="auto"/>
              </w:rPr>
              <w:t>100.00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6"/>
                <w:szCs w:val="16"/>
                <w:color w:val="auto"/>
              </w:rPr>
              <w:t>133.07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6"/>
                <w:szCs w:val="16"/>
                <w:color w:val="auto"/>
              </w:rPr>
              <w:t>172.93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6"/>
                <w:szCs w:val="16"/>
                <w:color w:val="auto"/>
              </w:rPr>
              <w:t>178.71</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6"/>
                <w:szCs w:val="16"/>
                <w:color w:val="auto"/>
              </w:rPr>
              <w:t>199.25</w:t>
            </w:r>
          </w:p>
        </w:tc>
        <w:tc>
          <w:tcPr>
            <w:tcW w:w="280" w:type="dxa"/>
            <w:vAlign w:val="bottom"/>
            <w:gridSpan w:val="2"/>
            <w:vMerge w:val="continue"/>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720" w:type="dxa"/>
            <w:vAlign w:val="bottom"/>
          </w:tcPr>
          <w:p>
            <w:pPr>
              <w:spacing w:after="0"/>
              <w:rPr>
                <w:sz w:val="20"/>
                <w:szCs w:val="20"/>
                <w:color w:val="auto"/>
              </w:rPr>
            </w:pPr>
            <w:r>
              <w:rPr>
                <w:rFonts w:ascii="Arial" w:cs="Arial" w:eastAsia="Arial" w:hAnsi="Arial"/>
                <w:sz w:val="16"/>
                <w:szCs w:val="16"/>
                <w:color w:val="auto"/>
              </w:rPr>
              <w:t>S&amp;P 500 Index</w:t>
            </w:r>
          </w:p>
        </w:tc>
        <w:tc>
          <w:tcPr>
            <w:tcW w:w="140" w:type="dxa"/>
            <w:vAlign w:val="bottom"/>
          </w:tcPr>
          <w:p>
            <w:pPr>
              <w:spacing w:after="0"/>
              <w:rPr>
                <w:sz w:val="16"/>
                <w:szCs w:val="16"/>
                <w:color w:val="auto"/>
              </w:rPr>
            </w:pPr>
          </w:p>
        </w:tc>
        <w:tc>
          <w:tcPr>
            <w:tcW w:w="1160" w:type="dxa"/>
            <w:vAlign w:val="bottom"/>
          </w:tcPr>
          <w:p>
            <w:pPr>
              <w:jc w:val="right"/>
              <w:ind w:right="50"/>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50"/>
              <w:spacing w:after="0"/>
              <w:rPr>
                <w:sz w:val="20"/>
                <w:szCs w:val="20"/>
                <w:color w:val="auto"/>
              </w:rPr>
            </w:pPr>
            <w:r>
              <w:rPr>
                <w:rFonts w:ascii="Arial" w:cs="Arial" w:eastAsia="Arial" w:hAnsi="Arial"/>
                <w:sz w:val="16"/>
                <w:szCs w:val="16"/>
                <w:color w:val="auto"/>
              </w:rPr>
              <w:t>111.96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30"/>
              <w:spacing w:after="0"/>
              <w:rPr>
                <w:sz w:val="20"/>
                <w:szCs w:val="20"/>
                <w:color w:val="auto"/>
              </w:rPr>
            </w:pPr>
            <w:r>
              <w:rPr>
                <w:rFonts w:ascii="Arial" w:cs="Arial" w:eastAsia="Arial" w:hAnsi="Arial"/>
                <w:sz w:val="16"/>
                <w:szCs w:val="16"/>
                <w:color w:val="auto"/>
              </w:rPr>
              <w:t>136.40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6"/>
                <w:szCs w:val="16"/>
                <w:color w:val="auto"/>
              </w:rPr>
              <w:t>130.42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50"/>
              <w:spacing w:after="0"/>
              <w:rPr>
                <w:sz w:val="20"/>
                <w:szCs w:val="20"/>
                <w:color w:val="auto"/>
              </w:rPr>
            </w:pPr>
            <w:r>
              <w:rPr>
                <w:rFonts w:ascii="Arial" w:cs="Arial" w:eastAsia="Arial" w:hAnsi="Arial"/>
                <w:sz w:val="16"/>
                <w:szCs w:val="16"/>
                <w:color w:val="auto"/>
              </w:rPr>
              <w:t>171.49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6"/>
                <w:szCs w:val="16"/>
                <w:b w:val="1"/>
                <w:bCs w:val="1"/>
                <w:color w:val="auto"/>
              </w:rPr>
              <w:t>203.04</w:t>
            </w:r>
          </w:p>
        </w:tc>
        <w:tc>
          <w:tcPr>
            <w:tcW w:w="0" w:type="dxa"/>
            <w:vAlign w:val="bottom"/>
          </w:tcPr>
          <w:p>
            <w:pPr>
              <w:spacing w:after="0"/>
              <w:rPr>
                <w:sz w:val="1"/>
                <w:szCs w:val="1"/>
                <w:color w:val="auto"/>
              </w:rPr>
            </w:pPr>
          </w:p>
        </w:tc>
      </w:tr>
      <w:tr>
        <w:trPr>
          <w:trHeight w:val="188"/>
        </w:trPr>
        <w:tc>
          <w:tcPr>
            <w:tcW w:w="2720" w:type="dxa"/>
            <w:vAlign w:val="bottom"/>
            <w:shd w:val="clear" w:color="auto" w:fill="CFF0FC"/>
          </w:tcPr>
          <w:p>
            <w:pPr>
              <w:spacing w:after="0"/>
              <w:rPr>
                <w:sz w:val="20"/>
                <w:szCs w:val="20"/>
                <w:color w:val="auto"/>
              </w:rPr>
            </w:pPr>
            <w:r>
              <w:rPr>
                <w:rFonts w:ascii="Arial" w:cs="Arial" w:eastAsia="Arial" w:hAnsi="Arial"/>
                <w:sz w:val="16"/>
                <w:szCs w:val="16"/>
                <w:color w:val="auto"/>
              </w:rPr>
              <w:t>Peer Group</w:t>
            </w: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6"/>
                <w:szCs w:val="16"/>
                <w:color w:val="auto"/>
              </w:rPr>
              <w:t>100.00</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6"/>
                <w:szCs w:val="16"/>
                <w:color w:val="auto"/>
              </w:rPr>
              <w:t>112.42</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6"/>
                <w:szCs w:val="16"/>
                <w:color w:val="auto"/>
              </w:rPr>
              <w:t>156.54</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6"/>
                <w:szCs w:val="16"/>
                <w:color w:val="auto"/>
              </w:rPr>
              <w:t>143.34</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6"/>
                <w:szCs w:val="16"/>
                <w:color w:val="auto"/>
              </w:rPr>
              <w:t>191.13</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6"/>
                <w:szCs w:val="16"/>
                <w:b w:val="1"/>
                <w:bCs w:val="1"/>
                <w:color w:val="auto"/>
              </w:rPr>
              <w:t>230.58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Omitted at Company’s option.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37" w:lineRule="exact"/>
        <w:rPr>
          <w:sz w:val="20"/>
          <w:szCs w:val="20"/>
          <w:color w:val="auto"/>
        </w:rPr>
      </w:pPr>
    </w:p>
    <w:p>
      <w:pPr>
        <w:ind w:right="20" w:firstLine="522"/>
        <w:spacing w:after="0" w:line="257" w:lineRule="auto"/>
        <w:rPr>
          <w:sz w:val="20"/>
          <w:szCs w:val="20"/>
          <w:color w:val="auto"/>
        </w:rPr>
      </w:pPr>
      <w:r>
        <w:rPr>
          <w:rFonts w:ascii="Arial" w:cs="Arial" w:eastAsia="Arial" w:hAnsi="Arial"/>
          <w:sz w:val="15"/>
          <w:szCs w:val="15"/>
          <w:i w:val="1"/>
          <w:iCs w:val="1"/>
          <w:color w:val="auto"/>
        </w:rPr>
        <w:t>The following discussion contains forward-looking statements regarding industry trends, our expectations regarding our future performance, liquidity and capital resources and other non-historical statements that involve risks and uncertainties. Our actual results may differ materially from those discussed in or implied by the forward looking statements as a result of various factors, including, without limitation, those set forth under Part I, Item 1A, “Risk Factors,” and other matters included elsewhere in this Annual Report on Form 10-K. The following discussion and analysis of our financial condition and results of operations should be read in conjunction with our consolidated financial statements and the notes thereto included elsewhere in this Annual Report on Form 10-K.</w:t>
      </w:r>
    </w:p>
    <w:p>
      <w:pPr>
        <w:spacing w:after="0" w:line="96" w:lineRule="exact"/>
        <w:rPr>
          <w:sz w:val="20"/>
          <w:szCs w:val="20"/>
          <w:color w:val="auto"/>
        </w:rPr>
      </w:pPr>
    </w:p>
    <w:p>
      <w:pPr>
        <w:ind w:firstLine="522"/>
        <w:spacing w:after="0" w:line="241" w:lineRule="auto"/>
        <w:rPr>
          <w:sz w:val="20"/>
          <w:szCs w:val="20"/>
          <w:color w:val="auto"/>
        </w:rPr>
      </w:pPr>
      <w:r>
        <w:rPr>
          <w:rFonts w:ascii="Arial" w:cs="Arial" w:eastAsia="Arial" w:hAnsi="Arial"/>
          <w:sz w:val="16"/>
          <w:szCs w:val="16"/>
          <w:color w:val="auto"/>
        </w:rPr>
        <w:t>This section of this Annual Report on Form 10-K generally discusses 2020 and 2019 items and year-over-year comparisons between 2020 and 2019. A detailed discussion of 2018 items and year-over-year comparisons between 2019 and 2018 that are not included in this Annual Report on Form 10-K can be found in “Management’s Discussion and Analysis of Financial Condition and Results of Operations” in Part II, Item 7 of our Annual Report on Form 10-K for the year ended December 31, 2019, as filed with the SEC on February 27, 2020.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5" w:lineRule="exact"/>
        <w:rPr>
          <w:sz w:val="20"/>
          <w:szCs w:val="20"/>
          <w:color w:val="auto"/>
        </w:rPr>
      </w:pPr>
    </w:p>
    <w:p>
      <w:pPr>
        <w:ind w:right="20" w:firstLine="522"/>
        <w:spacing w:after="0" w:line="241" w:lineRule="auto"/>
        <w:rPr>
          <w:sz w:val="20"/>
          <w:szCs w:val="20"/>
          <w:color w:val="auto"/>
        </w:rPr>
      </w:pPr>
      <w:r>
        <w:rPr>
          <w:rFonts w:ascii="Arial" w:cs="Arial" w:eastAsia="Arial" w:hAnsi="Arial"/>
          <w:sz w:val="16"/>
          <w:szCs w:val="16"/>
          <w:color w:val="auto"/>
        </w:rPr>
        <w:t>We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06" w:lineRule="exact"/>
        <w:rPr>
          <w:sz w:val="20"/>
          <w:szCs w:val="20"/>
          <w:color w:val="auto"/>
        </w:rPr>
      </w:pPr>
    </w:p>
    <w:p>
      <w:pPr>
        <w:ind w:right="60" w:firstLine="522"/>
        <w:spacing w:after="0" w:line="247" w:lineRule="auto"/>
        <w:rPr>
          <w:sz w:val="20"/>
          <w:szCs w:val="20"/>
          <w:color w:val="auto"/>
        </w:rPr>
      </w:pPr>
      <w:r>
        <w:rPr>
          <w:rFonts w:ascii="Arial" w:cs="Arial" w:eastAsia="Arial" w:hAnsi="Arial"/>
          <w:sz w:val="16"/>
          <w:szCs w:val="16"/>
          <w:color w:val="auto"/>
        </w:rPr>
        <w:t>We have approximately 3,300 employees. Although approximately 79% of revenues were generated in North America in 2020, we have a global presence by serving customers in Europe, Asia, South America and Africa. We serve customers through an independent network of approximately 1,400 independent distributor and dealer locations worldwide.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Trends Impacting Our Business</w:t>
      </w:r>
    </w:p>
    <w:p>
      <w:pPr>
        <w:spacing w:after="0" w:line="88" w:lineRule="exact"/>
        <w:rPr>
          <w:sz w:val="20"/>
          <w:szCs w:val="20"/>
          <w:color w:val="auto"/>
        </w:rPr>
      </w:pPr>
    </w:p>
    <w:p>
      <w:pPr>
        <w:ind w:right="20" w:firstLine="528"/>
        <w:spacing w:after="0" w:line="236" w:lineRule="auto"/>
        <w:rPr>
          <w:sz w:val="20"/>
          <w:szCs w:val="20"/>
          <w:color w:val="auto"/>
        </w:rPr>
      </w:pPr>
      <w:r>
        <w:rPr>
          <w:rFonts w:ascii="Arial" w:cs="Arial" w:eastAsia="Arial" w:hAnsi="Arial"/>
          <w:sz w:val="16"/>
          <w:szCs w:val="16"/>
          <w:color w:val="auto"/>
        </w:rPr>
        <w:t>Our net sales are driven by commercial vehicle production, which tends to be highly correlated to macroeconomic conditions. In March 2020, the World Health Organization categorized the novel coronavirus ("COVID-19") as a pandemic, and it continues to impact the United States and other major markets in which we operate across the world, resulting in severe disruptions to global markets and supply chains, significant uncertainty and a weaker global outlook. The effects of the pandemic on the global economy began having a material adverse impact on demand for our products and on our results of operations during the second quarter 2020 as our suppliers and customers reduced or halted production. Although our suppliers and customers restarted production during the third quarter 2020, production disruptions due to more localized COVID-19 outbreaks as well as the continued uncertainty and weaker global outlook continued to have a material impact on demand for our products and on our results of operations during the third and fourth quarters of 2020.</w:t>
      </w:r>
    </w:p>
    <w:p>
      <w:pPr>
        <w:spacing w:after="0" w:line="60" w:lineRule="exact"/>
        <w:rPr>
          <w:sz w:val="20"/>
          <w:szCs w:val="20"/>
          <w:color w:val="auto"/>
        </w:rPr>
      </w:pPr>
    </w:p>
    <w:p>
      <w:pPr>
        <w:ind w:firstLine="528"/>
        <w:spacing w:after="0" w:line="236" w:lineRule="auto"/>
        <w:rPr>
          <w:sz w:val="20"/>
          <w:szCs w:val="20"/>
          <w:color w:val="auto"/>
        </w:rPr>
      </w:pPr>
      <w:r>
        <w:rPr>
          <w:rFonts w:ascii="Arial" w:cs="Arial" w:eastAsia="Arial" w:hAnsi="Arial"/>
          <w:sz w:val="16"/>
          <w:szCs w:val="16"/>
          <w:color w:val="auto"/>
        </w:rPr>
        <w:t>To limit the spread of COVID-19, governments have taken various actions including travel bans and restrictions, quarantines, curfews, stay-at-home orders, social distancing guidelines and business shutdowns and closures. Despite these disruptions, we have continued our manufacturing operations throughout 2020 allowing us to deliver our products to customers without interruption. However, our global manufacturing facilities cut back on operating levels and shifts during 2020 as a result of government orders, our inability to obtain component parts from suppliers and/or decreased customer demand and in certain locations temporarily suspended operations in the second quarter of 2020. Additional suspensions and cutbacks of our manufacturing operations may occur as the impacts from COVID-19 and related responses continue to develop within our global supply chains and customer base, and additional production slowdowns and shutdowns by our global suppliers and customers may continue and could continue to have a material impact to our financial results.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20" w:firstLine="528"/>
        <w:spacing w:after="0" w:line="237" w:lineRule="auto"/>
        <w:rPr>
          <w:sz w:val="20"/>
          <w:szCs w:val="20"/>
          <w:color w:val="auto"/>
        </w:rPr>
      </w:pPr>
      <w:r>
        <w:rPr>
          <w:rFonts w:ascii="Arial" w:cs="Arial" w:eastAsia="Arial" w:hAnsi="Arial"/>
          <w:sz w:val="16"/>
          <w:szCs w:val="16"/>
          <w:color w:val="auto"/>
        </w:rPr>
        <w:t>We are taking a variety of measures to promote the safety and security of our employees and to maintain operations with as minimal impact as possible to our stakeholders, including increased frequency of cleaning and disinfecting of facilities, social distancing, occupancy limits, mask wearing requirements, onsite testing, remote working when possible, travel restrictions and limitations on visitor access to facilities. During the second and third quarter of 2020, we aligned operations, programs and spending across our entire business with current conditions, including reduced compensation expense through restructuring initiatives of both hourly and salary employees related to voluntary and involuntary separation programs, furloughed a portion of our workforce, reduced overtime, and assessed the timing and cadence of various capital investments and product development initiatives.</w:t>
      </w:r>
    </w:p>
    <w:p>
      <w:pPr>
        <w:spacing w:after="0" w:line="108" w:lineRule="exact"/>
        <w:rPr>
          <w:sz w:val="20"/>
          <w:szCs w:val="20"/>
          <w:color w:val="auto"/>
        </w:rPr>
      </w:pPr>
    </w:p>
    <w:p>
      <w:pPr>
        <w:ind w:right="80" w:firstLine="522"/>
        <w:spacing w:after="0" w:line="241" w:lineRule="auto"/>
        <w:rPr>
          <w:sz w:val="20"/>
          <w:szCs w:val="20"/>
          <w:color w:val="auto"/>
        </w:rPr>
      </w:pPr>
      <w:r>
        <w:rPr>
          <w:rFonts w:ascii="Arial" w:cs="Arial" w:eastAsia="Arial" w:hAnsi="Arial"/>
          <w:sz w:val="16"/>
          <w:szCs w:val="16"/>
          <w:color w:val="auto"/>
        </w:rPr>
        <w:t>Our Net Sales were materially impacted during 2020 by the ongoing COVID-19 pandemic. We began to experience a recovery in customer demand beginning in the third quarter of 2020, which continued through the fourth quarter of 2020. We expect that our Net Sales will improve in 2021. However, the continuation or worsening of the COVID-19 pandemic, a delay in vaccination efforts and continued disruptions to our supply chain may impact our financial results in 2021.</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Full Year 2020 and 2019 Net Sales by End Market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545"/>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565"/>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3"/>
        </w:trPr>
        <w:tc>
          <w:tcPr>
            <w:tcW w:w="6580" w:type="dxa"/>
            <w:vAlign w:val="bottom"/>
            <w:gridSpan w:val="2"/>
          </w:tcPr>
          <w:p>
            <w:pPr>
              <w:spacing w:after="0"/>
              <w:rPr>
                <w:sz w:val="20"/>
                <w:szCs w:val="20"/>
                <w:color w:val="auto"/>
              </w:rPr>
            </w:pPr>
            <w:r>
              <w:rPr>
                <w:rFonts w:ascii="Arial" w:cs="Arial" w:eastAsia="Arial" w:hAnsi="Arial"/>
                <w:sz w:val="13"/>
                <w:szCs w:val="13"/>
                <w:b w:val="1"/>
                <w:bCs w:val="1"/>
                <w:color w:val="auto"/>
              </w:rPr>
              <w:t>End Market</w:t>
            </w:r>
          </w:p>
        </w:tc>
        <w:tc>
          <w:tcPr>
            <w:tcW w:w="22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Arial" w:cs="Arial" w:eastAsia="Arial" w:hAnsi="Arial"/>
                <w:sz w:val="13"/>
                <w:szCs w:val="13"/>
                <w:b w:val="1"/>
                <w:bCs w:val="1"/>
                <w:color w:val="auto"/>
              </w:rPr>
              <w:t>Net Sales</w:t>
            </w:r>
          </w:p>
        </w:tc>
        <w:tc>
          <w:tcPr>
            <w:tcW w:w="220" w:type="dxa"/>
            <w:vAlign w:val="bottom"/>
          </w:tcPr>
          <w:p>
            <w:pPr>
              <w:spacing w:after="0"/>
              <w:rPr>
                <w:sz w:val="13"/>
                <w:szCs w:val="13"/>
                <w:color w:val="auto"/>
              </w:rPr>
            </w:pPr>
          </w:p>
        </w:tc>
        <w:tc>
          <w:tcPr>
            <w:tcW w:w="1200" w:type="dxa"/>
            <w:vAlign w:val="bottom"/>
          </w:tcPr>
          <w:p>
            <w:pPr>
              <w:jc w:val="right"/>
              <w:ind w:right="425"/>
              <w:spacing w:after="0"/>
              <w:rPr>
                <w:sz w:val="20"/>
                <w:szCs w:val="20"/>
                <w:color w:val="auto"/>
              </w:rPr>
            </w:pPr>
            <w:r>
              <w:rPr>
                <w:rFonts w:ascii="Arial" w:cs="Arial" w:eastAsia="Arial" w:hAnsi="Arial"/>
                <w:sz w:val="13"/>
                <w:szCs w:val="13"/>
                <w:b w:val="1"/>
                <w:bCs w:val="1"/>
                <w:color w:val="auto"/>
              </w:rPr>
              <w:t>Net Sales</w:t>
            </w:r>
          </w:p>
        </w:tc>
        <w:tc>
          <w:tcPr>
            <w:tcW w:w="140" w:type="dxa"/>
            <w:vAlign w:val="bottom"/>
          </w:tcPr>
          <w:p>
            <w:pPr>
              <w:spacing w:after="0"/>
              <w:rPr>
                <w:sz w:val="13"/>
                <w:szCs w:val="13"/>
                <w:color w:val="auto"/>
              </w:rPr>
            </w:pPr>
          </w:p>
        </w:tc>
        <w:tc>
          <w:tcPr>
            <w:tcW w:w="1540" w:type="dxa"/>
            <w:vAlign w:val="bottom"/>
          </w:tcPr>
          <w:p>
            <w:pPr>
              <w:jc w:val="right"/>
              <w:ind w:right="490"/>
              <w:spacing w:after="0"/>
              <w:rPr>
                <w:sz w:val="20"/>
                <w:szCs w:val="20"/>
                <w:color w:val="auto"/>
              </w:rPr>
            </w:pPr>
            <w:r>
              <w:rPr>
                <w:rFonts w:ascii="Arial" w:cs="Arial" w:eastAsia="Arial" w:hAnsi="Arial"/>
                <w:sz w:val="13"/>
                <w:szCs w:val="13"/>
                <w:b w:val="1"/>
                <w:bCs w:val="1"/>
                <w:color w:val="auto"/>
              </w:rPr>
              <w:t>% Variance</w:t>
            </w:r>
          </w:p>
        </w:tc>
      </w:tr>
      <w:tr>
        <w:trPr>
          <w:trHeight w:val="180"/>
        </w:trPr>
        <w:tc>
          <w:tcPr>
            <w:tcW w:w="6420" w:type="dxa"/>
            <w:vAlign w:val="bottom"/>
            <w:tcBorders>
              <w:top w:val="single" w:sz="8" w:color="auto"/>
            </w:tcBorders>
            <w:shd w:val="clear" w:color="auto" w:fill="CFF0FC"/>
          </w:tcPr>
          <w:p>
            <w:pPr>
              <w:spacing w:after="0" w:line="180" w:lineRule="exact"/>
              <w:rPr>
                <w:sz w:val="20"/>
                <w:szCs w:val="20"/>
                <w:color w:val="auto"/>
              </w:rPr>
            </w:pPr>
            <w:r>
              <w:rPr>
                <w:rFonts w:ascii="Arial" w:cs="Arial" w:eastAsia="Arial" w:hAnsi="Arial"/>
                <w:sz w:val="16"/>
                <w:szCs w:val="16"/>
                <w:color w:val="auto"/>
              </w:rPr>
              <w:t>North America On-Highway</w:t>
            </w:r>
          </w:p>
        </w:tc>
        <w:tc>
          <w:tcPr>
            <w:tcW w:w="1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1,081</w:t>
            </w:r>
          </w:p>
        </w:tc>
        <w:tc>
          <w:tcPr>
            <w:tcW w:w="1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1,474</w:t>
            </w:r>
          </w:p>
        </w:tc>
        <w:tc>
          <w:tcPr>
            <w:tcW w:w="140" w:type="dxa"/>
            <w:vAlign w:val="bottom"/>
            <w:tcBorders>
              <w:top w:val="single" w:sz="8" w:color="CFF0FC"/>
            </w:tcBorders>
            <w:shd w:val="clear" w:color="auto" w:fill="CFF0FC"/>
          </w:tcPr>
          <w:p>
            <w:pPr>
              <w:spacing w:after="0"/>
              <w:rPr>
                <w:sz w:val="15"/>
                <w:szCs w:val="15"/>
                <w:color w:val="auto"/>
              </w:rPr>
            </w:pPr>
          </w:p>
        </w:tc>
        <w:tc>
          <w:tcPr>
            <w:tcW w:w="154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(27)%</w:t>
            </w:r>
          </w:p>
        </w:tc>
      </w:tr>
      <w:tr>
        <w:trPr>
          <w:trHeight w:val="188"/>
        </w:trPr>
        <w:tc>
          <w:tcPr>
            <w:tcW w:w="6580" w:type="dxa"/>
            <w:vAlign w:val="bottom"/>
            <w:gridSpan w:val="2"/>
          </w:tcPr>
          <w:p>
            <w:pPr>
              <w:spacing w:after="0"/>
              <w:rPr>
                <w:sz w:val="20"/>
                <w:szCs w:val="20"/>
                <w:color w:val="auto"/>
              </w:rPr>
            </w:pPr>
            <w:r>
              <w:rPr>
                <w:rFonts w:ascii="Arial" w:cs="Arial" w:eastAsia="Arial" w:hAnsi="Arial"/>
                <w:sz w:val="16"/>
                <w:szCs w:val="16"/>
                <w:color w:val="auto"/>
              </w:rPr>
              <w:t>North America Off-Highway</w:t>
            </w: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b w:val="1"/>
                <w:bCs w:val="1"/>
                <w:color w:val="auto"/>
              </w:rPr>
              <w:t>13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30</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(57)%</w:t>
            </w:r>
          </w:p>
        </w:tc>
      </w:tr>
      <w:tr>
        <w:trPr>
          <w:trHeight w:val="188"/>
        </w:trPr>
        <w:tc>
          <w:tcPr>
            <w:tcW w:w="65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Defense</w:t>
            </w: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182</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151</w:t>
            </w:r>
          </w:p>
        </w:tc>
        <w:tc>
          <w:tcPr>
            <w:tcW w:w="1680" w:type="dxa"/>
            <w:vAlign w:val="bottom"/>
            <w:gridSpan w:val="2"/>
            <w:shd w:val="clear" w:color="auto" w:fill="CFF0FC"/>
          </w:tcPr>
          <w:p>
            <w:pPr>
              <w:jc w:val="right"/>
              <w:ind w:right="10"/>
              <w:spacing w:after="0"/>
              <w:rPr>
                <w:sz w:val="20"/>
                <w:szCs w:val="20"/>
                <w:color w:val="auto"/>
              </w:rPr>
            </w:pPr>
            <w:r>
              <w:rPr>
                <w:rFonts w:ascii="Arial" w:cs="Arial" w:eastAsia="Arial" w:hAnsi="Arial"/>
                <w:sz w:val="16"/>
                <w:szCs w:val="16"/>
                <w:color w:val="auto"/>
              </w:rPr>
              <w:t>21%</w:t>
            </w:r>
          </w:p>
        </w:tc>
      </w:tr>
      <w:tr>
        <w:trPr>
          <w:trHeight w:val="188"/>
        </w:trPr>
        <w:tc>
          <w:tcPr>
            <w:tcW w:w="6580" w:type="dxa"/>
            <w:vAlign w:val="bottom"/>
            <w:gridSpan w:val="2"/>
          </w:tcPr>
          <w:p>
            <w:pPr>
              <w:spacing w:after="0"/>
              <w:rPr>
                <w:sz w:val="20"/>
                <w:szCs w:val="20"/>
                <w:color w:val="auto"/>
              </w:rPr>
            </w:pPr>
            <w:r>
              <w:rPr>
                <w:rFonts w:ascii="Arial" w:cs="Arial" w:eastAsia="Arial" w:hAnsi="Arial"/>
                <w:sz w:val="16"/>
                <w:szCs w:val="16"/>
                <w:color w:val="auto"/>
              </w:rPr>
              <w:t>Outside North America On-Highway</w:t>
            </w: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b w:val="1"/>
                <w:bCs w:val="1"/>
                <w:color w:val="auto"/>
              </w:rPr>
              <w:t>280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390</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188"/>
        </w:trPr>
        <w:tc>
          <w:tcPr>
            <w:tcW w:w="65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Outside North America Off-Highway</w:t>
            </w: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61</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109</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w:t>
            </w:r>
          </w:p>
        </w:tc>
      </w:tr>
      <w:tr>
        <w:trPr>
          <w:trHeight w:val="188"/>
        </w:trPr>
        <w:tc>
          <w:tcPr>
            <w:tcW w:w="658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Service Parts, Support Equipment and Other</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464</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544</w:t>
            </w:r>
          </w:p>
        </w:tc>
        <w:tc>
          <w:tcPr>
            <w:tcW w:w="168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(15)%</w:t>
            </w:r>
          </w:p>
        </w:tc>
      </w:tr>
      <w:tr>
        <w:trPr>
          <w:trHeight w:val="180"/>
        </w:trPr>
        <w:tc>
          <w:tcPr>
            <w:tcW w:w="6580" w:type="dxa"/>
            <w:vAlign w:val="bottom"/>
            <w:tcBorders>
              <w:bottom w:val="single" w:sz="8" w:color="CFF0FC"/>
            </w:tcBorders>
            <w:gridSpan w:val="2"/>
            <w:shd w:val="clear" w:color="auto" w:fill="CFF0FC"/>
          </w:tcPr>
          <w:p>
            <w:pPr>
              <w:spacing w:after="0" w:line="180" w:lineRule="exact"/>
              <w:rPr>
                <w:sz w:val="20"/>
                <w:szCs w:val="20"/>
                <w:color w:val="auto"/>
              </w:rPr>
            </w:pPr>
            <w:r>
              <w:rPr>
                <w:rFonts w:ascii="Arial" w:cs="Arial" w:eastAsia="Arial" w:hAnsi="Arial"/>
                <w:sz w:val="16"/>
                <w:szCs w:val="16"/>
                <w:color w:val="auto"/>
              </w:rPr>
              <w:t>Total Net Sales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2,081</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2,698</w:t>
            </w:r>
          </w:p>
        </w:tc>
        <w:tc>
          <w:tcPr>
            <w:tcW w:w="1680" w:type="dxa"/>
            <w:vAlign w:val="bottom"/>
            <w:tcBorders>
              <w:bottom w:val="single" w:sz="8" w:color="CFF0FC"/>
            </w:tcBorders>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(23)%</w:t>
            </w: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20" w:lineRule="exact"/>
        <w:rPr>
          <w:sz w:val="20"/>
          <w:szCs w:val="20"/>
          <w:color w:val="auto"/>
        </w:rPr>
      </w:pPr>
    </w:p>
    <w:p>
      <w:pPr>
        <w:ind w:right="420" w:firstLine="522"/>
        <w:spacing w:after="0" w:line="265" w:lineRule="auto"/>
        <w:rPr>
          <w:sz w:val="20"/>
          <w:szCs w:val="20"/>
          <w:color w:val="auto"/>
        </w:rPr>
      </w:pPr>
      <w:r>
        <w:rPr>
          <w:rFonts w:ascii="Arial" w:cs="Arial" w:eastAsia="Arial" w:hAnsi="Arial"/>
          <w:sz w:val="16"/>
          <w:szCs w:val="16"/>
          <w:color w:val="auto"/>
        </w:rPr>
        <w:t>North America On-Highway end market net sales were down 27% for the year ended December 31, 2020 compared to the year ended December 31, 2019, principally driven by lower demand due to the effects of the COVID-19 pandemic.</w:t>
      </w:r>
    </w:p>
    <w:p>
      <w:pPr>
        <w:spacing w:after="0" w:line="87" w:lineRule="exact"/>
        <w:rPr>
          <w:sz w:val="20"/>
          <w:szCs w:val="20"/>
          <w:color w:val="auto"/>
        </w:rPr>
      </w:pPr>
    </w:p>
    <w:p>
      <w:pPr>
        <w:ind w:right="1020" w:firstLine="522"/>
        <w:spacing w:after="0" w:line="265" w:lineRule="auto"/>
        <w:rPr>
          <w:sz w:val="20"/>
          <w:szCs w:val="20"/>
          <w:color w:val="auto"/>
        </w:rPr>
      </w:pPr>
      <w:r>
        <w:rPr>
          <w:rFonts w:ascii="Arial" w:cs="Arial" w:eastAsia="Arial" w:hAnsi="Arial"/>
          <w:sz w:val="16"/>
          <w:szCs w:val="16"/>
          <w:color w:val="auto"/>
        </w:rPr>
        <w:t>North America Off-Highway end market net sales were down $17 million for the year ended December 31, 2020 compared to the year ended December 31, 2019, principally driven by lower demand from hydraulic fracturing applications.</w:t>
      </w:r>
    </w:p>
    <w:p>
      <w:pPr>
        <w:spacing w:after="0" w:line="87" w:lineRule="exact"/>
        <w:rPr>
          <w:sz w:val="20"/>
          <w:szCs w:val="20"/>
          <w:color w:val="auto"/>
        </w:rPr>
      </w:pPr>
    </w:p>
    <w:p>
      <w:pPr>
        <w:ind w:right="100" w:firstLine="522"/>
        <w:spacing w:after="0" w:line="265" w:lineRule="auto"/>
        <w:rPr>
          <w:sz w:val="20"/>
          <w:szCs w:val="20"/>
          <w:color w:val="auto"/>
        </w:rPr>
      </w:pPr>
      <w:r>
        <w:rPr>
          <w:rFonts w:ascii="Arial" w:cs="Arial" w:eastAsia="Arial" w:hAnsi="Arial"/>
          <w:sz w:val="16"/>
          <w:szCs w:val="16"/>
          <w:color w:val="auto"/>
        </w:rPr>
        <w:t>Defense end market net sales were up 21% for the year ended December 31, 2020 compared to the year ended December 31, 2019, principally driven by Tracked vehicle demand.</w:t>
      </w:r>
    </w:p>
    <w:p>
      <w:pPr>
        <w:spacing w:after="0" w:line="87" w:lineRule="exact"/>
        <w:rPr>
          <w:sz w:val="20"/>
          <w:szCs w:val="20"/>
          <w:color w:val="auto"/>
        </w:rPr>
      </w:pPr>
    </w:p>
    <w:p>
      <w:pPr>
        <w:ind w:right="880" w:firstLine="522"/>
        <w:spacing w:after="0" w:line="265" w:lineRule="auto"/>
        <w:rPr>
          <w:sz w:val="20"/>
          <w:szCs w:val="20"/>
          <w:color w:val="auto"/>
        </w:rPr>
      </w:pPr>
      <w:r>
        <w:rPr>
          <w:rFonts w:ascii="Arial" w:cs="Arial" w:eastAsia="Arial" w:hAnsi="Arial"/>
          <w:sz w:val="16"/>
          <w:szCs w:val="16"/>
          <w:color w:val="auto"/>
        </w:rPr>
        <w:t>Outside North America On-Highway end market net sales were down 28% for the year ended December 31, 2020 compared to the year ended December 31, 2019, principally driven by lower global demand due to the effects of the COVID-19 pandemic.</w:t>
      </w:r>
    </w:p>
    <w:p>
      <w:pPr>
        <w:spacing w:after="0" w:line="87" w:lineRule="exact"/>
        <w:rPr>
          <w:sz w:val="20"/>
          <w:szCs w:val="20"/>
          <w:color w:val="auto"/>
        </w:rPr>
      </w:pPr>
    </w:p>
    <w:p>
      <w:pPr>
        <w:ind w:right="880" w:firstLine="522"/>
        <w:spacing w:after="0" w:line="265" w:lineRule="auto"/>
        <w:rPr>
          <w:sz w:val="20"/>
          <w:szCs w:val="20"/>
          <w:color w:val="auto"/>
        </w:rPr>
      </w:pPr>
      <w:r>
        <w:rPr>
          <w:rFonts w:ascii="Arial" w:cs="Arial" w:eastAsia="Arial" w:hAnsi="Arial"/>
          <w:sz w:val="16"/>
          <w:szCs w:val="16"/>
          <w:color w:val="auto"/>
        </w:rPr>
        <w:t>Outside North America Off-Highway end market net sales were down 44% for the year ended December 31, 2020 compared to the year ended December 31, 2019, principally driven by lower demand in energy, mining and construction sectors.</w:t>
      </w:r>
    </w:p>
    <w:p>
      <w:pPr>
        <w:spacing w:after="0" w:line="87" w:lineRule="exact"/>
        <w:rPr>
          <w:sz w:val="20"/>
          <w:szCs w:val="20"/>
          <w:color w:val="auto"/>
        </w:rPr>
      </w:pPr>
    </w:p>
    <w:p>
      <w:pPr>
        <w:jc w:val="both"/>
        <w:ind w:right="180" w:firstLine="522"/>
        <w:spacing w:after="0" w:line="247" w:lineRule="auto"/>
        <w:rPr>
          <w:sz w:val="20"/>
          <w:szCs w:val="20"/>
          <w:color w:val="auto"/>
        </w:rPr>
      </w:pPr>
      <w:r>
        <w:rPr>
          <w:rFonts w:ascii="Arial" w:cs="Arial" w:eastAsia="Arial" w:hAnsi="Arial"/>
          <w:sz w:val="16"/>
          <w:szCs w:val="16"/>
          <w:color w:val="auto"/>
        </w:rPr>
        <w:t>Service Parts, Support Equipment and Other end market net sales were down 15% for the year ended December 31, 2020 compared to the year ended December 31, 2019, principally driven by lower demand for North America service parts and support equipment, partially offset by aluminum die cast component volume associated with the acquisition of Walker Die Casting, Inc. (“Walker Die Casting”) in September 2019.</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Net sales</w:t>
      </w:r>
    </w:p>
    <w:p>
      <w:pPr>
        <w:spacing w:after="0" w:line="131" w:lineRule="exact"/>
        <w:rPr>
          <w:sz w:val="20"/>
          <w:szCs w:val="20"/>
          <w:color w:val="auto"/>
        </w:rPr>
      </w:pPr>
    </w:p>
    <w:p>
      <w:pPr>
        <w:ind w:right="760" w:firstLine="522"/>
        <w:spacing w:after="0" w:line="265" w:lineRule="auto"/>
        <w:rPr>
          <w:sz w:val="20"/>
          <w:szCs w:val="20"/>
          <w:color w:val="auto"/>
        </w:rPr>
      </w:pPr>
      <w:r>
        <w:rPr>
          <w:rFonts w:ascii="Arial" w:cs="Arial" w:eastAsia="Arial" w:hAnsi="Arial"/>
          <w:sz w:val="16"/>
          <w:szCs w:val="16"/>
          <w:color w:val="auto"/>
        </w:rPr>
        <w:t>We generate our net sales primarily from the sale of vehicle propulsion solutions, service and component parts, support equipment, defense kits, engineering services, royalties and extended transmission coverage to a</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jc w:val="both"/>
        <w:ind w:right="100"/>
        <w:spacing w:after="0" w:line="247" w:lineRule="auto"/>
        <w:rPr>
          <w:sz w:val="20"/>
          <w:szCs w:val="20"/>
          <w:color w:val="auto"/>
        </w:rPr>
      </w:pPr>
      <w:r>
        <w:rPr>
          <w:rFonts w:ascii="Arial" w:cs="Arial" w:eastAsia="Arial" w:hAnsi="Arial"/>
          <w:sz w:val="16"/>
          <w:szCs w:val="16"/>
          <w:color w:val="auto"/>
        </w:rPr>
        <w:t>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Cost of sales</w:t>
      </w:r>
    </w:p>
    <w:p>
      <w:pPr>
        <w:spacing w:after="0" w:line="131" w:lineRule="exact"/>
        <w:rPr>
          <w:sz w:val="20"/>
          <w:szCs w:val="20"/>
          <w:color w:val="auto"/>
        </w:rPr>
      </w:pPr>
    </w:p>
    <w:p>
      <w:pPr>
        <w:ind w:right="120" w:firstLine="522"/>
        <w:spacing w:after="0" w:line="239" w:lineRule="auto"/>
        <w:rPr>
          <w:sz w:val="20"/>
          <w:szCs w:val="20"/>
          <w:color w:val="auto"/>
        </w:rPr>
      </w:pPr>
      <w:r>
        <w:rPr>
          <w:rFonts w:ascii="Arial" w:cs="Arial" w:eastAsia="Arial" w:hAnsi="Arial"/>
          <w:sz w:val="16"/>
          <w:szCs w:val="16"/>
          <w:color w:val="auto"/>
        </w:rPr>
        <w:t>Our primary components of cost of sales are purchased parts, the overhead expense related to our manufacturing operations and direct labor associated with the manufacture and assembly of vehicle propulsion solutions and parts. For the year ended December 31, 2020, direct material costs were approximately 63%, overhead costs were approximately 28% and direct labor costs were approximately 9% of total cost of sales. We are subject to changes in our cost of sales caused by movements in underlying commodity prices. We seek to hedge against this risk by using long-term agreements ("LTAs"). See Part II, Item 7A, “Quantitative and Qualitative Disclosures about Market Risk—Commodity Price Risk” included in this Annual Report on Form 10-K.</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31" w:lineRule="exact"/>
        <w:rPr>
          <w:sz w:val="20"/>
          <w:szCs w:val="20"/>
          <w:color w:val="auto"/>
        </w:rPr>
      </w:pPr>
    </w:p>
    <w:p>
      <w:pPr>
        <w:ind w:right="700" w:firstLine="522"/>
        <w:spacing w:after="0" w:line="299" w:lineRule="auto"/>
        <w:rPr>
          <w:sz w:val="20"/>
          <w:szCs w:val="20"/>
          <w:color w:val="auto"/>
        </w:rPr>
      </w:pPr>
      <w:r>
        <w:rPr>
          <w:rFonts w:ascii="Arial" w:cs="Arial" w:eastAsia="Arial" w:hAnsi="Arial"/>
          <w:sz w:val="15"/>
          <w:szCs w:val="15"/>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31" w:lineRule="exact"/>
        <w:rPr>
          <w:sz w:val="20"/>
          <w:szCs w:val="20"/>
          <w:color w:val="auto"/>
        </w:rPr>
      </w:pPr>
    </w:p>
    <w:p>
      <w:pPr>
        <w:ind w:right="340" w:firstLine="522"/>
        <w:spacing w:after="0" w:line="265" w:lineRule="auto"/>
        <w:rPr>
          <w:sz w:val="20"/>
          <w:szCs w:val="20"/>
          <w:color w:val="auto"/>
        </w:rPr>
      </w:pPr>
      <w:r>
        <w:rPr>
          <w:rFonts w:ascii="Arial" w:cs="Arial" w:eastAsia="Arial" w:hAnsi="Arial"/>
          <w:sz w:val="16"/>
          <w:szCs w:val="16"/>
          <w:color w:val="auto"/>
        </w:rPr>
        <w:t>We incur costs in connection with research and development programs that are expected to contribute to future earnings. Such costs are expensed as incurred.</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31" w:lineRule="exact"/>
        <w:rPr>
          <w:sz w:val="20"/>
          <w:szCs w:val="20"/>
          <w:color w:val="auto"/>
        </w:rPr>
      </w:pPr>
    </w:p>
    <w:p>
      <w:pPr>
        <w:ind w:firstLine="522"/>
        <w:spacing w:after="0" w:line="251" w:lineRule="auto"/>
        <w:rPr>
          <w:sz w:val="20"/>
          <w:szCs w:val="20"/>
          <w:color w:val="auto"/>
        </w:rPr>
      </w:pPr>
      <w:r>
        <w:rPr>
          <w:rFonts w:ascii="Arial" w:cs="Arial" w:eastAsia="Arial" w:hAnsi="Arial"/>
          <w:sz w:val="15"/>
          <w:szCs w:val="15"/>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income tax expense, amortization of intangible assets, depreciation of property, plant and equipment and other adjustments as defined by the Second Amended and Restated Credit Agreement dated as of March 29, 2019 as amended (the “Credit Agreement”) governing Allison Transmission, Inc.’s (“ATI”), our wholly-owned subsidiary, term loan facility in the amount of $638 million due March 2026 (“New Term Loan”). Adjusted EBITDA as a percent of net sales is calculated as Adjusted EBITDA divided by net sales.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7" w:name="page38"/>
    <w:bookmarkEnd w:id="37"/>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left="6" w:right="40" w:firstLine="522"/>
        <w:spacing w:after="0" w:line="237" w:lineRule="auto"/>
        <w:rPr>
          <w:sz w:val="20"/>
          <w:szCs w:val="20"/>
          <w:color w:val="auto"/>
        </w:rPr>
      </w:pPr>
      <w:r>
        <w:rPr>
          <w:rFonts w:ascii="Arial" w:cs="Arial" w:eastAsia="Arial" w:hAnsi="Arial"/>
          <w:sz w:val="16"/>
          <w:szCs w:val="16"/>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excluding non-recurring restructuring charges, after additions of long-lived assets.</w:t>
      </w:r>
    </w:p>
    <w:p>
      <w:pPr>
        <w:spacing w:after="0" w:line="108" w:lineRule="exact"/>
        <w:rPr>
          <w:sz w:val="20"/>
          <w:szCs w:val="20"/>
          <w:color w:val="auto"/>
        </w:rPr>
      </w:pPr>
    </w:p>
    <w:p>
      <w:pPr>
        <w:ind w:left="6" w:right="340" w:firstLine="522"/>
        <w:spacing w:after="0" w:line="265" w:lineRule="auto"/>
        <w:rPr>
          <w:sz w:val="20"/>
          <w:szCs w:val="20"/>
          <w:color w:val="auto"/>
        </w:rPr>
      </w:pPr>
      <w:r>
        <w:rPr>
          <w:rFonts w:ascii="Arial" w:cs="Arial" w:eastAsia="Arial" w:hAnsi="Arial"/>
          <w:sz w:val="16"/>
          <w:szCs w:val="16"/>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p>
      <w:pPr>
        <w:spacing w:after="0" w:line="190" w:lineRule="exact"/>
        <w:rPr>
          <w:sz w:val="20"/>
          <w:szCs w:val="20"/>
          <w:color w:val="auto"/>
        </w:rPr>
      </w:pPr>
    </w:p>
    <w:tbl>
      <w:tblPr>
        <w:tblLayout w:type="fixed"/>
        <w:tblInd w:w="6" w:type="dxa"/>
        <w:tblCellMar>
          <w:top w:w="0" w:type="dxa"/>
          <w:left w:w="0" w:type="dxa"/>
          <w:bottom w:w="0" w:type="dxa"/>
          <w:right w:w="0" w:type="dxa"/>
        </w:tblCellMar>
      </w:tblPr>
      <w:tr>
        <w:trPr>
          <w:trHeight w:val="153"/>
        </w:trPr>
        <w:tc>
          <w:tcPr>
            <w:tcW w:w="6560" w:type="dxa"/>
            <w:vAlign w:val="bottom"/>
            <w:vMerge w:val="restart"/>
          </w:tcPr>
          <w:p>
            <w:pPr>
              <w:spacing w:after="0"/>
              <w:rPr>
                <w:sz w:val="20"/>
                <w:szCs w:val="20"/>
                <w:color w:val="auto"/>
              </w:rPr>
            </w:pPr>
            <w:r>
              <w:rPr>
                <w:rFonts w:ascii="Arial" w:cs="Arial" w:eastAsia="Arial" w:hAnsi="Arial"/>
                <w:sz w:val="13"/>
                <w:szCs w:val="13"/>
                <w:b w:val="1"/>
                <w:bCs w:val="1"/>
                <w:color w:val="auto"/>
              </w:rPr>
              <w:t>(unaudited, in millions)</w:t>
            </w:r>
          </w:p>
        </w:tc>
        <w:tc>
          <w:tcPr>
            <w:tcW w:w="30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6"/>
          </w:tcPr>
          <w:p>
            <w:pPr>
              <w:jc w:val="right"/>
              <w:ind w:right="162"/>
              <w:spacing w:after="0"/>
              <w:rPr>
                <w:sz w:val="20"/>
                <w:szCs w:val="20"/>
                <w:color w:val="auto"/>
              </w:rPr>
            </w:pPr>
            <w:r>
              <w:rPr>
                <w:rFonts w:ascii="Arial" w:cs="Arial" w:eastAsia="Arial" w:hAnsi="Arial"/>
                <w:sz w:val="13"/>
                <w:szCs w:val="13"/>
                <w:b w:val="1"/>
                <w:bCs w:val="1"/>
                <w:color w:val="auto"/>
              </w:rPr>
              <w:t>For the years ended December 31,</w:t>
            </w: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560" w:type="dxa"/>
            <w:vAlign w:val="bottom"/>
            <w:tcBorders>
              <w:bottom w:val="single" w:sz="8" w:color="CFF0FC"/>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03"/>
              <w:spacing w:after="0" w:line="144"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02"/>
              <w:spacing w:after="0" w:line="144"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02"/>
              <w:spacing w:after="0" w:line="144"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80"/>
        </w:trPr>
        <w:tc>
          <w:tcPr>
            <w:tcW w:w="656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Net income (GAAP)</w:t>
            </w:r>
          </w:p>
        </w:tc>
        <w:tc>
          <w:tcPr>
            <w:tcW w:w="300" w:type="dxa"/>
            <w:vAlign w:val="bottom"/>
            <w:shd w:val="clear" w:color="auto" w:fill="CFF0FC"/>
          </w:tcPr>
          <w:p>
            <w:pPr>
              <w:jc w:val="right"/>
              <w:ind w:right="122"/>
              <w:spacing w:after="0" w:line="180" w:lineRule="exact"/>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FF0FC"/>
          </w:tcPr>
          <w:p>
            <w:pPr>
              <w:jc w:val="right"/>
              <w:ind w:right="83"/>
              <w:spacing w:after="0" w:line="180" w:lineRule="exact"/>
              <w:rPr>
                <w:sz w:val="20"/>
                <w:szCs w:val="20"/>
                <w:color w:val="auto"/>
              </w:rPr>
            </w:pPr>
            <w:r>
              <w:rPr>
                <w:rFonts w:ascii="Arial" w:cs="Arial" w:eastAsia="Arial" w:hAnsi="Arial"/>
                <w:sz w:val="16"/>
                <w:szCs w:val="16"/>
                <w:b w:val="1"/>
                <w:bCs w:val="1"/>
                <w:color w:val="auto"/>
              </w:rPr>
              <w:t>299</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rPr>
              <w:t>604</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22"/>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102"/>
              <w:spacing w:after="0" w:line="180" w:lineRule="exact"/>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188"/>
        </w:trPr>
        <w:tc>
          <w:tcPr>
            <w:tcW w:w="6560" w:type="dxa"/>
            <w:vAlign w:val="bottom"/>
          </w:tcPr>
          <w:p>
            <w:pPr>
              <w:spacing w:after="0"/>
              <w:rPr>
                <w:sz w:val="20"/>
                <w:szCs w:val="20"/>
                <w:color w:val="auto"/>
              </w:rPr>
            </w:pPr>
            <w:r>
              <w:rPr>
                <w:rFonts w:ascii="Arial" w:cs="Arial" w:eastAsia="Arial" w:hAnsi="Arial"/>
                <w:sz w:val="16"/>
                <w:szCs w:val="16"/>
                <w:color w:val="auto"/>
              </w:rPr>
              <w:t>plus:</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3"/>
              <w:spacing w:after="0"/>
              <w:rPr>
                <w:sz w:val="20"/>
                <w:szCs w:val="20"/>
                <w:color w:val="auto"/>
              </w:rPr>
            </w:pPr>
            <w:r>
              <w:rPr>
                <w:rFonts w:ascii="Arial" w:cs="Arial" w:eastAsia="Arial" w:hAnsi="Arial"/>
                <w:sz w:val="16"/>
                <w:szCs w:val="16"/>
                <w:b w:val="1"/>
                <w:bCs w:val="1"/>
                <w:color w:val="auto"/>
              </w:rPr>
              <w:t>137</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134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88"/>
        </w:trPr>
        <w:tc>
          <w:tcPr>
            <w:tcW w:w="6560" w:type="dxa"/>
            <w:vAlign w:val="bottom"/>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16"/>
                <w:szCs w:val="16"/>
                <w:color w:val="auto"/>
              </w:rPr>
            </w:pPr>
          </w:p>
        </w:tc>
        <w:tc>
          <w:tcPr>
            <w:tcW w:w="1180" w:type="dxa"/>
            <w:vAlign w:val="bottom"/>
          </w:tcPr>
          <w:p>
            <w:pPr>
              <w:jc w:val="right"/>
              <w:ind w:right="83"/>
              <w:spacing w:after="0"/>
              <w:rPr>
                <w:sz w:val="20"/>
                <w:szCs w:val="20"/>
                <w:color w:val="auto"/>
              </w:rPr>
            </w:pPr>
            <w:r>
              <w:rPr>
                <w:rFonts w:ascii="Arial" w:cs="Arial" w:eastAsia="Arial" w:hAnsi="Arial"/>
                <w:sz w:val="16"/>
                <w:szCs w:val="16"/>
                <w:b w:val="1"/>
                <w:bCs w:val="1"/>
                <w:color w:val="auto"/>
              </w:rPr>
              <w:t>96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81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8"/>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3"/>
              <w:spacing w:after="0"/>
              <w:rPr>
                <w:sz w:val="20"/>
                <w:szCs w:val="20"/>
                <w:color w:val="auto"/>
              </w:rPr>
            </w:pPr>
            <w:r>
              <w:rPr>
                <w:rFonts w:ascii="Arial" w:cs="Arial" w:eastAsia="Arial" w:hAnsi="Arial"/>
                <w:sz w:val="16"/>
                <w:szCs w:val="16"/>
                <w:b w:val="1"/>
                <w:bCs w:val="1"/>
                <w:color w:val="auto"/>
              </w:rPr>
              <w:t>94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164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88"/>
        </w:trPr>
        <w:tc>
          <w:tcPr>
            <w:tcW w:w="656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6"/>
                <w:szCs w:val="16"/>
                <w:color w:val="auto"/>
              </w:rPr>
            </w:pPr>
          </w:p>
        </w:tc>
        <w:tc>
          <w:tcPr>
            <w:tcW w:w="1180" w:type="dxa"/>
            <w:vAlign w:val="bottom"/>
          </w:tcPr>
          <w:p>
            <w:pPr>
              <w:jc w:val="right"/>
              <w:ind w:right="83"/>
              <w:spacing w:after="0"/>
              <w:rPr>
                <w:sz w:val="20"/>
                <w:szCs w:val="20"/>
                <w:color w:val="auto"/>
              </w:rPr>
            </w:pPr>
            <w:r>
              <w:rPr>
                <w:rFonts w:ascii="Arial" w:cs="Arial" w:eastAsia="Arial" w:hAnsi="Arial"/>
                <w:sz w:val="16"/>
                <w:szCs w:val="16"/>
                <w:b w:val="1"/>
                <w:bCs w:val="1"/>
                <w:color w:val="auto"/>
              </w:rPr>
              <w:t>52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86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88"/>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 (a)</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3"/>
              <w:spacing w:after="0"/>
              <w:rPr>
                <w:sz w:val="20"/>
                <w:szCs w:val="20"/>
                <w:color w:val="auto"/>
              </w:rPr>
            </w:pPr>
            <w:r>
              <w:rPr>
                <w:rFonts w:ascii="Arial" w:cs="Arial" w:eastAsia="Arial" w:hAnsi="Arial"/>
                <w:sz w:val="16"/>
                <w:szCs w:val="16"/>
                <w:b w:val="1"/>
                <w:bCs w:val="1"/>
                <w:color w:val="auto"/>
              </w:rPr>
              <w:t>17</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8"/>
        </w:trPr>
        <w:tc>
          <w:tcPr>
            <w:tcW w:w="6560" w:type="dxa"/>
            <w:vAlign w:val="bottom"/>
          </w:tcPr>
          <w:p>
            <w:pPr>
              <w:ind w:left="200"/>
              <w:spacing w:after="0"/>
              <w:rPr>
                <w:sz w:val="20"/>
                <w:szCs w:val="20"/>
                <w:color w:val="auto"/>
              </w:rPr>
            </w:pPr>
            <w:r>
              <w:rPr>
                <w:rFonts w:ascii="Arial" w:cs="Arial" w:eastAsia="Arial" w:hAnsi="Arial"/>
                <w:sz w:val="16"/>
                <w:szCs w:val="16"/>
                <w:color w:val="auto"/>
              </w:rPr>
              <w:t>Restructuring charges (b)</w:t>
            </w:r>
          </w:p>
        </w:tc>
        <w:tc>
          <w:tcPr>
            <w:tcW w:w="300" w:type="dxa"/>
            <w:vAlign w:val="bottom"/>
          </w:tcPr>
          <w:p>
            <w:pPr>
              <w:spacing w:after="0"/>
              <w:rPr>
                <w:sz w:val="16"/>
                <w:szCs w:val="16"/>
                <w:color w:val="auto"/>
              </w:rPr>
            </w:pPr>
          </w:p>
        </w:tc>
        <w:tc>
          <w:tcPr>
            <w:tcW w:w="1180" w:type="dxa"/>
            <w:vAlign w:val="bottom"/>
          </w:tcPr>
          <w:p>
            <w:pPr>
              <w:jc w:val="right"/>
              <w:ind w:right="83"/>
              <w:spacing w:after="0"/>
              <w:rPr>
                <w:sz w:val="20"/>
                <w:szCs w:val="20"/>
                <w:color w:val="auto"/>
              </w:rPr>
            </w:pPr>
            <w:r>
              <w:rPr>
                <w:rFonts w:ascii="Arial" w:cs="Arial" w:eastAsia="Arial" w:hAnsi="Arial"/>
                <w:sz w:val="16"/>
                <w:szCs w:val="16"/>
                <w:b w:val="1"/>
                <w:bCs w:val="1"/>
                <w:color w:val="auto"/>
              </w:rPr>
              <w:t>14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Expenses related to long-term debt refinancing (c)</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3"/>
              <w:spacing w:after="0"/>
              <w:rPr>
                <w:sz w:val="20"/>
                <w:szCs w:val="20"/>
                <w:color w:val="auto"/>
              </w:rPr>
            </w:pPr>
            <w:r>
              <w:rPr>
                <w:rFonts w:ascii="Arial" w:cs="Arial" w:eastAsia="Arial" w:hAnsi="Arial"/>
                <w:sz w:val="16"/>
                <w:szCs w:val="16"/>
                <w:b w:val="1"/>
                <w:bCs w:val="1"/>
                <w:color w:val="auto"/>
              </w:rPr>
              <w:t>13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6560" w:type="dxa"/>
            <w:vAlign w:val="bottom"/>
          </w:tcPr>
          <w:p>
            <w:pPr>
              <w:ind w:left="200"/>
              <w:spacing w:after="0"/>
              <w:rPr>
                <w:sz w:val="20"/>
                <w:szCs w:val="20"/>
                <w:color w:val="auto"/>
              </w:rPr>
            </w:pPr>
            <w:r>
              <w:rPr>
                <w:rFonts w:ascii="Arial" w:cs="Arial" w:eastAsia="Arial" w:hAnsi="Arial"/>
                <w:sz w:val="16"/>
                <w:szCs w:val="16"/>
                <w:color w:val="auto"/>
              </w:rPr>
              <w:t>UAW Local 933 retirement incentive (d)</w:t>
            </w:r>
          </w:p>
        </w:tc>
        <w:tc>
          <w:tcPr>
            <w:tcW w:w="300" w:type="dxa"/>
            <w:vAlign w:val="bottom"/>
          </w:tcPr>
          <w:p>
            <w:pPr>
              <w:spacing w:after="0"/>
              <w:rPr>
                <w:sz w:val="16"/>
                <w:szCs w:val="16"/>
                <w:color w:val="auto"/>
              </w:rPr>
            </w:pPr>
          </w:p>
        </w:tc>
        <w:tc>
          <w:tcPr>
            <w:tcW w:w="1180" w:type="dxa"/>
            <w:vAlign w:val="bottom"/>
          </w:tcPr>
          <w:p>
            <w:pPr>
              <w:jc w:val="right"/>
              <w:ind w:right="83"/>
              <w:spacing w:after="0"/>
              <w:rPr>
                <w:sz w:val="20"/>
                <w:szCs w:val="20"/>
                <w:color w:val="auto"/>
              </w:rPr>
            </w:pPr>
            <w:r>
              <w:rPr>
                <w:rFonts w:ascii="Arial" w:cs="Arial" w:eastAsia="Arial" w:hAnsi="Arial"/>
                <w:sz w:val="16"/>
                <w:szCs w:val="16"/>
                <w:b w:val="1"/>
                <w:bCs w:val="1"/>
                <w:color w:val="auto"/>
              </w:rPr>
              <w:t>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8"/>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loss on foreign exchange (e)</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3"/>
              <w:spacing w:after="0"/>
              <w:rPr>
                <w:sz w:val="20"/>
                <w:szCs w:val="20"/>
                <w:color w:val="auto"/>
              </w:rPr>
            </w:pPr>
            <w:r>
              <w:rPr>
                <w:rFonts w:ascii="Arial" w:cs="Arial" w:eastAsia="Arial" w:hAnsi="Arial"/>
                <w:sz w:val="16"/>
                <w:szCs w:val="16"/>
                <w:b w:val="1"/>
                <w:bCs w:val="1"/>
                <w:color w:val="auto"/>
              </w:rPr>
              <w:t>2</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8"/>
        </w:trPr>
        <w:tc>
          <w:tcPr>
            <w:tcW w:w="6560" w:type="dxa"/>
            <w:vAlign w:val="bottom"/>
          </w:tcPr>
          <w:p>
            <w:pPr>
              <w:ind w:left="200"/>
              <w:spacing w:after="0"/>
              <w:rPr>
                <w:sz w:val="20"/>
                <w:szCs w:val="20"/>
                <w:color w:val="auto"/>
              </w:rPr>
            </w:pPr>
            <w:r>
              <w:rPr>
                <w:rFonts w:ascii="Arial" w:cs="Arial" w:eastAsia="Arial" w:hAnsi="Arial"/>
                <w:sz w:val="16"/>
                <w:szCs w:val="16"/>
                <w:color w:val="auto"/>
              </w:rPr>
              <w:t>Acquisition-related earnouts (f)</w:t>
            </w:r>
          </w:p>
        </w:tc>
        <w:tc>
          <w:tcPr>
            <w:tcW w:w="300" w:type="dxa"/>
            <w:vAlign w:val="bottom"/>
          </w:tcPr>
          <w:p>
            <w:pPr>
              <w:spacing w:after="0"/>
              <w:rPr>
                <w:sz w:val="16"/>
                <w:szCs w:val="16"/>
                <w:color w:val="auto"/>
              </w:rPr>
            </w:pPr>
          </w:p>
        </w:tc>
        <w:tc>
          <w:tcPr>
            <w:tcW w:w="1180" w:type="dxa"/>
            <w:vAlign w:val="bottom"/>
          </w:tcPr>
          <w:p>
            <w:pPr>
              <w:jc w:val="right"/>
              <w:ind w:right="83"/>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Environmental remediation (g)</w:t>
            </w:r>
          </w:p>
        </w:tc>
        <w:tc>
          <w:tcPr>
            <w:tcW w:w="30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6560" w:type="dxa"/>
            <w:vAlign w:val="bottom"/>
          </w:tcPr>
          <w:p>
            <w:pPr>
              <w:ind w:left="200"/>
              <w:spacing w:after="0"/>
              <w:rPr>
                <w:sz w:val="20"/>
                <w:szCs w:val="20"/>
                <w:color w:val="auto"/>
              </w:rPr>
            </w:pPr>
            <w:r>
              <w:rPr>
                <w:rFonts w:ascii="Arial" w:cs="Arial" w:eastAsia="Arial" w:hAnsi="Arial"/>
                <w:sz w:val="16"/>
                <w:szCs w:val="16"/>
                <w:color w:val="auto"/>
              </w:rPr>
              <w:t>Loss associated with impairment of long-lived assets (h)</w:t>
            </w:r>
          </w:p>
        </w:tc>
        <w:tc>
          <w:tcPr>
            <w:tcW w:w="300" w:type="dxa"/>
            <w:vAlign w:val="bottom"/>
          </w:tcPr>
          <w:p>
            <w:pPr>
              <w:spacing w:after="0"/>
              <w:rPr>
                <w:sz w:val="16"/>
                <w:szCs w:val="16"/>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6"/>
                <w:szCs w:val="16"/>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8"/>
        </w:trPr>
        <w:tc>
          <w:tcPr>
            <w:tcW w:w="6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Technology-related investment expense (i)</w:t>
            </w:r>
          </w:p>
        </w:tc>
        <w:tc>
          <w:tcPr>
            <w:tcW w:w="30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0"/>
        </w:trPr>
        <w:tc>
          <w:tcPr>
            <w:tcW w:w="656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top w:val="single" w:sz="8" w:color="auto"/>
              <w:bottom w:val="single" w:sz="8" w:color="auto"/>
            </w:tcBorders>
          </w:tcPr>
          <w:p>
            <w:pPr>
              <w:jc w:val="right"/>
              <w:ind w:right="122"/>
              <w:spacing w:after="0" w:line="180" w:lineRule="exact"/>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ind w:right="83"/>
              <w:spacing w:after="0" w:line="180" w:lineRule="exact"/>
              <w:rPr>
                <w:sz w:val="20"/>
                <w:szCs w:val="20"/>
                <w:color w:val="auto"/>
              </w:rPr>
            </w:pPr>
            <w:r>
              <w:rPr>
                <w:rFonts w:ascii="Arial" w:cs="Arial" w:eastAsia="Arial" w:hAnsi="Arial"/>
                <w:sz w:val="16"/>
                <w:szCs w:val="16"/>
                <w:b w:val="1"/>
                <w:bCs w:val="1"/>
                <w:color w:val="auto"/>
              </w:rPr>
              <w:t>732</w:t>
            </w:r>
          </w:p>
        </w:tc>
        <w:tc>
          <w:tcPr>
            <w:tcW w:w="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rPr>
              <w:t>1,083</w:t>
            </w:r>
          </w:p>
        </w:tc>
        <w:tc>
          <w:tcPr>
            <w:tcW w:w="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22"/>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02"/>
              <w:spacing w:after="0" w:line="180" w:lineRule="exact"/>
              <w:rPr>
                <w:sz w:val="20"/>
                <w:szCs w:val="20"/>
                <w:color w:val="auto"/>
              </w:rPr>
            </w:pPr>
            <w:r>
              <w:rPr>
                <w:rFonts w:ascii="Arial" w:cs="Arial" w:eastAsia="Arial" w:hAnsi="Arial"/>
                <w:sz w:val="16"/>
                <w:szCs w:val="16"/>
                <w:color w:val="auto"/>
              </w:rPr>
              <w:t>1,128</w:t>
            </w:r>
          </w:p>
        </w:tc>
        <w:tc>
          <w:tcPr>
            <w:tcW w:w="0" w:type="dxa"/>
            <w:vAlign w:val="bottom"/>
          </w:tcPr>
          <w:p>
            <w:pPr>
              <w:spacing w:after="0"/>
              <w:rPr>
                <w:sz w:val="1"/>
                <w:szCs w:val="1"/>
                <w:color w:val="auto"/>
              </w:rPr>
            </w:pPr>
          </w:p>
        </w:tc>
      </w:tr>
      <w:tr>
        <w:trPr>
          <w:trHeight w:val="163"/>
        </w:trPr>
        <w:tc>
          <w:tcPr>
            <w:tcW w:w="6560" w:type="dxa"/>
            <w:vAlign w:val="bottom"/>
            <w:shd w:val="clear" w:color="auto" w:fill="CFF0FC"/>
          </w:tcPr>
          <w:p>
            <w:pPr>
              <w:spacing w:after="0" w:line="163" w:lineRule="exact"/>
              <w:rPr>
                <w:sz w:val="20"/>
                <w:szCs w:val="20"/>
                <w:color w:val="auto"/>
              </w:rPr>
            </w:pPr>
            <w:r>
              <w:rPr>
                <w:rFonts w:ascii="Arial" w:cs="Arial" w:eastAsia="Arial" w:hAnsi="Arial"/>
                <w:sz w:val="16"/>
                <w:szCs w:val="16"/>
                <w:b w:val="1"/>
                <w:bCs w:val="1"/>
                <w:color w:val="auto"/>
              </w:rPr>
              <w:t>Net sales (GAAP)</w:t>
            </w:r>
          </w:p>
        </w:tc>
        <w:tc>
          <w:tcPr>
            <w:tcW w:w="300" w:type="dxa"/>
            <w:vAlign w:val="bottom"/>
            <w:shd w:val="clear" w:color="auto" w:fill="CFF0FC"/>
          </w:tcPr>
          <w:p>
            <w:pPr>
              <w:jc w:val="right"/>
              <w:ind w:right="122"/>
              <w:spacing w:after="0" w:line="163" w:lineRule="exact"/>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FF0FC"/>
          </w:tcPr>
          <w:p>
            <w:pPr>
              <w:jc w:val="right"/>
              <w:ind w:right="83"/>
              <w:spacing w:after="0" w:line="163" w:lineRule="exact"/>
              <w:rPr>
                <w:sz w:val="20"/>
                <w:szCs w:val="20"/>
                <w:color w:val="auto"/>
              </w:rPr>
            </w:pPr>
            <w:r>
              <w:rPr>
                <w:rFonts w:ascii="Arial" w:cs="Arial" w:eastAsia="Arial" w:hAnsi="Arial"/>
                <w:sz w:val="16"/>
                <w:szCs w:val="16"/>
                <w:b w:val="1"/>
                <w:bCs w:val="1"/>
                <w:color w:val="auto"/>
              </w:rPr>
              <w:t>2,081</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7"/>
              <w:spacing w:after="0" w:line="163" w:lineRule="exact"/>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82"/>
              <w:spacing w:after="0" w:line="163" w:lineRule="exact"/>
              <w:rPr>
                <w:sz w:val="20"/>
                <w:szCs w:val="20"/>
                <w:color w:val="auto"/>
              </w:rPr>
            </w:pPr>
            <w:r>
              <w:rPr>
                <w:rFonts w:ascii="Arial" w:cs="Arial" w:eastAsia="Arial" w:hAnsi="Arial"/>
                <w:sz w:val="16"/>
                <w:szCs w:val="16"/>
                <w:color w:val="auto"/>
              </w:rPr>
              <w:t>2,698</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22"/>
              <w:spacing w:after="0" w:line="163" w:lineRule="exact"/>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102"/>
              <w:spacing w:after="0" w:line="163" w:lineRule="exact"/>
              <w:rPr>
                <w:sz w:val="20"/>
                <w:szCs w:val="20"/>
                <w:color w:val="auto"/>
              </w:rPr>
            </w:pPr>
            <w:r>
              <w:rPr>
                <w:rFonts w:ascii="Arial" w:cs="Arial" w:eastAsia="Arial" w:hAnsi="Arial"/>
                <w:sz w:val="16"/>
                <w:szCs w:val="16"/>
                <w:color w:val="auto"/>
              </w:rPr>
              <w:t>2,713</w:t>
            </w:r>
          </w:p>
        </w:tc>
        <w:tc>
          <w:tcPr>
            <w:tcW w:w="0" w:type="dxa"/>
            <w:vAlign w:val="bottom"/>
          </w:tcPr>
          <w:p>
            <w:pPr>
              <w:spacing w:after="0"/>
              <w:rPr>
                <w:sz w:val="1"/>
                <w:szCs w:val="1"/>
                <w:color w:val="auto"/>
              </w:rPr>
            </w:pPr>
          </w:p>
        </w:tc>
      </w:tr>
      <w:tr>
        <w:trPr>
          <w:trHeight w:val="188"/>
        </w:trPr>
        <w:tc>
          <w:tcPr>
            <w:tcW w:w="6560" w:type="dxa"/>
            <w:vAlign w:val="bottom"/>
          </w:tcPr>
          <w:p>
            <w:pPr>
              <w:spacing w:after="0"/>
              <w:rPr>
                <w:sz w:val="20"/>
                <w:szCs w:val="20"/>
                <w:color w:val="auto"/>
              </w:rPr>
            </w:pPr>
            <w:r>
              <w:rPr>
                <w:rFonts w:ascii="Arial" w:cs="Arial" w:eastAsia="Arial" w:hAnsi="Arial"/>
                <w:sz w:val="16"/>
                <w:szCs w:val="16"/>
                <w:b w:val="1"/>
                <w:bCs w:val="1"/>
                <w:color w:val="auto"/>
              </w:rPr>
              <w:t>Net income as a percent of net sales (GAAP)</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14.4%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188"/>
        </w:trPr>
        <w:tc>
          <w:tcPr>
            <w:tcW w:w="6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Adjusted EBITDA as a percent of net sales (Non-GAAP)</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35.2%</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188"/>
        </w:trPr>
        <w:tc>
          <w:tcPr>
            <w:tcW w:w="6560" w:type="dxa"/>
            <w:vAlign w:val="bottom"/>
          </w:tcPr>
          <w:p>
            <w:pPr>
              <w:spacing w:after="0"/>
              <w:rPr>
                <w:sz w:val="20"/>
                <w:szCs w:val="20"/>
                <w:color w:val="auto"/>
              </w:rPr>
            </w:pPr>
            <w:r>
              <w:rPr>
                <w:rFonts w:ascii="Arial" w:cs="Arial" w:eastAsia="Arial" w:hAnsi="Arial"/>
                <w:sz w:val="16"/>
                <w:szCs w:val="16"/>
                <w:b w:val="1"/>
                <w:bCs w:val="1"/>
                <w:color w:val="auto"/>
              </w:rPr>
              <w:t>Net cash provided by operating activities (GAAP)</w:t>
            </w:r>
          </w:p>
        </w:tc>
        <w:tc>
          <w:tcPr>
            <w:tcW w:w="30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83"/>
              <w:spacing w:after="0"/>
              <w:rPr>
                <w:sz w:val="20"/>
                <w:szCs w:val="20"/>
                <w:color w:val="auto"/>
              </w:rPr>
            </w:pPr>
            <w:r>
              <w:rPr>
                <w:rFonts w:ascii="Arial" w:cs="Arial" w:eastAsia="Arial" w:hAnsi="Arial"/>
                <w:sz w:val="16"/>
                <w:szCs w:val="16"/>
                <w:b w:val="1"/>
                <w:bCs w:val="1"/>
                <w:color w:val="auto"/>
              </w:rPr>
              <w:t>561</w:t>
            </w:r>
          </w:p>
        </w:tc>
        <w:tc>
          <w:tcPr>
            <w:tcW w:w="14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847</w:t>
            </w:r>
          </w:p>
        </w:tc>
        <w:tc>
          <w:tcPr>
            <w:tcW w:w="140" w:type="dxa"/>
            <w:vAlign w:val="bottom"/>
          </w:tcPr>
          <w:p>
            <w:pPr>
              <w:spacing w:after="0"/>
              <w:rPr>
                <w:sz w:val="16"/>
                <w:szCs w:val="16"/>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188"/>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(Deductions) or additions to reconcile to Adjusted free cash flow:</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60" w:type="dxa"/>
            <w:vAlign w:val="bottom"/>
          </w:tcPr>
          <w:p>
            <w:pPr>
              <w:spacing w:after="0"/>
              <w:rPr>
                <w:sz w:val="20"/>
                <w:szCs w:val="20"/>
                <w:color w:val="auto"/>
              </w:rPr>
            </w:pPr>
            <w:r>
              <w:rPr>
                <w:rFonts w:ascii="Arial" w:cs="Arial" w:eastAsia="Arial" w:hAnsi="Arial"/>
                <w:sz w:val="16"/>
                <w:szCs w:val="16"/>
                <w:color w:val="auto"/>
              </w:rPr>
              <w:t>Additions of long-lived assets</w:t>
            </w:r>
          </w:p>
        </w:tc>
        <w:tc>
          <w:tcPr>
            <w:tcW w:w="300" w:type="dxa"/>
            <w:vAlign w:val="bottom"/>
          </w:tcPr>
          <w:p>
            <w:pPr>
              <w:spacing w:after="0"/>
              <w:rPr>
                <w:sz w:val="16"/>
                <w:szCs w:val="16"/>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(115)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(172)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8"/>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Restructuring charges (b)</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3"/>
              <w:spacing w:after="0"/>
              <w:rPr>
                <w:sz w:val="20"/>
                <w:szCs w:val="20"/>
                <w:color w:val="auto"/>
              </w:rPr>
            </w:pPr>
            <w:r>
              <w:rPr>
                <w:rFonts w:ascii="Arial" w:cs="Arial" w:eastAsia="Arial" w:hAnsi="Arial"/>
                <w:sz w:val="16"/>
                <w:szCs w:val="16"/>
                <w:b w:val="1"/>
                <w:bCs w:val="1"/>
                <w:color w:val="auto"/>
              </w:rPr>
              <w:t>12</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6560" w:type="dxa"/>
            <w:vAlign w:val="bottom"/>
          </w:tcPr>
          <w:p>
            <w:pPr>
              <w:spacing w:after="0" w:line="180" w:lineRule="exact"/>
              <w:rPr>
                <w:sz w:val="20"/>
                <w:szCs w:val="20"/>
                <w:color w:val="auto"/>
              </w:rPr>
            </w:pPr>
            <w:r>
              <w:rPr>
                <w:rFonts w:ascii="Arial" w:cs="Arial" w:eastAsia="Arial" w:hAnsi="Arial"/>
                <w:sz w:val="16"/>
                <w:szCs w:val="16"/>
                <w:b w:val="1"/>
                <w:bCs w:val="1"/>
                <w:color w:val="auto"/>
              </w:rPr>
              <w:t>Adjusted free cash flow (Non-GAAP)</w:t>
            </w:r>
          </w:p>
        </w:tc>
        <w:tc>
          <w:tcPr>
            <w:tcW w:w="300" w:type="dxa"/>
            <w:vAlign w:val="bottom"/>
            <w:tcBorders>
              <w:top w:val="single" w:sz="8" w:color="auto"/>
              <w:bottom w:val="single" w:sz="8" w:color="auto"/>
            </w:tcBorders>
          </w:tcPr>
          <w:p>
            <w:pPr>
              <w:jc w:val="right"/>
              <w:ind w:right="122"/>
              <w:spacing w:after="0" w:line="180" w:lineRule="exact"/>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ind w:right="83"/>
              <w:spacing w:after="0" w:line="180" w:lineRule="exact"/>
              <w:rPr>
                <w:sz w:val="20"/>
                <w:szCs w:val="20"/>
                <w:color w:val="auto"/>
              </w:rPr>
            </w:pPr>
            <w:r>
              <w:rPr>
                <w:rFonts w:ascii="Arial" w:cs="Arial" w:eastAsia="Arial" w:hAnsi="Arial"/>
                <w:sz w:val="16"/>
                <w:szCs w:val="16"/>
                <w:b w:val="1"/>
                <w:bCs w:val="1"/>
                <w:color w:val="auto"/>
              </w:rPr>
              <w:t>458</w:t>
            </w:r>
          </w:p>
        </w:tc>
        <w:tc>
          <w:tcPr>
            <w:tcW w:w="14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rPr>
              <w:t>675</w:t>
            </w:r>
          </w:p>
        </w:tc>
        <w:tc>
          <w:tcPr>
            <w:tcW w:w="14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2"/>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02"/>
              <w:spacing w:after="0" w:line="180" w:lineRule="exact"/>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686" w:right="620" w:hanging="686"/>
        <w:spacing w:after="0" w:line="242" w:lineRule="auto"/>
        <w:tabs>
          <w:tab w:leader="none" w:pos="686"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stock-based compensation expense (recorded in Cost of sales, Selling, general and administrative, and Engineering – research and development).</w:t>
      </w:r>
    </w:p>
    <w:p>
      <w:pPr>
        <w:spacing w:after="0" w:line="1" w:lineRule="exact"/>
        <w:rPr>
          <w:rFonts w:ascii="Arial" w:cs="Arial" w:eastAsia="Arial" w:hAnsi="Arial"/>
          <w:sz w:val="16"/>
          <w:szCs w:val="16"/>
          <w:color w:val="auto"/>
        </w:rPr>
      </w:pPr>
    </w:p>
    <w:p>
      <w:pPr>
        <w:ind w:left="686" w:right="100" w:hanging="686"/>
        <w:spacing w:after="0" w:line="229" w:lineRule="auto"/>
        <w:tabs>
          <w:tab w:leader="none" w:pos="686"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restructuring and pension plan settlement charges (recorded in Cost of sales, Selling, general and administrative, Engineering – research and development, and Other (expense) income, net) related to voluntary and involuntary separation programs for both hourly and salaried employees in the second quarter of 2020.</w:t>
      </w:r>
    </w:p>
    <w:p>
      <w:pPr>
        <w:spacing w:after="0" w:line="1" w:lineRule="exact"/>
        <w:rPr>
          <w:rFonts w:ascii="Arial" w:cs="Arial" w:eastAsia="Arial" w:hAnsi="Arial"/>
          <w:sz w:val="16"/>
          <w:szCs w:val="16"/>
          <w:color w:val="auto"/>
        </w:rPr>
      </w:pPr>
    </w:p>
    <w:p>
      <w:pPr>
        <w:ind w:left="686" w:right="160" w:hanging="686"/>
        <w:spacing w:after="0" w:line="229" w:lineRule="auto"/>
        <w:tabs>
          <w:tab w:leader="none" w:pos="686"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expenses (recorded in Other (expense) income, net) related to the redemption of ATI’s 5.0% Senior Notes due 2024 (“5.0% Senior Notes”) in the fourth quarter of 2020, the refinancing of the prior term loan due 2022 and prior revolving credit facility due 2021 in the first quarter of 2019, and the repricing of the New Term Loan in the fourth quarter of 2019.</w:t>
      </w:r>
    </w:p>
    <w:p>
      <w:pPr>
        <w:spacing w:after="0" w:line="1" w:lineRule="exact"/>
        <w:rPr>
          <w:rFonts w:ascii="Arial" w:cs="Arial" w:eastAsia="Arial" w:hAnsi="Arial"/>
          <w:sz w:val="16"/>
          <w:szCs w:val="16"/>
          <w:color w:val="auto"/>
        </w:rPr>
      </w:pPr>
    </w:p>
    <w:p>
      <w:pPr>
        <w:ind w:left="686" w:right="160" w:hanging="686"/>
        <w:spacing w:after="0" w:line="239" w:lineRule="auto"/>
        <w:tabs>
          <w:tab w:leader="none" w:pos="686"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charges (recorded in Cost of sales) related to a retirement incentive program for certain employees represented by the International Union, United Automobile, Aerospace and Agricultural</w:t>
      </w:r>
    </w:p>
    <w:p>
      <w:pPr>
        <w:spacing w:after="0" w:line="15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7150100"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120" w:right="319" w:bottom="1440" w:gutter="0" w:footer="0" w:header="0"/>
        </w:sectPr>
      </w:pPr>
    </w:p>
    <w:bookmarkStart w:id="38" w:name="page39"/>
    <w:bookmarkEnd w:id="38"/>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3" w:lineRule="exact"/>
        <w:rPr>
          <w:sz w:val="20"/>
          <w:szCs w:val="20"/>
          <w:color w:val="auto"/>
        </w:rPr>
      </w:pPr>
    </w:p>
    <w:p>
      <w:pPr>
        <w:ind w:left="686"/>
        <w:spacing w:after="0"/>
        <w:rPr>
          <w:sz w:val="20"/>
          <w:szCs w:val="20"/>
          <w:color w:val="auto"/>
        </w:rPr>
      </w:pPr>
      <w:r>
        <w:rPr>
          <w:rFonts w:ascii="Arial" w:cs="Arial" w:eastAsia="Arial" w:hAnsi="Arial"/>
          <w:sz w:val="16"/>
          <w:szCs w:val="16"/>
          <w:color w:val="auto"/>
        </w:rPr>
        <w:t>Implement Workers of America (“UAW”) pursuant to the UAW Local 933 collective bargaining agreement effective through November 2023.</w:t>
      </w:r>
    </w:p>
    <w:p>
      <w:pPr>
        <w:spacing w:after="0" w:line="12" w:lineRule="exact"/>
        <w:rPr>
          <w:sz w:val="20"/>
          <w:szCs w:val="20"/>
          <w:color w:val="auto"/>
        </w:rPr>
      </w:pPr>
    </w:p>
    <w:p>
      <w:pPr>
        <w:ind w:left="686" w:hanging="686"/>
        <w:spacing w:after="0" w:line="229" w:lineRule="auto"/>
        <w:tabs>
          <w:tab w:leader="none" w:pos="6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losses (recorded in Other (expense) income, net) on intercompany financing transactions related to investments in plant assets for our India facility.</w:t>
      </w:r>
    </w:p>
    <w:p>
      <w:pPr>
        <w:spacing w:after="0" w:line="1" w:lineRule="exact"/>
        <w:rPr>
          <w:rFonts w:ascii="Arial" w:cs="Arial" w:eastAsia="Arial" w:hAnsi="Arial"/>
          <w:sz w:val="16"/>
          <w:szCs w:val="16"/>
          <w:color w:val="auto"/>
        </w:rPr>
      </w:pPr>
    </w:p>
    <w:p>
      <w:pPr>
        <w:ind w:left="686" w:right="600" w:hanging="686"/>
        <w:spacing w:after="0" w:line="229" w:lineRule="auto"/>
        <w:tabs>
          <w:tab w:leader="none" w:pos="6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expenses (recorded in Selling, general and administrative and Engineering - research and development) for earnouts related to our acquisition of Vantage Power Limited.</w:t>
      </w:r>
    </w:p>
    <w:p>
      <w:pPr>
        <w:spacing w:after="0" w:line="1" w:lineRule="exact"/>
        <w:rPr>
          <w:rFonts w:ascii="Arial" w:cs="Arial" w:eastAsia="Arial" w:hAnsi="Arial"/>
          <w:sz w:val="16"/>
          <w:szCs w:val="16"/>
          <w:color w:val="auto"/>
        </w:rPr>
      </w:pPr>
    </w:p>
    <w:p>
      <w:pPr>
        <w:ind w:left="686" w:right="560" w:hanging="686"/>
        <w:spacing w:after="0" w:line="229" w:lineRule="auto"/>
        <w:tabs>
          <w:tab w:leader="none" w:pos="6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an environmental remediation benefit (recorded in Selling, general and administrative) related to reduction of the liability for ongoing environmental remediation operating, monitoring and maintenance activities at our Indianapolis, Indiana manufacturing facilities.</w:t>
      </w:r>
    </w:p>
    <w:p>
      <w:pPr>
        <w:spacing w:after="0" w:line="1" w:lineRule="exact"/>
        <w:rPr>
          <w:rFonts w:ascii="Arial" w:cs="Arial" w:eastAsia="Arial" w:hAnsi="Arial"/>
          <w:sz w:val="16"/>
          <w:szCs w:val="16"/>
          <w:color w:val="auto"/>
        </w:rPr>
      </w:pPr>
    </w:p>
    <w:p>
      <w:pPr>
        <w:ind w:left="686" w:hanging="686"/>
        <w:spacing w:after="0" w:line="229" w:lineRule="auto"/>
        <w:tabs>
          <w:tab w:leader="none" w:pos="6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charges (recorded in Selling, general and administrative) associated with the impairment of long-lived assets related to the production of the TC10 transmission.</w:t>
      </w:r>
    </w:p>
    <w:p>
      <w:pPr>
        <w:spacing w:after="0" w:line="1" w:lineRule="exact"/>
        <w:rPr>
          <w:rFonts w:ascii="Arial" w:cs="Arial" w:eastAsia="Arial" w:hAnsi="Arial"/>
          <w:sz w:val="16"/>
          <w:szCs w:val="16"/>
          <w:color w:val="auto"/>
        </w:rPr>
      </w:pPr>
    </w:p>
    <w:p>
      <w:pPr>
        <w:ind w:left="686" w:right="120" w:hanging="686"/>
        <w:spacing w:after="0" w:line="239" w:lineRule="auto"/>
        <w:tabs>
          <w:tab w:leader="none" w:pos="6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a charge (recorded in Other (expense) income, net) for investments in co-development agreements to expand our position in transmission technologies.</w:t>
      </w:r>
    </w:p>
    <w:p>
      <w:pPr>
        <w:spacing w:after="0" w:line="365" w:lineRule="exact"/>
        <w:rPr>
          <w:sz w:val="20"/>
          <w:szCs w:val="20"/>
          <w:color w:val="auto"/>
        </w:rPr>
      </w:pPr>
    </w:p>
    <w:p>
      <w:pPr>
        <w:jc w:val="center"/>
        <w:ind w:right="-65"/>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715010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86"/>
          </w:cols>
          <w:pgMar w:left="314" w:top="120" w:right="39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35" w:lineRule="exact"/>
        <w:rPr>
          <w:sz w:val="20"/>
          <w:szCs w:val="20"/>
          <w:color w:val="auto"/>
        </w:rPr>
      </w:pPr>
    </w:p>
    <w:p>
      <w:pPr>
        <w:ind w:right="80" w:firstLine="522"/>
        <w:spacing w:after="0" w:line="241" w:lineRule="auto"/>
        <w:rPr>
          <w:sz w:val="20"/>
          <w:szCs w:val="20"/>
          <w:color w:val="auto"/>
        </w:rPr>
      </w:pPr>
      <w:r>
        <w:rPr>
          <w:rFonts w:ascii="Arial" w:cs="Arial" w:eastAsia="Arial" w:hAnsi="Arial"/>
          <w:sz w:val="16"/>
          <w:szCs w:val="16"/>
          <w:color w:val="auto"/>
        </w:rPr>
        <w:t>The COVID-19 pandemic, and its impact on global demand and supply chains, had a material adverse effect on our results of operations for 2020. We continue to actively monitor the impact of the global pandemic on customer demand and supply chains. While we expect increased customer demand in 2021, the ongoing pandemic may still materially adversely impact our business and results of operations in 2021. See “Trends Impacting our Business” above for additional information on the impact of the COVID-19 pandemic on our results of operations.</w:t>
      </w:r>
    </w:p>
    <w:p>
      <w:pPr>
        <w:spacing w:after="0" w:line="106" w:lineRule="exact"/>
        <w:rPr>
          <w:sz w:val="20"/>
          <w:szCs w:val="20"/>
          <w:color w:val="auto"/>
        </w:rPr>
      </w:pPr>
    </w:p>
    <w:p>
      <w:pPr>
        <w:jc w:val="both"/>
        <w:ind w:right="20" w:firstLine="522"/>
        <w:spacing w:after="0" w:line="247" w:lineRule="auto"/>
        <w:rPr>
          <w:sz w:val="20"/>
          <w:szCs w:val="20"/>
          <w:color w:val="auto"/>
        </w:rPr>
      </w:pPr>
      <w:r>
        <w:rPr>
          <w:rFonts w:ascii="Arial" w:cs="Arial" w:eastAsia="Arial" w:hAnsi="Arial"/>
          <w:sz w:val="16"/>
          <w:szCs w:val="16"/>
          <w:color w:val="auto"/>
        </w:rPr>
        <w:t>The following table sets forth certain financial information for the years ended December 31, 2020 and 2019. The following table and discussion should be read in conjunction with the information contained in our consolidated financial statements and the notes thereto included in Part II, Item 8 of this Annual Report on Form 10-K.</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Comparison of years ended December 31, 2020 and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5"/>
          </w:tcPr>
          <w:p>
            <w:pPr>
              <w:ind w:left="480"/>
              <w:spacing w:after="0"/>
              <w:rPr>
                <w:sz w:val="20"/>
                <w:szCs w:val="20"/>
                <w:color w:val="auto"/>
              </w:rPr>
            </w:pPr>
            <w:r>
              <w:rPr>
                <w:rFonts w:ascii="Arial" w:cs="Arial" w:eastAsia="Arial" w:hAnsi="Arial"/>
                <w:sz w:val="13"/>
                <w:szCs w:val="13"/>
                <w:b w:val="1"/>
                <w:bCs w:val="1"/>
                <w:color w:val="auto"/>
              </w:rPr>
              <w:t>Years ended December 31,</w:t>
            </w:r>
          </w:p>
        </w:tc>
        <w:tc>
          <w:tcPr>
            <w:tcW w:w="1300" w:type="dxa"/>
            <w:vAlign w:val="bottom"/>
            <w:tcBorders>
              <w:bottom w:val="single" w:sz="8" w:color="auto"/>
            </w:tcBorders>
          </w:tcPr>
          <w:p>
            <w:pPr>
              <w:spacing w:after="0"/>
              <w:rPr>
                <w:sz w:val="13"/>
                <w:szCs w:val="13"/>
                <w:color w:val="auto"/>
              </w:rPr>
            </w:pPr>
          </w:p>
        </w:tc>
      </w:tr>
      <w:tr>
        <w:trPr>
          <w:trHeight w:val="133"/>
        </w:trPr>
        <w:tc>
          <w:tcPr>
            <w:tcW w:w="4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5"/>
              <w:spacing w:after="0" w:line="13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4"/>
              <w:spacing w:after="0" w:line="133" w:lineRule="exact"/>
              <w:rPr>
                <w:sz w:val="20"/>
                <w:szCs w:val="20"/>
                <w:color w:val="auto"/>
              </w:rPr>
            </w:pPr>
            <w:r>
              <w:rPr>
                <w:rFonts w:ascii="Arial" w:cs="Arial" w:eastAsia="Arial" w:hAnsi="Arial"/>
                <w:sz w:val="13"/>
                <w:szCs w:val="13"/>
                <w:b w:val="1"/>
                <w:bCs w:val="1"/>
                <w:color w:val="auto"/>
              </w:rPr>
              <w:t>%</w:t>
            </w:r>
          </w:p>
        </w:tc>
      </w:tr>
      <w:tr>
        <w:trPr>
          <w:trHeight w:val="153"/>
        </w:trPr>
        <w:tc>
          <w:tcPr>
            <w:tcW w:w="4460" w:type="dxa"/>
            <w:vAlign w:val="bottom"/>
          </w:tcPr>
          <w:p>
            <w:pPr>
              <w:spacing w:after="0"/>
              <w:rPr>
                <w:sz w:val="20"/>
                <w:szCs w:val="20"/>
                <w:color w:val="auto"/>
              </w:rPr>
            </w:pPr>
            <w:r>
              <w:rPr>
                <w:rFonts w:ascii="Arial" w:cs="Arial" w:eastAsia="Arial" w:hAnsi="Arial"/>
                <w:sz w:val="13"/>
                <w:szCs w:val="13"/>
                <w:i w:val="1"/>
                <w:iCs w:val="1"/>
                <w:color w:val="auto"/>
              </w:rPr>
              <w:t>(dollars in millions)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420" w:type="dxa"/>
            <w:vAlign w:val="bottom"/>
            <w:gridSpan w:val="2"/>
          </w:tcPr>
          <w:p>
            <w:pPr>
              <w:ind w:left="220"/>
              <w:spacing w:after="0"/>
              <w:rPr>
                <w:sz w:val="20"/>
                <w:szCs w:val="20"/>
                <w:color w:val="auto"/>
              </w:rPr>
            </w:pPr>
            <w:r>
              <w:rPr>
                <w:rFonts w:ascii="Arial" w:cs="Arial" w:eastAsia="Arial" w:hAnsi="Arial"/>
                <w:sz w:val="13"/>
                <w:szCs w:val="13"/>
                <w:b w:val="1"/>
                <w:bCs w:val="1"/>
                <w:color w:val="auto"/>
              </w:rPr>
              <w:t>of net sales</w:t>
            </w:r>
          </w:p>
        </w:tc>
        <w:tc>
          <w:tcPr>
            <w:tcW w:w="26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1300" w:type="dxa"/>
            <w:vAlign w:val="bottom"/>
          </w:tcPr>
          <w:p>
            <w:pPr>
              <w:jc w:val="right"/>
              <w:ind w:right="304"/>
              <w:spacing w:after="0"/>
              <w:rPr>
                <w:sz w:val="20"/>
                <w:szCs w:val="20"/>
                <w:color w:val="auto"/>
              </w:rPr>
            </w:pPr>
            <w:r>
              <w:rPr>
                <w:rFonts w:ascii="Arial" w:cs="Arial" w:eastAsia="Arial" w:hAnsi="Arial"/>
                <w:sz w:val="13"/>
                <w:szCs w:val="13"/>
                <w:b w:val="1"/>
                <w:bCs w:val="1"/>
                <w:color w:val="auto"/>
              </w:rPr>
              <w:t>of net sales</w:t>
            </w:r>
          </w:p>
        </w:tc>
      </w:tr>
      <w:tr>
        <w:trPr>
          <w:trHeight w:val="180"/>
        </w:trPr>
        <w:tc>
          <w:tcPr>
            <w:tcW w:w="44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13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2,081</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100%</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2,698</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100%</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sales</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1,083</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52</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1,304</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48</w:t>
            </w:r>
          </w:p>
        </w:tc>
      </w:tr>
      <w:tr>
        <w:trPr>
          <w:trHeight w:val="180"/>
        </w:trPr>
        <w:tc>
          <w:tcPr>
            <w:tcW w:w="44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Gross profit</w:t>
            </w: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998</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48</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1,394</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52</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Operating expenses:</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44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317</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15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rPr>
              <w:t>13</w:t>
            </w:r>
          </w:p>
        </w:tc>
      </w:tr>
      <w:tr>
        <w:trPr>
          <w:trHeight w:val="188"/>
        </w:trPr>
        <w:tc>
          <w:tcPr>
            <w:tcW w:w="4460" w:type="dxa"/>
            <w:vAlign w:val="bottom"/>
          </w:tcPr>
          <w:p>
            <w:pPr>
              <w:ind w:left="200"/>
              <w:spacing w:after="0"/>
              <w:rPr>
                <w:sz w:val="20"/>
                <w:szCs w:val="20"/>
                <w:color w:val="auto"/>
              </w:rPr>
            </w:pPr>
            <w:r>
              <w:rPr>
                <w:rFonts w:ascii="Arial" w:cs="Arial" w:eastAsia="Arial" w:hAnsi="Arial"/>
                <w:sz w:val="16"/>
                <w:szCs w:val="16"/>
                <w:color w:val="auto"/>
              </w:rPr>
              <w:t>Engineering — research and development</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b w:val="1"/>
                <w:bCs w:val="1"/>
                <w:color w:val="auto"/>
              </w:rPr>
              <w:t>147</w:t>
            </w:r>
          </w:p>
        </w:tc>
        <w:tc>
          <w:tcPr>
            <w:tcW w:w="120" w:type="dxa"/>
            <w:vAlign w:val="bottom"/>
          </w:tcPr>
          <w:p>
            <w:pPr>
              <w:spacing w:after="0"/>
              <w:rPr>
                <w:sz w:val="16"/>
                <w:szCs w:val="16"/>
                <w:color w:val="auto"/>
              </w:rPr>
            </w:pPr>
          </w:p>
        </w:tc>
        <w:tc>
          <w:tcPr>
            <w:tcW w:w="1300" w:type="dxa"/>
            <w:vAlign w:val="bottom"/>
          </w:tcPr>
          <w:p>
            <w:pPr>
              <w:jc w:val="right"/>
              <w:ind w:right="85"/>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6"/>
                <w:szCs w:val="16"/>
                <w:color w:val="auto"/>
              </w:rPr>
            </w:pPr>
          </w:p>
        </w:tc>
        <w:tc>
          <w:tcPr>
            <w:tcW w:w="1300" w:type="dxa"/>
            <w:vAlign w:val="bottom"/>
          </w:tcPr>
          <w:p>
            <w:pPr>
              <w:jc w:val="right"/>
              <w:ind w:right="104"/>
              <w:spacing w:after="0"/>
              <w:rPr>
                <w:sz w:val="20"/>
                <w:szCs w:val="20"/>
                <w:color w:val="auto"/>
              </w:rPr>
            </w:pPr>
            <w:r>
              <w:rPr>
                <w:rFonts w:ascii="Arial" w:cs="Arial" w:eastAsia="Arial" w:hAnsi="Arial"/>
                <w:sz w:val="16"/>
                <w:szCs w:val="16"/>
                <w:color w:val="auto"/>
              </w:rPr>
              <w:t>6</w:t>
            </w:r>
          </w:p>
        </w:tc>
      </w:tr>
      <w:tr>
        <w:trPr>
          <w:trHeight w:val="188"/>
        </w:trPr>
        <w:tc>
          <w:tcPr>
            <w:tcW w:w="44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Environmental remediation</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rPr>
              <w:t>—</w:t>
            </w:r>
          </w:p>
        </w:tc>
      </w:tr>
      <w:tr>
        <w:trPr>
          <w:trHeight w:val="180"/>
        </w:trPr>
        <w:tc>
          <w:tcPr>
            <w:tcW w:w="4460" w:type="dxa"/>
            <w:vAlign w:val="bottom"/>
            <w:tcBorders>
              <w:bottom w:val="single" w:sz="8" w:color="CFF0FC"/>
            </w:tcBorders>
          </w:tcPr>
          <w:p>
            <w:pPr>
              <w:ind w:left="420"/>
              <w:spacing w:after="0" w:line="180" w:lineRule="exact"/>
              <w:rPr>
                <w:sz w:val="20"/>
                <w:szCs w:val="20"/>
                <w:color w:val="auto"/>
              </w:rPr>
            </w:pPr>
            <w:r>
              <w:rPr>
                <w:rFonts w:ascii="Arial" w:cs="Arial" w:eastAsia="Arial" w:hAnsi="Arial"/>
                <w:sz w:val="16"/>
                <w:szCs w:val="16"/>
                <w:color w:val="auto"/>
              </w:rPr>
              <w:t>Total operating expenses</w:t>
            </w:r>
          </w:p>
        </w:tc>
        <w:tc>
          <w:tcPr>
            <w:tcW w:w="1340" w:type="dxa"/>
            <w:vAlign w:val="bottom"/>
            <w:tcBorders>
              <w:bottom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
              <w:spacing w:after="0" w:line="180" w:lineRule="exact"/>
              <w:rPr>
                <w:sz w:val="20"/>
                <w:szCs w:val="20"/>
                <w:color w:val="auto"/>
              </w:rPr>
            </w:pPr>
            <w:r>
              <w:rPr>
                <w:rFonts w:ascii="Arial" w:cs="Arial" w:eastAsia="Arial" w:hAnsi="Arial"/>
                <w:sz w:val="16"/>
                <w:szCs w:val="16"/>
                <w:b w:val="1"/>
                <w:bCs w:val="1"/>
                <w:color w:val="auto"/>
              </w:rPr>
              <w:t>464</w:t>
            </w:r>
          </w:p>
        </w:tc>
        <w:tc>
          <w:tcPr>
            <w:tcW w:w="120" w:type="dxa"/>
            <w:vAlign w:val="bottom"/>
            <w:tcBorders>
              <w:bottom w:val="single" w:sz="8" w:color="CFF0FC"/>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85"/>
              <w:spacing w:after="0" w:line="180" w:lineRule="exact"/>
              <w:rPr>
                <w:sz w:val="20"/>
                <w:szCs w:val="20"/>
                <w:color w:val="auto"/>
              </w:rPr>
            </w:pPr>
            <w:r>
              <w:rPr>
                <w:rFonts w:ascii="Arial" w:cs="Arial" w:eastAsia="Arial" w:hAnsi="Arial"/>
                <w:sz w:val="16"/>
                <w:szCs w:val="16"/>
                <w:b w:val="1"/>
                <w:bCs w:val="1"/>
                <w:color w:val="auto"/>
              </w:rPr>
              <w:t>22</w:t>
            </w:r>
          </w:p>
        </w:tc>
        <w:tc>
          <w:tcPr>
            <w:tcW w:w="12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502</w:t>
            </w:r>
          </w:p>
        </w:tc>
        <w:tc>
          <w:tcPr>
            <w:tcW w:w="120" w:type="dxa"/>
            <w:vAlign w:val="bottom"/>
            <w:tcBorders>
              <w:bottom w:val="single" w:sz="8" w:color="CFF0FC"/>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104"/>
              <w:spacing w:after="0" w:line="180" w:lineRule="exact"/>
              <w:rPr>
                <w:sz w:val="20"/>
                <w:szCs w:val="20"/>
                <w:color w:val="auto"/>
              </w:rPr>
            </w:pPr>
            <w:r>
              <w:rPr>
                <w:rFonts w:ascii="Arial" w:cs="Arial" w:eastAsia="Arial" w:hAnsi="Arial"/>
                <w:sz w:val="16"/>
                <w:szCs w:val="16"/>
                <w:color w:val="auto"/>
              </w:rPr>
              <w:t>19</w:t>
            </w:r>
          </w:p>
        </w:tc>
      </w:tr>
      <w:tr>
        <w:trPr>
          <w:trHeight w:val="180"/>
        </w:trPr>
        <w:tc>
          <w:tcPr>
            <w:tcW w:w="44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Operating income</w:t>
            </w: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534</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26</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892</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33</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Other expense, net:</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44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expense, net</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(137)</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(7)</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(5)</w:t>
            </w:r>
          </w:p>
        </w:tc>
      </w:tr>
      <w:tr>
        <w:trPr>
          <w:trHeight w:val="188"/>
        </w:trPr>
        <w:tc>
          <w:tcPr>
            <w:tcW w:w="4460" w:type="dxa"/>
            <w:vAlign w:val="bottom"/>
          </w:tcPr>
          <w:p>
            <w:pPr>
              <w:ind w:left="200"/>
              <w:spacing w:after="0"/>
              <w:rPr>
                <w:sz w:val="20"/>
                <w:szCs w:val="20"/>
                <w:color w:val="auto"/>
              </w:rPr>
            </w:pPr>
            <w:r>
              <w:rPr>
                <w:rFonts w:ascii="Arial" w:cs="Arial" w:eastAsia="Arial" w:hAnsi="Arial"/>
                <w:sz w:val="16"/>
                <w:szCs w:val="16"/>
                <w:color w:val="auto"/>
              </w:rPr>
              <w:t>Other (expense) income, net</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6"/>
                <w:szCs w:val="16"/>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6"/>
                <w:szCs w:val="16"/>
                <w:color w:val="auto"/>
              </w:rPr>
            </w:pPr>
          </w:p>
        </w:tc>
        <w:tc>
          <w:tcPr>
            <w:tcW w:w="1300" w:type="dxa"/>
            <w:vAlign w:val="bottom"/>
          </w:tcPr>
          <w:p>
            <w:pPr>
              <w:jc w:val="right"/>
              <w:ind w:right="104"/>
              <w:spacing w:after="0"/>
              <w:rPr>
                <w:sz w:val="20"/>
                <w:szCs w:val="20"/>
                <w:color w:val="auto"/>
              </w:rPr>
            </w:pPr>
            <w:r>
              <w:rPr>
                <w:rFonts w:ascii="Arial" w:cs="Arial" w:eastAsia="Arial" w:hAnsi="Arial"/>
                <w:sz w:val="16"/>
                <w:szCs w:val="16"/>
                <w:color w:val="auto"/>
              </w:rPr>
              <w:t>—</w:t>
            </w:r>
          </w:p>
        </w:tc>
      </w:tr>
      <w:tr>
        <w:trPr>
          <w:trHeight w:val="180"/>
        </w:trPr>
        <w:tc>
          <w:tcPr>
            <w:tcW w:w="4460" w:type="dxa"/>
            <w:vAlign w:val="bottom"/>
            <w:tcBorders>
              <w:top w:val="single" w:sz="8" w:color="CFF0FC"/>
            </w:tcBorders>
            <w:shd w:val="clear" w:color="auto" w:fill="CFF0FC"/>
          </w:tcPr>
          <w:p>
            <w:pPr>
              <w:ind w:left="420"/>
              <w:spacing w:after="0" w:line="180" w:lineRule="exact"/>
              <w:rPr>
                <w:sz w:val="20"/>
                <w:szCs w:val="20"/>
                <w:color w:val="auto"/>
              </w:rPr>
            </w:pPr>
            <w:r>
              <w:rPr>
                <w:rFonts w:ascii="Arial" w:cs="Arial" w:eastAsia="Arial" w:hAnsi="Arial"/>
                <w:sz w:val="16"/>
                <w:szCs w:val="16"/>
                <w:color w:val="auto"/>
              </w:rPr>
              <w:t>Total other expense, net</w:t>
            </w:r>
          </w:p>
        </w:tc>
        <w:tc>
          <w:tcPr>
            <w:tcW w:w="13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(141)</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bottom w:val="single" w:sz="8" w:color="auto"/>
            </w:tcBorders>
            <w:shd w:val="clear" w:color="auto" w:fill="CFF0FC"/>
          </w:tcPr>
          <w:p>
            <w:pPr>
              <w:jc w:val="right"/>
              <w:ind w:right="25"/>
              <w:spacing w:after="0" w:line="180" w:lineRule="exact"/>
              <w:rPr>
                <w:sz w:val="20"/>
                <w:szCs w:val="20"/>
                <w:color w:val="auto"/>
              </w:rPr>
            </w:pPr>
            <w:r>
              <w:rPr>
                <w:rFonts w:ascii="Arial" w:cs="Arial" w:eastAsia="Arial" w:hAnsi="Arial"/>
                <w:sz w:val="16"/>
                <w:szCs w:val="16"/>
                <w:b w:val="1"/>
                <w:bCs w:val="1"/>
                <w:color w:val="auto"/>
              </w:rPr>
              <w:t>(7)</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(124)</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bottom w:val="single" w:sz="8" w:color="auto"/>
            </w:tcBorders>
            <w:shd w:val="clear" w:color="auto" w:fill="CFF0FC"/>
          </w:tcPr>
          <w:p>
            <w:pPr>
              <w:jc w:val="right"/>
              <w:ind w:right="24"/>
              <w:spacing w:after="0" w:line="180" w:lineRule="exact"/>
              <w:rPr>
                <w:sz w:val="20"/>
                <w:szCs w:val="20"/>
                <w:color w:val="auto"/>
              </w:rPr>
            </w:pPr>
            <w:r>
              <w:rPr>
                <w:rFonts w:ascii="Arial" w:cs="Arial" w:eastAsia="Arial" w:hAnsi="Arial"/>
                <w:sz w:val="16"/>
                <w:szCs w:val="16"/>
                <w:color w:val="auto"/>
              </w:rPr>
              <w:t>(5)</w:t>
            </w:r>
          </w:p>
        </w:tc>
      </w:tr>
      <w:tr>
        <w:trPr>
          <w:trHeight w:val="180"/>
        </w:trPr>
        <w:tc>
          <w:tcPr>
            <w:tcW w:w="4460" w:type="dxa"/>
            <w:vAlign w:val="bottom"/>
          </w:tcPr>
          <w:p>
            <w:pPr>
              <w:spacing w:after="0" w:line="180" w:lineRule="exact"/>
              <w:rPr>
                <w:sz w:val="20"/>
                <w:szCs w:val="20"/>
                <w:color w:val="auto"/>
              </w:rPr>
            </w:pPr>
            <w:r>
              <w:rPr>
                <w:rFonts w:ascii="Arial" w:cs="Arial" w:eastAsia="Arial" w:hAnsi="Arial"/>
                <w:sz w:val="16"/>
                <w:szCs w:val="16"/>
                <w:color w:val="auto"/>
              </w:rPr>
              <w:t>Income before income taxes</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b w:val="1"/>
                <w:bCs w:val="1"/>
                <w:color w:val="auto"/>
              </w:rPr>
              <w:t>393</w:t>
            </w:r>
          </w:p>
        </w:tc>
        <w:tc>
          <w:tcPr>
            <w:tcW w:w="120" w:type="dxa"/>
            <w:vAlign w:val="bottom"/>
          </w:tcPr>
          <w:p>
            <w:pPr>
              <w:spacing w:after="0"/>
              <w:rPr>
                <w:sz w:val="15"/>
                <w:szCs w:val="15"/>
                <w:color w:val="auto"/>
              </w:rPr>
            </w:pPr>
          </w:p>
        </w:tc>
        <w:tc>
          <w:tcPr>
            <w:tcW w:w="1300" w:type="dxa"/>
            <w:vAlign w:val="bottom"/>
          </w:tcPr>
          <w:p>
            <w:pPr>
              <w:jc w:val="right"/>
              <w:ind w:right="85"/>
              <w:spacing w:after="0" w:line="180" w:lineRule="exact"/>
              <w:rPr>
                <w:sz w:val="20"/>
                <w:szCs w:val="20"/>
                <w:color w:val="auto"/>
              </w:rPr>
            </w:pPr>
            <w:r>
              <w:rPr>
                <w:rFonts w:ascii="Arial" w:cs="Arial" w:eastAsia="Arial" w:hAnsi="Arial"/>
                <w:sz w:val="16"/>
                <w:szCs w:val="16"/>
                <w:b w:val="1"/>
                <w:bCs w:val="1"/>
                <w:color w:val="auto"/>
              </w:rPr>
              <w:t>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color w:val="auto"/>
              </w:rPr>
              <w:t>768</w:t>
            </w:r>
          </w:p>
        </w:tc>
        <w:tc>
          <w:tcPr>
            <w:tcW w:w="120" w:type="dxa"/>
            <w:vAlign w:val="bottom"/>
          </w:tcPr>
          <w:p>
            <w:pPr>
              <w:spacing w:after="0"/>
              <w:rPr>
                <w:sz w:val="15"/>
                <w:szCs w:val="15"/>
                <w:color w:val="auto"/>
              </w:rPr>
            </w:pPr>
          </w:p>
        </w:tc>
        <w:tc>
          <w:tcPr>
            <w:tcW w:w="1300" w:type="dxa"/>
            <w:vAlign w:val="bottom"/>
          </w:tcPr>
          <w:p>
            <w:pPr>
              <w:jc w:val="right"/>
              <w:ind w:right="104"/>
              <w:spacing w:after="0" w:line="180" w:lineRule="exact"/>
              <w:rPr>
                <w:sz w:val="20"/>
                <w:szCs w:val="20"/>
                <w:color w:val="auto"/>
              </w:rPr>
            </w:pPr>
            <w:r>
              <w:rPr>
                <w:rFonts w:ascii="Arial" w:cs="Arial" w:eastAsia="Arial" w:hAnsi="Arial"/>
                <w:sz w:val="16"/>
                <w:szCs w:val="16"/>
                <w:color w:val="auto"/>
              </w:rPr>
              <w:t>28</w:t>
            </w:r>
          </w:p>
        </w:tc>
      </w:tr>
      <w:tr>
        <w:trPr>
          <w:trHeight w:val="188"/>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34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(94)</w:t>
            </w:r>
          </w:p>
        </w:tc>
        <w:tc>
          <w:tcPr>
            <w:tcW w:w="120" w:type="dxa"/>
            <w:vAlign w:val="bottom"/>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rPr>
              <w:t>(6)</w:t>
            </w:r>
          </w:p>
        </w:tc>
      </w:tr>
      <w:tr>
        <w:trPr>
          <w:trHeight w:val="180"/>
        </w:trPr>
        <w:tc>
          <w:tcPr>
            <w:tcW w:w="4460" w:type="dxa"/>
            <w:vAlign w:val="bottom"/>
          </w:tcPr>
          <w:p>
            <w:pPr>
              <w:spacing w:after="0" w:line="180" w:lineRule="exact"/>
              <w:rPr>
                <w:sz w:val="20"/>
                <w:szCs w:val="20"/>
                <w:color w:val="auto"/>
              </w:rPr>
            </w:pPr>
            <w:r>
              <w:rPr>
                <w:rFonts w:ascii="Arial" w:cs="Arial" w:eastAsia="Arial" w:hAnsi="Arial"/>
                <w:sz w:val="16"/>
                <w:szCs w:val="16"/>
                <w:color w:val="auto"/>
              </w:rPr>
              <w:t>Net income</w:t>
            </w:r>
          </w:p>
        </w:tc>
        <w:tc>
          <w:tcPr>
            <w:tcW w:w="1340" w:type="dxa"/>
            <w:vAlign w:val="bottom"/>
          </w:tcPr>
          <w:p>
            <w:pPr>
              <w:spacing w:after="0"/>
              <w:rPr>
                <w:sz w:val="15"/>
                <w:szCs w:val="15"/>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b w:val="1"/>
                <w:bCs w:val="1"/>
                <w:color w:val="auto"/>
              </w:rPr>
              <w:t>299</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14%</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604</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22%</w:t>
            </w:r>
          </w:p>
        </w:tc>
      </w:tr>
      <w:tr>
        <w:trPr>
          <w:trHeight w:val="20"/>
        </w:trPr>
        <w:tc>
          <w:tcPr>
            <w:tcW w:w="4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Net sales</w:t>
      </w:r>
    </w:p>
    <w:p>
      <w:pPr>
        <w:spacing w:after="0" w:line="131" w:lineRule="exact"/>
        <w:rPr>
          <w:sz w:val="20"/>
          <w:szCs w:val="20"/>
          <w:color w:val="auto"/>
        </w:rPr>
      </w:pPr>
    </w:p>
    <w:p>
      <w:pPr>
        <w:ind w:right="100" w:firstLine="522"/>
        <w:spacing w:after="0" w:line="234" w:lineRule="auto"/>
        <w:rPr>
          <w:sz w:val="20"/>
          <w:szCs w:val="20"/>
          <w:color w:val="auto"/>
        </w:rPr>
      </w:pPr>
      <w:r>
        <w:rPr>
          <w:rFonts w:ascii="Arial" w:cs="Arial" w:eastAsia="Arial" w:hAnsi="Arial"/>
          <w:sz w:val="16"/>
          <w:szCs w:val="16"/>
          <w:color w:val="auto"/>
        </w:rPr>
        <w:t>Net sales for the year ended December 31, 2020 were $2,081 million compared to $2,698 million for the year ended December 31, 2019, a decrease of 23%. The decrease was principally driven by a $393 million, or 27%, decrease in net sales in the North America On-Highway end market principally driven by lower demand due to the effects of the COVID-19 pandemic, a $110 million, or 28%, decrease in net sales in the Outside North America On-Highway end market principally driven by lower global demand due to the effects of the COVID-19 pandemic, a $80 million, or 15%, decrease in net sales in the Service Parts, Support Equipment and Other end market principally driven by lower demand for North America service parts and support equipment partially offset by aluminum die cast component volume associated with the acquisition of Walker Die Casting, a $48 million, or 44%, decrease in net sales in the Outside North America Off-Highway end market principally driven by lower demand in the energy, mining and construction sectors and a $17 million, or 57%, decrease in net sales in the North America Off-Highway end market principally driven by lower demand for hydraulic fracturing applications, partially offset by a $31 million, or 21%, increase in net sales in the Defense end market principally driven by Tracked vehicle demand.</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Cost of sales</w:t>
      </w:r>
    </w:p>
    <w:p>
      <w:pPr>
        <w:spacing w:after="0" w:line="131" w:lineRule="exact"/>
        <w:rPr>
          <w:sz w:val="20"/>
          <w:szCs w:val="20"/>
          <w:color w:val="auto"/>
        </w:rPr>
      </w:pPr>
    </w:p>
    <w:p>
      <w:pPr>
        <w:ind w:right="80" w:firstLine="522"/>
        <w:spacing w:after="0" w:line="265" w:lineRule="auto"/>
        <w:rPr>
          <w:sz w:val="20"/>
          <w:szCs w:val="20"/>
          <w:color w:val="auto"/>
        </w:rPr>
      </w:pPr>
      <w:r>
        <w:rPr>
          <w:rFonts w:ascii="Arial" w:cs="Arial" w:eastAsia="Arial" w:hAnsi="Arial"/>
          <w:sz w:val="16"/>
          <w:szCs w:val="16"/>
          <w:color w:val="auto"/>
        </w:rPr>
        <w:t>Cost of sales for the year ended December 31, 2020 was $1,083 million compared to $1,304 million for the year ended December 31, 2019, a decrease of 17%. The decrease was principally driven by decreased direct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420"/>
        <w:spacing w:after="0" w:line="265" w:lineRule="auto"/>
        <w:rPr>
          <w:sz w:val="20"/>
          <w:szCs w:val="20"/>
          <w:color w:val="auto"/>
        </w:rPr>
      </w:pPr>
      <w:r>
        <w:rPr>
          <w:rFonts w:ascii="Arial" w:cs="Arial" w:eastAsia="Arial" w:hAnsi="Arial"/>
          <w:sz w:val="16"/>
          <w:szCs w:val="16"/>
          <w:color w:val="auto"/>
        </w:rPr>
        <w:t>material and manufacturing expenses commensurate with decreased net sales, lower incentive compensation expense and favorable material costs, partially offset by increased depreciation expense and restructuring charges.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Gross profit</w:t>
      </w:r>
    </w:p>
    <w:p>
      <w:pPr>
        <w:spacing w:after="0" w:line="131" w:lineRule="exact"/>
        <w:rPr>
          <w:sz w:val="20"/>
          <w:szCs w:val="20"/>
          <w:color w:val="auto"/>
        </w:rPr>
      </w:pPr>
    </w:p>
    <w:p>
      <w:pPr>
        <w:ind w:right="120" w:firstLine="522"/>
        <w:spacing w:after="0" w:line="255" w:lineRule="auto"/>
        <w:rPr>
          <w:sz w:val="20"/>
          <w:szCs w:val="20"/>
          <w:color w:val="auto"/>
        </w:rPr>
      </w:pPr>
      <w:r>
        <w:rPr>
          <w:rFonts w:ascii="Arial" w:cs="Arial" w:eastAsia="Arial" w:hAnsi="Arial"/>
          <w:sz w:val="15"/>
          <w:szCs w:val="15"/>
          <w:color w:val="auto"/>
        </w:rPr>
        <w:t>Gross profit for the year ended December 31, 2020 was $ 998 million compared to $1,394 million for the year ended December 31, 2019, a decrease of 28%. The decrease was principally driven by $449 million related to decreased net sales, $8 million of increased depreciation expense and $5 million of restructuring charges, partially offset by lower manufacturing expense commensurate with decreased net sales, $19 million of lower incentive compensation expense, $10 million of price increases on certain products and $7 million of favorable material costs. Gross profit as a percent of net sales for the year ended December 31, 2020 decreased approximately 370 basis points compared to the same period in 2019 principally driven by lower net sales, increased depreciation expense and restructuring charges, partially offset by lower incentive compensation expense, price increases on certain products and favorable material costs.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31" w:lineRule="exact"/>
        <w:rPr>
          <w:sz w:val="20"/>
          <w:szCs w:val="20"/>
          <w:color w:val="auto"/>
        </w:rPr>
      </w:pPr>
    </w:p>
    <w:p>
      <w:pPr>
        <w:ind w:right="20" w:firstLine="522"/>
        <w:spacing w:after="0" w:line="239" w:lineRule="auto"/>
        <w:rPr>
          <w:sz w:val="20"/>
          <w:szCs w:val="20"/>
          <w:color w:val="auto"/>
        </w:rPr>
      </w:pPr>
      <w:r>
        <w:rPr>
          <w:rFonts w:ascii="Arial" w:cs="Arial" w:eastAsia="Arial" w:hAnsi="Arial"/>
          <w:sz w:val="16"/>
          <w:szCs w:val="16"/>
          <w:color w:val="auto"/>
        </w:rPr>
        <w:t>Selling, general and administrative expenses for the year ended December 31, 2020 were $317 million compared to $356 million for the year ended December 31, 2019, a decrease of 11%. The decrease was principally driven by $34 million of lower intangible amortization expense, $24 million of lower incentive compensation expense and decreased commercial activities spending, partially offset by unfavorable product warranty adjustments, including a $23 million adjustment in the third quarter of 2020 to address a transmission performance issue associated with shift quality in a defined population of products and $3 million of restructuring charges.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31" w:lineRule="exact"/>
        <w:rPr>
          <w:sz w:val="20"/>
          <w:szCs w:val="20"/>
          <w:color w:val="auto"/>
        </w:rPr>
      </w:pPr>
    </w:p>
    <w:p>
      <w:pPr>
        <w:ind w:right="20" w:firstLine="522"/>
        <w:spacing w:after="0" w:line="247" w:lineRule="auto"/>
        <w:rPr>
          <w:sz w:val="20"/>
          <w:szCs w:val="20"/>
          <w:color w:val="auto"/>
        </w:rPr>
      </w:pPr>
      <w:r>
        <w:rPr>
          <w:rFonts w:ascii="Arial" w:cs="Arial" w:eastAsia="Arial" w:hAnsi="Arial"/>
          <w:sz w:val="16"/>
          <w:szCs w:val="16"/>
          <w:color w:val="auto"/>
        </w:rPr>
        <w:t>Engineering expenses for the year ended December 31, 2020 were $147 million compared to $154 million for the year ended December 31, 2019, a decrease of 5%. The decrease was principally driven by $9 million of lower incentive compensation expense and the timing of product initiatives spending, partially offset by $4 million of restructuring charges.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Environmental remediation</w:t>
      </w:r>
    </w:p>
    <w:p>
      <w:pPr>
        <w:spacing w:after="0" w:line="131" w:lineRule="exact"/>
        <w:rPr>
          <w:sz w:val="20"/>
          <w:szCs w:val="20"/>
          <w:color w:val="auto"/>
        </w:rPr>
      </w:pPr>
    </w:p>
    <w:p>
      <w:pPr>
        <w:ind w:right="240" w:firstLine="522"/>
        <w:spacing w:after="0" w:line="247" w:lineRule="auto"/>
        <w:rPr>
          <w:sz w:val="20"/>
          <w:szCs w:val="20"/>
          <w:color w:val="auto"/>
        </w:rPr>
      </w:pPr>
      <w:r>
        <w:rPr>
          <w:rFonts w:ascii="Arial" w:cs="Arial" w:eastAsia="Arial" w:hAnsi="Arial"/>
          <w:sz w:val="16"/>
          <w:szCs w:val="16"/>
          <w:color w:val="auto"/>
        </w:rPr>
        <w:t>During the fourth quarter of 2019, the EPA accepted a proposal to reduce our responsibilities for operating, monitoring and maintaining the ongoing environmental remediation activities at our Indianapolis, Indiana manufacturing facilities which resulted in us recording an $8 million favorable adjustment to our associated liability.</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131" w:lineRule="exact"/>
        <w:rPr>
          <w:sz w:val="20"/>
          <w:szCs w:val="20"/>
          <w:color w:val="auto"/>
        </w:rPr>
      </w:pPr>
    </w:p>
    <w:p>
      <w:pPr>
        <w:ind w:firstLine="522"/>
        <w:spacing w:after="0" w:line="237" w:lineRule="auto"/>
        <w:rPr>
          <w:sz w:val="20"/>
          <w:szCs w:val="20"/>
          <w:color w:val="auto"/>
        </w:rPr>
      </w:pPr>
      <w:r>
        <w:rPr>
          <w:rFonts w:ascii="Arial" w:cs="Arial" w:eastAsia="Arial" w:hAnsi="Arial"/>
          <w:sz w:val="16"/>
          <w:szCs w:val="16"/>
          <w:color w:val="auto"/>
        </w:rPr>
        <w:t>Interest expense, net for the year ended December 31, 2020 was $137 million compared to $134 million for the year ended December 31, 2019, an increase of 2%. The increase was principally driven by $10 million of increased interest expense on interest rate hedges that became effective in the third quarter of 2019, $3 million of interest expense on ATI’s New Revolving Credit Facility and increased interest expense due to higher interest rates related to long-term debt refinancing in the first quarter of 2019 that extended maturities at fixed interest rates, partially offset by approximately $ 13 million of lower interest expense on ATI’s New Term Loan due to lower variable interest rates and decreased interest expense due to lower interest rates related to long-term debt refinancing in the fourth quarter of 2020 that extended maturities at lower fixed interest rates.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Other (expense) income, net</w:t>
      </w:r>
    </w:p>
    <w:p>
      <w:pPr>
        <w:spacing w:after="0" w:line="131" w:lineRule="exact"/>
        <w:rPr>
          <w:sz w:val="20"/>
          <w:szCs w:val="20"/>
          <w:color w:val="auto"/>
        </w:rPr>
      </w:pPr>
    </w:p>
    <w:p>
      <w:pPr>
        <w:ind w:right="100" w:firstLine="522"/>
        <w:spacing w:after="0" w:line="247" w:lineRule="auto"/>
        <w:rPr>
          <w:sz w:val="20"/>
          <w:szCs w:val="20"/>
          <w:color w:val="auto"/>
        </w:rPr>
      </w:pPr>
      <w:r>
        <w:rPr>
          <w:rFonts w:ascii="Arial" w:cs="Arial" w:eastAsia="Arial" w:hAnsi="Arial"/>
          <w:sz w:val="16"/>
          <w:szCs w:val="16"/>
          <w:color w:val="auto"/>
        </w:rPr>
        <w:t>Other (expense) income, net for the year ended December 31, 2020 was ($ 4) million compared to $10 million for the year ended December 31, 2019. The change was principally driven by $13 million of expenses related to the redemption of our 5.0% Senior Notes in the fourth quarter of 2020 and a $2 million settlement charge related to the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settlement of pension obligations as a result of our voluntary and involuntary separation programs recognized in the second quarter of 2020.</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31" w:lineRule="exact"/>
        <w:rPr>
          <w:sz w:val="20"/>
          <w:szCs w:val="20"/>
          <w:color w:val="auto"/>
        </w:rPr>
      </w:pPr>
    </w:p>
    <w:p>
      <w:pPr>
        <w:ind w:right="60" w:firstLine="522"/>
        <w:spacing w:after="0" w:line="247" w:lineRule="auto"/>
        <w:rPr>
          <w:sz w:val="20"/>
          <w:szCs w:val="20"/>
          <w:color w:val="auto"/>
        </w:rPr>
      </w:pPr>
      <w:r>
        <w:rPr>
          <w:rFonts w:ascii="Arial" w:cs="Arial" w:eastAsia="Arial" w:hAnsi="Arial"/>
          <w:sz w:val="16"/>
          <w:szCs w:val="16"/>
          <w:color w:val="auto"/>
        </w:rPr>
        <w:t>Income tax expense for the year ended December 31, 2020 was $94 million resulting in an effective tax rate of 24%, compared to $164 million of income tax expense and an effective tax rate of 22% for the year ended December 31, 2019. The decrease in income tax expense was principally driven by decreased taxable income. The increase in the effective tax rate was principally driven by decreased estimated U.S. federal income tax deductions.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35" w:lineRule="exact"/>
        <w:rPr>
          <w:sz w:val="20"/>
          <w:szCs w:val="20"/>
          <w:color w:val="auto"/>
        </w:rPr>
      </w:pPr>
    </w:p>
    <w:p>
      <w:pPr>
        <w:ind w:firstLine="522"/>
        <w:spacing w:after="0" w:line="236" w:lineRule="auto"/>
        <w:rPr>
          <w:sz w:val="20"/>
          <w:szCs w:val="20"/>
          <w:color w:val="auto"/>
        </w:rPr>
      </w:pPr>
      <w:r>
        <w:rPr>
          <w:rFonts w:ascii="Arial" w:cs="Arial" w:eastAsia="Arial" w:hAnsi="Arial"/>
          <w:sz w:val="16"/>
          <w:szCs w:val="16"/>
          <w:color w:val="auto"/>
        </w:rPr>
        <w:t>We generate cash primarily from operations to fund our operating, investing and financing activities. Our principal uses of cash are operating expenses, capital expenditures, working capital needs, debt service, dividends on common stock, stock repurchases, and strategic growth initiatives, including acquisitions. Our ability to generate cash in the future and our future uses of cash are subject to general economic, financial, competitive, legislative, regulatory and other factors that may be beyond our control, including the impact to our cash flow that has been experienced due to lower net sales in 2020 related to COVID-19. We had total available cash and cash equivalents of $ 310 million and $192 million as of December 31, 2020 and 2019, respectively. Of the available cash and cash equivalents, approximately $150 million and $122 million were deposited in operating accounts while approximately $160 million and $70 million were invested in U.S. government backed securities as of December 31, 2020 and 2019, respectively.</w:t>
      </w:r>
    </w:p>
    <w:p>
      <w:pPr>
        <w:spacing w:after="0" w:line="107" w:lineRule="exact"/>
        <w:rPr>
          <w:sz w:val="20"/>
          <w:szCs w:val="20"/>
          <w:color w:val="auto"/>
        </w:rPr>
      </w:pPr>
    </w:p>
    <w:p>
      <w:pPr>
        <w:jc w:val="both"/>
        <w:ind w:right="40" w:firstLine="522"/>
        <w:spacing w:after="0" w:line="241" w:lineRule="auto"/>
        <w:rPr>
          <w:sz w:val="20"/>
          <w:szCs w:val="20"/>
          <w:color w:val="auto"/>
        </w:rPr>
      </w:pPr>
      <w:r>
        <w:rPr>
          <w:rFonts w:ascii="Arial" w:cs="Arial" w:eastAsia="Arial" w:hAnsi="Arial"/>
          <w:sz w:val="16"/>
          <w:szCs w:val="16"/>
          <w:color w:val="auto"/>
        </w:rPr>
        <w:t>As of December 31, 2020, the total of cash and cash equivalents held by foreign subsidiaries was $63 million, the majority of which was located in China and Europe.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expectations or operating needs with local resources.</w:t>
      </w:r>
    </w:p>
    <w:p>
      <w:pPr>
        <w:spacing w:after="0" w:line="15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20"/>
          </w:cols>
          <w:pgMar w:left="320" w:top="120" w:right="4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jc w:val="both"/>
        <w:ind w:right="40" w:firstLine="522"/>
        <w:spacing w:after="0" w:line="241" w:lineRule="auto"/>
        <w:rPr>
          <w:sz w:val="20"/>
          <w:szCs w:val="20"/>
          <w:color w:val="auto"/>
        </w:rPr>
      </w:pPr>
      <w:r>
        <w:rPr>
          <w:rFonts w:ascii="Arial" w:cs="Arial" w:eastAsia="Arial" w:hAnsi="Arial"/>
          <w:sz w:val="16"/>
          <w:szCs w:val="16"/>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06" w:lineRule="exact"/>
        <w:rPr>
          <w:sz w:val="20"/>
          <w:szCs w:val="20"/>
          <w:color w:val="auto"/>
        </w:rPr>
      </w:pPr>
    </w:p>
    <w:p>
      <w:pPr>
        <w:ind w:right="140" w:firstLine="522"/>
        <w:spacing w:after="0" w:line="235" w:lineRule="auto"/>
        <w:rPr>
          <w:sz w:val="20"/>
          <w:szCs w:val="20"/>
          <w:color w:val="auto"/>
        </w:rPr>
      </w:pPr>
      <w:r>
        <w:rPr>
          <w:rFonts w:ascii="Arial" w:cs="Arial" w:eastAsia="Arial" w:hAnsi="Arial"/>
          <w:sz w:val="16"/>
          <w:szCs w:val="16"/>
          <w:color w:val="auto"/>
        </w:rPr>
        <w:t>Our liquidity requirements are significant, primarily due to our debt service requirements. As of December 31, 2020, we had $638 million of indebtedness associated with ATI’s New Term Loan, $400 million of indebtedness associated with ATI’s 4.75% Senior Notes due October 2027 (“4.75% Senior Notes”), $ 500 million of indebtedness associated with ATI’s 5.875% Senior Notes due June 2029 (“5.875% Senior Notes”) and $1,000 million of indebtedness associated with ATI’s 3.75% Senior Notes due January 2031 (“3.75% Senior Notes” and, together with the 4.75% Senior Notes and 5.875% Senior Notes, the “Senior Notes”). Short-term and long-term debt service liquidity requirements consist of $2 million of minimum required quarterly principal payments on ATI’s New Term Loan through its maturity date of March 2026 and periodic interest payments on ATI’s New Term Loan and the Senior Notes. There are no required quarterly principal payments on ATI’s Senior Notes. Long-term debt service liquidity requirements also consist of the payment in full of any remaining principal balance of ATI’s New Term Loan and the Senior Notes upon their respective maturity dates.</w:t>
      </w:r>
    </w:p>
    <w:p>
      <w:pPr>
        <w:spacing w:after="0" w:line="109" w:lineRule="exact"/>
        <w:rPr>
          <w:sz w:val="20"/>
          <w:szCs w:val="20"/>
          <w:color w:val="auto"/>
        </w:rPr>
      </w:pPr>
    </w:p>
    <w:p>
      <w:pPr>
        <w:ind w:right="140" w:firstLine="522"/>
        <w:spacing w:after="0" w:line="247" w:lineRule="auto"/>
        <w:rPr>
          <w:sz w:val="20"/>
          <w:szCs w:val="20"/>
          <w:color w:val="auto"/>
        </w:rPr>
      </w:pPr>
      <w:r>
        <w:rPr>
          <w:rFonts w:ascii="Arial" w:cs="Arial" w:eastAsia="Arial" w:hAnsi="Arial"/>
          <w:sz w:val="16"/>
          <w:szCs w:val="16"/>
          <w:color w:val="auto"/>
        </w:rPr>
        <w:t>We made $6 million and $3 million of principal payments on the New Term Loan during the year ended December 31, 2020 and 2019, respectively. Our ability to make payments on and refinance our indebtedness and to fund planned capital expenditures and growth initiatives will depend on our ability to generate cash in the future.</w:t>
      </w:r>
    </w:p>
    <w:p>
      <w:pPr>
        <w:spacing w:after="0" w:line="101" w:lineRule="exact"/>
        <w:rPr>
          <w:sz w:val="20"/>
          <w:szCs w:val="20"/>
          <w:color w:val="auto"/>
        </w:rPr>
      </w:pPr>
    </w:p>
    <w:p>
      <w:pPr>
        <w:ind w:firstLine="522"/>
        <w:spacing w:after="0" w:line="233" w:lineRule="auto"/>
        <w:rPr>
          <w:sz w:val="20"/>
          <w:szCs w:val="20"/>
          <w:color w:val="auto"/>
        </w:rPr>
      </w:pPr>
      <w:r>
        <w:rPr>
          <w:rFonts w:ascii="Arial" w:cs="Arial" w:eastAsia="Arial" w:hAnsi="Arial"/>
          <w:sz w:val="16"/>
          <w:szCs w:val="16"/>
          <w:color w:val="auto"/>
        </w:rPr>
        <w:t>In November 2020, the Company and ATI entered into an amendment to the Credit Agreement to increase the commitments under the New Revolving Credit Facility by $50 million. The amendment also extended the New Revolving Credit Facility termination date from September 2024 to September 2025. The New Senior Secured Credit Facility, as amended, provides for a $650 million New Revolving Credit Facility, net of an allowance for up to $75 million in outstanding letters of credit commitments. Throughout the year ended December 31, 2020, we made periodic withdrawals and payments on the New Revolving Credit Facility as part of our debt and cash management plans. The maximum amount outstanding at any time during the year ended December 31, 2020 was $500 million. As of December 31, 2020, we had $645 million available under the New Revolving Credit Facility, net of $5 million in letters of credit. If we have commitments outstanding on the New Revolving Credit Facility at the end of a fiscal quarter, the New Senior Secured Credit Facility requires us to maintain a specified maximum first lien net leverage ratio of 5.50x. Additionally, within the terms of the New Senior Secured Credit Facility, a first lien net leverage ratio at or below 4.00x results in the elimination of excess cash flow payments on the New Senior Secured Credit Facility for the applicable year. As of December 31, 2020, our first lien net leverage ratio was 0.45x. The New Senior Secured Credit Facility also provides certain financial incentives based on our first lien net leverage ratio. A first lien net leverage ratio at or below 4.00x and above 3.50x results in a 25 basis point reduction to the applicable margin on the New Revolving Credit Facility. A first lien net leverage ratio at or below 3.50x results in an additional 25 basis point reduction to the applicable margin on the New Revolving Credit Facility. These reductions remain in effect as long as we achieve a first lien net leverage ratio at or below the related threshold.</w:t>
      </w:r>
    </w:p>
    <w:p>
      <w:pPr>
        <w:spacing w:after="0" w:line="108" w:lineRule="exact"/>
        <w:rPr>
          <w:sz w:val="20"/>
          <w:szCs w:val="20"/>
          <w:color w:val="auto"/>
        </w:rPr>
      </w:pPr>
    </w:p>
    <w:p>
      <w:pPr>
        <w:ind w:right="40" w:firstLine="522"/>
        <w:spacing w:after="0" w:line="236" w:lineRule="auto"/>
        <w:rPr>
          <w:sz w:val="20"/>
          <w:szCs w:val="20"/>
          <w:color w:val="auto"/>
        </w:rPr>
      </w:pPr>
      <w:r>
        <w:rPr>
          <w:rFonts w:ascii="Arial" w:cs="Arial" w:eastAsia="Arial" w:hAnsi="Arial"/>
          <w:sz w:val="16"/>
          <w:szCs w:val="16"/>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December 31, 2020, we are in compliance with all covenants under the New Senior Secured Credit Facility and indentures governing the Senior Notes.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firstLine="522"/>
        <w:spacing w:after="0" w:line="247" w:lineRule="auto"/>
        <w:rPr>
          <w:sz w:val="20"/>
          <w:szCs w:val="20"/>
          <w:color w:val="auto"/>
        </w:rPr>
      </w:pPr>
      <w:r>
        <w:rPr>
          <w:rFonts w:ascii="Arial" w:cs="Arial" w:eastAsia="Arial" w:hAnsi="Arial"/>
          <w:sz w:val="16"/>
          <w:szCs w:val="16"/>
          <w:color w:val="auto"/>
        </w:rPr>
        <w:t>Our credit ratings are reviewed by Moody’s Investors Service (“Moody’s”) and Fitch Ratings (“Fitch”). Moody’s rates our corporate credit at ‘Ba2’, New Term Loan at ‘Baa3’, 4.75% Senior Notes at ‘Ba3’ and 5.875% Senior Notes at 'Ba3', and the 3.75% Senior Notes are unrated. Fitch rates our corporate credit at ‘BB’, New Term Loan at ‘BB+’, 4.75% Senior Notes at ‘BB’, 5.875% Senior Notes at 'BB' and 3.75% Senior Notes at ‘BB’.</w:t>
      </w:r>
    </w:p>
    <w:p>
      <w:pPr>
        <w:spacing w:after="0" w:line="101" w:lineRule="exact"/>
        <w:rPr>
          <w:sz w:val="20"/>
          <w:szCs w:val="20"/>
          <w:color w:val="auto"/>
        </w:rPr>
      </w:pPr>
    </w:p>
    <w:p>
      <w:pPr>
        <w:ind w:right="500" w:firstLine="522"/>
        <w:spacing w:after="0" w:line="265" w:lineRule="auto"/>
        <w:rPr>
          <w:sz w:val="20"/>
          <w:szCs w:val="20"/>
          <w:color w:val="auto"/>
        </w:rPr>
      </w:pPr>
      <w:r>
        <w:rPr>
          <w:rFonts w:ascii="Arial" w:cs="Arial" w:eastAsia="Arial" w:hAnsi="Arial"/>
          <w:sz w:val="16"/>
          <w:szCs w:val="16"/>
          <w:color w:val="auto"/>
        </w:rPr>
        <w:t>We anticipate an increase in capital expenditures and engineering research and development expenses to fund organic initiatives across all our end markets for the year ending December 31, 2021 compared to the year ended December 31, 2020.</w:t>
      </w:r>
    </w:p>
    <w:p>
      <w:pPr>
        <w:spacing w:after="0" w:line="87" w:lineRule="exact"/>
        <w:rPr>
          <w:sz w:val="20"/>
          <w:szCs w:val="20"/>
          <w:color w:val="auto"/>
        </w:rPr>
      </w:pPr>
    </w:p>
    <w:p>
      <w:pPr>
        <w:ind w:right="60" w:firstLine="522"/>
        <w:spacing w:after="0" w:line="239" w:lineRule="auto"/>
        <w:rPr>
          <w:sz w:val="20"/>
          <w:szCs w:val="20"/>
          <w:color w:val="auto"/>
        </w:rPr>
      </w:pPr>
      <w:r>
        <w:rPr>
          <w:rFonts w:ascii="Arial" w:cs="Arial" w:eastAsia="Arial" w:hAnsi="Arial"/>
          <w:sz w:val="16"/>
          <w:szCs w:val="16"/>
          <w:color w:val="auto"/>
        </w:rPr>
        <w:t>On November 14, 2016, our Board of Directors authorized us to repurchase up to $1,000 million of our common stock pursuant to a stock repurchase program (the "Repurchase Program"). On November 8, 2017, July 30, 2018 and May 9, 2019 our Board of Directors increased the authorization by $ 500 million, $500 million and $1,000 million, respectively, bringing the total amount authorized under the Repurchase Program to $3,000 million. During 2020, we repurchased approximately $225 million of our common stock under the Repurchase Program. All of the repurchase transactions during 2020 were settled in cash during the same period. As of December 31, 2020, we had approximately $827 million available under the Repurchase Program.</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our sources and uses of funds for the years ended December 31, 2020, 2019 and 2018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20" w:type="dxa"/>
            <w:vAlign w:val="bottom"/>
            <w:gridSpan w:val="4"/>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9"/>
        </w:trPr>
        <w:tc>
          <w:tcPr>
            <w:tcW w:w="6680" w:type="dxa"/>
            <w:vAlign w:val="bottom"/>
            <w:tcBorders>
              <w:bottom w:val="single" w:sz="8" w:color="CFF0FC"/>
            </w:tcBorders>
          </w:tcPr>
          <w:p>
            <w:pPr>
              <w:spacing w:after="0"/>
              <w:rPr>
                <w:sz w:val="20"/>
                <w:szCs w:val="20"/>
                <w:color w:val="auto"/>
              </w:rPr>
            </w:pPr>
            <w:r>
              <w:rPr>
                <w:rFonts w:ascii="Arial" w:cs="Arial" w:eastAsia="Arial" w:hAnsi="Arial"/>
                <w:sz w:val="13"/>
                <w:szCs w:val="13"/>
                <w:i w:val="1"/>
                <w:iCs w:val="1"/>
                <w:color w:val="auto"/>
              </w:rPr>
              <w:t>Statement of Cash Flows Data</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2018</w:t>
            </w:r>
          </w:p>
        </w:tc>
      </w:tr>
      <w:tr>
        <w:trPr>
          <w:trHeight w:val="180"/>
        </w:trPr>
        <w:tc>
          <w:tcPr>
            <w:tcW w:w="66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flows provided by operating activities</w:t>
            </w:r>
          </w:p>
        </w:tc>
        <w:tc>
          <w:tcPr>
            <w:tcW w:w="300" w:type="dxa"/>
            <w:vAlign w:val="bottom"/>
            <w:shd w:val="clear" w:color="auto" w:fill="CFF0FC"/>
          </w:tcPr>
          <w:p>
            <w:pPr>
              <w:jc w:val="right"/>
              <w:ind w:right="122"/>
              <w:spacing w:after="0" w:line="180"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ind w:right="26"/>
              <w:spacing w:after="0" w:line="180" w:lineRule="exact"/>
              <w:rPr>
                <w:sz w:val="20"/>
                <w:szCs w:val="20"/>
                <w:color w:val="auto"/>
              </w:rPr>
            </w:pPr>
            <w:r>
              <w:rPr>
                <w:rFonts w:ascii="Arial" w:cs="Arial" w:eastAsia="Arial" w:hAnsi="Arial"/>
                <w:sz w:val="16"/>
                <w:szCs w:val="16"/>
                <w:b w:val="1"/>
                <w:bCs w:val="1"/>
                <w:color w:val="auto"/>
              </w:rPr>
              <w:t>561</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847</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837</w:t>
            </w:r>
          </w:p>
        </w:tc>
      </w:tr>
      <w:tr>
        <w:trPr>
          <w:trHeight w:val="188"/>
        </w:trPr>
        <w:tc>
          <w:tcPr>
            <w:tcW w:w="6680" w:type="dxa"/>
            <w:vAlign w:val="bottom"/>
          </w:tcPr>
          <w:p>
            <w:pPr>
              <w:spacing w:after="0"/>
              <w:rPr>
                <w:sz w:val="20"/>
                <w:szCs w:val="20"/>
                <w:color w:val="auto"/>
              </w:rPr>
            </w:pPr>
            <w:r>
              <w:rPr>
                <w:rFonts w:ascii="Arial" w:cs="Arial" w:eastAsia="Arial" w:hAnsi="Arial"/>
                <w:sz w:val="16"/>
                <w:szCs w:val="16"/>
                <w:color w:val="auto"/>
              </w:rPr>
              <w:t>Cash flows used for investing activities</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188"/>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Cash flows used for financing activities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(335)</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w:t>
            </w:r>
          </w:p>
        </w:tc>
      </w:tr>
    </w:tbl>
    <w:p>
      <w:pPr>
        <w:spacing w:after="0" w:line="155" w:lineRule="exact"/>
        <w:rPr>
          <w:sz w:val="20"/>
          <w:szCs w:val="20"/>
          <w:color w:val="auto"/>
        </w:rPr>
      </w:pPr>
    </w:p>
    <w:p>
      <w:pPr>
        <w:ind w:right="40" w:firstLine="522"/>
        <w:spacing w:after="0" w:line="239" w:lineRule="auto"/>
        <w:rPr>
          <w:sz w:val="20"/>
          <w:szCs w:val="20"/>
          <w:color w:val="auto"/>
        </w:rPr>
      </w:pPr>
      <w:r>
        <w:rPr>
          <w:rFonts w:ascii="Arial" w:cs="Arial" w:eastAsia="Arial" w:hAnsi="Arial"/>
          <w:sz w:val="16"/>
          <w:szCs w:val="16"/>
          <w:color w:val="auto"/>
        </w:rPr>
        <w:t>Generally, cash provided by operating activities has been adequate to fund our operations. The COVID-19 pandemic, and its impact on global demand and supply chains, had a material adverse effect on our cash provided by operating activities for 2020 and may still have a materially adverse impact in 2021. We have significant liquidity, including $310 million of cash and cash equivalents and $ 645 million available under the New Revolving Credit Facility as of December 31, 2020. At this time, we believe cash provided by operating activities, cash and cash equivalents and borrowing capacity under the New Senior Secured Credit Facility will be sufficient to meet our cash requirements for the next twelve months.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Cash provided by operating activities</w:t>
      </w:r>
    </w:p>
    <w:p>
      <w:pPr>
        <w:spacing w:after="0" w:line="131" w:lineRule="exact"/>
        <w:rPr>
          <w:sz w:val="20"/>
          <w:szCs w:val="20"/>
          <w:color w:val="auto"/>
        </w:rPr>
      </w:pPr>
    </w:p>
    <w:p>
      <w:pPr>
        <w:jc w:val="both"/>
        <w:ind w:right="380" w:firstLine="522"/>
        <w:spacing w:after="0" w:line="247" w:lineRule="auto"/>
        <w:rPr>
          <w:sz w:val="20"/>
          <w:szCs w:val="20"/>
          <w:color w:val="auto"/>
        </w:rPr>
      </w:pPr>
      <w:r>
        <w:rPr>
          <w:rFonts w:ascii="Arial" w:cs="Arial" w:eastAsia="Arial" w:hAnsi="Arial"/>
          <w:sz w:val="16"/>
          <w:szCs w:val="16"/>
          <w:color w:val="auto"/>
        </w:rPr>
        <w:t>Operating activities for the year ended December 31, 2020 generated $561 million of cash compared to $ 847 million for the year ended December 31, 2019. The decrease was principally driven by lower gross profit and higher cash interest expense, partially offset by lower cash income taxes, lower operating working capital requirements and decreased commercial activities spending.</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Cash used for investing activities</w:t>
      </w:r>
    </w:p>
    <w:p>
      <w:pPr>
        <w:spacing w:after="0" w:line="131" w:lineRule="exact"/>
        <w:rPr>
          <w:sz w:val="20"/>
          <w:szCs w:val="20"/>
          <w:color w:val="auto"/>
        </w:rPr>
      </w:pPr>
    </w:p>
    <w:p>
      <w:pPr>
        <w:ind w:right="80" w:firstLine="522"/>
        <w:spacing w:after="0" w:line="247" w:lineRule="auto"/>
        <w:rPr>
          <w:sz w:val="20"/>
          <w:szCs w:val="20"/>
          <w:color w:val="auto"/>
        </w:rPr>
      </w:pPr>
      <w:r>
        <w:rPr>
          <w:rFonts w:ascii="Arial" w:cs="Arial" w:eastAsia="Arial" w:hAnsi="Arial"/>
          <w:sz w:val="16"/>
          <w:szCs w:val="16"/>
          <w:color w:val="auto"/>
        </w:rPr>
        <w:t>Investing activities for the year ended December 31, 2020 used $111 million of cash compared to $ 405 million for the year ended December 31, 2019. The decrease was principally driven by $ 232 million of business acquisition spending in 2019 that did not recur in 2020 and a $57 million decrease in capital expenditures, partially offset by a $4 million net working capital settlement in 2020 related to the acquisition of Walker Die Casting.</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Cash used for financing activities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Financing activities for the year ended December 31, 2020 used $335 million of cash compared to $480 million for the year ended December 31, 2019.</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The decrease was principally driven by $168 million of decreased stock repurchases, partially offset by increased payments related to long-term debt refinancing.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Accounting Estimates</w:t>
      </w:r>
    </w:p>
    <w:p>
      <w:pPr>
        <w:spacing w:after="0" w:line="135" w:lineRule="exact"/>
        <w:rPr>
          <w:sz w:val="20"/>
          <w:szCs w:val="20"/>
          <w:color w:val="auto"/>
        </w:rPr>
      </w:pPr>
    </w:p>
    <w:p>
      <w:pPr>
        <w:ind w:right="200" w:firstLine="522"/>
        <w:spacing w:after="0" w:line="241" w:lineRule="auto"/>
        <w:rPr>
          <w:sz w:val="20"/>
          <w:szCs w:val="20"/>
          <w:color w:val="auto"/>
        </w:rPr>
      </w:pPr>
      <w:r>
        <w:rPr>
          <w:rFonts w:ascii="Arial" w:cs="Arial" w:eastAsia="Arial" w:hAnsi="Arial"/>
          <w:sz w:val="16"/>
          <w:szCs w:val="16"/>
          <w:color w:val="auto"/>
        </w:rPr>
        <w:t>The preparation of the consolidated financial statements in accordance with GAAP requires management to make estimates and assumptions that affect the reported amounts of some assets and liabilities and, in some instances, the reported amounts of net sales and expenses during the applicable reporting period. Differences between actual amounts and estimates are recorded in the period identified. Estimates can require a significant amount of judgment, and a different set of judgments could result in changes to our reported results. A summary of our critical accounting estimates is included below.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31" w:lineRule="exact"/>
        <w:rPr>
          <w:sz w:val="20"/>
          <w:szCs w:val="20"/>
          <w:color w:val="auto"/>
        </w:rPr>
      </w:pPr>
    </w:p>
    <w:p>
      <w:pPr>
        <w:ind w:right="40" w:firstLine="522"/>
        <w:spacing w:after="0" w:line="254" w:lineRule="auto"/>
        <w:rPr>
          <w:sz w:val="20"/>
          <w:szCs w:val="20"/>
          <w:color w:val="auto"/>
        </w:rPr>
      </w:pPr>
      <w:r>
        <w:rPr>
          <w:rFonts w:ascii="Arial" w:cs="Arial" w:eastAsia="Arial" w:hAnsi="Arial"/>
          <w:sz w:val="15"/>
          <w:szCs w:val="15"/>
          <w:color w:val="auto"/>
        </w:rPr>
        <w:t>Revenue recognition contains uncertainties because it requires management to make assumptions and to apply judgment to estimate the amount of sales incentives and provision for government price reductions. Distributor and customer sales incentives, consisting of allowances and other rebates, are estimated at the time of sale based upon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the rate of acceptance of any incentive program. If the actual number of affected transmissions differs from this estimate, or if a different mix of incentives is actually paid, the impact on net sales would be recorded in the period that the change was identified. Assuming our current mix of sales incentives, a 10% change in sales incentives would have affected our earnings by approximately $5 million to $9 million per year for each of the prior three fiscal years.</w:t>
      </w:r>
    </w:p>
    <w:p>
      <w:pPr>
        <w:spacing w:after="0" w:line="96" w:lineRule="exact"/>
        <w:rPr>
          <w:sz w:val="20"/>
          <w:szCs w:val="20"/>
          <w:color w:val="auto"/>
        </w:rPr>
      </w:pPr>
    </w:p>
    <w:p>
      <w:pPr>
        <w:ind w:right="20" w:firstLine="522"/>
        <w:spacing w:after="0" w:line="239" w:lineRule="auto"/>
        <w:rPr>
          <w:sz w:val="20"/>
          <w:szCs w:val="20"/>
          <w:color w:val="auto"/>
        </w:rPr>
      </w:pPr>
      <w:r>
        <w:rPr>
          <w:rFonts w:ascii="Arial" w:cs="Arial" w:eastAsia="Arial" w:hAnsi="Arial"/>
          <w:sz w:val="16"/>
          <w:szCs w:val="16"/>
          <w:color w:val="auto"/>
        </w:rPr>
        <w:t>Under terms of certain previous U.S. government contracts, there were price reduction clauses and provisions for potential price reductions which are estimated at the time of sale based upon history and experience, and finalized after completion of U.S. government audits. Given our current price reduction reserve for government contracts, a 10% adjustment in our price reduction reserve would have affected our earnings by approximately $6 million per year for each of the prior three fiscal years. Beginning in 2014, Allison contracts with the U.S. Government have generally been firm, fixed price contracts and therefore have not required re-calculation of pricing based on cost principles.</w:t>
      </w:r>
    </w:p>
    <w:p>
      <w:pPr>
        <w:spacing w:after="0" w:line="105" w:lineRule="exact"/>
        <w:rPr>
          <w:sz w:val="20"/>
          <w:szCs w:val="20"/>
          <w:color w:val="auto"/>
        </w:rPr>
      </w:pPr>
    </w:p>
    <w:p>
      <w:pPr>
        <w:ind w:right="120" w:firstLine="522"/>
        <w:spacing w:after="0" w:line="265" w:lineRule="auto"/>
        <w:rPr>
          <w:sz w:val="20"/>
          <w:szCs w:val="20"/>
          <w:color w:val="auto"/>
        </w:rPr>
      </w:pPr>
      <w:r>
        <w:rPr>
          <w:rFonts w:ascii="Arial" w:cs="Arial" w:eastAsia="Arial" w:hAnsi="Arial"/>
          <w:sz w:val="16"/>
          <w:szCs w:val="16"/>
          <w:color w:val="auto"/>
        </w:rPr>
        <w:t>Further information is provided in NOTE 2 “Summary of Significant Accounting Policies” of Notes to Consolidated Financial Statements included in Part II, Item 8, of this Annual Report on Form 10-K.</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Goodwill and Other Intangible Assets</w:t>
      </w:r>
    </w:p>
    <w:p>
      <w:pPr>
        <w:spacing w:after="0" w:line="131" w:lineRule="exact"/>
        <w:rPr>
          <w:sz w:val="20"/>
          <w:szCs w:val="20"/>
          <w:color w:val="auto"/>
        </w:rPr>
      </w:pPr>
    </w:p>
    <w:p>
      <w:pPr>
        <w:ind w:firstLine="522"/>
        <w:spacing w:after="0" w:line="254" w:lineRule="auto"/>
        <w:rPr>
          <w:sz w:val="20"/>
          <w:szCs w:val="20"/>
          <w:color w:val="auto"/>
        </w:rPr>
      </w:pPr>
      <w:r>
        <w:rPr>
          <w:rFonts w:ascii="Arial" w:cs="Arial" w:eastAsia="Arial" w:hAnsi="Arial"/>
          <w:sz w:val="15"/>
          <w:szCs w:val="15"/>
          <w:color w:val="auto"/>
        </w:rPr>
        <w:t>Goodwill is tested for impairment at the reporting unit level, which is the same as our one operating and reportable segment. We do not aggregate any components into our reporting unit. We have elected to perform our annual impairment test on October 31 of every year. A multi-step impairment test is performed on goodwill. In Step 0, we have the option to evaluate various qualitative factors to determine the likelihood of impairment. If we determine that the fair value is more likely than not less than the carrying value, then we are required to perform Step 1. If we do not elect to perform Step 0, we can voluntarily proceed directly to Step 1. In Step 1, we perform a quantitative analysis to compare the fair value of our reporting unit to our carrying value including goodwill. If the fair value of the reporting unit exceeds the carrying value of the net assets assigned to that unit, goodwill is not considered impaired, and we are not required to perform further testing. If the carrying value of a reporting unit’s goodwill exceeds its fair value of net assets, then we would record an impairment loss equal to the difference.</w:t>
      </w:r>
    </w:p>
    <w:p>
      <w:pPr>
        <w:spacing w:after="0" w:line="96" w:lineRule="exact"/>
        <w:rPr>
          <w:sz w:val="20"/>
          <w:szCs w:val="20"/>
          <w:color w:val="auto"/>
        </w:rPr>
      </w:pPr>
    </w:p>
    <w:p>
      <w:pPr>
        <w:ind w:right="180" w:firstLine="522"/>
        <w:spacing w:after="0" w:line="247" w:lineRule="auto"/>
        <w:rPr>
          <w:sz w:val="20"/>
          <w:szCs w:val="20"/>
          <w:color w:val="auto"/>
        </w:rPr>
      </w:pPr>
      <w:r>
        <w:rPr>
          <w:rFonts w:ascii="Arial" w:cs="Arial" w:eastAsia="Arial" w:hAnsi="Arial"/>
          <w:sz w:val="16"/>
          <w:szCs w:val="16"/>
          <w:color w:val="auto"/>
        </w:rPr>
        <w:t>A qualitative assessment contains uncertainties because it requires management to make assumptions and to apply judgment to assess business changes, economic outlook, financial trends and forecasts, growth rates, credit ratings, equity ratings, discount rates, industry data and other relevant qualitative factors.</w:t>
      </w:r>
    </w:p>
    <w:p>
      <w:pPr>
        <w:spacing w:after="0" w:line="101" w:lineRule="exact"/>
        <w:rPr>
          <w:sz w:val="20"/>
          <w:szCs w:val="20"/>
          <w:color w:val="auto"/>
        </w:rPr>
      </w:pPr>
    </w:p>
    <w:p>
      <w:pPr>
        <w:jc w:val="both"/>
        <w:ind w:right="60" w:firstLine="522"/>
        <w:spacing w:after="0" w:line="247" w:lineRule="auto"/>
        <w:rPr>
          <w:sz w:val="20"/>
          <w:szCs w:val="20"/>
          <w:color w:val="auto"/>
        </w:rPr>
      </w:pPr>
      <w:r>
        <w:rPr>
          <w:rFonts w:ascii="Arial" w:cs="Arial" w:eastAsia="Arial" w:hAnsi="Arial"/>
          <w:sz w:val="16"/>
          <w:szCs w:val="16"/>
          <w:color w:val="auto"/>
        </w:rPr>
        <w:t>A quantitative analysis contains uncertainties because it is performed utilizing a discounted cash flow model which includes key assumptions, such as net sales growth derived from market information, industry reports, marketing programs and future new product introductions; operating margin improvements derived from cost reduction programs and fixed cost leverage driven by higher sales volumes; and a risk-adjusted discount rate.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80" w:firstLine="522"/>
        <w:spacing w:after="0" w:line="235" w:lineRule="auto"/>
        <w:rPr>
          <w:sz w:val="20"/>
          <w:szCs w:val="20"/>
          <w:color w:val="auto"/>
        </w:rPr>
      </w:pPr>
      <w:r>
        <w:rPr>
          <w:rFonts w:ascii="Arial" w:cs="Arial" w:eastAsia="Arial" w:hAnsi="Arial"/>
          <w:sz w:val="16"/>
          <w:szCs w:val="16"/>
          <w:color w:val="auto"/>
        </w:rPr>
        <w:t>Goodwill impairment testing for 2020 was performed using the Step 1 quantitative analysis, which indicated that the fair value of the reporting unit exceeded its carrying value by more than 200%, indicating no impairment. The fair value was determined utilizing a discounted cash flow model which includes key assumptions, such as net sales growth derived from market information, industry reports, marketing programs and certain growth initiatives; operating margin improvements derived from cost reduction programs and fixed cost leverage driven by higher sales volumes; and a risk-adjusted discount rate. Events or circumstances that could unfavorably impact the key assumptions include lower net sales driven by market conditions, our inability to execute on marketing programs and/or growth initiatives, lower gross margins as a result of market conditions or failure to obtain forecasted cost reductions, or a higher discount rate as a result of market conditions. While unpredictable and inherently uncertain, management believes the forecast estimates were reasonable and incorporate assumptions that similar market participants would use in their estimates of fair value.</w:t>
      </w:r>
    </w:p>
    <w:p>
      <w:pPr>
        <w:spacing w:after="0" w:line="109" w:lineRule="exact"/>
        <w:rPr>
          <w:sz w:val="20"/>
          <w:szCs w:val="20"/>
          <w:color w:val="auto"/>
        </w:rPr>
      </w:pPr>
    </w:p>
    <w:p>
      <w:pPr>
        <w:ind w:right="20" w:firstLine="522"/>
        <w:spacing w:after="0" w:line="234" w:lineRule="auto"/>
        <w:rPr>
          <w:sz w:val="20"/>
          <w:szCs w:val="20"/>
          <w:color w:val="auto"/>
        </w:rPr>
      </w:pPr>
      <w:r>
        <w:rPr>
          <w:rFonts w:ascii="Arial" w:cs="Arial" w:eastAsia="Arial" w:hAnsi="Arial"/>
          <w:sz w:val="16"/>
          <w:szCs w:val="16"/>
          <w:color w:val="auto"/>
        </w:rPr>
        <w:t>Other intangible assets have both indefinite and finite useful lives. Intangible assets with indefinite useful lives are not amortized but are tested annually for impairment, or more often if events or circumstances change that could cause intangible assets with indefinite useful lives to become impaired. We have elected to perform our annual indefinite lived intangible assets impairment tests on October 31 of every year and follow a similar multi-step impairment test that is performed on goodwill. Using the relief-from-royalty method under the income valuation approach, our 2020 annual trade name impairment test indicated that the fair value of the trade name exceeded its carrying value by more than 60%, indicating no impairment. Events or circumstances that could unfavorably impact the key assumptions included lower net sales driven by market conditions, our inability to execute on marketing programs and/or growth initiatives, lower gross margin as a result of market conditions or failure to obtain forecasted cost reductions, or a higher discount rate as a result of market conditions. While unpredictable and inherently uncertain, we believe the forecast estimates are reasonable and incorporate those assumptions that similar market participants would use in their estimates of fair value.</w:t>
      </w:r>
    </w:p>
    <w:p>
      <w:pPr>
        <w:spacing w:after="0" w:line="112" w:lineRule="exact"/>
        <w:rPr>
          <w:sz w:val="20"/>
          <w:szCs w:val="20"/>
          <w:color w:val="auto"/>
        </w:rPr>
      </w:pPr>
    </w:p>
    <w:p>
      <w:pPr>
        <w:ind w:firstLine="522"/>
        <w:spacing w:after="0" w:line="236" w:lineRule="auto"/>
        <w:rPr>
          <w:sz w:val="20"/>
          <w:szCs w:val="20"/>
          <w:color w:val="auto"/>
        </w:rPr>
      </w:pPr>
      <w:r>
        <w:rPr>
          <w:rFonts w:ascii="Arial" w:cs="Arial" w:eastAsia="Arial" w:hAnsi="Arial"/>
          <w:sz w:val="16"/>
          <w:szCs w:val="16"/>
          <w:color w:val="auto"/>
        </w:rPr>
        <w:t>Intangible assets with finite lives are amortized over their estimated useful lives and reviewed for impairment when circumstances change that would create a triggering event. Assumptions and estimates about future values and remaining useful lives of our intangible and other long-lived assets are complex and subjective. They can be affected by a variety of factors, including external factors such as industry and economic trends, and internal factors, such as changes in our business strategy and internal forecasts. Although management believes the historical assumptions and estimates are reasonable and appropriate, different assumptions and estimates could materially impact our reported financial results. Further information is provided in NOTE 2 “Summary of Significant Accounting Policies” and NOTE 6 “Goodwill and Other Intangible Assets” of Notes to Consolidated Financial Statements included in Part II, Item 8, of this Annual Report on Form 10-K.</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131" w:lineRule="exact"/>
        <w:rPr>
          <w:sz w:val="20"/>
          <w:szCs w:val="20"/>
          <w:color w:val="auto"/>
        </w:rPr>
      </w:pPr>
    </w:p>
    <w:p>
      <w:pPr>
        <w:ind w:right="40" w:firstLine="522"/>
        <w:spacing w:after="0" w:line="239" w:lineRule="auto"/>
        <w:rPr>
          <w:sz w:val="20"/>
          <w:szCs w:val="20"/>
          <w:color w:val="auto"/>
        </w:rPr>
      </w:pPr>
      <w:r>
        <w:rPr>
          <w:rFonts w:ascii="Arial" w:cs="Arial" w:eastAsia="Arial" w:hAnsi="Arial"/>
          <w:sz w:val="16"/>
          <w:szCs w:val="16"/>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05" w:lineRule="exact"/>
        <w:rPr>
          <w:sz w:val="20"/>
          <w:szCs w:val="20"/>
          <w:color w:val="auto"/>
        </w:rPr>
      </w:pPr>
    </w:p>
    <w:p>
      <w:pPr>
        <w:ind w:right="80" w:firstLine="522"/>
        <w:spacing w:after="0" w:line="247" w:lineRule="auto"/>
        <w:rPr>
          <w:sz w:val="20"/>
          <w:szCs w:val="20"/>
          <w:color w:val="auto"/>
        </w:rPr>
      </w:pPr>
      <w:r>
        <w:rPr>
          <w:rFonts w:ascii="Arial" w:cs="Arial" w:eastAsia="Arial" w:hAnsi="Arial"/>
          <w:sz w:val="16"/>
          <w:szCs w:val="16"/>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Warranty</w:t>
      </w:r>
    </w:p>
    <w:p>
      <w:pPr>
        <w:spacing w:after="0" w:line="131" w:lineRule="exact"/>
        <w:rPr>
          <w:sz w:val="20"/>
          <w:szCs w:val="20"/>
          <w:color w:val="auto"/>
        </w:rPr>
      </w:pPr>
    </w:p>
    <w:p>
      <w:pPr>
        <w:ind w:firstLine="522"/>
        <w:spacing w:after="0" w:line="234" w:lineRule="auto"/>
        <w:rPr>
          <w:sz w:val="20"/>
          <w:szCs w:val="20"/>
          <w:color w:val="auto"/>
        </w:rPr>
      </w:pPr>
      <w:r>
        <w:rPr>
          <w:rFonts w:ascii="Arial" w:cs="Arial" w:eastAsia="Arial" w:hAnsi="Arial"/>
          <w:sz w:val="16"/>
          <w:szCs w:val="16"/>
          <w:color w:val="auto"/>
        </w:rPr>
        <w:t>Provisions for estimated expenses related to product warranties are made at the time products are sold. Warranty claims arise when a transmission fails while in service during the relevant warranty period. The warranty reserve is adjusted in Selling, general and administrative based on our current and historical warranty claims paid and associated repair costs. These estimates are established using historical information including the nature, frequency, and average cost of warranty claims and are adjusted as actual information becomes available. From time to time, we may initiate a specific field action program. As a result of the uncertainty surrounding the nature and frequency of specific field action programs, the liability for such programs is recorded when we commit to an action. We review and assess the liability for these programs on a quarterly basis. We also assess our ability to recover certain costs from our suppliers and record a receivable from the supplier when we believe a recovery is probable. Warranty costs may differ from those estimated if actual claim rates are higher or lower than our historical rates. Further information is provided in NOTE 10, “Product Warranty Liabilities” of Notes to Consolidated Financial Statements included in Part II, Item 8, of this Annual Report on Form 10-K which contains a summary of the activity in our warranty liability account for 2020, 2019 and 2018 including adjustments to pre-existing warranties.</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Pension and Post-retirement Benefit Plans</w:t>
      </w:r>
    </w:p>
    <w:p>
      <w:pPr>
        <w:spacing w:after="0" w:line="131" w:lineRule="exact"/>
        <w:rPr>
          <w:sz w:val="20"/>
          <w:szCs w:val="20"/>
          <w:color w:val="auto"/>
        </w:rPr>
      </w:pPr>
    </w:p>
    <w:p>
      <w:pPr>
        <w:ind w:right="280" w:firstLine="522"/>
        <w:spacing w:after="0" w:line="247" w:lineRule="auto"/>
        <w:rPr>
          <w:sz w:val="20"/>
          <w:szCs w:val="20"/>
          <w:color w:val="auto"/>
        </w:rPr>
      </w:pPr>
      <w:r>
        <w:rPr>
          <w:rFonts w:ascii="Arial" w:cs="Arial" w:eastAsia="Arial" w:hAnsi="Arial"/>
          <w:sz w:val="16"/>
          <w:szCs w:val="16"/>
          <w:color w:val="auto"/>
        </w:rPr>
        <w:t>Pension and OPEB costs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We review all actuarial assumptions on an annual basis.</w:t>
      </w:r>
    </w:p>
    <w:p>
      <w:pPr>
        <w:spacing w:after="0" w:line="101" w:lineRule="exact"/>
        <w:rPr>
          <w:sz w:val="20"/>
          <w:szCs w:val="20"/>
          <w:color w:val="auto"/>
        </w:rPr>
      </w:pPr>
    </w:p>
    <w:p>
      <w:pPr>
        <w:ind w:right="40" w:firstLine="522"/>
        <w:spacing w:after="0" w:line="239" w:lineRule="auto"/>
        <w:rPr>
          <w:sz w:val="20"/>
          <w:szCs w:val="20"/>
          <w:color w:val="auto"/>
        </w:rPr>
      </w:pPr>
      <w:r>
        <w:rPr>
          <w:rFonts w:ascii="Arial" w:cs="Arial" w:eastAsia="Arial" w:hAnsi="Arial"/>
          <w:sz w:val="16"/>
          <w:szCs w:val="16"/>
          <w:color w:val="auto"/>
        </w:rPr>
        <w:t>A change in the discount rate can have a significant impact on determining our benefit obligations. Our current discount rate is determined by matching the plans’ projected cash flows to a yield curve based on long-term, fixed income debt instruments available as of the measurement date of December 31, 2020. The effect of a one percentage point decrease in the assumed discount rate would result in an increase in the December 31, 2020 defined benefit pension plans obligation of approximately $31 million. Similarly, a one percentage point decrease in the assumed discount rate would result in an increase in the December 31, 2020 OPEB obligation of approximately $16 million.</w:t>
      </w:r>
    </w:p>
    <w:p>
      <w:pPr>
        <w:spacing w:after="0" w:line="105" w:lineRule="exact"/>
        <w:rPr>
          <w:sz w:val="20"/>
          <w:szCs w:val="20"/>
          <w:color w:val="auto"/>
        </w:rPr>
      </w:pPr>
    </w:p>
    <w:p>
      <w:pPr>
        <w:ind w:right="400" w:firstLine="522"/>
        <w:spacing w:after="0" w:line="265" w:lineRule="auto"/>
        <w:rPr>
          <w:sz w:val="20"/>
          <w:szCs w:val="20"/>
          <w:color w:val="auto"/>
        </w:rPr>
      </w:pPr>
      <w:r>
        <w:rPr>
          <w:rFonts w:ascii="Arial" w:cs="Arial" w:eastAsia="Arial" w:hAnsi="Arial"/>
          <w:sz w:val="16"/>
          <w:szCs w:val="16"/>
          <w:color w:val="auto"/>
        </w:rPr>
        <w:t>Further information is provided in NOTE 15 “Employee Benefit Plans” of Notes to Consolidated Financial Statements included in Part II, Item 8, of this Annual Report on Form 10-K, which contains our review on various actuarial assumptions.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Income Taxes</w:t>
      </w:r>
    </w:p>
    <w:p>
      <w:pPr>
        <w:spacing w:after="0" w:line="131" w:lineRule="exact"/>
        <w:rPr>
          <w:sz w:val="20"/>
          <w:szCs w:val="20"/>
          <w:color w:val="auto"/>
        </w:rPr>
      </w:pPr>
    </w:p>
    <w:p>
      <w:pPr>
        <w:ind w:right="40" w:firstLine="522"/>
        <w:spacing w:after="0" w:line="239"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 When releasing income tax effects from accumulated other comprehensive loss we utilize the portfolio securities approach.</w:t>
      </w:r>
    </w:p>
    <w:p>
      <w:pPr>
        <w:spacing w:after="0" w:line="105" w:lineRule="exact"/>
        <w:rPr>
          <w:sz w:val="20"/>
          <w:szCs w:val="20"/>
          <w:color w:val="auto"/>
        </w:rPr>
      </w:pPr>
    </w:p>
    <w:p>
      <w:pPr>
        <w:ind w:firstLine="522"/>
        <w:spacing w:after="0" w:line="237" w:lineRule="auto"/>
        <w:rPr>
          <w:sz w:val="20"/>
          <w:szCs w:val="20"/>
          <w:color w:val="auto"/>
        </w:rPr>
      </w:pPr>
      <w:r>
        <w:rPr>
          <w:rFonts w:ascii="Arial" w:cs="Arial" w:eastAsia="Arial" w:hAnsi="Arial"/>
          <w:sz w:val="16"/>
          <w:szCs w:val="16"/>
          <w:color w:val="auto"/>
        </w:rPr>
        <w:t>On March 27, 2020, the Coronavirus Aid, Relief, and Economic Security Act (the “CARES Act”) was signed into law making several changes to the U.S. tax code. The changes include, but are not limited to, increasing the threshold on the amount of deductible interest expense, allowing companies to carryback certain net operating losses, increasing the amount of net operating loss carryforwards that corporations can use to offset taxable income, and making technical changes related to the accounting of qualified improvement property. Some of the tax law changes included in the CARES Act are retroactive. The Company has reviewed and incorporated the applicable changes related to its provision for income taxes for the year ended December 31, 2020 and the effects, both individually and in the aggregate, are not material at this time.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firstLine="522"/>
        <w:spacing w:after="0" w:line="247" w:lineRule="auto"/>
        <w:rPr>
          <w:sz w:val="20"/>
          <w:szCs w:val="20"/>
          <w:color w:val="auto"/>
        </w:rPr>
      </w:pPr>
      <w:r>
        <w:rPr>
          <w:rFonts w:ascii="Arial" w:cs="Arial" w:eastAsia="Arial" w:hAnsi="Arial"/>
          <w:sz w:val="16"/>
          <w:szCs w:val="16"/>
          <w:color w:val="auto"/>
        </w:rPr>
        <w:t>As of December 31, 2020, our U.S. federal income tax deductions related to our intangible assets were approximately $325 million in 2021, approximately $195 million in 2022 and approximately $10 million annually through 2033. Excluding our intangible asset deductions, our expected tax payments would have increased by approximately $70 million for the year ended December 31, 2020.</w:t>
      </w:r>
    </w:p>
    <w:p>
      <w:pPr>
        <w:spacing w:after="0" w:line="101" w:lineRule="exact"/>
        <w:rPr>
          <w:sz w:val="20"/>
          <w:szCs w:val="20"/>
          <w:color w:val="auto"/>
        </w:rPr>
      </w:pPr>
    </w:p>
    <w:p>
      <w:pPr>
        <w:ind w:right="40" w:firstLine="522"/>
        <w:spacing w:after="0" w:line="239" w:lineRule="auto"/>
        <w:rPr>
          <w:sz w:val="20"/>
          <w:szCs w:val="20"/>
          <w:color w:val="auto"/>
        </w:rPr>
      </w:pPr>
      <w:r>
        <w:rPr>
          <w:rFonts w:ascii="Arial" w:cs="Arial" w:eastAsia="Arial" w:hAnsi="Arial"/>
          <w:sz w:val="16"/>
          <w:szCs w:val="16"/>
          <w:color w:val="auto"/>
        </w:rPr>
        <w:t>The need to establish a valuation allowance against the deferred tax assets is assessed at least quarterly based on a more-likely-than-not realization threshold, in accordance with the Financial Accounting Standard Board’s (“FASB”)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05" w:lineRule="exact"/>
        <w:rPr>
          <w:sz w:val="20"/>
          <w:szCs w:val="20"/>
          <w:color w:val="auto"/>
        </w:rPr>
      </w:pPr>
    </w:p>
    <w:p>
      <w:pPr>
        <w:ind w:right="40" w:firstLine="522"/>
        <w:spacing w:after="0" w:line="265" w:lineRule="auto"/>
        <w:rPr>
          <w:sz w:val="20"/>
          <w:szCs w:val="20"/>
          <w:color w:val="auto"/>
        </w:rPr>
      </w:pPr>
      <w:r>
        <w:rPr>
          <w:rFonts w:ascii="Arial" w:cs="Arial" w:eastAsia="Arial" w:hAnsi="Arial"/>
          <w:sz w:val="16"/>
          <w:szCs w:val="16"/>
          <w:color w:val="auto"/>
        </w:rPr>
        <w:t>Further information on income taxes is provided in NOTE 16, “Income Taxes” of Notes to Consolidated Financial Statements included in Part II, Item 8, of this Annual Report on Form 10-K.</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31" w:lineRule="exact"/>
        <w:rPr>
          <w:sz w:val="20"/>
          <w:szCs w:val="20"/>
          <w:color w:val="auto"/>
        </w:rPr>
      </w:pPr>
    </w:p>
    <w:p>
      <w:pPr>
        <w:ind w:right="60" w:firstLine="522"/>
        <w:spacing w:after="0" w:line="241" w:lineRule="auto"/>
        <w:rPr>
          <w:sz w:val="20"/>
          <w:szCs w:val="20"/>
          <w:color w:val="auto"/>
        </w:rPr>
      </w:pPr>
      <w:r>
        <w:rPr>
          <w:rFonts w:ascii="Arial" w:cs="Arial" w:eastAsia="Arial" w:hAnsi="Arial"/>
          <w:sz w:val="16"/>
          <w:szCs w:val="16"/>
          <w:color w:val="auto"/>
        </w:rPr>
        <w:t>We use the acquisition method to account for business combinations. The assets acquired and liabilities assumed are recorded at their respective estimated fair value at the date of acquisition. Any excess purchase price over the fair values of the acquired net assets is recorded as goodwill. Determining the fair values of assets acquired and liabilities assumed requires management's judgment and includes the use of estimates with respect to timing and amount of future cash flows, market rate assumptions, actuarial assumptions, appropriate discount rates and other relevant factors.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not a party to any off-balance sheet arrangements.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Refer to NOTE 2, “Summary of Significant Accounting Policies” in Part II, Item 8, of this Annual Report on Form 10-K.</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40"/>
          </w:cols>
          <w:pgMar w:left="320" w:top="120" w:right="4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exposure to market risk consists of changes in interest rates, foreign currency rate fluctuations and movements in commodity prices.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31" w:lineRule="exact"/>
        <w:rPr>
          <w:sz w:val="20"/>
          <w:szCs w:val="20"/>
          <w:color w:val="auto"/>
        </w:rPr>
      </w:pPr>
    </w:p>
    <w:p>
      <w:pPr>
        <w:ind w:firstLine="522"/>
        <w:spacing w:after="0" w:line="239"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 amounts under our New Senior Secured Credit Facility. Our New Senior Secured Credit Facility provides for variable rate borrowings of up to $1,283 million including $645 million under our New Revolving Credit Facility, net of $5 million of letters of credit. A one-eighth percent increase or decrease in assumed interest rates for the New Senior Secured Credit Facility, if fully drawn as of December 31, 2020, would have an impact of approximately $1 million on interest expense. As of December 31, 2020, we had no outstanding borrowings against the New Revolving Credit Facility.</w:t>
      </w:r>
    </w:p>
    <w:p>
      <w:pPr>
        <w:spacing w:after="0" w:line="105" w:lineRule="exact"/>
        <w:rPr>
          <w:sz w:val="20"/>
          <w:szCs w:val="20"/>
          <w:color w:val="auto"/>
        </w:rPr>
      </w:pPr>
    </w:p>
    <w:p>
      <w:pPr>
        <w:ind w:right="20" w:firstLine="522"/>
        <w:spacing w:after="0" w:line="258" w:lineRule="auto"/>
        <w:rPr>
          <w:sz w:val="20"/>
          <w:szCs w:val="20"/>
          <w:color w:val="auto"/>
        </w:rPr>
      </w:pPr>
      <w:r>
        <w:rPr>
          <w:rFonts w:ascii="Arial" w:cs="Arial" w:eastAsia="Arial" w:hAnsi="Arial"/>
          <w:sz w:val="15"/>
          <w:szCs w:val="15"/>
          <w:color w:val="auto"/>
        </w:rPr>
        <w:t>From time to time, we enter into interest rate swap agreements to hedge the risk associated with our variable interest rate debt. During the first quarter of 2019, we entered into $250 million of interest rate swaps and designated them as cash flow hedges under the hypothetical derivative method. As of December 31, 2020, we held interest rate swaps effective from (i) September 2019 to September 2022 with notional values totaling $250 million and a weighted average LIBOR fixed rate of 3.01%, (ii) September 2019 to September 2025 with notional values totaling $250 million and a weighted average LIBOR fixed rate of 3.04% and (iii) September 2022 to September 2025 with notional values totaling $250 million and a weighted average LIBOR fixed rate of 2.82%.</w:t>
      </w:r>
    </w:p>
    <w:p>
      <w:pPr>
        <w:spacing w:after="0" w:line="94" w:lineRule="exact"/>
        <w:rPr>
          <w:sz w:val="20"/>
          <w:szCs w:val="20"/>
          <w:color w:val="auto"/>
        </w:rPr>
      </w:pPr>
    </w:p>
    <w:p>
      <w:pPr>
        <w:ind w:right="340" w:firstLine="522"/>
        <w:spacing w:after="0" w:line="265" w:lineRule="auto"/>
        <w:rPr>
          <w:sz w:val="20"/>
          <w:szCs w:val="20"/>
          <w:color w:val="auto"/>
        </w:rPr>
      </w:pPr>
      <w:r>
        <w:rPr>
          <w:rFonts w:ascii="Arial" w:cs="Arial" w:eastAsia="Arial" w:hAnsi="Arial"/>
          <w:sz w:val="16"/>
          <w:szCs w:val="16"/>
          <w:color w:val="auto"/>
        </w:rPr>
        <w:t>Refer to NOTE 8, “Debt” and NOTE 9, “Derivatives” of Notes to Consolidated Financial Statements included in Part II, Item 8, of this Annual Report on Form 10-K.</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Exchange Rate Risk</w:t>
      </w:r>
    </w:p>
    <w:p>
      <w:pPr>
        <w:spacing w:after="0" w:line="131" w:lineRule="exact"/>
        <w:rPr>
          <w:sz w:val="20"/>
          <w:szCs w:val="20"/>
          <w:color w:val="auto"/>
        </w:rPr>
      </w:pPr>
    </w:p>
    <w:p>
      <w:pPr>
        <w:jc w:val="both"/>
        <w:ind w:right="80" w:firstLine="522"/>
        <w:spacing w:after="0" w:line="272" w:lineRule="auto"/>
        <w:rPr>
          <w:sz w:val="20"/>
          <w:szCs w:val="20"/>
          <w:color w:val="auto"/>
        </w:rPr>
      </w:pPr>
      <w:r>
        <w:rPr>
          <w:rFonts w:ascii="Arial" w:cs="Arial" w:eastAsia="Arial" w:hAnsi="Arial"/>
          <w:sz w:val="15"/>
          <w:szCs w:val="15"/>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w:t>
      </w:r>
    </w:p>
    <w:p>
      <w:pPr>
        <w:spacing w:after="0" w:line="83" w:lineRule="exact"/>
        <w:rPr>
          <w:sz w:val="20"/>
          <w:szCs w:val="20"/>
          <w:color w:val="auto"/>
        </w:rPr>
      </w:pPr>
    </w:p>
    <w:p>
      <w:pPr>
        <w:jc w:val="both"/>
        <w:ind w:right="220" w:firstLine="522"/>
        <w:spacing w:after="0" w:line="247" w:lineRule="auto"/>
        <w:rPr>
          <w:sz w:val="20"/>
          <w:szCs w:val="20"/>
          <w:color w:val="auto"/>
        </w:rPr>
      </w:pPr>
      <w:r>
        <w:rPr>
          <w:rFonts w:ascii="Arial" w:cs="Arial" w:eastAsia="Arial" w:hAnsi="Arial"/>
          <w:sz w:val="16"/>
          <w:szCs w:val="16"/>
          <w:color w:val="auto"/>
        </w:rPr>
        <w:t>Assuming current levels of foreign currency transactions, a 10% aggregate increase or decrease in the Japanese Yen, Euro, Indian Rupee and Chinese Yuan Renminbi would correspondingly change our earnings, net of tax, by an estimated $4 million per year. We believe other exposure to foreign currencies is immaterial.</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Commodity Price Risk</w:t>
      </w:r>
    </w:p>
    <w:p>
      <w:pPr>
        <w:spacing w:after="0" w:line="131" w:lineRule="exact"/>
        <w:rPr>
          <w:sz w:val="20"/>
          <w:szCs w:val="20"/>
          <w:color w:val="auto"/>
        </w:rPr>
      </w:pPr>
    </w:p>
    <w:p>
      <w:pPr>
        <w:ind w:right="20" w:firstLine="522"/>
        <w:spacing w:after="0" w:line="237" w:lineRule="auto"/>
        <w:rPr>
          <w:sz w:val="20"/>
          <w:szCs w:val="20"/>
          <w:color w:val="auto"/>
        </w:rPr>
      </w:pPr>
      <w:r>
        <w:rPr>
          <w:rFonts w:ascii="Arial" w:cs="Arial" w:eastAsia="Arial" w:hAnsi="Arial"/>
          <w:sz w:val="16"/>
          <w:szCs w:val="16"/>
          <w:color w:val="auto"/>
        </w:rPr>
        <w:t>We are subject to changes in our cost of sales caused by movements in underlying commodity prices. Approximately 65%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includes an index-based component. As our costs change, we are able to pass through a portion of the changes in commodity prices to certain of our customers according to our LTAs. We historically have not entered into long-term purchase contracts related to the purchase of aluminum and steel.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200" w:firstLine="522"/>
        <w:spacing w:after="0" w:line="265" w:lineRule="auto"/>
        <w:rPr>
          <w:sz w:val="20"/>
          <w:szCs w:val="20"/>
          <w:color w:val="auto"/>
        </w:rPr>
      </w:pPr>
      <w:r>
        <w:rPr>
          <w:rFonts w:ascii="Arial" w:cs="Arial" w:eastAsia="Arial" w:hAnsi="Arial"/>
          <w:sz w:val="16"/>
          <w:szCs w:val="16"/>
          <w:color w:val="auto"/>
        </w:rPr>
        <w:t>Assuming current levels of commodity purchases, a 10% variation in the price of aluminum and steel would correspondingly change our earnings by approximately $3 million and $4 million per year, respectively.</w:t>
      </w:r>
    </w:p>
    <w:p>
      <w:pPr>
        <w:spacing w:after="0" w:line="87" w:lineRule="exact"/>
        <w:rPr>
          <w:sz w:val="20"/>
          <w:szCs w:val="20"/>
          <w:color w:val="auto"/>
        </w:rPr>
      </w:pPr>
    </w:p>
    <w:p>
      <w:pPr>
        <w:ind w:firstLine="522"/>
        <w:spacing w:after="0" w:line="265" w:lineRule="auto"/>
        <w:rPr>
          <w:sz w:val="20"/>
          <w:szCs w:val="20"/>
          <w:color w:val="auto"/>
        </w:rPr>
      </w:pPr>
      <w:r>
        <w:rPr>
          <w:rFonts w:ascii="Arial" w:cs="Arial" w:eastAsia="Arial" w:hAnsi="Arial"/>
          <w:sz w:val="16"/>
          <w:szCs w:val="16"/>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940"/>
          </w:cols>
          <w:pgMar w:left="320" w:top="120" w:right="6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Page</w:t>
            </w:r>
          </w:p>
        </w:tc>
        <w:tc>
          <w:tcPr>
            <w:tcW w:w="60" w:type="dxa"/>
            <w:vAlign w:val="bottom"/>
          </w:tcPr>
          <w:p>
            <w:pPr>
              <w:spacing w:after="0"/>
              <w:rPr>
                <w:sz w:val="18"/>
                <w:szCs w:val="18"/>
                <w:color w:val="auto"/>
              </w:rPr>
            </w:pPr>
          </w:p>
        </w:tc>
      </w:tr>
      <w:tr>
        <w:trPr>
          <w:trHeight w:val="249"/>
        </w:trPr>
        <w:tc>
          <w:tcPr>
            <w:tcW w:w="4820" w:type="dxa"/>
            <w:vAlign w:val="bottom"/>
          </w:tcPr>
          <w:p>
            <w:pPr>
              <w:ind w:left="100"/>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Report of Independent Registered Public Accounting Firm</w:t>
              </w:r>
            </w:hyperlink>
          </w:p>
        </w:tc>
        <w:tc>
          <w:tcPr>
            <w:tcW w:w="638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60" w:type="dxa"/>
            <w:vAlign w:val="bottom"/>
          </w:tcPr>
          <w:p>
            <w:pPr>
              <w:spacing w:after="0"/>
              <w:rPr>
                <w:sz w:val="21"/>
                <w:szCs w:val="21"/>
                <w:color w:val="auto"/>
              </w:rPr>
            </w:pPr>
          </w:p>
        </w:tc>
      </w:tr>
      <w:tr>
        <w:trPr>
          <w:trHeight w:val="212"/>
        </w:trPr>
        <w:tc>
          <w:tcPr>
            <w:tcW w:w="4820" w:type="dxa"/>
            <w:vAlign w:val="bottom"/>
          </w:tcPr>
          <w:p>
            <w:pPr>
              <w:ind w:left="100"/>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Consolidated Balance Sheets</w:t>
              </w:r>
            </w:hyperlink>
          </w:p>
        </w:tc>
        <w:tc>
          <w:tcPr>
            <w:tcW w:w="638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60" w:type="dxa"/>
            <w:vAlign w:val="bottom"/>
          </w:tcPr>
          <w:p>
            <w:pPr>
              <w:spacing w:after="0"/>
              <w:rPr>
                <w:sz w:val="18"/>
                <w:szCs w:val="18"/>
                <w:color w:val="auto"/>
              </w:rPr>
            </w:pPr>
          </w:p>
        </w:tc>
      </w:tr>
      <w:tr>
        <w:trPr>
          <w:trHeight w:val="235"/>
        </w:trPr>
        <w:tc>
          <w:tcPr>
            <w:tcW w:w="4820" w:type="dxa"/>
            <w:vAlign w:val="bottom"/>
          </w:tcPr>
          <w:p>
            <w:pPr>
              <w:ind w:left="100"/>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Consolidated Statements of Comprehensive Income</w:t>
              </w:r>
            </w:hyperlink>
          </w:p>
        </w:tc>
        <w:tc>
          <w:tcPr>
            <w:tcW w:w="638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60" w:type="dxa"/>
            <w:vAlign w:val="bottom"/>
          </w:tcPr>
          <w:p>
            <w:pPr>
              <w:spacing w:after="0"/>
              <w:rPr>
                <w:sz w:val="20"/>
                <w:szCs w:val="20"/>
                <w:color w:val="auto"/>
              </w:rPr>
            </w:pPr>
          </w:p>
        </w:tc>
      </w:tr>
      <w:tr>
        <w:trPr>
          <w:trHeight w:val="235"/>
        </w:trPr>
        <w:tc>
          <w:tcPr>
            <w:tcW w:w="4820" w:type="dxa"/>
            <w:vAlign w:val="bottom"/>
          </w:tcPr>
          <w:p>
            <w:pPr>
              <w:ind w:left="100"/>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Consolidated Statements of Cash Flows</w:t>
              </w:r>
            </w:hyperlink>
          </w:p>
        </w:tc>
        <w:tc>
          <w:tcPr>
            <w:tcW w:w="638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60" w:type="dxa"/>
            <w:vAlign w:val="bottom"/>
          </w:tcPr>
          <w:p>
            <w:pPr>
              <w:spacing w:after="0"/>
              <w:rPr>
                <w:sz w:val="20"/>
                <w:szCs w:val="20"/>
                <w:color w:val="auto"/>
              </w:rPr>
            </w:pPr>
          </w:p>
        </w:tc>
      </w:tr>
      <w:tr>
        <w:trPr>
          <w:trHeight w:val="235"/>
        </w:trPr>
        <w:tc>
          <w:tcPr>
            <w:tcW w:w="4820" w:type="dxa"/>
            <w:vAlign w:val="bottom"/>
          </w:tcPr>
          <w:p>
            <w:pPr>
              <w:ind w:left="100"/>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Consolidated Statements of Stockholders' Equity</w:t>
              </w:r>
            </w:hyperlink>
          </w:p>
        </w:tc>
        <w:tc>
          <w:tcPr>
            <w:tcW w:w="638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20"/>
                <w:szCs w:val="20"/>
                <w:color w:val="auto"/>
              </w:rPr>
            </w:pPr>
          </w:p>
        </w:tc>
      </w:tr>
      <w:tr>
        <w:trPr>
          <w:trHeight w:val="235"/>
        </w:trPr>
        <w:tc>
          <w:tcPr>
            <w:tcW w:w="4820" w:type="dxa"/>
            <w:vAlign w:val="bottom"/>
          </w:tcPr>
          <w:p>
            <w:pPr>
              <w:ind w:left="100"/>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Notes to Consolidated Financial Statements</w:t>
              </w:r>
            </w:hyperlink>
          </w:p>
        </w:tc>
        <w:tc>
          <w:tcPr>
            <w:tcW w:w="638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60" w:type="dxa"/>
            <w:vAlign w:val="bottom"/>
          </w:tcPr>
          <w:p>
            <w:pPr>
              <w:spacing w:after="0"/>
              <w:rPr>
                <w:sz w:val="20"/>
                <w:szCs w:val="20"/>
                <w:color w:val="auto"/>
              </w:rPr>
            </w:pPr>
          </w:p>
        </w:tc>
      </w:tr>
      <w:tr>
        <w:trPr>
          <w:trHeight w:val="575"/>
        </w:trPr>
        <w:tc>
          <w:tcPr>
            <w:tcW w:w="4820" w:type="dxa"/>
            <w:vAlign w:val="bottom"/>
          </w:tcPr>
          <w:p>
            <w:pPr>
              <w:spacing w:after="0"/>
              <w:rPr>
                <w:sz w:val="24"/>
                <w:szCs w:val="24"/>
                <w:color w:val="auto"/>
              </w:rPr>
            </w:pPr>
          </w:p>
        </w:tc>
        <w:tc>
          <w:tcPr>
            <w:tcW w:w="5640" w:type="dxa"/>
            <w:vAlign w:val="bottom"/>
          </w:tcPr>
          <w:p>
            <w:pPr>
              <w:jc w:val="right"/>
              <w:ind w:right="4662"/>
              <w:spacing w:after="0"/>
              <w:rPr>
                <w:sz w:val="20"/>
                <w:szCs w:val="20"/>
                <w:color w:val="auto"/>
              </w:rPr>
            </w:pPr>
            <w:r>
              <w:rPr>
                <w:rFonts w:ascii="Arial" w:cs="Arial" w:eastAsia="Arial" w:hAnsi="Arial"/>
                <w:sz w:val="16"/>
                <w:szCs w:val="16"/>
                <w:color w:val="auto"/>
              </w:rPr>
              <w:t>51</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3"/>
        </w:trPr>
        <w:tc>
          <w:tcPr>
            <w:tcW w:w="4820" w:type="dxa"/>
            <w:vAlign w:val="bottom"/>
            <w:tcBorders>
              <w:bottom w:val="single" w:sz="8" w:color="9A9A9A"/>
            </w:tcBorders>
          </w:tcPr>
          <w:p>
            <w:pPr>
              <w:spacing w:after="0"/>
              <w:rPr>
                <w:sz w:val="7"/>
                <w:szCs w:val="7"/>
                <w:color w:val="auto"/>
              </w:rPr>
            </w:pPr>
          </w:p>
        </w:tc>
        <w:tc>
          <w:tcPr>
            <w:tcW w:w="56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9"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5" w:lineRule="exact"/>
        <w:rPr>
          <w:sz w:val="20"/>
          <w:szCs w:val="20"/>
          <w:color w:val="auto"/>
        </w:rPr>
      </w:pPr>
    </w:p>
    <w:p>
      <w:pPr>
        <w:ind w:right="5020"/>
        <w:spacing w:after="0" w:line="498" w:lineRule="auto"/>
        <w:rPr>
          <w:sz w:val="20"/>
          <w:szCs w:val="20"/>
          <w:color w:val="auto"/>
        </w:rPr>
      </w:pPr>
      <w:r>
        <w:rPr>
          <w:rFonts w:ascii="Arial" w:cs="Arial" w:eastAsia="Arial" w:hAnsi="Arial"/>
          <w:sz w:val="15"/>
          <w:szCs w:val="15"/>
          <w:color w:val="auto"/>
        </w:rPr>
        <w:t xml:space="preserve">To the Board of Directors and Stockholders of Allison Transmission Holdings, Inc. </w:t>
      </w:r>
      <w:r>
        <w:rPr>
          <w:rFonts w:ascii="Arial" w:cs="Arial" w:eastAsia="Arial" w:hAnsi="Arial"/>
          <w:sz w:val="15"/>
          <w:szCs w:val="15"/>
          <w:b w:val="1"/>
          <w:bCs w:val="1"/>
          <w:i w:val="1"/>
          <w:iCs w:val="1"/>
          <w:color w:val="auto"/>
        </w:rPr>
        <w:t>Opinions on the Financial Statements and Internal Control over Financial Reporting</w:t>
      </w:r>
    </w:p>
    <w:p>
      <w:pPr>
        <w:ind w:right="120"/>
        <w:spacing w:after="0" w:line="237" w:lineRule="auto"/>
        <w:rPr>
          <w:sz w:val="20"/>
          <w:szCs w:val="20"/>
          <w:color w:val="auto"/>
        </w:rPr>
      </w:pPr>
      <w:r>
        <w:rPr>
          <w:rFonts w:ascii="Arial" w:cs="Arial" w:eastAsia="Arial" w:hAnsi="Arial"/>
          <w:sz w:val="16"/>
          <w:szCs w:val="16"/>
          <w:color w:val="auto"/>
        </w:rPr>
        <w:t xml:space="preserve">We have audited the accompanying consolidated balance sheets of Allison Transmission Holdings, Inc. and its subsidiaries (the “Company”) as of December 31, 2020 and 2019, and the related consolidated statements of comprehensive income, of stockholders’ equity and of cash flows for each of the three years in the period ended December 31, 2020, including the related notes and financial statement schedule listed in the index appearing under Item 15(a)(2) (collectively referred to as the “consolidated financial statements”). We also have audited the Company's internal control over financial reporting as of December 31, 2020,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Company's management is responsible for these consolidated financial statements, for</w:t>
      </w:r>
    </w:p>
    <w:p>
      <w:pPr>
        <w:spacing w:after="0" w:line="12" w:lineRule="exact"/>
        <w:rPr>
          <w:sz w:val="20"/>
          <w:szCs w:val="20"/>
          <w:color w:val="auto"/>
        </w:rPr>
      </w:pPr>
    </w:p>
    <w:p>
      <w:pPr>
        <w:ind w:right="180"/>
        <w:spacing w:after="0" w:line="233" w:lineRule="auto"/>
        <w:rPr>
          <w:sz w:val="20"/>
          <w:szCs w:val="20"/>
          <w:color w:val="auto"/>
        </w:rPr>
      </w:pPr>
      <w:r>
        <w:rPr>
          <w:rFonts w:ascii="Arial" w:cs="Arial" w:eastAsia="Arial" w:hAnsi="Arial"/>
          <w:sz w:val="16"/>
          <w:szCs w:val="16"/>
          <w:color w:val="auto"/>
        </w:rPr>
        <w:t>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ind w:right="320"/>
        <w:spacing w:after="0" w:line="24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78"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assurance regarding prevention or timely detection of unauthorized acquisition, use, or disposition of the company’s assets that could have a material effect on the financial statements.</w:t>
      </w:r>
    </w:p>
    <w:p>
      <w:pPr>
        <w:spacing w:after="0" w:line="134" w:lineRule="exact"/>
        <w:rPr>
          <w:sz w:val="20"/>
          <w:szCs w:val="20"/>
          <w:color w:val="auto"/>
        </w:rPr>
      </w:pPr>
    </w:p>
    <w:p>
      <w:pPr>
        <w:ind w:right="280"/>
        <w:spacing w:after="0" w:line="24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201"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 Warranty Liabilities</w:t>
      </w:r>
    </w:p>
    <w:p>
      <w:pPr>
        <w:spacing w:after="0" w:line="201" w:lineRule="exact"/>
        <w:rPr>
          <w:sz w:val="20"/>
          <w:szCs w:val="20"/>
          <w:color w:val="auto"/>
        </w:rPr>
      </w:pPr>
    </w:p>
    <w:p>
      <w:pPr>
        <w:ind w:right="420"/>
        <w:spacing w:after="0" w:line="241" w:lineRule="auto"/>
        <w:rPr>
          <w:sz w:val="20"/>
          <w:szCs w:val="20"/>
          <w:color w:val="auto"/>
        </w:rPr>
      </w:pPr>
      <w:r>
        <w:rPr>
          <w:rFonts w:ascii="Arial" w:cs="Arial" w:eastAsia="Arial" w:hAnsi="Arial"/>
          <w:sz w:val="16"/>
          <w:szCs w:val="16"/>
          <w:color w:val="auto"/>
        </w:rPr>
        <w:t>As described in Notes 2 and 10 to the consolidated financial statements, the Company’s consolidated product warranty liability balance was $66 million as of December 31, 2020. Management makes provisions for the estimated product warranty liabilities at the time the products are sold. These estimates are established using historical information including the nature, frequency, and average cost of warranty claims and are adjusted as actual information becomes available.</w:t>
      </w:r>
    </w:p>
    <w:p>
      <w:pPr>
        <w:spacing w:after="0" w:line="177"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The principal considerations for our determination that performing procedures relating to the product warranty liabilities is a critical audit matter are (i) the significant judgment by management when determining the product warranty liability estimate; (ii) the high degree of auditor judgment, subjectivity, and effort in performing procedures and evaluating audit evidence relating to the significant assumptions related to the frequency and average cost of warranty claims; and (iii) the audit effort involved the use of professionals with specialized skill and knowledge.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Addressing the matter involved performing procedures and evaluating audit evidence in</w:t>
      </w:r>
    </w:p>
    <w:p>
      <w:pPr>
        <w:spacing w:after="0" w:line="1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connection with forming our overall opinion on the consolidated financial statements. These procedures included testing the effectiveness of controls relating to management’s process for developing the estimate, significant assumptions, and inputs used to estimate product warranty liabilities. These procedures also included, among others (i) testing the completeness and accuracy of historical warranty claims data used in the estimate and (ii) professionals with specialized skill and knowledge were used to assist in evaluating the reasonableness of the frequency and average cost of warranty claims assumptions.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Indianapolis, Indiana</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February 18, 2021</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jc w:val="center"/>
        <w:spacing w:after="0"/>
        <w:rPr>
          <w:sz w:val="20"/>
          <w:szCs w:val="20"/>
          <w:color w:val="auto"/>
        </w:rPr>
      </w:pPr>
      <w:r>
        <w:rPr>
          <w:rFonts w:ascii="Arial" w:cs="Arial" w:eastAsia="Arial" w:hAnsi="Arial"/>
          <w:sz w:val="16"/>
          <w:szCs w:val="16"/>
          <w:b w:val="1"/>
          <w:bCs w:val="1"/>
          <w:color w:val="auto"/>
        </w:rPr>
        <w:t>(dollars in millions, except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3"/>
                <w:szCs w:val="13"/>
                <w:color w:val="auto"/>
              </w:rPr>
            </w:pPr>
          </w:p>
        </w:tc>
        <w:tc>
          <w:tcPr>
            <w:tcW w:w="1440" w:type="dxa"/>
            <w:vAlign w:val="bottom"/>
          </w:tcPr>
          <w:p>
            <w:pPr>
              <w:jc w:val="right"/>
              <w:ind w:right="423"/>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644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83"/>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83"/>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644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ASSETS</w:t>
            </w:r>
          </w:p>
        </w:tc>
        <w:tc>
          <w:tcPr>
            <w:tcW w:w="1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40" w:type="dxa"/>
            <w:vAlign w:val="bottom"/>
          </w:tcPr>
          <w:p>
            <w:pPr>
              <w:spacing w:after="0"/>
              <w:rPr>
                <w:sz w:val="20"/>
                <w:szCs w:val="20"/>
                <w:color w:val="auto"/>
              </w:rPr>
            </w:pPr>
            <w:r>
              <w:rPr>
                <w:rFonts w:ascii="Arial" w:cs="Arial" w:eastAsia="Arial" w:hAnsi="Arial"/>
                <w:sz w:val="16"/>
                <w:szCs w:val="16"/>
                <w:color w:val="auto"/>
              </w:rPr>
              <w:t>Current Assets</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540" w:type="dxa"/>
            <w:vAlign w:val="bottom"/>
            <w:gridSpan w:val="2"/>
            <w:shd w:val="clear" w:color="auto" w:fill="CFF0FC"/>
          </w:tcPr>
          <w:p>
            <w:pPr>
              <w:jc w:val="right"/>
              <w:ind w:right="67"/>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310</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188"/>
        </w:trPr>
        <w:tc>
          <w:tcPr>
            <w:tcW w:w="6440" w:type="dxa"/>
            <w:vAlign w:val="bottom"/>
          </w:tcPr>
          <w:p>
            <w:pPr>
              <w:ind w:left="200"/>
              <w:spacing w:after="0"/>
              <w:rPr>
                <w:sz w:val="20"/>
                <w:szCs w:val="20"/>
                <w:color w:val="auto"/>
              </w:rPr>
            </w:pPr>
            <w:r>
              <w:rPr>
                <w:rFonts w:ascii="Arial" w:cs="Arial" w:eastAsia="Arial" w:hAnsi="Arial"/>
                <w:sz w:val="16"/>
                <w:szCs w:val="16"/>
                <w:color w:val="auto"/>
              </w:rPr>
              <w:t>Accounts receivable - net of allowance for doubtful accounts of $1</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b w:val="1"/>
                <w:bCs w:val="1"/>
                <w:color w:val="auto"/>
              </w:rPr>
              <w:t>228</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188"/>
        </w:trPr>
        <w:tc>
          <w:tcPr>
            <w:tcW w:w="64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Inventories</w:t>
            </w:r>
          </w:p>
        </w:tc>
        <w:tc>
          <w:tcPr>
            <w:tcW w:w="1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181</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88"/>
        </w:trPr>
        <w:tc>
          <w:tcPr>
            <w:tcW w:w="644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Other current assets</w:t>
            </w:r>
          </w:p>
        </w:tc>
        <w:tc>
          <w:tcPr>
            <w:tcW w:w="13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37</w:t>
            </w:r>
          </w:p>
        </w:tc>
        <w:tc>
          <w:tcPr>
            <w:tcW w:w="1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0"/>
        </w:trPr>
        <w:tc>
          <w:tcPr>
            <w:tcW w:w="64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Current Assets</w:t>
            </w:r>
          </w:p>
        </w:tc>
        <w:tc>
          <w:tcPr>
            <w:tcW w:w="1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756</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188"/>
        </w:trPr>
        <w:tc>
          <w:tcPr>
            <w:tcW w:w="64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b w:val="1"/>
                <w:bCs w:val="1"/>
                <w:color w:val="auto"/>
              </w:rPr>
              <w:t>638</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188"/>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net</w:t>
            </w:r>
          </w:p>
        </w:tc>
        <w:tc>
          <w:tcPr>
            <w:tcW w:w="1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963</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1,042</w:t>
            </w:r>
          </w:p>
        </w:tc>
        <w:tc>
          <w:tcPr>
            <w:tcW w:w="0" w:type="dxa"/>
            <w:vAlign w:val="bottom"/>
          </w:tcPr>
          <w:p>
            <w:pPr>
              <w:spacing w:after="0"/>
              <w:rPr>
                <w:sz w:val="1"/>
                <w:szCs w:val="1"/>
                <w:color w:val="auto"/>
              </w:rPr>
            </w:pPr>
          </w:p>
        </w:tc>
      </w:tr>
      <w:tr>
        <w:trPr>
          <w:trHeight w:val="188"/>
        </w:trPr>
        <w:tc>
          <w:tcPr>
            <w:tcW w:w="6440" w:type="dxa"/>
            <w:vAlign w:val="bottom"/>
          </w:tcPr>
          <w:p>
            <w:pPr>
              <w:spacing w:after="0"/>
              <w:rPr>
                <w:sz w:val="20"/>
                <w:szCs w:val="20"/>
                <w:color w:val="auto"/>
              </w:rPr>
            </w:pPr>
            <w:r>
              <w:rPr>
                <w:rFonts w:ascii="Arial" w:cs="Arial" w:eastAsia="Arial" w:hAnsi="Arial"/>
                <w:sz w:val="16"/>
                <w:szCs w:val="16"/>
                <w:color w:val="auto"/>
              </w:rPr>
              <w:t>Goodwill</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b w:val="1"/>
                <w:bCs w:val="1"/>
                <w:color w:val="auto"/>
              </w:rPr>
              <w:t>2,064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188"/>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assets</w:t>
            </w:r>
          </w:p>
        </w:tc>
        <w:tc>
          <w:tcPr>
            <w:tcW w:w="13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56</w:t>
            </w:r>
          </w:p>
        </w:tc>
        <w:tc>
          <w:tcPr>
            <w:tcW w:w="16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20"/>
        </w:trPr>
        <w:tc>
          <w:tcPr>
            <w:tcW w:w="644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TOTAL ASSETS</w:t>
            </w:r>
          </w:p>
        </w:tc>
        <w:tc>
          <w:tcPr>
            <w:tcW w:w="1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b w:val="1"/>
                <w:bCs w:val="1"/>
                <w:color w:val="auto"/>
              </w:rPr>
              <w:t>4,477</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62"/>
              <w:spacing w:after="0" w:line="180" w:lineRule="exact"/>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4,450</w:t>
            </w:r>
          </w:p>
        </w:tc>
        <w:tc>
          <w:tcPr>
            <w:tcW w:w="0" w:type="dxa"/>
            <w:vAlign w:val="bottom"/>
          </w:tcPr>
          <w:p>
            <w:pPr>
              <w:spacing w:after="0"/>
              <w:rPr>
                <w:sz w:val="1"/>
                <w:szCs w:val="1"/>
                <w:color w:val="auto"/>
              </w:rPr>
            </w:pPr>
          </w:p>
        </w:tc>
      </w:tr>
      <w:tr>
        <w:trPr>
          <w:trHeight w:val="163"/>
        </w:trPr>
        <w:tc>
          <w:tcPr>
            <w:tcW w:w="6440" w:type="dxa"/>
            <w:vAlign w:val="bottom"/>
            <w:shd w:val="clear" w:color="auto" w:fill="CFF0FC"/>
          </w:tcPr>
          <w:p>
            <w:pPr>
              <w:spacing w:after="0" w:line="163" w:lineRule="exact"/>
              <w:rPr>
                <w:sz w:val="20"/>
                <w:szCs w:val="20"/>
                <w:color w:val="auto"/>
              </w:rPr>
            </w:pPr>
            <w:r>
              <w:rPr>
                <w:rFonts w:ascii="Arial" w:cs="Arial" w:eastAsia="Arial" w:hAnsi="Arial"/>
                <w:sz w:val="16"/>
                <w:szCs w:val="16"/>
                <w:b w:val="1"/>
                <w:bCs w:val="1"/>
                <w:color w:val="auto"/>
              </w:rPr>
              <w:t>LIABILITIES</w:t>
            </w: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440" w:type="dxa"/>
            <w:vAlign w:val="bottom"/>
          </w:tcPr>
          <w:p>
            <w:pPr>
              <w:spacing w:after="0"/>
              <w:rPr>
                <w:sz w:val="20"/>
                <w:szCs w:val="20"/>
                <w:color w:val="auto"/>
              </w:rPr>
            </w:pPr>
            <w:r>
              <w:rPr>
                <w:rFonts w:ascii="Arial" w:cs="Arial" w:eastAsia="Arial" w:hAnsi="Arial"/>
                <w:sz w:val="16"/>
                <w:szCs w:val="16"/>
                <w:color w:val="auto"/>
              </w:rPr>
              <w:t>Current Liabilities</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540" w:type="dxa"/>
            <w:vAlign w:val="bottom"/>
            <w:gridSpan w:val="2"/>
            <w:shd w:val="clear" w:color="auto" w:fill="CFF0FC"/>
          </w:tcPr>
          <w:p>
            <w:pPr>
              <w:jc w:val="right"/>
              <w:ind w:right="67"/>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157</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88"/>
        </w:trPr>
        <w:tc>
          <w:tcPr>
            <w:tcW w:w="6440" w:type="dxa"/>
            <w:vAlign w:val="bottom"/>
          </w:tcPr>
          <w:p>
            <w:pPr>
              <w:ind w:left="200"/>
              <w:spacing w:after="0"/>
              <w:rPr>
                <w:sz w:val="20"/>
                <w:szCs w:val="20"/>
                <w:color w:val="auto"/>
              </w:rPr>
            </w:pPr>
            <w:r>
              <w:rPr>
                <w:rFonts w:ascii="Arial" w:cs="Arial" w:eastAsia="Arial" w:hAnsi="Arial"/>
                <w:sz w:val="16"/>
                <w:szCs w:val="16"/>
                <w:color w:val="auto"/>
              </w:rPr>
              <w:t>Product warranty liability</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b w:val="1"/>
                <w:bCs w:val="1"/>
                <w:color w:val="auto"/>
              </w:rPr>
              <w:t>36</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8"/>
        </w:trPr>
        <w:tc>
          <w:tcPr>
            <w:tcW w:w="64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portion of long-term debt</w:t>
            </w:r>
          </w:p>
        </w:tc>
        <w:tc>
          <w:tcPr>
            <w:tcW w:w="1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6</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8"/>
        </w:trPr>
        <w:tc>
          <w:tcPr>
            <w:tcW w:w="644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b w:val="1"/>
                <w:bCs w:val="1"/>
                <w:color w:val="auto"/>
              </w:rPr>
              <w:t>34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8"/>
        </w:trPr>
        <w:tc>
          <w:tcPr>
            <w:tcW w:w="64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current liabilities</w:t>
            </w:r>
          </w:p>
        </w:tc>
        <w:tc>
          <w:tcPr>
            <w:tcW w:w="13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140</w:t>
            </w:r>
          </w:p>
        </w:tc>
        <w:tc>
          <w:tcPr>
            <w:tcW w:w="16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80"/>
        </w:trPr>
        <w:tc>
          <w:tcPr>
            <w:tcW w:w="6440" w:type="dxa"/>
            <w:vAlign w:val="bottom"/>
          </w:tcPr>
          <w:p>
            <w:pPr>
              <w:spacing w:after="0" w:line="180" w:lineRule="exact"/>
              <w:rPr>
                <w:sz w:val="20"/>
                <w:szCs w:val="20"/>
                <w:color w:val="auto"/>
              </w:rPr>
            </w:pPr>
            <w:r>
              <w:rPr>
                <w:rFonts w:ascii="Arial" w:cs="Arial" w:eastAsia="Arial" w:hAnsi="Arial"/>
                <w:sz w:val="16"/>
                <w:szCs w:val="16"/>
                <w:color w:val="auto"/>
              </w:rPr>
              <w:t>Total Current Liabilities</w:t>
            </w: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43"/>
              <w:spacing w:after="0" w:line="180" w:lineRule="exact"/>
              <w:rPr>
                <w:sz w:val="20"/>
                <w:szCs w:val="20"/>
                <w:color w:val="auto"/>
              </w:rPr>
            </w:pPr>
            <w:r>
              <w:rPr>
                <w:rFonts w:ascii="Arial" w:cs="Arial" w:eastAsia="Arial" w:hAnsi="Arial"/>
                <w:sz w:val="16"/>
                <w:szCs w:val="16"/>
                <w:b w:val="1"/>
                <w:bCs w:val="1"/>
                <w:color w:val="auto"/>
              </w:rPr>
              <w:t>373</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43"/>
              <w:spacing w:after="0" w:line="180" w:lineRule="exact"/>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188"/>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Product warranty liability</w:t>
            </w:r>
          </w:p>
        </w:tc>
        <w:tc>
          <w:tcPr>
            <w:tcW w:w="1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30</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8"/>
        </w:trPr>
        <w:tc>
          <w:tcPr>
            <w:tcW w:w="6440" w:type="dxa"/>
            <w:vAlign w:val="bottom"/>
          </w:tcPr>
          <w:p>
            <w:pPr>
              <w:spacing w:after="0"/>
              <w:rPr>
                <w:sz w:val="20"/>
                <w:szCs w:val="20"/>
                <w:color w:val="auto"/>
              </w:rPr>
            </w:pPr>
            <w:r>
              <w:rPr>
                <w:rFonts w:ascii="Arial" w:cs="Arial" w:eastAsia="Arial" w:hAnsi="Arial"/>
                <w:sz w:val="16"/>
                <w:szCs w:val="16"/>
                <w:color w:val="auto"/>
              </w:rPr>
              <w:t>Deferred revenue</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b w:val="1"/>
                <w:bCs w:val="1"/>
                <w:color w:val="auto"/>
              </w:rPr>
              <w:t>109</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88"/>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1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2,507</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188"/>
        </w:trPr>
        <w:tc>
          <w:tcPr>
            <w:tcW w:w="6440" w:type="dxa"/>
            <w:vAlign w:val="bottom"/>
          </w:tcPr>
          <w:p>
            <w:pPr>
              <w:spacing w:after="0"/>
              <w:rPr>
                <w:sz w:val="20"/>
                <w:szCs w:val="20"/>
                <w:color w:val="auto"/>
              </w:rPr>
            </w:pPr>
            <w:r>
              <w:rPr>
                <w:rFonts w:ascii="Arial" w:cs="Arial" w:eastAsia="Arial" w:hAnsi="Arial"/>
                <w:sz w:val="16"/>
                <w:szCs w:val="16"/>
                <w:color w:val="auto"/>
              </w:rPr>
              <w:t>Deferred income taxes</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b w:val="1"/>
                <w:bCs w:val="1"/>
                <w:color w:val="auto"/>
              </w:rPr>
              <w:t>442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188"/>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liabilities</w:t>
            </w:r>
          </w:p>
        </w:tc>
        <w:tc>
          <w:tcPr>
            <w:tcW w:w="13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260</w:t>
            </w:r>
          </w:p>
        </w:tc>
        <w:tc>
          <w:tcPr>
            <w:tcW w:w="16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180"/>
        </w:trPr>
        <w:tc>
          <w:tcPr>
            <w:tcW w:w="6440" w:type="dxa"/>
            <w:vAlign w:val="bottom"/>
          </w:tcPr>
          <w:p>
            <w:pPr>
              <w:spacing w:after="0" w:line="180" w:lineRule="exact"/>
              <w:rPr>
                <w:sz w:val="20"/>
                <w:szCs w:val="20"/>
                <w:color w:val="auto"/>
              </w:rPr>
            </w:pPr>
            <w:r>
              <w:rPr>
                <w:rFonts w:ascii="Arial" w:cs="Arial" w:eastAsia="Arial" w:hAnsi="Arial"/>
                <w:sz w:val="16"/>
                <w:szCs w:val="16"/>
                <w:color w:val="auto"/>
              </w:rPr>
              <w:t>TOTAL LIABILITIES</w:t>
            </w: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43"/>
              <w:spacing w:after="0" w:line="180" w:lineRule="exact"/>
              <w:rPr>
                <w:sz w:val="20"/>
                <w:szCs w:val="20"/>
                <w:color w:val="auto"/>
              </w:rPr>
            </w:pPr>
            <w:r>
              <w:rPr>
                <w:rFonts w:ascii="Arial" w:cs="Arial" w:eastAsia="Arial" w:hAnsi="Arial"/>
                <w:sz w:val="16"/>
                <w:szCs w:val="16"/>
                <w:b w:val="1"/>
                <w:bCs w:val="1"/>
                <w:color w:val="auto"/>
              </w:rPr>
              <w:t>3,721</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43"/>
              <w:spacing w:after="0" w:line="180" w:lineRule="exact"/>
              <w:rPr>
                <w:sz w:val="20"/>
                <w:szCs w:val="20"/>
                <w:color w:val="auto"/>
              </w:rPr>
            </w:pPr>
            <w:r>
              <w:rPr>
                <w:rFonts w:ascii="Arial" w:cs="Arial" w:eastAsia="Arial" w:hAnsi="Arial"/>
                <w:sz w:val="16"/>
                <w:szCs w:val="16"/>
                <w:color w:val="auto"/>
              </w:rPr>
              <w:t>3,669</w:t>
            </w:r>
          </w:p>
        </w:tc>
        <w:tc>
          <w:tcPr>
            <w:tcW w:w="0" w:type="dxa"/>
            <w:vAlign w:val="bottom"/>
          </w:tcPr>
          <w:p>
            <w:pPr>
              <w:spacing w:after="0"/>
              <w:rPr>
                <w:sz w:val="1"/>
                <w:szCs w:val="1"/>
                <w:color w:val="auto"/>
              </w:rPr>
            </w:pPr>
          </w:p>
        </w:tc>
      </w:tr>
      <w:tr>
        <w:trPr>
          <w:trHeight w:val="188"/>
        </w:trPr>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(see NOTE 18)</w:t>
            </w:r>
          </w:p>
        </w:tc>
        <w:tc>
          <w:tcPr>
            <w:tcW w:w="1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4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440" w:type="dxa"/>
            <w:vAlign w:val="bottom"/>
            <w:shd w:val="clear" w:color="auto" w:fill="CFF0FC"/>
          </w:tcPr>
          <w:p>
            <w:pPr>
              <w:ind w:left="200"/>
              <w:spacing w:after="0" w:line="167" w:lineRule="exact"/>
              <w:rPr>
                <w:sz w:val="20"/>
                <w:szCs w:val="20"/>
                <w:color w:val="auto"/>
              </w:rPr>
            </w:pPr>
            <w:r>
              <w:rPr>
                <w:rFonts w:ascii="Arial" w:cs="Arial" w:eastAsia="Arial" w:hAnsi="Arial"/>
                <w:sz w:val="16"/>
                <w:szCs w:val="16"/>
                <w:color w:val="auto"/>
              </w:rPr>
              <w:t>Common stock, $0.01 par value, 1,880,000,000 shares authorized,</w:t>
            </w: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40" w:type="dxa"/>
            <w:vAlign w:val="bottom"/>
            <w:shd w:val="clear" w:color="auto" w:fill="CFF0FC"/>
          </w:tcPr>
          <w:p>
            <w:pPr>
              <w:ind w:left="340"/>
              <w:spacing w:after="0" w:line="176" w:lineRule="exact"/>
              <w:rPr>
                <w:sz w:val="20"/>
                <w:szCs w:val="20"/>
                <w:color w:val="auto"/>
              </w:rPr>
            </w:pPr>
            <w:r>
              <w:rPr>
                <w:rFonts w:ascii="Arial" w:cs="Arial" w:eastAsia="Arial" w:hAnsi="Arial"/>
                <w:sz w:val="16"/>
                <w:szCs w:val="16"/>
                <w:color w:val="auto"/>
              </w:rPr>
              <w:t>112,033,477 shares issued and outstanding and 118,199,782 shares</w:t>
            </w:r>
          </w:p>
        </w:tc>
        <w:tc>
          <w:tcPr>
            <w:tcW w:w="1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vMerge w:val="restart"/>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4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issued and outstanding, respectively</w:t>
            </w: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7"/>
        </w:trPr>
        <w:tc>
          <w:tcPr>
            <w:tcW w:w="6440" w:type="dxa"/>
            <w:vAlign w:val="bottom"/>
          </w:tcPr>
          <w:p>
            <w:pPr>
              <w:ind w:left="200"/>
              <w:spacing w:after="0" w:line="167" w:lineRule="exact"/>
              <w:rPr>
                <w:sz w:val="20"/>
                <w:szCs w:val="20"/>
                <w:color w:val="auto"/>
              </w:rPr>
            </w:pPr>
            <w:r>
              <w:rPr>
                <w:rFonts w:ascii="Arial" w:cs="Arial" w:eastAsia="Arial" w:hAnsi="Arial"/>
                <w:sz w:val="16"/>
                <w:szCs w:val="16"/>
                <w:color w:val="auto"/>
              </w:rPr>
              <w:t>Non-voting common stock, $0.01 par value, 20,000,000 shares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440" w:type="dxa"/>
            <w:vAlign w:val="bottom"/>
          </w:tcPr>
          <w:p>
            <w:pPr>
              <w:ind w:left="340"/>
              <w:spacing w:after="0"/>
              <w:rPr>
                <w:sz w:val="20"/>
                <w:szCs w:val="20"/>
                <w:color w:val="auto"/>
              </w:rPr>
            </w:pPr>
            <w:r>
              <w:rPr>
                <w:rFonts w:ascii="Arial" w:cs="Arial" w:eastAsia="Arial" w:hAnsi="Arial"/>
                <w:sz w:val="16"/>
                <w:szCs w:val="16"/>
                <w:color w:val="auto"/>
              </w:rPr>
              <w:t>authorized, none issued and outstanding</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6440" w:type="dxa"/>
            <w:vAlign w:val="bottom"/>
            <w:shd w:val="clear" w:color="auto" w:fill="CFF0FC"/>
          </w:tcPr>
          <w:p>
            <w:pPr>
              <w:ind w:left="200"/>
              <w:spacing w:after="0" w:line="167" w:lineRule="exact"/>
              <w:rPr>
                <w:sz w:val="20"/>
                <w:szCs w:val="20"/>
                <w:color w:val="auto"/>
              </w:rPr>
            </w:pPr>
            <w:r>
              <w:rPr>
                <w:rFonts w:ascii="Arial" w:cs="Arial" w:eastAsia="Arial" w:hAnsi="Arial"/>
                <w:sz w:val="16"/>
                <w:szCs w:val="16"/>
                <w:color w:val="auto"/>
              </w:rPr>
              <w:t>Preferred stock, $0.01 par value, 100,000,000 shares authorized, none</w:t>
            </w: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4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issued and outstanding</w:t>
            </w: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gridSpan w:val="2"/>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6440" w:type="dxa"/>
            <w:vAlign w:val="bottom"/>
          </w:tcPr>
          <w:p>
            <w:pPr>
              <w:ind w:left="200"/>
              <w:spacing w:after="0"/>
              <w:rPr>
                <w:sz w:val="20"/>
                <w:szCs w:val="20"/>
                <w:color w:val="auto"/>
              </w:rPr>
            </w:pPr>
            <w:r>
              <w:rPr>
                <w:rFonts w:ascii="Arial" w:cs="Arial" w:eastAsia="Arial" w:hAnsi="Arial"/>
                <w:sz w:val="16"/>
                <w:szCs w:val="16"/>
                <w:color w:val="auto"/>
              </w:rPr>
              <w:t>Paid in capital</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b w:val="1"/>
                <w:bCs w:val="1"/>
                <w:color w:val="auto"/>
              </w:rPr>
              <w:t>1,818</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1,802</w:t>
            </w:r>
          </w:p>
        </w:tc>
        <w:tc>
          <w:tcPr>
            <w:tcW w:w="0" w:type="dxa"/>
            <w:vAlign w:val="bottom"/>
          </w:tcPr>
          <w:p>
            <w:pPr>
              <w:spacing w:after="0"/>
              <w:rPr>
                <w:sz w:val="1"/>
                <w:szCs w:val="1"/>
                <w:color w:val="auto"/>
              </w:rPr>
            </w:pPr>
          </w:p>
        </w:tc>
      </w:tr>
      <w:tr>
        <w:trPr>
          <w:trHeight w:val="188"/>
        </w:trPr>
        <w:tc>
          <w:tcPr>
            <w:tcW w:w="64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deficit</w:t>
            </w:r>
          </w:p>
        </w:tc>
        <w:tc>
          <w:tcPr>
            <w:tcW w:w="1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(974)</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188"/>
        </w:trPr>
        <w:tc>
          <w:tcPr>
            <w:tcW w:w="644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Accumulated other comprehensive loss, net of tax</w:t>
            </w:r>
          </w:p>
        </w:tc>
        <w:tc>
          <w:tcPr>
            <w:tcW w:w="13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w:t>
            </w:r>
          </w:p>
        </w:tc>
        <w:tc>
          <w:tcPr>
            <w:tcW w:w="1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0"/>
        </w:trPr>
        <w:tc>
          <w:tcPr>
            <w:tcW w:w="64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STOCKHOLDERS’ EQUITY</w:t>
            </w:r>
          </w:p>
        </w:tc>
        <w:tc>
          <w:tcPr>
            <w:tcW w:w="132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756</w:t>
            </w:r>
          </w:p>
        </w:tc>
        <w:tc>
          <w:tcPr>
            <w:tcW w:w="16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180"/>
        </w:trPr>
        <w:tc>
          <w:tcPr>
            <w:tcW w:w="6440" w:type="dxa"/>
            <w:vAlign w:val="bottom"/>
          </w:tcPr>
          <w:p>
            <w:pPr>
              <w:spacing w:after="0" w:line="180" w:lineRule="exact"/>
              <w:rPr>
                <w:sz w:val="20"/>
                <w:szCs w:val="20"/>
                <w:color w:val="auto"/>
              </w:rPr>
            </w:pPr>
            <w:r>
              <w:rPr>
                <w:rFonts w:ascii="Arial" w:cs="Arial" w:eastAsia="Arial" w:hAnsi="Arial"/>
                <w:sz w:val="16"/>
                <w:szCs w:val="16"/>
                <w:color w:val="auto"/>
              </w:rPr>
              <w:t>TOTAL LIABILITIES &amp; STOCKHOLDERS’ EQUITY</w:t>
            </w:r>
          </w:p>
        </w:tc>
        <w:tc>
          <w:tcPr>
            <w:tcW w:w="1320" w:type="dxa"/>
            <w:vAlign w:val="bottom"/>
          </w:tcPr>
          <w:p>
            <w:pPr>
              <w:spacing w:after="0"/>
              <w:rPr>
                <w:sz w:val="15"/>
                <w:szCs w:val="15"/>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b w:val="1"/>
                <w:bCs w:val="1"/>
                <w:color w:val="auto"/>
              </w:rPr>
              <w:t>4,477</w:t>
            </w:r>
          </w:p>
        </w:tc>
        <w:tc>
          <w:tcPr>
            <w:tcW w:w="160" w:type="dxa"/>
            <w:vAlign w:val="bottom"/>
          </w:tcPr>
          <w:p>
            <w:pPr>
              <w:spacing w:after="0"/>
              <w:rPr>
                <w:sz w:val="15"/>
                <w:szCs w:val="15"/>
                <w:color w:val="auto"/>
              </w:rPr>
            </w:pPr>
          </w:p>
        </w:tc>
        <w:tc>
          <w:tcPr>
            <w:tcW w:w="240" w:type="dxa"/>
            <w:vAlign w:val="bottom"/>
            <w:tcBorders>
              <w:bottom w:val="single" w:sz="8" w:color="auto"/>
            </w:tcBorders>
          </w:tcPr>
          <w:p>
            <w:pPr>
              <w:jc w:val="right"/>
              <w:ind w:right="62"/>
              <w:spacing w:after="0" w:line="180" w:lineRule="exact"/>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4,450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Years ended December 31,</w:t>
            </w: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66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3"/>
              <w:spacing w:after="0" w:line="144"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3"/>
              <w:spacing w:after="0" w:line="144"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80"/>
        </w:trPr>
        <w:tc>
          <w:tcPr>
            <w:tcW w:w="66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860" w:type="dxa"/>
            <w:vAlign w:val="bottom"/>
            <w:shd w:val="clear" w:color="auto" w:fill="CFF0FC"/>
          </w:tcPr>
          <w:p>
            <w:pPr>
              <w:jc w:val="right"/>
              <w:ind w:right="684"/>
              <w:spacing w:after="0" w:line="180" w:lineRule="exact"/>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2,081</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2,698</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63"/>
              <w:spacing w:after="0" w:line="180" w:lineRule="exact"/>
              <w:rPr>
                <w:sz w:val="20"/>
                <w:szCs w:val="20"/>
                <w:color w:val="auto"/>
              </w:rPr>
            </w:pPr>
            <w:r>
              <w:rPr>
                <w:rFonts w:ascii="Arial" w:cs="Arial" w:eastAsia="Arial" w:hAnsi="Arial"/>
                <w:sz w:val="16"/>
                <w:szCs w:val="16"/>
                <w:color w:val="auto"/>
              </w:rPr>
              <w:t>2,713</w:t>
            </w:r>
          </w:p>
        </w:tc>
        <w:tc>
          <w:tcPr>
            <w:tcW w:w="0" w:type="dxa"/>
            <w:vAlign w:val="bottom"/>
          </w:tcPr>
          <w:p>
            <w:pPr>
              <w:spacing w:after="0"/>
              <w:rPr>
                <w:sz w:val="1"/>
                <w:szCs w:val="1"/>
                <w:color w:val="auto"/>
              </w:rPr>
            </w:pPr>
          </w:p>
        </w:tc>
      </w:tr>
      <w:tr>
        <w:trPr>
          <w:trHeight w:val="188"/>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sales</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1,083</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1,304</w:t>
            </w:r>
          </w:p>
        </w:tc>
        <w:tc>
          <w:tcPr>
            <w:tcW w:w="14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180"/>
        </w:trPr>
        <w:tc>
          <w:tcPr>
            <w:tcW w:w="666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Gross profit</w:t>
            </w:r>
          </w:p>
        </w:tc>
        <w:tc>
          <w:tcPr>
            <w:tcW w:w="86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998</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1,394</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63"/>
              <w:spacing w:after="0" w:line="180" w:lineRule="exact"/>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188"/>
        </w:trPr>
        <w:tc>
          <w:tcPr>
            <w:tcW w:w="666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860" w:type="dxa"/>
            <w:vAlign w:val="bottom"/>
          </w:tcPr>
          <w:p>
            <w:pPr>
              <w:spacing w:after="0"/>
              <w:rPr>
                <w:sz w:val="16"/>
                <w:szCs w:val="16"/>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b w:val="1"/>
                <w:bCs w:val="1"/>
                <w:color w:val="auto"/>
              </w:rPr>
              <w:t>317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356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Engineering — research and development</w:t>
            </w:r>
          </w:p>
        </w:tc>
        <w:tc>
          <w:tcPr>
            <w:tcW w:w="8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147</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154</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88"/>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Environmental remediation</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666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Operating income</w:t>
            </w:r>
          </w:p>
        </w:tc>
        <w:tc>
          <w:tcPr>
            <w:tcW w:w="86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534</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892</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63"/>
              <w:spacing w:after="0" w:line="180" w:lineRule="exact"/>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188"/>
        </w:trPr>
        <w:tc>
          <w:tcPr>
            <w:tcW w:w="6660" w:type="dxa"/>
            <w:vAlign w:val="bottom"/>
          </w:tcPr>
          <w:p>
            <w:pPr>
              <w:spacing w:after="0"/>
              <w:rPr>
                <w:sz w:val="20"/>
                <w:szCs w:val="20"/>
                <w:color w:val="auto"/>
              </w:rPr>
            </w:pPr>
            <w:r>
              <w:rPr>
                <w:rFonts w:ascii="Arial" w:cs="Arial" w:eastAsia="Arial" w:hAnsi="Arial"/>
                <w:sz w:val="16"/>
                <w:szCs w:val="16"/>
                <w:color w:val="auto"/>
              </w:rPr>
              <w:t>Interest expense, net</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Other (expense) income, net</w:t>
            </w:r>
          </w:p>
        </w:tc>
        <w:tc>
          <w:tcPr>
            <w:tcW w:w="86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0"/>
        </w:trPr>
        <w:tc>
          <w:tcPr>
            <w:tcW w:w="6660" w:type="dxa"/>
            <w:vAlign w:val="bottom"/>
          </w:tcPr>
          <w:p>
            <w:pPr>
              <w:spacing w:after="0" w:line="180" w:lineRule="exact"/>
              <w:rPr>
                <w:sz w:val="20"/>
                <w:szCs w:val="20"/>
                <w:color w:val="auto"/>
              </w:rPr>
            </w:pPr>
            <w:r>
              <w:rPr>
                <w:rFonts w:ascii="Arial" w:cs="Arial" w:eastAsia="Arial" w:hAnsi="Arial"/>
                <w:sz w:val="16"/>
                <w:szCs w:val="16"/>
                <w:b w:val="1"/>
                <w:bCs w:val="1"/>
                <w:color w:val="auto"/>
              </w:rPr>
              <w:t>Income before income taxes</w:t>
            </w:r>
          </w:p>
        </w:tc>
        <w:tc>
          <w:tcPr>
            <w:tcW w:w="860" w:type="dxa"/>
            <w:vAlign w:val="bottom"/>
          </w:tcPr>
          <w:p>
            <w:pPr>
              <w:spacing w:after="0"/>
              <w:rPr>
                <w:sz w:val="15"/>
                <w:szCs w:val="15"/>
                <w:color w:val="auto"/>
              </w:rPr>
            </w:pPr>
          </w:p>
        </w:tc>
        <w:tc>
          <w:tcPr>
            <w:tcW w:w="580" w:type="dxa"/>
            <w:vAlign w:val="bottom"/>
          </w:tcPr>
          <w:p>
            <w:pPr>
              <w:jc w:val="right"/>
              <w:ind w:right="42"/>
              <w:spacing w:after="0" w:line="180" w:lineRule="exact"/>
              <w:rPr>
                <w:sz w:val="20"/>
                <w:szCs w:val="20"/>
                <w:color w:val="auto"/>
              </w:rPr>
            </w:pPr>
            <w:r>
              <w:rPr>
                <w:rFonts w:ascii="Arial" w:cs="Arial" w:eastAsia="Arial" w:hAnsi="Arial"/>
                <w:sz w:val="16"/>
                <w:szCs w:val="16"/>
                <w:b w:val="1"/>
                <w:bCs w:val="1"/>
                <w:color w:val="auto"/>
              </w:rPr>
              <w:t>393</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23"/>
              <w:spacing w:after="0" w:line="180" w:lineRule="exact"/>
              <w:rPr>
                <w:sz w:val="20"/>
                <w:szCs w:val="20"/>
                <w:color w:val="auto"/>
              </w:rPr>
            </w:pPr>
            <w:r>
              <w:rPr>
                <w:rFonts w:ascii="Arial" w:cs="Arial" w:eastAsia="Arial" w:hAnsi="Arial"/>
                <w:sz w:val="16"/>
                <w:szCs w:val="16"/>
                <w:color w:val="auto"/>
              </w:rPr>
              <w:t>768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63"/>
              <w:spacing w:after="0" w:line="180" w:lineRule="exact"/>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86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(94)</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80"/>
        </w:trPr>
        <w:tc>
          <w:tcPr>
            <w:tcW w:w="666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b w:val="1"/>
                <w:bCs w:val="1"/>
                <w:color w:val="auto"/>
              </w:rPr>
              <w:t>Net income</w:t>
            </w:r>
          </w:p>
        </w:tc>
        <w:tc>
          <w:tcPr>
            <w:tcW w:w="860" w:type="dxa"/>
            <w:vAlign w:val="bottom"/>
            <w:tcBorders>
              <w:bottom w:val="single" w:sz="8" w:color="auto"/>
            </w:tcBorders>
          </w:tcPr>
          <w:p>
            <w:pPr>
              <w:jc w:val="right"/>
              <w:ind w:right="684"/>
              <w:spacing w:after="0" w:line="180" w:lineRule="exact"/>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299</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23"/>
              <w:spacing w:after="0" w:line="180" w:lineRule="exact"/>
              <w:rPr>
                <w:sz w:val="20"/>
                <w:szCs w:val="20"/>
                <w:color w:val="auto"/>
              </w:rPr>
            </w:pPr>
            <w:r>
              <w:rPr>
                <w:rFonts w:ascii="Arial" w:cs="Arial" w:eastAsia="Arial" w:hAnsi="Arial"/>
                <w:sz w:val="16"/>
                <w:szCs w:val="16"/>
                <w:color w:val="auto"/>
              </w:rPr>
              <w:t>604</w:t>
            </w:r>
          </w:p>
        </w:tc>
        <w:tc>
          <w:tcPr>
            <w:tcW w:w="1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63"/>
              <w:spacing w:after="0" w:line="180" w:lineRule="exact"/>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157"/>
        </w:trPr>
        <w:tc>
          <w:tcPr>
            <w:tcW w:w="6660" w:type="dxa"/>
            <w:vAlign w:val="bottom"/>
            <w:shd w:val="clear" w:color="auto" w:fill="CFF0FC"/>
          </w:tcPr>
          <w:p>
            <w:pPr>
              <w:spacing w:after="0" w:line="157" w:lineRule="exact"/>
              <w:rPr>
                <w:sz w:val="20"/>
                <w:szCs w:val="20"/>
                <w:color w:val="auto"/>
              </w:rPr>
            </w:pPr>
            <w:r>
              <w:rPr>
                <w:rFonts w:ascii="Arial" w:cs="Arial" w:eastAsia="Arial" w:hAnsi="Arial"/>
                <w:sz w:val="16"/>
                <w:szCs w:val="16"/>
                <w:b w:val="1"/>
                <w:bCs w:val="1"/>
                <w:color w:val="auto"/>
              </w:rPr>
              <w:t>Basic earnings per share attributable to common</w:t>
            </w:r>
          </w:p>
        </w:tc>
        <w:tc>
          <w:tcPr>
            <w:tcW w:w="860" w:type="dxa"/>
            <w:vAlign w:val="bottom"/>
            <w:vMerge w:val="restart"/>
            <w:shd w:val="clear" w:color="auto" w:fill="CFF0FC"/>
          </w:tcPr>
          <w:p>
            <w:pPr>
              <w:jc w:val="right"/>
              <w:ind w:right="684"/>
              <w:spacing w:after="0"/>
              <w:rPr>
                <w:sz w:val="20"/>
                <w:szCs w:val="20"/>
                <w:color w:val="auto"/>
              </w:rPr>
            </w:pPr>
            <w:r>
              <w:rPr>
                <w:rFonts w:ascii="Arial" w:cs="Arial" w:eastAsia="Arial" w:hAnsi="Arial"/>
                <w:sz w:val="16"/>
                <w:szCs w:val="16"/>
                <w:b w:val="1"/>
                <w:bCs w:val="1"/>
                <w:color w:val="auto"/>
                <w:w w:val="89"/>
              </w:rPr>
              <w:t>$</w:t>
            </w:r>
          </w:p>
        </w:tc>
        <w:tc>
          <w:tcPr>
            <w:tcW w:w="580" w:type="dxa"/>
            <w:vAlign w:val="bottom"/>
            <w:vMerge w:val="restart"/>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2.62</w:t>
            </w: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66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stockholders</w:t>
            </w:r>
          </w:p>
        </w:tc>
        <w:tc>
          <w:tcPr>
            <w:tcW w:w="860" w:type="dxa"/>
            <w:vAlign w:val="bottom"/>
            <w:vMerge w:val="continue"/>
            <w:shd w:val="clear" w:color="auto" w:fill="CFF0FC"/>
          </w:tcPr>
          <w:p>
            <w:pPr>
              <w:spacing w:after="0"/>
              <w:rPr>
                <w:sz w:val="17"/>
                <w:szCs w:val="17"/>
                <w:color w:val="auto"/>
              </w:rPr>
            </w:pPr>
          </w:p>
        </w:tc>
        <w:tc>
          <w:tcPr>
            <w:tcW w:w="580" w:type="dxa"/>
            <w:vAlign w:val="bottom"/>
            <w:vMerge w:val="continue"/>
            <w:shd w:val="clear" w:color="auto" w:fill="CFF0FC"/>
          </w:tcPr>
          <w:p>
            <w:pPr>
              <w:spacing w:after="0"/>
              <w:rPr>
                <w:sz w:val="17"/>
                <w:szCs w:val="17"/>
                <w:color w:val="auto"/>
              </w:rPr>
            </w:pPr>
          </w:p>
        </w:tc>
        <w:tc>
          <w:tcPr>
            <w:tcW w:w="440" w:type="dxa"/>
            <w:vAlign w:val="bottom"/>
            <w:gridSpan w:val="2"/>
            <w:shd w:val="clear" w:color="auto" w:fill="CFF0FC"/>
          </w:tcPr>
          <w:p>
            <w:pPr>
              <w:jc w:val="right"/>
              <w:ind w:right="147"/>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4.95</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47"/>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bottom w:val="single" w:sz="8" w:color="CFF0FC"/>
            </w:tcBorders>
            <w:vMerge w:val="restart"/>
          </w:tcPr>
          <w:p>
            <w:pPr>
              <w:spacing w:after="0" w:line="181" w:lineRule="exact"/>
              <w:rPr>
                <w:sz w:val="20"/>
                <w:szCs w:val="20"/>
                <w:color w:val="auto"/>
              </w:rPr>
            </w:pPr>
            <w:r>
              <w:rPr>
                <w:rFonts w:ascii="Arial" w:cs="Arial" w:eastAsia="Arial" w:hAnsi="Arial"/>
                <w:sz w:val="16"/>
                <w:szCs w:val="16"/>
                <w:b w:val="1"/>
                <w:bCs w:val="1"/>
                <w:color w:val="auto"/>
              </w:rPr>
              <w:t>Diluted earnings per share attributable to common</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660" w:type="dxa"/>
            <w:vAlign w:val="bottom"/>
            <w:vMerge w:val="continue"/>
          </w:tcPr>
          <w:p>
            <w:pPr>
              <w:spacing w:after="0"/>
              <w:rPr>
                <w:sz w:val="12"/>
                <w:szCs w:val="12"/>
                <w:color w:val="auto"/>
              </w:rPr>
            </w:pPr>
          </w:p>
        </w:tc>
        <w:tc>
          <w:tcPr>
            <w:tcW w:w="860" w:type="dxa"/>
            <w:vAlign w:val="bottom"/>
            <w:vMerge w:val="restart"/>
          </w:tcPr>
          <w:p>
            <w:pPr>
              <w:jc w:val="right"/>
              <w:ind w:right="684"/>
              <w:spacing w:after="0"/>
              <w:rPr>
                <w:sz w:val="20"/>
                <w:szCs w:val="20"/>
                <w:color w:val="auto"/>
              </w:rPr>
            </w:pPr>
            <w:r>
              <w:rPr>
                <w:rFonts w:ascii="Arial" w:cs="Arial" w:eastAsia="Arial" w:hAnsi="Arial"/>
                <w:sz w:val="16"/>
                <w:szCs w:val="16"/>
                <w:b w:val="1"/>
                <w:bCs w:val="1"/>
                <w:color w:val="auto"/>
                <w:w w:val="89"/>
              </w:rPr>
              <w:t>$</w:t>
            </w:r>
          </w:p>
        </w:tc>
        <w:tc>
          <w:tcPr>
            <w:tcW w:w="58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2.62</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6660" w:type="dxa"/>
            <w:vAlign w:val="bottom"/>
          </w:tcPr>
          <w:p>
            <w:pPr>
              <w:ind w:left="120"/>
              <w:spacing w:after="0"/>
              <w:rPr>
                <w:sz w:val="20"/>
                <w:szCs w:val="20"/>
                <w:color w:val="auto"/>
              </w:rPr>
            </w:pPr>
            <w:r>
              <w:rPr>
                <w:rFonts w:ascii="Arial" w:cs="Arial" w:eastAsia="Arial" w:hAnsi="Arial"/>
                <w:sz w:val="16"/>
                <w:szCs w:val="16"/>
                <w:b w:val="1"/>
                <w:bCs w:val="1"/>
                <w:color w:val="auto"/>
              </w:rPr>
              <w:t>stockholders</w:t>
            </w:r>
          </w:p>
        </w:tc>
        <w:tc>
          <w:tcPr>
            <w:tcW w:w="86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44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4.91</w:t>
            </w:r>
          </w:p>
        </w:tc>
        <w:tc>
          <w:tcPr>
            <w:tcW w:w="140" w:type="dxa"/>
            <w:vAlign w:val="bottom"/>
          </w:tcPr>
          <w:p>
            <w:pPr>
              <w:spacing w:after="0"/>
              <w:rPr>
                <w:sz w:val="20"/>
                <w:szCs w:val="20"/>
                <w:color w:val="auto"/>
              </w:rPr>
            </w:pPr>
          </w:p>
        </w:tc>
        <w:tc>
          <w:tcPr>
            <w:tcW w:w="320" w:type="dxa"/>
            <w:vAlign w:val="bottom"/>
            <w:gridSpan w:val="2"/>
          </w:tcPr>
          <w:p>
            <w:pPr>
              <w:jc w:val="right"/>
              <w:ind w:right="147"/>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163"/>
        </w:trPr>
        <w:tc>
          <w:tcPr>
            <w:tcW w:w="6660" w:type="dxa"/>
            <w:vAlign w:val="bottom"/>
            <w:tcBorders>
              <w:top w:val="single" w:sz="8" w:color="CFF0FC"/>
            </w:tcBorders>
            <w:shd w:val="clear" w:color="auto" w:fill="CFF0FC"/>
          </w:tcPr>
          <w:p>
            <w:pPr>
              <w:spacing w:after="0" w:line="163" w:lineRule="exact"/>
              <w:rPr>
                <w:sz w:val="20"/>
                <w:szCs w:val="20"/>
                <w:color w:val="auto"/>
              </w:rPr>
            </w:pPr>
            <w:r>
              <w:rPr>
                <w:rFonts w:ascii="Arial" w:cs="Arial" w:eastAsia="Arial" w:hAnsi="Arial"/>
                <w:sz w:val="16"/>
                <w:szCs w:val="16"/>
                <w:color w:val="auto"/>
              </w:rPr>
              <w:t>Other comprehensive income (loss), net of tax:</w:t>
            </w:r>
          </w:p>
        </w:tc>
        <w:tc>
          <w:tcPr>
            <w:tcW w:w="86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60" w:type="dxa"/>
            <w:vAlign w:val="bottom"/>
          </w:tcPr>
          <w:p>
            <w:pPr>
              <w:ind w:left="200"/>
              <w:spacing w:after="0"/>
              <w:rPr>
                <w:sz w:val="20"/>
                <w:szCs w:val="20"/>
                <w:color w:val="auto"/>
              </w:rPr>
            </w:pPr>
            <w:r>
              <w:rPr>
                <w:rFonts w:ascii="Arial" w:cs="Arial" w:eastAsia="Arial" w:hAnsi="Arial"/>
                <w:sz w:val="16"/>
                <w:szCs w:val="16"/>
                <w:color w:val="auto"/>
              </w:rPr>
              <w:t>Foreign currency translation</w:t>
            </w:r>
          </w:p>
        </w:tc>
        <w:tc>
          <w:tcPr>
            <w:tcW w:w="860" w:type="dxa"/>
            <w:vAlign w:val="bottom"/>
          </w:tcPr>
          <w:p>
            <w:pPr>
              <w:spacing w:after="0"/>
              <w:rPr>
                <w:sz w:val="16"/>
                <w:szCs w:val="16"/>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b w:val="1"/>
                <w:bCs w:val="1"/>
                <w:color w:val="auto"/>
              </w:rPr>
              <w:t>10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Pension and OPEB liability adjustment</w:t>
            </w:r>
          </w:p>
        </w:tc>
        <w:tc>
          <w:tcPr>
            <w:tcW w:w="8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66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Available-for-sale securities and interest rate swaps</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4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0"/>
        </w:trPr>
        <w:tc>
          <w:tcPr>
            <w:tcW w:w="666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Total other comprehensive loss, net of tax</w:t>
            </w:r>
          </w:p>
        </w:tc>
        <w:tc>
          <w:tcPr>
            <w:tcW w:w="8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(37)</w:t>
            </w:r>
          </w:p>
        </w:tc>
        <w:tc>
          <w:tcPr>
            <w:tcW w:w="14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(22)</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0"/>
        </w:trPr>
        <w:tc>
          <w:tcPr>
            <w:tcW w:w="6660" w:type="dxa"/>
            <w:vAlign w:val="bottom"/>
          </w:tcPr>
          <w:p>
            <w:pPr>
              <w:spacing w:after="0" w:line="180" w:lineRule="exact"/>
              <w:rPr>
                <w:sz w:val="20"/>
                <w:szCs w:val="20"/>
                <w:color w:val="auto"/>
              </w:rPr>
            </w:pPr>
            <w:r>
              <w:rPr>
                <w:rFonts w:ascii="Arial" w:cs="Arial" w:eastAsia="Arial" w:hAnsi="Arial"/>
                <w:sz w:val="16"/>
                <w:szCs w:val="16"/>
                <w:b w:val="1"/>
                <w:bCs w:val="1"/>
                <w:color w:val="auto"/>
              </w:rPr>
              <w:t>Comprehensive income, net of tax</w:t>
            </w:r>
          </w:p>
        </w:tc>
        <w:tc>
          <w:tcPr>
            <w:tcW w:w="860" w:type="dxa"/>
            <w:vAlign w:val="bottom"/>
            <w:tcBorders>
              <w:bottom w:val="single" w:sz="8" w:color="auto"/>
            </w:tcBorders>
          </w:tcPr>
          <w:p>
            <w:pPr>
              <w:jc w:val="right"/>
              <w:ind w:right="684"/>
              <w:spacing w:after="0" w:line="180" w:lineRule="exact"/>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262</w:t>
            </w:r>
          </w:p>
        </w:tc>
        <w:tc>
          <w:tcPr>
            <w:tcW w:w="140" w:type="dxa"/>
            <w:vAlign w:val="bottom"/>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23"/>
              <w:spacing w:after="0" w:line="180" w:lineRule="exact"/>
              <w:rPr>
                <w:sz w:val="20"/>
                <w:szCs w:val="20"/>
                <w:color w:val="auto"/>
              </w:rPr>
            </w:pPr>
            <w:r>
              <w:rPr>
                <w:rFonts w:ascii="Arial" w:cs="Arial" w:eastAsia="Arial" w:hAnsi="Arial"/>
                <w:sz w:val="16"/>
                <w:szCs w:val="16"/>
                <w:color w:val="auto"/>
              </w:rPr>
              <w:t>582</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63"/>
              <w:spacing w:after="0" w:line="180" w:lineRule="exact"/>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jc w:val="center"/>
        <w:spacing w:after="0"/>
        <w:rPr>
          <w:sz w:val="20"/>
          <w:szCs w:val="20"/>
          <w:color w:val="auto"/>
        </w:rPr>
      </w:pPr>
      <w:r>
        <w:rPr>
          <w:rFonts w:ascii="Arial" w:cs="Arial" w:eastAsia="Arial" w:hAnsi="Arial"/>
          <w:sz w:val="16"/>
          <w:szCs w:val="16"/>
          <w:b w:val="1"/>
          <w:b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7"/>
              </w:rPr>
              <w:t>Years ended December 31,</w:t>
            </w: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66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2"/>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2"/>
              <w:spacing w:after="0" w:line="144"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80"/>
        </w:trPr>
        <w:tc>
          <w:tcPr>
            <w:tcW w:w="666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CASH FLOWS FROM OPERATING ACTIVITIES:</w:t>
            </w:r>
          </w:p>
        </w:tc>
        <w:tc>
          <w:tcPr>
            <w:tcW w:w="8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660" w:type="dxa"/>
            <w:vAlign w:val="bottom"/>
          </w:tcPr>
          <w:p>
            <w:pPr>
              <w:spacing w:after="0"/>
              <w:rPr>
                <w:sz w:val="20"/>
                <w:szCs w:val="20"/>
                <w:color w:val="auto"/>
              </w:rPr>
            </w:pPr>
            <w:r>
              <w:rPr>
                <w:rFonts w:ascii="Arial" w:cs="Arial" w:eastAsia="Arial" w:hAnsi="Arial"/>
                <w:sz w:val="16"/>
                <w:szCs w:val="16"/>
                <w:color w:val="auto"/>
              </w:rPr>
              <w:t>Net income</w:t>
            </w:r>
          </w:p>
        </w:tc>
        <w:tc>
          <w:tcPr>
            <w:tcW w:w="840" w:type="dxa"/>
            <w:vAlign w:val="bottom"/>
          </w:tcPr>
          <w:p>
            <w:pPr>
              <w:jc w:val="right"/>
              <w:ind w:right="665"/>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ind w:right="42"/>
              <w:spacing w:after="0"/>
              <w:rPr>
                <w:sz w:val="20"/>
                <w:szCs w:val="20"/>
                <w:color w:val="auto"/>
              </w:rPr>
            </w:pPr>
            <w:r>
              <w:rPr>
                <w:rFonts w:ascii="Arial" w:cs="Arial" w:eastAsia="Arial" w:hAnsi="Arial"/>
                <w:sz w:val="16"/>
                <w:szCs w:val="16"/>
                <w:b w:val="1"/>
                <w:bCs w:val="1"/>
                <w:color w:val="auto"/>
              </w:rPr>
              <w:t>299</w:t>
            </w:r>
          </w:p>
        </w:tc>
        <w:tc>
          <w:tcPr>
            <w:tcW w:w="44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604</w:t>
            </w:r>
          </w:p>
        </w:tc>
        <w:tc>
          <w:tcPr>
            <w:tcW w:w="80" w:type="dxa"/>
            <w:vAlign w:val="bottom"/>
          </w:tcPr>
          <w:p>
            <w:pPr>
              <w:spacing w:after="0"/>
              <w:rPr>
                <w:sz w:val="16"/>
                <w:szCs w:val="16"/>
                <w:color w:val="auto"/>
              </w:rPr>
            </w:pPr>
          </w:p>
        </w:tc>
        <w:tc>
          <w:tcPr>
            <w:tcW w:w="380" w:type="dxa"/>
            <w:vAlign w:val="bottom"/>
            <w:gridSpan w:val="2"/>
          </w:tcPr>
          <w:p>
            <w:pPr>
              <w:jc w:val="right"/>
              <w:ind w:right="14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167"/>
        </w:trPr>
        <w:tc>
          <w:tcPr>
            <w:tcW w:w="6660" w:type="dxa"/>
            <w:vAlign w:val="bottom"/>
            <w:shd w:val="clear" w:color="auto" w:fill="CFF0FC"/>
          </w:tcPr>
          <w:p>
            <w:pPr>
              <w:spacing w:after="0" w:line="167" w:lineRule="exact"/>
              <w:rPr>
                <w:sz w:val="20"/>
                <w:szCs w:val="20"/>
                <w:color w:val="auto"/>
              </w:rPr>
            </w:pPr>
            <w:r>
              <w:rPr>
                <w:rFonts w:ascii="Arial" w:cs="Arial" w:eastAsia="Arial" w:hAnsi="Arial"/>
                <w:sz w:val="16"/>
                <w:szCs w:val="16"/>
                <w:color w:val="auto"/>
              </w:rPr>
              <w:t>Adjustments to reconcile net income to net cash provided by</w:t>
            </w:r>
          </w:p>
        </w:tc>
        <w:tc>
          <w:tcPr>
            <w:tcW w:w="8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operating activities:</w:t>
            </w:r>
          </w:p>
        </w:tc>
        <w:tc>
          <w:tcPr>
            <w:tcW w:w="8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660" w:type="dxa"/>
            <w:vAlign w:val="bottom"/>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840" w:type="dxa"/>
            <w:vAlign w:val="bottom"/>
          </w:tcPr>
          <w:p>
            <w:pPr>
              <w:spacing w:after="0"/>
              <w:rPr>
                <w:sz w:val="16"/>
                <w:szCs w:val="16"/>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b w:val="1"/>
                <w:bCs w:val="1"/>
                <w:color w:val="auto"/>
              </w:rPr>
              <w:t>96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income taxes</w:t>
            </w:r>
          </w:p>
        </w:tc>
        <w:tc>
          <w:tcPr>
            <w:tcW w:w="84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69</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65</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8"/>
        </w:trPr>
        <w:tc>
          <w:tcPr>
            <w:tcW w:w="666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840" w:type="dxa"/>
            <w:vAlign w:val="bottom"/>
          </w:tcPr>
          <w:p>
            <w:pPr>
              <w:spacing w:after="0"/>
              <w:rPr>
                <w:sz w:val="16"/>
                <w:szCs w:val="16"/>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b w:val="1"/>
                <w:bCs w:val="1"/>
                <w:color w:val="auto"/>
              </w:rPr>
              <w:t>52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Expenses related to long-term debt refinancing</w:t>
            </w:r>
          </w:p>
        </w:tc>
        <w:tc>
          <w:tcPr>
            <w:tcW w:w="84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19</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666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840" w:type="dxa"/>
            <w:vAlign w:val="bottom"/>
          </w:tcPr>
          <w:p>
            <w:pPr>
              <w:spacing w:after="0"/>
              <w:rPr>
                <w:sz w:val="16"/>
                <w:szCs w:val="16"/>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b w:val="1"/>
                <w:bCs w:val="1"/>
                <w:color w:val="auto"/>
              </w:rPr>
              <w:t>17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deferred financing costs</w:t>
            </w:r>
          </w:p>
        </w:tc>
        <w:tc>
          <w:tcPr>
            <w:tcW w:w="84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8"/>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840" w:type="dxa"/>
            <w:vAlign w:val="bottom"/>
          </w:tcPr>
          <w:p>
            <w:pPr>
              <w:spacing w:after="0"/>
              <w:rPr>
                <w:sz w:val="16"/>
                <w:szCs w:val="16"/>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Changes in assets and liabilities:</w:t>
            </w:r>
          </w:p>
        </w:tc>
        <w:tc>
          <w:tcPr>
            <w:tcW w:w="8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6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840" w:type="dxa"/>
            <w:vAlign w:val="bottom"/>
          </w:tcPr>
          <w:p>
            <w:pPr>
              <w:spacing w:after="0"/>
              <w:rPr>
                <w:sz w:val="16"/>
                <w:szCs w:val="16"/>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b w:val="1"/>
                <w:bCs w:val="1"/>
                <w:color w:val="auto"/>
              </w:rPr>
              <w:t>28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Inventories</w:t>
            </w:r>
          </w:p>
        </w:tc>
        <w:tc>
          <w:tcPr>
            <w:tcW w:w="84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8"/>
        </w:trPr>
        <w:tc>
          <w:tcPr>
            <w:tcW w:w="666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8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assets and liabilities</w:t>
            </w:r>
          </w:p>
        </w:tc>
        <w:tc>
          <w:tcPr>
            <w:tcW w:w="8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(43)</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0"/>
        </w:trPr>
        <w:tc>
          <w:tcPr>
            <w:tcW w:w="6660" w:type="dxa"/>
            <w:vAlign w:val="bottom"/>
          </w:tcPr>
          <w:p>
            <w:pPr>
              <w:ind w:left="420"/>
              <w:spacing w:after="0" w:line="180" w:lineRule="exact"/>
              <w:rPr>
                <w:sz w:val="20"/>
                <w:szCs w:val="20"/>
                <w:color w:val="auto"/>
              </w:rPr>
            </w:pPr>
            <w:r>
              <w:rPr>
                <w:rFonts w:ascii="Arial" w:cs="Arial" w:eastAsia="Arial" w:hAnsi="Arial"/>
                <w:sz w:val="16"/>
                <w:szCs w:val="16"/>
                <w:color w:val="auto"/>
              </w:rPr>
              <w:t>Net cash provided by operating activities</w:t>
            </w:r>
          </w:p>
        </w:tc>
        <w:tc>
          <w:tcPr>
            <w:tcW w:w="840" w:type="dxa"/>
            <w:vAlign w:val="bottom"/>
          </w:tcPr>
          <w:p>
            <w:pPr>
              <w:spacing w:after="0"/>
              <w:rPr>
                <w:sz w:val="15"/>
                <w:szCs w:val="15"/>
                <w:color w:val="auto"/>
              </w:rPr>
            </w:pPr>
          </w:p>
        </w:tc>
        <w:tc>
          <w:tcPr>
            <w:tcW w:w="600" w:type="dxa"/>
            <w:vAlign w:val="bottom"/>
          </w:tcPr>
          <w:p>
            <w:pPr>
              <w:jc w:val="right"/>
              <w:ind w:right="42"/>
              <w:spacing w:after="0" w:line="180" w:lineRule="exact"/>
              <w:rPr>
                <w:sz w:val="20"/>
                <w:szCs w:val="20"/>
                <w:color w:val="auto"/>
              </w:rPr>
            </w:pPr>
            <w:r>
              <w:rPr>
                <w:rFonts w:ascii="Arial" w:cs="Arial" w:eastAsia="Arial" w:hAnsi="Arial"/>
                <w:sz w:val="16"/>
                <w:szCs w:val="16"/>
                <w:b w:val="1"/>
                <w:bCs w:val="1"/>
                <w:color w:val="auto"/>
              </w:rPr>
              <w:t>561</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22"/>
              <w:spacing w:after="0" w:line="180" w:lineRule="exact"/>
              <w:rPr>
                <w:sz w:val="20"/>
                <w:szCs w:val="20"/>
                <w:color w:val="auto"/>
              </w:rPr>
            </w:pPr>
            <w:r>
              <w:rPr>
                <w:rFonts w:ascii="Arial" w:cs="Arial" w:eastAsia="Arial" w:hAnsi="Arial"/>
                <w:sz w:val="16"/>
                <w:szCs w:val="16"/>
                <w:color w:val="auto"/>
              </w:rPr>
              <w:t>847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62"/>
              <w:spacing w:after="0" w:line="180" w:lineRule="exact"/>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60" w:type="dxa"/>
            <w:vAlign w:val="bottom"/>
          </w:tcPr>
          <w:p>
            <w:pPr>
              <w:ind w:left="200"/>
              <w:spacing w:after="0"/>
              <w:rPr>
                <w:sz w:val="20"/>
                <w:szCs w:val="20"/>
                <w:color w:val="auto"/>
              </w:rPr>
            </w:pPr>
            <w:r>
              <w:rPr>
                <w:rFonts w:ascii="Arial" w:cs="Arial" w:eastAsia="Arial" w:hAnsi="Arial"/>
                <w:sz w:val="16"/>
                <w:szCs w:val="16"/>
                <w:color w:val="auto"/>
              </w:rPr>
              <w:t>Business acquisitions</w:t>
            </w:r>
          </w:p>
        </w:tc>
        <w:tc>
          <w:tcPr>
            <w:tcW w:w="840" w:type="dxa"/>
            <w:vAlign w:val="bottom"/>
          </w:tcPr>
          <w:p>
            <w:pPr>
              <w:spacing w:after="0"/>
              <w:rPr>
                <w:sz w:val="16"/>
                <w:szCs w:val="16"/>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Additions of long-lived assets</w:t>
            </w:r>
          </w:p>
        </w:tc>
        <w:tc>
          <w:tcPr>
            <w:tcW w:w="8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(115)</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8"/>
        </w:trPr>
        <w:tc>
          <w:tcPr>
            <w:tcW w:w="66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Investments in technology-related initiatives</w:t>
            </w:r>
          </w:p>
        </w:tc>
        <w:tc>
          <w:tcPr>
            <w:tcW w:w="8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0"/>
        </w:trPr>
        <w:tc>
          <w:tcPr>
            <w:tcW w:w="666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Net cash used for investing activities</w:t>
            </w:r>
          </w:p>
        </w:tc>
        <w:tc>
          <w:tcPr>
            <w:tcW w:w="8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(111)</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(405)</w:t>
            </w: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
              <w:spacing w:after="0" w:line="180" w:lineRule="exact"/>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88"/>
        </w:trPr>
        <w:tc>
          <w:tcPr>
            <w:tcW w:w="66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on long-term debt</w:t>
            </w:r>
          </w:p>
        </w:tc>
        <w:tc>
          <w:tcPr>
            <w:tcW w:w="8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(1,019)</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(1,151)</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8"/>
        </w:trPr>
        <w:tc>
          <w:tcPr>
            <w:tcW w:w="6660" w:type="dxa"/>
            <w:vAlign w:val="bottom"/>
          </w:tcPr>
          <w:p>
            <w:pPr>
              <w:ind w:left="200"/>
              <w:spacing w:after="0"/>
              <w:rPr>
                <w:sz w:val="20"/>
                <w:szCs w:val="20"/>
                <w:color w:val="auto"/>
              </w:rPr>
            </w:pPr>
            <w:r>
              <w:rPr>
                <w:rFonts w:ascii="Arial" w:cs="Arial" w:eastAsia="Arial" w:hAnsi="Arial"/>
                <w:sz w:val="16"/>
                <w:szCs w:val="16"/>
                <w:color w:val="auto"/>
              </w:rPr>
              <w:t>Issuance of long-term debt</w:t>
            </w:r>
          </w:p>
        </w:tc>
        <w:tc>
          <w:tcPr>
            <w:tcW w:w="840" w:type="dxa"/>
            <w:vAlign w:val="bottom"/>
          </w:tcPr>
          <w:p>
            <w:pPr>
              <w:spacing w:after="0"/>
              <w:rPr>
                <w:sz w:val="16"/>
                <w:szCs w:val="16"/>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b w:val="1"/>
                <w:bCs w:val="1"/>
                <w:color w:val="auto"/>
              </w:rPr>
              <w:t>1,000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1,148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Repayments on revolving credit facility</w:t>
            </w:r>
          </w:p>
        </w:tc>
        <w:tc>
          <w:tcPr>
            <w:tcW w:w="8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(800)</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6660" w:type="dxa"/>
            <w:vAlign w:val="bottom"/>
          </w:tcPr>
          <w:p>
            <w:pPr>
              <w:ind w:left="200"/>
              <w:spacing w:after="0"/>
              <w:rPr>
                <w:sz w:val="20"/>
                <w:szCs w:val="20"/>
                <w:color w:val="auto"/>
              </w:rPr>
            </w:pPr>
            <w:r>
              <w:rPr>
                <w:rFonts w:ascii="Arial" w:cs="Arial" w:eastAsia="Arial" w:hAnsi="Arial"/>
                <w:sz w:val="16"/>
                <w:szCs w:val="16"/>
                <w:color w:val="auto"/>
              </w:rPr>
              <w:t>Borrowings on revolving credit facility</w:t>
            </w:r>
          </w:p>
        </w:tc>
        <w:tc>
          <w:tcPr>
            <w:tcW w:w="840" w:type="dxa"/>
            <w:vAlign w:val="bottom"/>
          </w:tcPr>
          <w:p>
            <w:pPr>
              <w:spacing w:after="0"/>
              <w:rPr>
                <w:sz w:val="16"/>
                <w:szCs w:val="16"/>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b w:val="1"/>
                <w:bCs w:val="1"/>
                <w:color w:val="auto"/>
              </w:rPr>
              <w:t>800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Repurchases of common stock</w:t>
            </w:r>
          </w:p>
        </w:tc>
        <w:tc>
          <w:tcPr>
            <w:tcW w:w="8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(225)</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188"/>
        </w:trPr>
        <w:tc>
          <w:tcPr>
            <w:tcW w:w="6660" w:type="dxa"/>
            <w:vAlign w:val="bottom"/>
          </w:tcPr>
          <w:p>
            <w:pPr>
              <w:ind w:left="200"/>
              <w:spacing w:after="0"/>
              <w:rPr>
                <w:sz w:val="20"/>
                <w:szCs w:val="20"/>
                <w:color w:val="auto"/>
              </w:rPr>
            </w:pPr>
            <w:r>
              <w:rPr>
                <w:rFonts w:ascii="Arial" w:cs="Arial" w:eastAsia="Arial" w:hAnsi="Arial"/>
                <w:sz w:val="16"/>
                <w:szCs w:val="16"/>
                <w:color w:val="auto"/>
              </w:rPr>
              <w:t>Dividend payments</w:t>
            </w:r>
          </w:p>
        </w:tc>
        <w:tc>
          <w:tcPr>
            <w:tcW w:w="8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Debt financing fees</w:t>
            </w:r>
          </w:p>
        </w:tc>
        <w:tc>
          <w:tcPr>
            <w:tcW w:w="8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6660" w:type="dxa"/>
            <w:vAlign w:val="bottom"/>
          </w:tcPr>
          <w:p>
            <w:pPr>
              <w:ind w:left="200"/>
              <w:spacing w:after="0"/>
              <w:rPr>
                <w:sz w:val="20"/>
                <w:szCs w:val="20"/>
                <w:color w:val="auto"/>
              </w:rPr>
            </w:pPr>
            <w:r>
              <w:rPr>
                <w:rFonts w:ascii="Arial" w:cs="Arial" w:eastAsia="Arial" w:hAnsi="Arial"/>
                <w:sz w:val="16"/>
                <w:szCs w:val="16"/>
                <w:color w:val="auto"/>
              </w:rPr>
              <w:t>Payment of acquisition-related contingent liability</w:t>
            </w:r>
          </w:p>
        </w:tc>
        <w:tc>
          <w:tcPr>
            <w:tcW w:w="8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8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8"/>
        </w:trPr>
        <w:tc>
          <w:tcPr>
            <w:tcW w:w="66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8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0"/>
        </w:trPr>
        <w:tc>
          <w:tcPr>
            <w:tcW w:w="666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Net cash used for financing activities</w:t>
            </w:r>
          </w:p>
        </w:tc>
        <w:tc>
          <w:tcPr>
            <w:tcW w:w="8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(335)</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(480)</w:t>
            </w: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
              <w:spacing w:after="0" w:line="180" w:lineRule="exact"/>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188"/>
        </w:trPr>
        <w:tc>
          <w:tcPr>
            <w:tcW w:w="666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840" w:type="dxa"/>
            <w:vAlign w:val="bottom"/>
          </w:tcPr>
          <w:p>
            <w:pPr>
              <w:spacing w:after="0"/>
              <w:rPr>
                <w:sz w:val="16"/>
                <w:szCs w:val="16"/>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Net increase (decrease) in cash and cash equivalents</w:t>
            </w:r>
          </w:p>
        </w:tc>
        <w:tc>
          <w:tcPr>
            <w:tcW w:w="84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118</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8"/>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8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192</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231</w:t>
            </w:r>
          </w:p>
        </w:tc>
        <w:tc>
          <w:tcPr>
            <w:tcW w:w="8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80"/>
        </w:trPr>
        <w:tc>
          <w:tcPr>
            <w:tcW w:w="66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Cash and cash equivalents at end of period</w:t>
            </w:r>
          </w:p>
        </w:tc>
        <w:tc>
          <w:tcPr>
            <w:tcW w:w="840" w:type="dxa"/>
            <w:vAlign w:val="bottom"/>
            <w:tcBorders>
              <w:bottom w:val="single" w:sz="8" w:color="auto"/>
            </w:tcBorders>
            <w:shd w:val="clear" w:color="auto" w:fill="CFF0FC"/>
          </w:tcPr>
          <w:p>
            <w:pPr>
              <w:jc w:val="right"/>
              <w:ind w:right="665"/>
              <w:spacing w:after="0" w:line="180" w:lineRule="exact"/>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310</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Arial" w:cs="Arial" w:eastAsia="Arial" w:hAnsi="Arial"/>
                <w:sz w:val="16"/>
                <w:szCs w:val="16"/>
                <w:color w:val="auto"/>
              </w:rPr>
              <w:t>192</w:t>
            </w:r>
          </w:p>
        </w:tc>
        <w:tc>
          <w:tcPr>
            <w:tcW w:w="8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6"/>
                <w:szCs w:val="16"/>
                <w:color w:val="auto"/>
              </w:rPr>
              <w:t>Supplemental disclosures:</w:t>
            </w: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6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Interest paid</w:t>
            </w:r>
          </w:p>
        </w:tc>
        <w:tc>
          <w:tcPr>
            <w:tcW w:w="840" w:type="dxa"/>
            <w:vAlign w:val="bottom"/>
            <w:shd w:val="clear" w:color="auto" w:fill="CFF0FC"/>
          </w:tcPr>
          <w:p>
            <w:pPr>
              <w:jc w:val="right"/>
              <w:ind w:right="665"/>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136</w:t>
            </w:r>
          </w:p>
        </w:tc>
        <w:tc>
          <w:tcPr>
            <w:tcW w:w="440" w:type="dxa"/>
            <w:vAlign w:val="bottom"/>
            <w:gridSpan w:val="2"/>
            <w:shd w:val="clear" w:color="auto" w:fill="CFF0FC"/>
          </w:tcPr>
          <w:p>
            <w:pPr>
              <w:jc w:val="right"/>
              <w:ind w:right="147"/>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125</w:t>
            </w:r>
          </w:p>
        </w:tc>
        <w:tc>
          <w:tcPr>
            <w:tcW w:w="80" w:type="dxa"/>
            <w:vAlign w:val="bottom"/>
            <w:shd w:val="clear" w:color="auto" w:fill="CFF0FC"/>
          </w:tcPr>
          <w:p>
            <w:pPr>
              <w:spacing w:after="0"/>
              <w:rPr>
                <w:sz w:val="16"/>
                <w:szCs w:val="16"/>
                <w:color w:val="auto"/>
              </w:rPr>
            </w:pPr>
          </w:p>
        </w:tc>
        <w:tc>
          <w:tcPr>
            <w:tcW w:w="380" w:type="dxa"/>
            <w:vAlign w:val="bottom"/>
            <w:gridSpan w:val="2"/>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22"/>
        </w:trPr>
        <w:tc>
          <w:tcPr>
            <w:tcW w:w="6660" w:type="dxa"/>
            <w:vAlign w:val="bottom"/>
          </w:tcPr>
          <w:p>
            <w:pPr>
              <w:ind w:left="420"/>
              <w:spacing w:after="0"/>
              <w:rPr>
                <w:sz w:val="20"/>
                <w:szCs w:val="20"/>
                <w:color w:val="auto"/>
              </w:rPr>
            </w:pPr>
            <w:r>
              <w:rPr>
                <w:rFonts w:ascii="Arial" w:cs="Arial" w:eastAsia="Arial" w:hAnsi="Arial"/>
                <w:sz w:val="16"/>
                <w:szCs w:val="16"/>
                <w:color w:val="auto"/>
              </w:rPr>
              <w:t>Income taxes paid</w:t>
            </w:r>
          </w:p>
        </w:tc>
        <w:tc>
          <w:tcPr>
            <w:tcW w:w="840" w:type="dxa"/>
            <w:vAlign w:val="bottom"/>
          </w:tcPr>
          <w:p>
            <w:pPr>
              <w:jc w:val="right"/>
              <w:ind w:right="665"/>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ind w:right="42"/>
              <w:spacing w:after="0"/>
              <w:rPr>
                <w:sz w:val="20"/>
                <w:szCs w:val="20"/>
                <w:color w:val="auto"/>
              </w:rPr>
            </w:pPr>
            <w:r>
              <w:rPr>
                <w:rFonts w:ascii="Arial" w:cs="Arial" w:eastAsia="Arial" w:hAnsi="Arial"/>
                <w:sz w:val="16"/>
                <w:szCs w:val="16"/>
                <w:b w:val="1"/>
                <w:bCs w:val="1"/>
                <w:color w:val="auto"/>
              </w:rPr>
              <w:t>26</w:t>
            </w:r>
          </w:p>
        </w:tc>
        <w:tc>
          <w:tcPr>
            <w:tcW w:w="44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19"/>
                <w:szCs w:val="19"/>
                <w:color w:val="auto"/>
              </w:rPr>
            </w:pPr>
          </w:p>
        </w:tc>
        <w:tc>
          <w:tcPr>
            <w:tcW w:w="380" w:type="dxa"/>
            <w:vAlign w:val="bottom"/>
            <w:gridSpan w:val="2"/>
          </w:tcPr>
          <w:p>
            <w:pPr>
              <w:jc w:val="right"/>
              <w:ind w:right="14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jc w:val="center"/>
        <w:spacing w:after="0"/>
        <w:rPr>
          <w:sz w:val="20"/>
          <w:szCs w:val="20"/>
          <w:color w:val="auto"/>
        </w:rPr>
      </w:pPr>
      <w:r>
        <w:rPr>
          <w:rFonts w:ascii="Arial" w:cs="Arial" w:eastAsia="Arial" w:hAnsi="Arial"/>
          <w:sz w:val="16"/>
          <w:szCs w:val="16"/>
          <w:b w:val="1"/>
          <w:bCs w:val="1"/>
          <w:color w:val="auto"/>
        </w:rPr>
        <w:t>(dollars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164"/>
              <w:spacing w:after="0"/>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22"/>
              <w:spacing w:after="0"/>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44"/>
              <w:spacing w:after="0" w:line="141" w:lineRule="exact"/>
              <w:rPr>
                <w:sz w:val="20"/>
                <w:szCs w:val="20"/>
                <w:color w:val="auto"/>
              </w:rPr>
            </w:pPr>
            <w:r>
              <w:rPr>
                <w:rFonts w:ascii="Arial" w:cs="Arial" w:eastAsia="Arial" w:hAnsi="Arial"/>
                <w:sz w:val="13"/>
                <w:szCs w:val="13"/>
                <w:b w:val="1"/>
                <w:bCs w:val="1"/>
                <w:color w:val="auto"/>
                <w:w w:val="97"/>
              </w:rPr>
              <w:t>voting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342"/>
              <w:spacing w:after="0" w:line="141"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203"/>
              <w:spacing w:after="0" w:line="141" w:lineRule="exact"/>
              <w:rPr>
                <w:sz w:val="20"/>
                <w:szCs w:val="20"/>
                <w:color w:val="auto"/>
              </w:rPr>
            </w:pPr>
            <w:r>
              <w:rPr>
                <w:rFonts w:ascii="Arial" w:cs="Arial" w:eastAsia="Arial" w:hAnsi="Arial"/>
                <w:sz w:val="13"/>
                <w:szCs w:val="13"/>
                <w:b w:val="1"/>
                <w:bCs w:val="1"/>
                <w:color w:val="auto"/>
                <w:w w:val="95"/>
              </w:rPr>
              <w:t>Common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44"/>
              <w:spacing w:after="0" w:line="141" w:lineRule="exact"/>
              <w:rPr>
                <w:sz w:val="20"/>
                <w:szCs w:val="20"/>
                <w:color w:val="auto"/>
              </w:rPr>
            </w:pPr>
            <w:r>
              <w:rPr>
                <w:rFonts w:ascii="Arial" w:cs="Arial" w:eastAsia="Arial" w:hAnsi="Arial"/>
                <w:sz w:val="13"/>
                <w:szCs w:val="13"/>
                <w:b w:val="1"/>
                <w:bCs w:val="1"/>
                <w:color w:val="auto"/>
                <w:w w:val="95"/>
              </w:rPr>
              <w:t>Common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ind w:left="40"/>
              <w:spacing w:after="0" w:line="141" w:lineRule="exact"/>
              <w:rPr>
                <w:sz w:val="20"/>
                <w:szCs w:val="20"/>
                <w:color w:val="auto"/>
              </w:rPr>
            </w:pPr>
            <w:r>
              <w:rPr>
                <w:rFonts w:ascii="Arial" w:cs="Arial" w:eastAsia="Arial" w:hAnsi="Arial"/>
                <w:sz w:val="13"/>
                <w:szCs w:val="13"/>
                <w:b w:val="1"/>
                <w:bCs w:val="1"/>
                <w:color w:val="auto"/>
              </w:rPr>
              <w:t>Preferred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60"/>
              <w:spacing w:after="0" w:line="141" w:lineRule="exact"/>
              <w:rPr>
                <w:sz w:val="20"/>
                <w:szCs w:val="20"/>
                <w:color w:val="auto"/>
              </w:rPr>
            </w:pPr>
            <w:r>
              <w:rPr>
                <w:rFonts w:ascii="Arial" w:cs="Arial" w:eastAsia="Arial" w:hAnsi="Arial"/>
                <w:sz w:val="13"/>
                <w:szCs w:val="13"/>
                <w:b w:val="1"/>
                <w:bCs w:val="1"/>
                <w:color w:val="auto"/>
              </w:rPr>
              <w:t>Paid-in</w:t>
            </w:r>
          </w:p>
        </w:tc>
        <w:tc>
          <w:tcPr>
            <w:tcW w:w="1140" w:type="dxa"/>
            <w:vAlign w:val="bottom"/>
            <w:gridSpan w:val="3"/>
          </w:tcPr>
          <w:p>
            <w:pPr>
              <w:ind w:left="40"/>
              <w:spacing w:after="0" w:line="141" w:lineRule="exact"/>
              <w:rPr>
                <w:sz w:val="20"/>
                <w:szCs w:val="20"/>
                <w:color w:val="auto"/>
              </w:rPr>
            </w:pPr>
            <w:r>
              <w:rPr>
                <w:rFonts w:ascii="Arial" w:cs="Arial" w:eastAsia="Arial" w:hAnsi="Arial"/>
                <w:sz w:val="13"/>
                <w:szCs w:val="13"/>
                <w:b w:val="1"/>
                <w:bCs w:val="1"/>
                <w:color w:val="auto"/>
              </w:rPr>
              <w:t>Accumulated</w:t>
            </w:r>
          </w:p>
        </w:tc>
        <w:tc>
          <w:tcPr>
            <w:tcW w:w="106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Comprehensive</w:t>
            </w:r>
          </w:p>
        </w:tc>
        <w:tc>
          <w:tcPr>
            <w:tcW w:w="160" w:type="dxa"/>
            <w:vAlign w:val="bottom"/>
          </w:tcPr>
          <w:p>
            <w:pPr>
              <w:spacing w:after="0"/>
              <w:rPr>
                <w:sz w:val="12"/>
                <w:szCs w:val="12"/>
                <w:color w:val="auto"/>
              </w:rPr>
            </w:pPr>
          </w:p>
        </w:tc>
        <w:tc>
          <w:tcPr>
            <w:tcW w:w="1000" w:type="dxa"/>
            <w:vAlign w:val="bottom"/>
            <w:gridSpan w:val="2"/>
          </w:tcPr>
          <w:p>
            <w:pPr>
              <w:ind w:left="20"/>
              <w:spacing w:after="0" w:line="141"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53"/>
        </w:trPr>
        <w:tc>
          <w:tcPr>
            <w:tcW w:w="2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303"/>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144"/>
              <w:spacing w:after="0"/>
              <w:rPr>
                <w:sz w:val="20"/>
                <w:szCs w:val="20"/>
                <w:color w:val="auto"/>
              </w:rPr>
            </w:pPr>
            <w:r>
              <w:rPr>
                <w:rFonts w:ascii="Arial" w:cs="Arial" w:eastAsia="Arial" w:hAnsi="Arial"/>
                <w:sz w:val="13"/>
                <w:szCs w:val="13"/>
                <w:b w:val="1"/>
                <w:bCs w:val="1"/>
                <w:color w:val="auto"/>
                <w:w w:val="95"/>
              </w:rPr>
              <w:t>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140"/>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b w:val="1"/>
                <w:bCs w:val="1"/>
                <w:color w:val="auto"/>
              </w:rPr>
              <w:t>Deficit</w:t>
            </w:r>
          </w:p>
        </w:tc>
        <w:tc>
          <w:tcPr>
            <w:tcW w:w="1060" w:type="dxa"/>
            <w:vAlign w:val="bottom"/>
            <w:gridSpan w:val="2"/>
          </w:tcPr>
          <w:p>
            <w:pPr>
              <w:spacing w:after="0"/>
              <w:rPr>
                <w:sz w:val="20"/>
                <w:szCs w:val="20"/>
                <w:color w:val="auto"/>
              </w:rPr>
            </w:pPr>
            <w:r>
              <w:rPr>
                <w:rFonts w:ascii="Arial" w:cs="Arial" w:eastAsia="Arial" w:hAnsi="Arial"/>
                <w:sz w:val="13"/>
                <w:szCs w:val="13"/>
                <w:b w:val="1"/>
                <w:bCs w:val="1"/>
                <w:color w:val="auto"/>
              </w:rPr>
              <w:t>Loss, net of tax</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02"/>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Balance at December 31, 2017</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7"/>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1,758</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188"/>
        </w:trPr>
        <w:tc>
          <w:tcPr>
            <w:tcW w:w="284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ind w:left="200"/>
              <w:spacing w:after="0" w:line="167" w:lineRule="exact"/>
              <w:rPr>
                <w:sz w:val="20"/>
                <w:szCs w:val="20"/>
                <w:color w:val="auto"/>
              </w:rPr>
            </w:pPr>
            <w:r>
              <w:rPr>
                <w:rFonts w:ascii="Arial" w:cs="Arial" w:eastAsia="Arial" w:hAnsi="Arial"/>
                <w:sz w:val="16"/>
                <w:szCs w:val="16"/>
                <w:color w:val="auto"/>
              </w:rPr>
              <w:t>Pension and OPEB liability</w:t>
            </w: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8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adjustment</w:t>
            </w: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7"/>
        </w:trPr>
        <w:tc>
          <w:tcPr>
            <w:tcW w:w="2840" w:type="dxa"/>
            <w:vAlign w:val="bottom"/>
          </w:tcPr>
          <w:p>
            <w:pPr>
              <w:ind w:left="200"/>
              <w:spacing w:after="0" w:line="167" w:lineRule="exact"/>
              <w:rPr>
                <w:sz w:val="20"/>
                <w:szCs w:val="20"/>
                <w:color w:val="auto"/>
              </w:rPr>
            </w:pPr>
            <w:r>
              <w:rPr>
                <w:rFonts w:ascii="Arial" w:cs="Arial" w:eastAsia="Arial" w:hAnsi="Arial"/>
                <w:sz w:val="16"/>
                <w:szCs w:val="16"/>
                <w:color w:val="auto"/>
              </w:rPr>
              <w:t>Foreign currency translation</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840" w:type="dxa"/>
            <w:vAlign w:val="bottom"/>
          </w:tcPr>
          <w:p>
            <w:pPr>
              <w:ind w:left="340"/>
              <w:spacing w:after="0"/>
              <w:rPr>
                <w:sz w:val="20"/>
                <w:szCs w:val="20"/>
                <w:color w:val="auto"/>
              </w:rPr>
            </w:pPr>
            <w:r>
              <w:rPr>
                <w:rFonts w:ascii="Arial" w:cs="Arial" w:eastAsia="Arial" w:hAnsi="Arial"/>
                <w:sz w:val="16"/>
                <w:szCs w:val="16"/>
                <w:color w:val="auto"/>
              </w:rPr>
              <w:t>adjustment</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8"/>
        </w:trPr>
        <w:tc>
          <w:tcPr>
            <w:tcW w:w="2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Available-for-sale securities</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8"/>
        </w:trPr>
        <w:tc>
          <w:tcPr>
            <w:tcW w:w="2840" w:type="dxa"/>
            <w:vAlign w:val="bottom"/>
          </w:tcPr>
          <w:p>
            <w:pPr>
              <w:ind w:left="200"/>
              <w:spacing w:after="0"/>
              <w:rPr>
                <w:sz w:val="20"/>
                <w:szCs w:val="20"/>
                <w:color w:val="auto"/>
              </w:rPr>
            </w:pPr>
            <w:r>
              <w:rPr>
                <w:rFonts w:ascii="Arial" w:cs="Arial" w:eastAsia="Arial" w:hAnsi="Arial"/>
                <w:sz w:val="16"/>
                <w:szCs w:val="16"/>
                <w:color w:val="auto"/>
              </w:rPr>
              <w:t>Issuance of common stock</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8"/>
        </w:trPr>
        <w:tc>
          <w:tcPr>
            <w:tcW w:w="2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Repurchase of common stock</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188"/>
        </w:trPr>
        <w:tc>
          <w:tcPr>
            <w:tcW w:w="2840" w:type="dxa"/>
            <w:vAlign w:val="bottom"/>
          </w:tcPr>
          <w:p>
            <w:pPr>
              <w:ind w:left="200"/>
              <w:spacing w:after="0"/>
              <w:rPr>
                <w:sz w:val="20"/>
                <w:szCs w:val="20"/>
                <w:color w:val="auto"/>
              </w:rPr>
            </w:pPr>
            <w:r>
              <w:rPr>
                <w:rFonts w:ascii="Arial" w:cs="Arial" w:eastAsia="Arial" w:hAnsi="Arial"/>
                <w:sz w:val="16"/>
                <w:szCs w:val="16"/>
                <w:color w:val="auto"/>
              </w:rPr>
              <w:t>Dividends on common stock</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ind w:left="200"/>
              <w:spacing w:after="0" w:line="167" w:lineRule="exact"/>
              <w:rPr>
                <w:sz w:val="20"/>
                <w:szCs w:val="20"/>
                <w:color w:val="auto"/>
              </w:rPr>
            </w:pPr>
            <w:r>
              <w:rPr>
                <w:rFonts w:ascii="Arial" w:cs="Arial" w:eastAsia="Arial" w:hAnsi="Arial"/>
                <w:sz w:val="16"/>
                <w:szCs w:val="16"/>
                <w:color w:val="auto"/>
              </w:rPr>
              <w:t>Impact of adopting accounting</w:t>
            </w: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8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standards</w:t>
            </w: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8"/>
        </w:trPr>
        <w:tc>
          <w:tcPr>
            <w:tcW w:w="284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639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180"/>
        </w:trPr>
        <w:tc>
          <w:tcPr>
            <w:tcW w:w="284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Balance at December 31, 2018</w:t>
            </w:r>
          </w:p>
        </w:tc>
        <w:tc>
          <w:tcPr>
            <w:tcW w:w="5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w:t>
            </w:r>
          </w:p>
        </w:tc>
        <w:tc>
          <w:tcPr>
            <w:tcW w:w="1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ind w:left="58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FF0FC"/>
          </w:tcPr>
          <w:p>
            <w:pPr>
              <w:ind w:left="580"/>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1,788</w:t>
            </w:r>
          </w:p>
        </w:tc>
        <w:tc>
          <w:tcPr>
            <w:tcW w:w="1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line="180"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(1,100)</w:t>
            </w:r>
          </w:p>
        </w:tc>
        <w:tc>
          <w:tcPr>
            <w:tcW w:w="16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line="180"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(30)</w:t>
            </w:r>
          </w:p>
        </w:tc>
        <w:tc>
          <w:tcPr>
            <w:tcW w:w="1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line="180"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188"/>
        </w:trPr>
        <w:tc>
          <w:tcPr>
            <w:tcW w:w="284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ind w:left="200"/>
              <w:spacing w:after="0" w:line="167" w:lineRule="exact"/>
              <w:rPr>
                <w:sz w:val="20"/>
                <w:szCs w:val="20"/>
                <w:color w:val="auto"/>
              </w:rPr>
            </w:pPr>
            <w:r>
              <w:rPr>
                <w:rFonts w:ascii="Arial" w:cs="Arial" w:eastAsia="Arial" w:hAnsi="Arial"/>
                <w:sz w:val="16"/>
                <w:szCs w:val="16"/>
                <w:color w:val="auto"/>
              </w:rPr>
              <w:t>Foreign currency translation</w:t>
            </w: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8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adjustment</w:t>
            </w: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7"/>
        </w:trPr>
        <w:tc>
          <w:tcPr>
            <w:tcW w:w="2840" w:type="dxa"/>
            <w:vAlign w:val="bottom"/>
          </w:tcPr>
          <w:p>
            <w:pPr>
              <w:ind w:left="200"/>
              <w:spacing w:after="0" w:line="167" w:lineRule="exact"/>
              <w:rPr>
                <w:sz w:val="20"/>
                <w:szCs w:val="20"/>
                <w:color w:val="auto"/>
              </w:rPr>
            </w:pPr>
            <w:r>
              <w:rPr>
                <w:rFonts w:ascii="Arial" w:cs="Arial" w:eastAsia="Arial" w:hAnsi="Arial"/>
                <w:sz w:val="16"/>
                <w:szCs w:val="16"/>
                <w:color w:val="auto"/>
              </w:rPr>
              <w:t>Available-for-sale securities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840" w:type="dxa"/>
            <w:vAlign w:val="bottom"/>
          </w:tcPr>
          <w:p>
            <w:pPr>
              <w:ind w:left="340"/>
              <w:spacing w:after="0"/>
              <w:rPr>
                <w:sz w:val="20"/>
                <w:szCs w:val="20"/>
                <w:color w:val="auto"/>
              </w:rPr>
            </w:pPr>
            <w:r>
              <w:rPr>
                <w:rFonts w:ascii="Arial" w:cs="Arial" w:eastAsia="Arial" w:hAnsi="Arial"/>
                <w:sz w:val="16"/>
                <w:szCs w:val="16"/>
                <w:color w:val="auto"/>
              </w:rPr>
              <w:t>and interest rate swaps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8"/>
        </w:trPr>
        <w:tc>
          <w:tcPr>
            <w:tcW w:w="2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2840" w:type="dxa"/>
            <w:vAlign w:val="bottom"/>
          </w:tcPr>
          <w:p>
            <w:pPr>
              <w:ind w:left="200"/>
              <w:spacing w:after="0"/>
              <w:rPr>
                <w:sz w:val="20"/>
                <w:szCs w:val="20"/>
                <w:color w:val="auto"/>
              </w:rPr>
            </w:pPr>
            <w:r>
              <w:rPr>
                <w:rFonts w:ascii="Arial" w:cs="Arial" w:eastAsia="Arial" w:hAnsi="Arial"/>
                <w:sz w:val="16"/>
                <w:szCs w:val="16"/>
                <w:color w:val="auto"/>
              </w:rPr>
              <w:t>Repurchase of common stock</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188"/>
        </w:trPr>
        <w:tc>
          <w:tcPr>
            <w:tcW w:w="2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Dividends on common stock</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67"/>
        </w:trPr>
        <w:tc>
          <w:tcPr>
            <w:tcW w:w="2840" w:type="dxa"/>
            <w:vAlign w:val="bottom"/>
          </w:tcPr>
          <w:p>
            <w:pPr>
              <w:ind w:left="200"/>
              <w:spacing w:after="0" w:line="167" w:lineRule="exact"/>
              <w:rPr>
                <w:sz w:val="20"/>
                <w:szCs w:val="20"/>
                <w:color w:val="auto"/>
              </w:rPr>
            </w:pPr>
            <w:r>
              <w:rPr>
                <w:rFonts w:ascii="Arial" w:cs="Arial" w:eastAsia="Arial" w:hAnsi="Arial"/>
                <w:sz w:val="16"/>
                <w:szCs w:val="16"/>
                <w:color w:val="auto"/>
              </w:rPr>
              <w:t>Impact of adopting accounting</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840" w:type="dxa"/>
            <w:vAlign w:val="bottom"/>
          </w:tcPr>
          <w:p>
            <w:pPr>
              <w:ind w:left="340"/>
              <w:spacing w:after="0"/>
              <w:rPr>
                <w:sz w:val="20"/>
                <w:szCs w:val="20"/>
                <w:color w:val="auto"/>
              </w:rPr>
            </w:pPr>
            <w:r>
              <w:rPr>
                <w:rFonts w:ascii="Arial" w:cs="Arial" w:eastAsia="Arial" w:hAnsi="Arial"/>
                <w:sz w:val="16"/>
                <w:szCs w:val="16"/>
                <w:color w:val="auto"/>
              </w:rPr>
              <w:t>standards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8"/>
        </w:trPr>
        <w:tc>
          <w:tcPr>
            <w:tcW w:w="2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604</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180"/>
        </w:trPr>
        <w:tc>
          <w:tcPr>
            <w:tcW w:w="2840" w:type="dxa"/>
            <w:vAlign w:val="bottom"/>
          </w:tcPr>
          <w:p>
            <w:pPr>
              <w:spacing w:after="0" w:line="180" w:lineRule="exact"/>
              <w:rPr>
                <w:sz w:val="20"/>
                <w:szCs w:val="20"/>
                <w:color w:val="auto"/>
              </w:rPr>
            </w:pPr>
            <w:r>
              <w:rPr>
                <w:rFonts w:ascii="Arial" w:cs="Arial" w:eastAsia="Arial" w:hAnsi="Arial"/>
                <w:sz w:val="16"/>
                <w:szCs w:val="16"/>
                <w:color w:val="auto"/>
              </w:rPr>
              <w:t>Balance at December 31, 2019</w:t>
            </w:r>
          </w:p>
        </w:tc>
        <w:tc>
          <w:tcPr>
            <w:tcW w:w="5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1</w:t>
            </w:r>
          </w:p>
        </w:tc>
        <w:tc>
          <w:tcPr>
            <w:tcW w:w="1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ind w:left="580"/>
              <w:spacing w:after="0" w:line="180"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ind w:left="580"/>
              <w:spacing w:after="0" w:line="180"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1,802</w:t>
            </w: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(970)</w:t>
            </w: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(52)</w:t>
            </w: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188"/>
        </w:trPr>
        <w:tc>
          <w:tcPr>
            <w:tcW w:w="2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ind w:left="5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ind w:left="5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17</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167"/>
        </w:trPr>
        <w:tc>
          <w:tcPr>
            <w:tcW w:w="2840" w:type="dxa"/>
            <w:vAlign w:val="bottom"/>
          </w:tcPr>
          <w:p>
            <w:pPr>
              <w:ind w:left="200"/>
              <w:spacing w:after="0" w:line="167" w:lineRule="exact"/>
              <w:rPr>
                <w:sz w:val="20"/>
                <w:szCs w:val="20"/>
                <w:color w:val="auto"/>
              </w:rPr>
            </w:pPr>
            <w:r>
              <w:rPr>
                <w:rFonts w:ascii="Arial" w:cs="Arial" w:eastAsia="Arial" w:hAnsi="Arial"/>
                <w:sz w:val="16"/>
                <w:szCs w:val="16"/>
                <w:color w:val="auto"/>
              </w:rPr>
              <w:t>Pension and OPEB liability</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43"/>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4"/>
                <w:szCs w:val="14"/>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197"/>
        </w:trPr>
        <w:tc>
          <w:tcPr>
            <w:tcW w:w="2840" w:type="dxa"/>
            <w:vAlign w:val="bottom"/>
          </w:tcPr>
          <w:p>
            <w:pPr>
              <w:ind w:left="340"/>
              <w:spacing w:after="0"/>
              <w:rPr>
                <w:sz w:val="20"/>
                <w:szCs w:val="20"/>
                <w:color w:val="auto"/>
              </w:rPr>
            </w:pPr>
            <w:r>
              <w:rPr>
                <w:rFonts w:ascii="Arial" w:cs="Arial" w:eastAsia="Arial" w:hAnsi="Arial"/>
                <w:sz w:val="16"/>
                <w:szCs w:val="16"/>
                <w:color w:val="auto"/>
              </w:rPr>
              <w:t>adjustment</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ind w:left="200"/>
              <w:spacing w:after="0" w:line="167" w:lineRule="exact"/>
              <w:rPr>
                <w:sz w:val="20"/>
                <w:szCs w:val="20"/>
                <w:color w:val="auto"/>
              </w:rPr>
            </w:pPr>
            <w:r>
              <w:rPr>
                <w:rFonts w:ascii="Arial" w:cs="Arial" w:eastAsia="Arial" w:hAnsi="Arial"/>
                <w:sz w:val="16"/>
                <w:szCs w:val="16"/>
                <w:color w:val="auto"/>
              </w:rPr>
              <w:t>Foreign currency translation</w:t>
            </w: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vMerge w:val="restart"/>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vMerge w:val="restart"/>
            <w:shd w:val="clear" w:color="auto" w:fill="CFF0FC"/>
          </w:tcPr>
          <w:p>
            <w:pPr>
              <w:ind w:left="5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ind w:left="5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10</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vMerge w:val="restart"/>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197"/>
        </w:trPr>
        <w:tc>
          <w:tcPr>
            <w:tcW w:w="28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adjustment</w:t>
            </w: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84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ind w:left="5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ind w:left="5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188"/>
        </w:trPr>
        <w:tc>
          <w:tcPr>
            <w:tcW w:w="2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ind w:left="5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ind w:left="5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188"/>
        </w:trPr>
        <w:tc>
          <w:tcPr>
            <w:tcW w:w="2840" w:type="dxa"/>
            <w:vAlign w:val="bottom"/>
          </w:tcPr>
          <w:p>
            <w:pPr>
              <w:ind w:left="200"/>
              <w:spacing w:after="0"/>
              <w:rPr>
                <w:sz w:val="20"/>
                <w:szCs w:val="20"/>
                <w:color w:val="auto"/>
              </w:rPr>
            </w:pPr>
            <w:r>
              <w:rPr>
                <w:rFonts w:ascii="Arial" w:cs="Arial" w:eastAsia="Arial" w:hAnsi="Arial"/>
                <w:sz w:val="16"/>
                <w:szCs w:val="16"/>
                <w:color w:val="auto"/>
              </w:rPr>
              <w:t>Repurchase of common stock</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ind w:left="5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ind w:left="5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(225)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(225)</w:t>
            </w:r>
          </w:p>
        </w:tc>
        <w:tc>
          <w:tcPr>
            <w:tcW w:w="0" w:type="dxa"/>
            <w:vAlign w:val="bottom"/>
          </w:tcPr>
          <w:p>
            <w:pPr>
              <w:spacing w:after="0"/>
              <w:rPr>
                <w:sz w:val="1"/>
                <w:szCs w:val="1"/>
                <w:color w:val="auto"/>
              </w:rPr>
            </w:pPr>
          </w:p>
        </w:tc>
      </w:tr>
      <w:tr>
        <w:trPr>
          <w:trHeight w:val="188"/>
        </w:trPr>
        <w:tc>
          <w:tcPr>
            <w:tcW w:w="2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Dividends on common stock</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ind w:left="5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ind w:left="5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(78)</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188"/>
        </w:trPr>
        <w:tc>
          <w:tcPr>
            <w:tcW w:w="284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ind w:left="5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ind w:left="5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299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b w:val="1"/>
                <w:bCs w:val="1"/>
                <w:color w:val="auto"/>
              </w:rPr>
              <w:t>299</w:t>
            </w:r>
          </w:p>
        </w:tc>
        <w:tc>
          <w:tcPr>
            <w:tcW w:w="0" w:type="dxa"/>
            <w:vAlign w:val="bottom"/>
          </w:tcPr>
          <w:p>
            <w:pPr>
              <w:spacing w:after="0"/>
              <w:rPr>
                <w:sz w:val="1"/>
                <w:szCs w:val="1"/>
                <w:color w:val="auto"/>
              </w:rPr>
            </w:pPr>
          </w:p>
        </w:tc>
      </w:tr>
      <w:tr>
        <w:trPr>
          <w:trHeight w:val="180"/>
        </w:trPr>
        <w:tc>
          <w:tcPr>
            <w:tcW w:w="2840" w:type="dxa"/>
            <w:vAlign w:val="bottom"/>
            <w:tcBorders>
              <w:top w:val="single" w:sz="8" w:color="CFF0FC"/>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Balance at December 31, 2020</w:t>
            </w:r>
          </w:p>
        </w:tc>
        <w:tc>
          <w:tcPr>
            <w:tcW w:w="54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ind w:left="580"/>
              <w:spacing w:after="0" w:line="180" w:lineRule="exact"/>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ind w:left="580"/>
              <w:spacing w:after="0" w:line="180" w:lineRule="exact"/>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1,818</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(974)</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(89)</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756</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Allison Transmission Holdings,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OVERVIEW</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Overview</w:t>
      </w:r>
    </w:p>
    <w:p>
      <w:pPr>
        <w:spacing w:after="0" w:line="131" w:lineRule="exact"/>
        <w:rPr>
          <w:sz w:val="20"/>
          <w:szCs w:val="20"/>
          <w:color w:val="auto"/>
        </w:rPr>
      </w:pPr>
    </w:p>
    <w:p>
      <w:pPr>
        <w:ind w:right="200" w:firstLine="522"/>
        <w:spacing w:after="0" w:line="263" w:lineRule="auto"/>
        <w:rPr>
          <w:sz w:val="20"/>
          <w:szCs w:val="20"/>
          <w:color w:val="auto"/>
        </w:rPr>
      </w:pPr>
      <w:r>
        <w:rPr>
          <w:rFonts w:ascii="Arial" w:cs="Arial" w:eastAsia="Arial" w:hAnsi="Arial"/>
          <w:sz w:val="15"/>
          <w:szCs w:val="15"/>
          <w:color w:val="auto"/>
        </w:rPr>
        <w:t>Allison Transmission Holdings, Inc. and its subsidiaries (“Allison,” or the “Company”)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89" w:lineRule="exact"/>
        <w:rPr>
          <w:sz w:val="20"/>
          <w:szCs w:val="20"/>
          <w:color w:val="auto"/>
        </w:rPr>
      </w:pPr>
    </w:p>
    <w:p>
      <w:pPr>
        <w:ind w:right="20" w:firstLine="522"/>
        <w:spacing w:after="0" w:line="247" w:lineRule="auto"/>
        <w:rPr>
          <w:sz w:val="20"/>
          <w:szCs w:val="20"/>
          <w:color w:val="auto"/>
        </w:rPr>
      </w:pPr>
      <w:r>
        <w:rPr>
          <w:rFonts w:ascii="Arial" w:cs="Arial" w:eastAsia="Arial" w:hAnsi="Arial"/>
          <w:sz w:val="16"/>
          <w:szCs w:val="16"/>
          <w:color w:val="auto"/>
        </w:rPr>
        <w:t>The Company has approximately 3,300 employees. Although approximately 79% of revenues were generated in North America in 2020, the Company has a global presence by serving customers in Europe, Asia, South America and Africa. The Company serves customers through an independent network of approximately 1,400 independent distributor and dealer locations worldwide.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Basis of Presentation and Principles of Consolidation</w:t>
      </w:r>
    </w:p>
    <w:p>
      <w:pPr>
        <w:spacing w:after="0" w:line="131" w:lineRule="exact"/>
        <w:rPr>
          <w:sz w:val="20"/>
          <w:szCs w:val="20"/>
          <w:color w:val="auto"/>
        </w:rPr>
      </w:pPr>
    </w:p>
    <w:p>
      <w:pPr>
        <w:ind w:right="20" w:firstLine="522"/>
        <w:spacing w:after="0" w:line="241"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of America (“GAAP”). The information herein reflects all normal recurring material adjustments, which are, in the opinion of management, necessary for a fair statement of the results for the periods presented. The consolidated financial statements herein consist of all wholly-owned domestic and foreign subsidiaries with all significant intercompany transactions eliminated.</w:t>
      </w:r>
    </w:p>
    <w:p>
      <w:pPr>
        <w:spacing w:after="0" w:line="106" w:lineRule="exact"/>
        <w:rPr>
          <w:sz w:val="20"/>
          <w:szCs w:val="20"/>
          <w:color w:val="auto"/>
        </w:rPr>
      </w:pPr>
    </w:p>
    <w:p>
      <w:pPr>
        <w:ind w:right="60" w:firstLine="522"/>
        <w:spacing w:after="0" w:line="247" w:lineRule="auto"/>
        <w:rPr>
          <w:sz w:val="20"/>
          <w:szCs w:val="20"/>
          <w:color w:val="auto"/>
        </w:rPr>
      </w:pPr>
      <w:r>
        <w:rPr>
          <w:rFonts w:ascii="Arial" w:cs="Arial" w:eastAsia="Arial" w:hAnsi="Arial"/>
          <w:sz w:val="16"/>
          <w:szCs w:val="16"/>
          <w:color w:val="auto"/>
        </w:rPr>
        <w:t>These consolidated financial statements present the financial position, results of comprehensive income, cash flows and statements of stockholders’ equity. Certain immaterial reclassifications have been made in the consolidated financial statements of prior periods to conform to the current period presentation. These reclassifications had no impact on previously reported net income, total stockholders’ equity or cash flows.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31" w:lineRule="exact"/>
        <w:rPr>
          <w:sz w:val="20"/>
          <w:szCs w:val="20"/>
          <w:color w:val="auto"/>
        </w:rPr>
      </w:pPr>
    </w:p>
    <w:p>
      <w:pPr>
        <w:ind w:firstLine="522"/>
        <w:spacing w:after="0" w:line="23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definite life intangibles, long-lived asset impairment tests, useful lives for depreciation and amortization, warranty liabilities, environmental liabilities, determination of discount and other assumptions for pension and other post-retirement benefit expense, determination of discount rate and period for leases,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Due to the continued uncertainty related to the ongoing COVID-19 pandemic, actual results could differ materially from these estimates and assumptions used in preparation of the financial statements including, but not limited to, future cash flows associated with goodwill, indefinite life intangibles, definite life intangibles, long-lived impairment tests, determination of discount and other assumptions for pension and other post-retirement benefit expense and income taxes. Changes in estimates are recorded in results of operations in the period that the events or circumstances giving rise to such changes occur.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Segment Reporting</w:t>
      </w:r>
    </w:p>
    <w:p>
      <w:pPr>
        <w:spacing w:after="0" w:line="131" w:lineRule="exact"/>
        <w:rPr>
          <w:sz w:val="20"/>
          <w:szCs w:val="20"/>
          <w:color w:val="auto"/>
        </w:rPr>
      </w:pPr>
    </w:p>
    <w:p>
      <w:pPr>
        <w:ind w:right="200" w:firstLine="522"/>
        <w:spacing w:after="0" w:line="299" w:lineRule="auto"/>
        <w:rPr>
          <w:sz w:val="20"/>
          <w:szCs w:val="20"/>
          <w:color w:val="auto"/>
        </w:rPr>
      </w:pPr>
      <w:r>
        <w:rPr>
          <w:rFonts w:ascii="Arial" w:cs="Arial" w:eastAsia="Arial" w:hAnsi="Arial"/>
          <w:sz w:val="15"/>
          <w:szCs w:val="15"/>
          <w:color w:val="auto"/>
        </w:rPr>
        <w:t>In accordance with the Financial Accounting Standards Board’s (“FASB”) authoritative accounting guidance on segment reporting, the Company has one operating segment and reportable segment. The Company is in one line of business, which is the manufacture and distribution of vehicle propulsion solutions.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31" w:lineRule="exact"/>
        <w:rPr>
          <w:sz w:val="20"/>
          <w:szCs w:val="20"/>
          <w:color w:val="auto"/>
        </w:rPr>
      </w:pPr>
    </w:p>
    <w:p>
      <w:pPr>
        <w:ind w:right="240" w:firstLine="522"/>
        <w:spacing w:after="0" w:line="241" w:lineRule="auto"/>
        <w:rPr>
          <w:sz w:val="20"/>
          <w:szCs w:val="20"/>
          <w:color w:val="auto"/>
        </w:rPr>
      </w:pPr>
      <w:r>
        <w:rPr>
          <w:rFonts w:ascii="Arial" w:cs="Arial" w:eastAsia="Arial" w:hAnsi="Arial"/>
          <w:sz w:val="16"/>
          <w:szCs w:val="16"/>
          <w:color w:val="auto"/>
        </w:rPr>
        <w:t>The Company uses the acquisition method to account for business combinations. The assets acquired and liabilities assumed are recorded at their respective estimated fair value at the date of acquisition. Any excess purchase price over the fair values of the acquired net assets is recorded as goodwill. Determining the fair values of assets acquired and liabilities assumed requires management's judgment and includes the use of estimates with respect to timing and amount of future cash flows, market rate assumptions, actuarial assumptions, appropriate discount rates and other relevant factors.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31" w:lineRule="exact"/>
        <w:rPr>
          <w:sz w:val="20"/>
          <w:szCs w:val="20"/>
          <w:color w:val="auto"/>
        </w:rPr>
      </w:pPr>
    </w:p>
    <w:p>
      <w:pPr>
        <w:ind w:right="40" w:firstLine="522"/>
        <w:spacing w:after="0" w:line="272" w:lineRule="auto"/>
        <w:rPr>
          <w:sz w:val="20"/>
          <w:szCs w:val="20"/>
          <w:color w:val="auto"/>
        </w:rPr>
      </w:pPr>
      <w:r>
        <w:rPr>
          <w:rFonts w:ascii="Arial" w:cs="Arial" w:eastAsia="Arial" w:hAnsi="Arial"/>
          <w:sz w:val="15"/>
          <w:szCs w:val="15"/>
          <w:color w:val="auto"/>
        </w:rPr>
        <w:t>Cash equivalents are defined as short-term, highly-liquid investments with original maturities of 90 days or less. Under the Company’s cash management system, checks issued but not presented to banks may result in book overdraft balances for accounting purposes and are classified within Accounts payable in the Consolidated Balance Sheets. The change in book overdrafts is reported as a component of operating cash flows for Accounts payable.</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Marketable Securities</w:t>
      </w:r>
    </w:p>
    <w:p>
      <w:pPr>
        <w:spacing w:after="0" w:line="131" w:lineRule="exact"/>
        <w:rPr>
          <w:sz w:val="20"/>
          <w:szCs w:val="20"/>
          <w:color w:val="auto"/>
        </w:rPr>
      </w:pPr>
    </w:p>
    <w:p>
      <w:pPr>
        <w:ind w:right="260" w:firstLine="522"/>
        <w:spacing w:after="0" w:line="247" w:lineRule="auto"/>
        <w:rPr>
          <w:sz w:val="20"/>
          <w:szCs w:val="20"/>
          <w:color w:val="auto"/>
        </w:rPr>
      </w:pPr>
      <w:r>
        <w:rPr>
          <w:rFonts w:ascii="Arial" w:cs="Arial" w:eastAsia="Arial" w:hAnsi="Arial"/>
          <w:sz w:val="16"/>
          <w:szCs w:val="16"/>
          <w:color w:val="auto"/>
        </w:rPr>
        <w:t>The Company determines the appropriate classification of all marketable securities as “held-to-maturity,” “available-for-sale” or “trading” at the time of purchase and re-evaluates such classifications as of each balance sheet date. As of December 31, 2020, and 2019, the Company’s marketable securities were classified as trading.</w:t>
      </w:r>
    </w:p>
    <w:p>
      <w:pPr>
        <w:spacing w:after="0" w:line="101" w:lineRule="exact"/>
        <w:rPr>
          <w:sz w:val="20"/>
          <w:szCs w:val="20"/>
          <w:color w:val="auto"/>
        </w:rPr>
      </w:pPr>
    </w:p>
    <w:p>
      <w:pPr>
        <w:ind w:right="380" w:firstLine="522"/>
        <w:spacing w:after="0" w:line="265" w:lineRule="auto"/>
        <w:rPr>
          <w:sz w:val="20"/>
          <w:szCs w:val="20"/>
          <w:color w:val="auto"/>
        </w:rPr>
      </w:pPr>
      <w:r>
        <w:rPr>
          <w:rFonts w:ascii="Arial" w:cs="Arial" w:eastAsia="Arial" w:hAnsi="Arial"/>
          <w:sz w:val="16"/>
          <w:szCs w:val="16"/>
          <w:color w:val="auto"/>
        </w:rPr>
        <w:t>Trading securities are carried at fair value with the unrealized gain or loss recognized in Other (expense) income, net. The fair value of the Company’s investment securities is determined by currently available market prices. See NOTE 7, “Fair Value of Financial Instruments” for more details.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Inventories</w:t>
      </w:r>
    </w:p>
    <w:p>
      <w:pPr>
        <w:spacing w:after="0" w:line="131" w:lineRule="exact"/>
        <w:rPr>
          <w:sz w:val="20"/>
          <w:szCs w:val="20"/>
          <w:color w:val="auto"/>
        </w:rPr>
      </w:pPr>
    </w:p>
    <w:p>
      <w:pPr>
        <w:ind w:right="440" w:firstLine="522"/>
        <w:spacing w:after="0" w:line="247" w:lineRule="auto"/>
        <w:rPr>
          <w:sz w:val="20"/>
          <w:szCs w:val="20"/>
          <w:color w:val="auto"/>
        </w:rPr>
      </w:pPr>
      <w:r>
        <w:rPr>
          <w:rFonts w:ascii="Arial" w:cs="Arial" w:eastAsia="Arial" w:hAnsi="Arial"/>
          <w:sz w:val="16"/>
          <w:szCs w:val="16"/>
          <w:color w:val="auto"/>
        </w:rPr>
        <w:t>Inventories are stated at the lower of cost and net realizable value. The Company determines cost using the first-in, first-out method. The Company analyzes inventory on a quarterly basis to determine whether it is excess or obsolete inventory. Any decline in carrying value of estimated excess or obsolete inventory is recorded as a reduction of inventory and as an expense included in Cost of sales in the period it is identified.</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Property, Plant and Equipment</w:t>
      </w:r>
    </w:p>
    <w:p>
      <w:pPr>
        <w:spacing w:after="0" w:line="131" w:lineRule="exact"/>
        <w:rPr>
          <w:sz w:val="20"/>
          <w:szCs w:val="20"/>
          <w:color w:val="auto"/>
        </w:rPr>
      </w:pPr>
    </w:p>
    <w:p>
      <w:pPr>
        <w:ind w:right="220" w:firstLine="522"/>
        <w:spacing w:after="0" w:line="265" w:lineRule="auto"/>
        <w:rPr>
          <w:sz w:val="20"/>
          <w:szCs w:val="20"/>
          <w:color w:val="auto"/>
        </w:rPr>
      </w:pPr>
      <w:r>
        <w:rPr>
          <w:rFonts w:ascii="Arial" w:cs="Arial" w:eastAsia="Arial" w:hAnsi="Arial"/>
          <w:sz w:val="16"/>
          <w:szCs w:val="16"/>
          <w:color w:val="auto"/>
        </w:rPr>
        <w:t>Property, plant and equipment are recorded at cost less accumulated depreciation. Depreciation expense is recorded using the straight-line method over the following estimated lives: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3"/>
                <w:szCs w:val="13"/>
                <w:b w:val="1"/>
                <w:bCs w:val="1"/>
                <w:color w:val="auto"/>
                <w:w w:val="98"/>
              </w:rPr>
              <w:t>Range in</w:t>
            </w:r>
          </w:p>
        </w:tc>
      </w:tr>
      <w:tr>
        <w:trPr>
          <w:trHeight w:val="153"/>
        </w:trPr>
        <w:tc>
          <w:tcPr>
            <w:tcW w:w="9260" w:type="dxa"/>
            <w:vAlign w:val="bottom"/>
            <w:tcBorders>
              <w:bottom w:val="single" w:sz="8" w:color="CFF0FC"/>
            </w:tcBorders>
          </w:tcPr>
          <w:p>
            <w:pPr>
              <w:spacing w:after="0"/>
              <w:rPr>
                <w:sz w:val="13"/>
                <w:szCs w:val="13"/>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r>
      <w:tr>
        <w:trPr>
          <w:trHeight w:val="180"/>
        </w:trPr>
        <w:tc>
          <w:tcPr>
            <w:tcW w:w="9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Land improvements</w:t>
            </w:r>
          </w:p>
        </w:tc>
        <w:tc>
          <w:tcPr>
            <w:tcW w:w="2000" w:type="dxa"/>
            <w:vAlign w:val="bottom"/>
            <w:shd w:val="clear" w:color="auto" w:fill="CFF0FC"/>
          </w:tcPr>
          <w:p>
            <w:pPr>
              <w:jc w:val="center"/>
              <w:spacing w:after="0" w:line="180" w:lineRule="exact"/>
              <w:rPr>
                <w:sz w:val="20"/>
                <w:szCs w:val="20"/>
                <w:color w:val="auto"/>
              </w:rPr>
            </w:pPr>
            <w:r>
              <w:rPr>
                <w:rFonts w:ascii="Arial" w:cs="Arial" w:eastAsia="Arial" w:hAnsi="Arial"/>
                <w:sz w:val="16"/>
                <w:szCs w:val="16"/>
                <w:color w:val="auto"/>
              </w:rPr>
              <w:t>5–30</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Buildings and building improvements</w:t>
            </w:r>
          </w:p>
        </w:tc>
        <w:tc>
          <w:tcPr>
            <w:tcW w:w="2000" w:type="dxa"/>
            <w:vAlign w:val="bottom"/>
          </w:tcPr>
          <w:p>
            <w:pPr>
              <w:jc w:val="center"/>
              <w:spacing w:after="0"/>
              <w:rPr>
                <w:sz w:val="20"/>
                <w:szCs w:val="20"/>
                <w:color w:val="auto"/>
              </w:rPr>
            </w:pPr>
            <w:r>
              <w:rPr>
                <w:rFonts w:ascii="Arial" w:cs="Arial" w:eastAsia="Arial" w:hAnsi="Arial"/>
                <w:sz w:val="16"/>
                <w:szCs w:val="16"/>
                <w:color w:val="auto"/>
              </w:rPr>
              <w:t>10–40</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Machinery and equipment</w:t>
            </w:r>
          </w:p>
        </w:tc>
        <w:tc>
          <w:tcPr>
            <w:tcW w:w="2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2–20</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Software</w:t>
            </w:r>
          </w:p>
        </w:tc>
        <w:tc>
          <w:tcPr>
            <w:tcW w:w="2000" w:type="dxa"/>
            <w:vAlign w:val="bottom"/>
          </w:tcPr>
          <w:p>
            <w:pPr>
              <w:jc w:val="center"/>
              <w:spacing w:after="0"/>
              <w:rPr>
                <w:sz w:val="20"/>
                <w:szCs w:val="20"/>
                <w:color w:val="auto"/>
              </w:rPr>
            </w:pPr>
            <w:r>
              <w:rPr>
                <w:rFonts w:ascii="Arial" w:cs="Arial" w:eastAsia="Arial" w:hAnsi="Arial"/>
                <w:sz w:val="16"/>
                <w:szCs w:val="16"/>
                <w:color w:val="auto"/>
                <w:w w:val="95"/>
              </w:rPr>
              <w:t>2 – 5</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Special tooling</w:t>
            </w:r>
          </w:p>
        </w:tc>
        <w:tc>
          <w:tcPr>
            <w:tcW w:w="2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2–10</w:t>
            </w:r>
          </w:p>
        </w:tc>
      </w:tr>
    </w:tbl>
    <w:p>
      <w:pPr>
        <w:spacing w:after="0" w:line="155" w:lineRule="exact"/>
        <w:rPr>
          <w:sz w:val="20"/>
          <w:szCs w:val="20"/>
          <w:color w:val="auto"/>
        </w:rPr>
      </w:pPr>
    </w:p>
    <w:p>
      <w:pPr>
        <w:ind w:right="60" w:firstLine="522"/>
        <w:spacing w:after="0" w:line="265" w:lineRule="auto"/>
        <w:rPr>
          <w:sz w:val="20"/>
          <w:szCs w:val="20"/>
          <w:color w:val="auto"/>
        </w:rPr>
      </w:pPr>
      <w:r>
        <w:rPr>
          <w:rFonts w:ascii="Arial" w:cs="Arial" w:eastAsia="Arial" w:hAnsi="Arial"/>
          <w:sz w:val="16"/>
          <w:szCs w:val="16"/>
          <w:color w:val="auto"/>
        </w:rPr>
        <w:t>Software represents the costs of software developed or obtained for internal use. Software costs are amortized on a straight-line basis over their estimated useful lives. Software assets are reviewed for impairment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3"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color w:val="auto"/>
        </w:rPr>
        <w:t>when events or circumstances indicate that the carrying value may not be recoverable over the remaining lives of the assets. Upgrades and enhancements are capitalized if they result in added functionality, which enables the software to perform tasks it was previously incapable of performing. Software maintenance, training, data conversion and business process reengineering costs are expensed in the period in which they are incurred.</w:t>
      </w:r>
    </w:p>
    <w:p>
      <w:pPr>
        <w:spacing w:after="0" w:line="101" w:lineRule="exact"/>
        <w:rPr>
          <w:sz w:val="20"/>
          <w:szCs w:val="20"/>
          <w:color w:val="auto"/>
        </w:rPr>
      </w:pPr>
    </w:p>
    <w:p>
      <w:pPr>
        <w:ind w:right="60" w:firstLine="522"/>
        <w:spacing w:after="0" w:line="241" w:lineRule="auto"/>
        <w:rPr>
          <w:sz w:val="20"/>
          <w:szCs w:val="20"/>
          <w:color w:val="auto"/>
        </w:rPr>
      </w:pPr>
      <w:r>
        <w:rPr>
          <w:rFonts w:ascii="Arial" w:cs="Arial" w:eastAsia="Arial" w:hAnsi="Arial"/>
          <w:sz w:val="16"/>
          <w:szCs w:val="16"/>
          <w:color w:val="auto"/>
        </w:rPr>
        <w:t>Special tooling represents the costs to design and develop tools, dies, jigs and other items owned by the Company and used in the manufacture of components by suppliers under long-term supply agreements. Special tooling is depreciated over the tool’s expected life. Special tooling used in the development of new technology is expensed as incurred. Engineering, testing and other costs incurred in the design and development of production parts are expensed as incurred.</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131" w:lineRule="exact"/>
        <w:rPr>
          <w:sz w:val="20"/>
          <w:szCs w:val="20"/>
          <w:color w:val="auto"/>
        </w:rPr>
      </w:pPr>
    </w:p>
    <w:p>
      <w:pPr>
        <w:ind w:firstLine="522"/>
        <w:spacing w:after="0" w:line="239" w:lineRule="auto"/>
        <w:rPr>
          <w:sz w:val="20"/>
          <w:szCs w:val="20"/>
          <w:color w:val="auto"/>
        </w:rPr>
      </w:pPr>
      <w:r>
        <w:rPr>
          <w:rFonts w:ascii="Arial" w:cs="Arial" w:eastAsia="Arial" w:hAnsi="Arial"/>
          <w:sz w:val="16"/>
          <w:szCs w:val="16"/>
          <w:color w:val="auto"/>
        </w:rPr>
        <w:t>The carrying value of long-lived assets is evaluated whenever events or circumstances indicate that the carrying value of an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05" w:lineRule="exact"/>
        <w:rPr>
          <w:sz w:val="20"/>
          <w:szCs w:val="20"/>
          <w:color w:val="auto"/>
        </w:rPr>
      </w:pPr>
    </w:p>
    <w:p>
      <w:pPr>
        <w:ind w:right="40" w:firstLine="522"/>
        <w:spacing w:after="0" w:line="247" w:lineRule="auto"/>
        <w:rPr>
          <w:sz w:val="20"/>
          <w:szCs w:val="20"/>
          <w:color w:val="auto"/>
        </w:rPr>
      </w:pPr>
      <w:r>
        <w:rPr>
          <w:rFonts w:ascii="Arial" w:cs="Arial" w:eastAsia="Arial" w:hAnsi="Arial"/>
          <w:sz w:val="16"/>
          <w:szCs w:val="16"/>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Goodwill and Other Intangible Assets</w:t>
      </w:r>
    </w:p>
    <w:p>
      <w:pPr>
        <w:spacing w:after="0" w:line="131" w:lineRule="exact"/>
        <w:rPr>
          <w:sz w:val="20"/>
          <w:szCs w:val="20"/>
          <w:color w:val="auto"/>
        </w:rPr>
      </w:pPr>
    </w:p>
    <w:p>
      <w:pPr>
        <w:ind w:firstLine="522"/>
        <w:spacing w:after="0" w:line="251" w:lineRule="auto"/>
        <w:rPr>
          <w:sz w:val="20"/>
          <w:szCs w:val="20"/>
          <w:color w:val="auto"/>
        </w:rPr>
      </w:pPr>
      <w:r>
        <w:rPr>
          <w:rFonts w:ascii="Arial" w:cs="Arial" w:eastAsia="Arial" w:hAnsi="Arial"/>
          <w:sz w:val="15"/>
          <w:szCs w:val="15"/>
          <w:color w:val="auto"/>
        </w:rPr>
        <w:t>Goodwill represents the excess of purchase price paid over the fair value of net assets acquired. In accordance with the FASB’s authoritative accounting guidance on goodwill, the Company does not amortize goodwill but rather evaluates it for impairment on an annual basis, or more often if events or circumstances change that could cause goodwill to become impaired. Goodwill is tested for impairment at the reporting unit level, which is the same as the Company’s one operating and reportable segment. The Company does not aggregate any components into its reporting unit. The Company has elected to perform its annual goodwill impairment test on October 31 of every year using a multi-step impairment test. In Step 0, the Company has the option to evaluate various qualitative factors to determine the likelihood of impairment. If determined that the fair value is more likely than not less than the carrying value, then the Company is required to perform Step 1. If the Company does not elect to perform Step 0, it can voluntarily proceed directly to Step 1. In Step 1, the Company performs a quantitative analysis to compare the fair value of its reporting unit to its carrying value including goodwill. If the fair value of the reporting unit exceeds the carrying value of the net assets assigned to that unit, goodwill is not considered impaired, and the Company is not required to perform further testing. If the carrying value of a reporting unit’s goodwill exceeds its carrying value of net assets, then the Company would record an impairment loss equal to the difference.</w:t>
      </w:r>
    </w:p>
    <w:p>
      <w:pPr>
        <w:spacing w:after="0" w:line="98" w:lineRule="exact"/>
        <w:rPr>
          <w:sz w:val="20"/>
          <w:szCs w:val="20"/>
          <w:color w:val="auto"/>
        </w:rPr>
      </w:pPr>
    </w:p>
    <w:p>
      <w:pPr>
        <w:ind w:right="60" w:firstLine="522"/>
        <w:spacing w:after="0" w:line="236" w:lineRule="auto"/>
        <w:rPr>
          <w:sz w:val="20"/>
          <w:szCs w:val="20"/>
          <w:color w:val="auto"/>
        </w:rPr>
      </w:pPr>
      <w:r>
        <w:rPr>
          <w:rFonts w:ascii="Arial" w:cs="Arial" w:eastAsia="Arial" w:hAnsi="Arial"/>
          <w:sz w:val="16"/>
          <w:szCs w:val="16"/>
          <w:color w:val="auto"/>
        </w:rPr>
        <w:t>Goodwill impairment testing for 2020 was performed using the Step 1 quantitative analysis. The fair value was determined utilizing a discounted cash flow model which includes key assumptions, such as net sales growth derived from market information, industry reports, marketing programs and certain growth initiatives; operating margin improvements derived from cost reduction programs and fixed cost leverage driven by higher sales volumes; and a risk-adjusted discount rate. Events or circumstances that could unfavorably impact the key assumptions include lower net sales driven by market conditions, our inability to execute on marketing programs and/or growth initiatives, lower gross margins as a result of market conditions or failure to obtain forecasted cost reductions, or a higher discount rate as a result of market conditions. While unpredictable and inherently uncertain, the Company believes the forecast estimates were reasonable and incorporate assumptions that similar market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participants would use in their estimates of fair value. Refer to NOTE 6, “Goodwill and Other Intangible Assets” for further information.</w:t>
      </w:r>
    </w:p>
    <w:p>
      <w:pPr>
        <w:spacing w:after="0" w:line="133" w:lineRule="exact"/>
        <w:rPr>
          <w:sz w:val="20"/>
          <w:szCs w:val="20"/>
          <w:color w:val="auto"/>
        </w:rPr>
      </w:pPr>
    </w:p>
    <w:p>
      <w:pPr>
        <w:ind w:right="80" w:firstLine="522"/>
        <w:spacing w:after="0" w:line="234" w:lineRule="auto"/>
        <w:rPr>
          <w:sz w:val="20"/>
          <w:szCs w:val="20"/>
          <w:color w:val="auto"/>
        </w:rPr>
      </w:pPr>
      <w:r>
        <w:rPr>
          <w:rFonts w:ascii="Arial" w:cs="Arial" w:eastAsia="Arial" w:hAnsi="Arial"/>
          <w:sz w:val="16"/>
          <w:szCs w:val="16"/>
          <w:color w:val="auto"/>
        </w:rPr>
        <w:t>Other intangible assets have both indefinite and finite useful lives. Intangible assets with indefinite useful lives, such as the Allison Transmission trade name and in-process research and development, are not amortized but are tested annually for impairment, or more often if events or circumstances change that could cause intangible assets with indefinite useful lives to become impaired. The Company has elected to perform its annual indefinite lived intangible assets impairment test on October 31 of every year and follow a similar multi-step impairment test to that performed on goodwill. Events or circumstances that could unfavorably impact the key assumptions include lower net sales driven by market conditions, the Company's inability to execute on growth strategies or marketing programs, delay in introduction of new products and higher discount rate as a result of market conditions. While unpredictable and inherently uncertain, the Company believes the forecast estimates are reasonable and incorporate those assumptions that similar market participants would use in their estimates of fair value. After reviewing various qualitative factors, the Company’s annual 2020 indefinite lived intangible assets impairment test indicated that the fair value of the Company’s indefinite lived intangible assets more likely than not exceeded their carrying value, indicating no impairment. Refer to NOTE 6, “Goodwill and Other Intangible Assets” for further information.</w:t>
      </w:r>
    </w:p>
    <w:p>
      <w:pPr>
        <w:spacing w:after="0" w:line="108" w:lineRule="exact"/>
        <w:rPr>
          <w:sz w:val="20"/>
          <w:szCs w:val="20"/>
          <w:color w:val="auto"/>
        </w:rPr>
      </w:pPr>
    </w:p>
    <w:p>
      <w:pPr>
        <w:ind w:firstLine="522"/>
        <w:spacing w:after="0" w:line="252" w:lineRule="auto"/>
        <w:rPr>
          <w:sz w:val="20"/>
          <w:szCs w:val="20"/>
          <w:color w:val="auto"/>
        </w:rPr>
      </w:pPr>
      <w:r>
        <w:rPr>
          <w:rFonts w:ascii="Arial" w:cs="Arial" w:eastAsia="Arial" w:hAnsi="Arial"/>
          <w:sz w:val="15"/>
          <w:szCs w:val="15"/>
          <w:color w:val="auto"/>
        </w:rPr>
        <w:t>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life intangibles are amortized on a straight-line basis over their useful lives. The Company evaluates the remaining useful life of the other intangible assets on a periodic basis to determine whether events or circumstances warrant a revision to the remaining useful life. Assumptions and estimates about future values and remaining useful lives of the Company’s intangible and other long-lived assets are complex and subjective. Such assumptions and estimates can be affected by a variety of factors, including external factors such as industry and economic trends, and internal factors, such as changes in the Company’s business strategy and internal forecasts. Although management believes the historical assumptions and estimates are reasonable and appropriate, different assumptions and estimates could materially impact the Company’s reported financial results. Refer to NOTE 6 “Goodwill and Other Intangible Assets” for further information.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Deferred Financing Costs</w:t>
      </w:r>
    </w:p>
    <w:p>
      <w:pPr>
        <w:spacing w:after="0" w:line="131" w:lineRule="exact"/>
        <w:rPr>
          <w:sz w:val="20"/>
          <w:szCs w:val="20"/>
          <w:color w:val="auto"/>
        </w:rPr>
      </w:pPr>
    </w:p>
    <w:p>
      <w:pPr>
        <w:ind w:firstLine="522"/>
        <w:spacing w:after="0" w:line="241" w:lineRule="auto"/>
        <w:rPr>
          <w:sz w:val="20"/>
          <w:szCs w:val="20"/>
          <w:color w:val="auto"/>
        </w:rPr>
      </w:pPr>
      <w:r>
        <w:rPr>
          <w:rFonts w:ascii="Arial" w:cs="Arial" w:eastAsia="Arial" w:hAnsi="Arial"/>
          <w:sz w:val="16"/>
          <w:szCs w:val="16"/>
          <w:color w:val="auto"/>
        </w:rPr>
        <w:t>The debt issuance costs related to line-of-credit arrangements is presented as a component of other non-current assets. The debt issuance costs related to other types of debt instruments such as notes and loans are presented as a component of long-term debt. Deferred financing costs continue to be amortized over the life of the related debt using the effective interest method. Amortization of deferred financing costs is recorded as part of interest expense and totaled $4 million, $5 million and $6 million for the years ended December 31, 2020, 2019 and 2018, respectively.</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Financial Instruments</w:t>
      </w:r>
    </w:p>
    <w:p>
      <w:pPr>
        <w:spacing w:after="0" w:line="131" w:lineRule="exact"/>
        <w:rPr>
          <w:sz w:val="20"/>
          <w:szCs w:val="20"/>
          <w:color w:val="auto"/>
        </w:rPr>
      </w:pPr>
    </w:p>
    <w:p>
      <w:pPr>
        <w:ind w:right="60" w:firstLine="522"/>
        <w:spacing w:after="0" w:line="263" w:lineRule="auto"/>
        <w:rPr>
          <w:sz w:val="20"/>
          <w:szCs w:val="20"/>
          <w:color w:val="auto"/>
        </w:rPr>
      </w:pPr>
      <w:r>
        <w:rPr>
          <w:rFonts w:ascii="Arial" w:cs="Arial" w:eastAsia="Arial" w:hAnsi="Arial"/>
          <w:sz w:val="15"/>
          <w:szCs w:val="15"/>
          <w:color w:val="auto"/>
        </w:rPr>
        <w:t>The Company’s cash equivalents are invested in U.S. government backed securities and recorded at fair value in the Consolidated Balance Sheets. The carrying values of accounts receivable and accounts payable approximate fair value due to their short-term nature. The Company’s financial derivative instruments, including interest rate swaps, are carried at fair value on the Consolidated Balance Sheets. Refer to NOTE 7, “Fair Value of Financial Instruments” for more detail. The Company’s long-term debt obligations are carried at historical amounts with the Company providing fair value disclosure in NOTE 8, “Debt”.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Insurable Liabilities</w:t>
      </w:r>
    </w:p>
    <w:p>
      <w:pPr>
        <w:spacing w:after="0" w:line="131" w:lineRule="exact"/>
        <w:rPr>
          <w:sz w:val="20"/>
          <w:szCs w:val="20"/>
          <w:color w:val="auto"/>
        </w:rPr>
      </w:pPr>
    </w:p>
    <w:p>
      <w:pPr>
        <w:ind w:firstLine="522"/>
        <w:spacing w:after="0" w:line="247" w:lineRule="auto"/>
        <w:rPr>
          <w:sz w:val="20"/>
          <w:szCs w:val="20"/>
          <w:color w:val="auto"/>
        </w:rPr>
      </w:pPr>
      <w:r>
        <w:rPr>
          <w:rFonts w:ascii="Arial" w:cs="Arial" w:eastAsia="Arial" w:hAnsi="Arial"/>
          <w:sz w:val="16"/>
          <w:szCs w:val="16"/>
          <w:color w:val="auto"/>
        </w:rPr>
        <w:t>The Company records liabilities for its medical, workers’ compensation, long-term disability, product, general and auto liabilities. The determination of these liabilities and related expenses is dependent on claims experience. For most of these liabilities, claims incurred but not yet reported are estimated based upon historical claims experience.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31" w:lineRule="exact"/>
        <w:rPr>
          <w:sz w:val="20"/>
          <w:szCs w:val="20"/>
          <w:color w:val="auto"/>
        </w:rPr>
      </w:pPr>
    </w:p>
    <w:p>
      <w:pPr>
        <w:ind w:right="120" w:firstLine="522"/>
        <w:spacing w:after="0" w:line="255" w:lineRule="auto"/>
        <w:rPr>
          <w:sz w:val="20"/>
          <w:szCs w:val="20"/>
          <w:color w:val="auto"/>
        </w:rPr>
      </w:pPr>
      <w:r>
        <w:rPr>
          <w:rFonts w:ascii="Arial" w:cs="Arial" w:eastAsia="Arial" w:hAnsi="Arial"/>
          <w:sz w:val="15"/>
          <w:szCs w:val="15"/>
          <w:color w:val="auto"/>
        </w:rPr>
        <w:t>The Company records sales as each distinct performance obligation within a contract is satisfied. The Company sells extended transmission coverage (“ETC”) for which sales are deferred. ETC sales are recognized ratably over the period of coverage, which typically ranges from one to five years after the standard warranty coverage ends. Costs associated with ETC programs are recorded as incurred during the extended period. Distributor and customer sales incentives, consisting of allowances and other rebates, are recorded as a reduction to Net sales when it is determined that the adjustment is not likely to reverse, historically on a quarterly basis. Incentive programs are generally product specific or region specific. Some factors used in estimating when an adjustment is not likely to reverse are the number of transmissions that will be affected by the incentive program and rate of acceptance of any incentive program.</w:t>
      </w:r>
    </w:p>
    <w:p>
      <w:pPr>
        <w:spacing w:after="0" w:line="98" w:lineRule="exact"/>
        <w:rPr>
          <w:sz w:val="20"/>
          <w:szCs w:val="20"/>
          <w:color w:val="auto"/>
        </w:rPr>
      </w:pPr>
    </w:p>
    <w:p>
      <w:pPr>
        <w:ind w:right="40" w:firstLine="522"/>
        <w:spacing w:after="0" w:line="236" w:lineRule="auto"/>
        <w:rPr>
          <w:sz w:val="20"/>
          <w:szCs w:val="20"/>
          <w:color w:val="auto"/>
        </w:rPr>
      </w:pPr>
      <w:r>
        <w:rPr>
          <w:rFonts w:ascii="Arial" w:cs="Arial" w:eastAsia="Arial" w:hAnsi="Arial"/>
          <w:sz w:val="16"/>
          <w:szCs w:val="16"/>
          <w:color w:val="auto"/>
        </w:rPr>
        <w:t>Sales under U.S. government production contracts are recognized at the point in time when control passes to the customer, or when the U.S. government accepts the transmission and is able to direct its use in certain bill-and-hold arrangements. Deferred revenue arises from cash received in advance of the culmination of the earnings process and is recognized as revenue in future periods when the applicable revenue recognition criteria have been met. Under the terms of previous U.S. government contracts, there were certain price reduction clauses and provisions for potential price reductions which were estimated at the time of sale based upon the Company’s history and experience and were recorded as a reduction to Net sales. Potential reductions may be attributed to a change in projected sales volumes or plant efficiencies which impact overall costs. The Company had $56 million recorded in the price reduction reserve account as of each of December 31, 2020 and 2019.</w:t>
      </w:r>
    </w:p>
    <w:p>
      <w:pPr>
        <w:spacing w:after="0" w:line="107" w:lineRule="exact"/>
        <w:rPr>
          <w:sz w:val="20"/>
          <w:szCs w:val="20"/>
          <w:color w:val="auto"/>
        </w:rPr>
      </w:pPr>
    </w:p>
    <w:p>
      <w:pPr>
        <w:ind w:right="140" w:firstLine="522"/>
        <w:spacing w:after="0" w:line="265" w:lineRule="auto"/>
        <w:rPr>
          <w:sz w:val="20"/>
          <w:szCs w:val="20"/>
          <w:color w:val="auto"/>
        </w:rPr>
      </w:pPr>
      <w:r>
        <w:rPr>
          <w:rFonts w:ascii="Arial" w:cs="Arial" w:eastAsia="Arial" w:hAnsi="Arial"/>
          <w:sz w:val="16"/>
          <w:szCs w:val="16"/>
          <w:color w:val="auto"/>
        </w:rPr>
        <w:t>The Company engages in licensing agreements with certain third parties for the use of the Company’s intellectual property. Deferred revenue arises from cash received in advance of the period of use of the intellectual property. Revenue is recognized over the license period as it is earned.</w:t>
      </w:r>
    </w:p>
    <w:p>
      <w:pPr>
        <w:spacing w:after="0" w:line="87" w:lineRule="exact"/>
        <w:rPr>
          <w:sz w:val="20"/>
          <w:szCs w:val="20"/>
          <w:color w:val="auto"/>
        </w:rPr>
      </w:pPr>
    </w:p>
    <w:p>
      <w:pPr>
        <w:ind w:right="500" w:firstLine="522"/>
        <w:spacing w:after="0" w:line="265" w:lineRule="auto"/>
        <w:rPr>
          <w:sz w:val="20"/>
          <w:szCs w:val="20"/>
          <w:color w:val="auto"/>
        </w:rPr>
      </w:pPr>
      <w:r>
        <w:rPr>
          <w:rFonts w:ascii="Arial" w:cs="Arial" w:eastAsia="Arial" w:hAnsi="Arial"/>
          <w:sz w:val="16"/>
          <w:szCs w:val="16"/>
          <w:color w:val="auto"/>
        </w:rPr>
        <w:t>The Company classifies shipping and handling billed to customers in Net sales and shipping and handling costs in Cost of sales, in accordance with authoritative accounting guidance.</w:t>
      </w:r>
    </w:p>
    <w:p>
      <w:pPr>
        <w:spacing w:after="0" w:line="87" w:lineRule="exact"/>
        <w:rPr>
          <w:sz w:val="20"/>
          <w:szCs w:val="20"/>
          <w:color w:val="auto"/>
        </w:rPr>
      </w:pPr>
    </w:p>
    <w:p>
      <w:pPr>
        <w:ind w:right="100" w:firstLine="522"/>
        <w:spacing w:after="0" w:line="247" w:lineRule="auto"/>
        <w:rPr>
          <w:sz w:val="20"/>
          <w:szCs w:val="20"/>
          <w:color w:val="auto"/>
        </w:rPr>
      </w:pPr>
      <w:r>
        <w:rPr>
          <w:rFonts w:ascii="Arial" w:cs="Arial" w:eastAsia="Arial" w:hAnsi="Arial"/>
          <w:sz w:val="16"/>
          <w:szCs w:val="16"/>
          <w:color w:val="auto"/>
        </w:rPr>
        <w:t>The Company contracts with various third parties to provide engineering services. These services are recorded as Net sales in accordance with the terms of the contract. The saleable engineering recorded was $16 million, $11 million and $3 million for the years ended December 31, 2020, 2019 and 2018, respectively. The associated costs are recorded in Cost of sales.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Warranty</w:t>
      </w:r>
    </w:p>
    <w:p>
      <w:pPr>
        <w:spacing w:after="0" w:line="131" w:lineRule="exact"/>
        <w:rPr>
          <w:sz w:val="20"/>
          <w:szCs w:val="20"/>
          <w:color w:val="auto"/>
        </w:rPr>
      </w:pPr>
    </w:p>
    <w:p>
      <w:pPr>
        <w:ind w:firstLine="522"/>
        <w:spacing w:after="0" w:line="252" w:lineRule="auto"/>
        <w:rPr>
          <w:sz w:val="20"/>
          <w:szCs w:val="20"/>
          <w:color w:val="auto"/>
        </w:rPr>
      </w:pPr>
      <w:r>
        <w:rPr>
          <w:rFonts w:ascii="Arial" w:cs="Arial" w:eastAsia="Arial" w:hAnsi="Arial"/>
          <w:sz w:val="15"/>
          <w:szCs w:val="15"/>
          <w:color w:val="auto"/>
        </w:rPr>
        <w:t>Provisions for estimated expenses related to product warranties are made at the time products are sold. Warranty claims arise when a transmission or propulsion solution manufactured by us fails while in service during the relevant warranty period. The warranty reserve is adjusted in Selling, general and administrative expense based on the Company’s current and historical warranty claims paid and associated repair costs. These estimates are established using historical information including the nature, frequency, and average cost of warranty claims and are adjusted as actual information becomes available. From time to time, the Company may initiate a specific field action program. As a result of the uncertainty surrounding the nature and frequency of specific field action programs, the liability for such programs is recorded when the Company commits to an action. The Company reviews and assesses the liability for these programs on a quarterly basis. The Company also assesses its ability to recover certain costs from its suppliers and records a receivable from the supplier when it believes a recovery is probable. Warranty costs may differ from those estimated if actual claim rates are higher or lower than the Company's historical rates.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31" w:lineRule="exact"/>
        <w:rPr>
          <w:sz w:val="20"/>
          <w:szCs w:val="20"/>
          <w:color w:val="auto"/>
        </w:rPr>
      </w:pPr>
    </w:p>
    <w:p>
      <w:pPr>
        <w:ind w:right="440" w:firstLine="522"/>
        <w:spacing w:after="0" w:line="265" w:lineRule="auto"/>
        <w:rPr>
          <w:sz w:val="20"/>
          <w:szCs w:val="20"/>
          <w:color w:val="auto"/>
        </w:rPr>
      </w:pPr>
      <w:r>
        <w:rPr>
          <w:rFonts w:ascii="Arial" w:cs="Arial" w:eastAsia="Arial" w:hAnsi="Arial"/>
          <w:sz w:val="16"/>
          <w:szCs w:val="16"/>
          <w:color w:val="auto"/>
        </w:rPr>
        <w:t>The Company incurs costs in connection with research and development programs that are expected to contribute to future earnings. Such costs are charged to Engineering — research and development as incurred.</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Environmental</w:t>
      </w:r>
    </w:p>
    <w:p>
      <w:pPr>
        <w:spacing w:after="0" w:line="131" w:lineRule="exact"/>
        <w:rPr>
          <w:sz w:val="20"/>
          <w:szCs w:val="20"/>
          <w:color w:val="auto"/>
        </w:rPr>
      </w:pPr>
    </w:p>
    <w:p>
      <w:pPr>
        <w:ind w:right="180" w:firstLine="522"/>
        <w:spacing w:after="0" w:line="265" w:lineRule="auto"/>
        <w:rPr>
          <w:sz w:val="20"/>
          <w:szCs w:val="20"/>
          <w:color w:val="auto"/>
        </w:rPr>
      </w:pPr>
      <w:r>
        <w:rPr>
          <w:rFonts w:ascii="Arial" w:cs="Arial" w:eastAsia="Arial" w:hAnsi="Arial"/>
          <w:sz w:val="16"/>
          <w:szCs w:val="16"/>
          <w:color w:val="auto"/>
        </w:rPr>
        <w:t>The Company accrues costs related to environmental matters when it is probable that the Company has incurred a liability related to a contaminated site and the costs can be reasonably estimated. For additional information, see NOTE 18, “Commitments and Contingencies”.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Foreign Currency Translation</w:t>
      </w:r>
    </w:p>
    <w:p>
      <w:pPr>
        <w:spacing w:after="0" w:line="131" w:lineRule="exact"/>
        <w:rPr>
          <w:sz w:val="20"/>
          <w:szCs w:val="20"/>
          <w:color w:val="auto"/>
        </w:rPr>
      </w:pPr>
    </w:p>
    <w:p>
      <w:pPr>
        <w:ind w:firstLine="522"/>
        <w:spacing w:after="0" w:line="239" w:lineRule="auto"/>
        <w:rPr>
          <w:sz w:val="20"/>
          <w:szCs w:val="20"/>
          <w:color w:val="auto"/>
        </w:rPr>
      </w:pPr>
      <w:r>
        <w:rPr>
          <w:rFonts w:ascii="Arial" w:cs="Arial" w:eastAsia="Arial" w:hAnsi="Arial"/>
          <w:sz w:val="16"/>
          <w:szCs w:val="16"/>
          <w:color w:val="auto"/>
        </w:rPr>
        <w:t>Most of the Company’s subsidiaries outside the United States prepare financial statements in currencies other than the U.S. Dollar. The functional currency for all of these subsidiaries is the local currency, except for the Company’s Hong Kong and Middle East subsidiaries which currently use the U.S. Dollar as their functional currency. Balances are translated at period-end exchange rates for assets and liabilities and monthly weighted-average exchange rates for revenues and expenses. The translation gains and losses are stated as a component of Accumulated Other Comprehensive Loss (“AOCL”) as disclosed in NOTE 17, “Accumulated Other Comprehensive Loss”.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Derivative Instruments</w:t>
      </w:r>
    </w:p>
    <w:p>
      <w:pPr>
        <w:spacing w:after="0" w:line="131" w:lineRule="exact"/>
        <w:rPr>
          <w:sz w:val="20"/>
          <w:szCs w:val="20"/>
          <w:color w:val="auto"/>
        </w:rPr>
      </w:pPr>
    </w:p>
    <w:p>
      <w:pPr>
        <w:ind w:right="100" w:firstLine="522"/>
        <w:spacing w:after="0" w:line="241" w:lineRule="auto"/>
        <w:rPr>
          <w:sz w:val="20"/>
          <w:szCs w:val="20"/>
          <w:color w:val="auto"/>
        </w:rPr>
      </w:pPr>
      <w:r>
        <w:rPr>
          <w:rFonts w:ascii="Arial" w:cs="Arial" w:eastAsia="Arial" w:hAnsi="Arial"/>
          <w:sz w:val="16"/>
          <w:szCs w:val="16"/>
          <w:color w:val="auto"/>
        </w:rPr>
        <w:t>In the normal course of business, the Company is exposed to fluctuations in interest rates, foreign currency exchange rates, and commodity prices. The risk is managed through the use of financial derivative instruments, when appropriate. The Company has qualified for and elected hedge accounting treatment on interest rate swap contracts. As necessary, the Company adjusts the values of the derivative instruments for counter-party or credit risk. NOTE 9, “Derivatives” provides further information on the accounting treatment of the Company’s derivative instruments.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Income Taxes</w:t>
      </w:r>
    </w:p>
    <w:p>
      <w:pPr>
        <w:spacing w:after="0" w:line="131" w:lineRule="exact"/>
        <w:rPr>
          <w:sz w:val="20"/>
          <w:szCs w:val="20"/>
          <w:color w:val="auto"/>
        </w:rPr>
      </w:pPr>
    </w:p>
    <w:p>
      <w:pPr>
        <w:ind w:right="40" w:firstLine="522"/>
        <w:spacing w:after="0" w:line="241"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which those temporary differences are expected to be recovered or settled. When releasing income tax effects from accumulated other comprehensive loss the Company utilizes the portfolio securities approach.</w:t>
      </w:r>
    </w:p>
    <w:p>
      <w:pPr>
        <w:spacing w:after="0" w:line="87" w:lineRule="exact"/>
        <w:rPr>
          <w:sz w:val="20"/>
          <w:szCs w:val="20"/>
          <w:color w:val="auto"/>
        </w:rPr>
      </w:pPr>
    </w:p>
    <w:p>
      <w:pPr>
        <w:ind w:right="80" w:firstLine="522"/>
        <w:spacing w:after="0" w:line="239" w:lineRule="auto"/>
        <w:rPr>
          <w:sz w:val="20"/>
          <w:szCs w:val="20"/>
          <w:color w:val="auto"/>
        </w:rPr>
      </w:pPr>
      <w:r>
        <w:rPr>
          <w:rFonts w:ascii="Arial" w:cs="Arial" w:eastAsia="Arial" w:hAnsi="Arial"/>
          <w:sz w:val="16"/>
          <w:szCs w:val="16"/>
          <w:color w:val="auto"/>
        </w:rPr>
        <w:t>The need to establish a valuation allowance against the deferred tax assets is assessed periodically based on a more-likely-than-not realization threshold, in accordance with the FASB’s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31" w:lineRule="exact"/>
        <w:rPr>
          <w:sz w:val="20"/>
          <w:szCs w:val="20"/>
          <w:color w:val="auto"/>
        </w:rPr>
      </w:pPr>
    </w:p>
    <w:p>
      <w:pPr>
        <w:ind w:right="40" w:firstLine="522"/>
        <w:spacing w:after="0" w:line="255" w:lineRule="auto"/>
        <w:rPr>
          <w:sz w:val="20"/>
          <w:szCs w:val="20"/>
          <w:color w:val="auto"/>
        </w:rPr>
      </w:pPr>
      <w:r>
        <w:rPr>
          <w:rFonts w:ascii="Arial" w:cs="Arial" w:eastAsia="Arial" w:hAnsi="Arial"/>
          <w:sz w:val="15"/>
          <w:szCs w:val="15"/>
          <w:color w:val="auto"/>
        </w:rPr>
        <w:t>In March 2015, the Company’s Board of Directors adopted and, in May 2015, the Company’s stockholders approved the Allison Transmission Holdings, Inc. 2015 Equity Incentive Award Plan (“2015 Plan”), which became effective on May 14, 2015. Under the 2015 Plan, certain employees (including executive officers), consultants and directors are eligible to receive equity-based compensation, including non-qualified stock options, incentive stock options, restricted stock, dividend equivalents, stock payments, restricted stock units (“RSUs”), performance awards, stock appreciation rights and other equity-based awards, or any combination thereof. The 2015 Plan limits the aggregate number of shares of common stock available for issue to 15 million and will expire on, and no option or other equity award may be granted pursuant to the 2015 Plan after, the tenth anniversary of the date the 2015 Plan was approved by the Board of Directors.</w:t>
      </w:r>
    </w:p>
    <w:p>
      <w:pPr>
        <w:spacing w:after="0" w:line="98" w:lineRule="exact"/>
        <w:rPr>
          <w:sz w:val="20"/>
          <w:szCs w:val="20"/>
          <w:color w:val="auto"/>
        </w:rPr>
      </w:pPr>
    </w:p>
    <w:p>
      <w:pPr>
        <w:ind w:firstLine="522"/>
        <w:spacing w:after="0" w:line="247" w:lineRule="auto"/>
        <w:rPr>
          <w:sz w:val="20"/>
          <w:szCs w:val="20"/>
          <w:color w:val="auto"/>
        </w:rPr>
      </w:pPr>
      <w:r>
        <w:rPr>
          <w:rFonts w:ascii="Arial" w:cs="Arial" w:eastAsia="Arial" w:hAnsi="Arial"/>
          <w:sz w:val="16"/>
          <w:szCs w:val="16"/>
          <w:color w:val="auto"/>
        </w:rPr>
        <w:t>Prior to the adoption of the 2015 Plan, the Company’s equity-based awards were granted under the Allison Transmission Holdings, Inc. 2011 Equity Incentive Award Plan (“Prior Plan”). As of the effective date of the 2015 Plan, no new awards will be granted under the Prior Plan, but the Prior Plan will continue to govern the equity awards issued under the Prior Plans.</w:t>
      </w:r>
    </w:p>
    <w:p>
      <w:pPr>
        <w:spacing w:after="0" w:line="101" w:lineRule="exact"/>
        <w:rPr>
          <w:sz w:val="20"/>
          <w:szCs w:val="20"/>
          <w:color w:val="auto"/>
        </w:rPr>
      </w:pPr>
    </w:p>
    <w:p>
      <w:pPr>
        <w:ind w:right="180" w:firstLine="522"/>
        <w:spacing w:after="0" w:line="239" w:lineRule="auto"/>
        <w:rPr>
          <w:sz w:val="20"/>
          <w:szCs w:val="20"/>
          <w:color w:val="auto"/>
        </w:rPr>
      </w:pPr>
      <w:r>
        <w:rPr>
          <w:rFonts w:ascii="Arial" w:cs="Arial" w:eastAsia="Arial" w:hAnsi="Arial"/>
          <w:sz w:val="16"/>
          <w:szCs w:val="16"/>
          <w:color w:val="auto"/>
        </w:rPr>
        <w:t>RSU grants are recorded at fair market value at the date of grant and vest upon continued performance of services by the RSU holders over one to three years. Performance unit grants are recorded at fair value based on a Monte-Carlo pricing model and the restrictions lapse on the date the Compensation Committee of the Board of Directors determines the number of shares that shall vest based on the related performance or market condition achievement. Non-qualified stock option grants are recorded at fair value using a Black-Scholes option pricing model and vest upon the continued performance of services by the option holder on the third anniversary of the grant date for awards under the 2015 Plan.</w:t>
      </w:r>
    </w:p>
    <w:p>
      <w:pPr>
        <w:spacing w:after="0" w:line="105" w:lineRule="exact"/>
        <w:rPr>
          <w:sz w:val="20"/>
          <w:szCs w:val="20"/>
          <w:color w:val="auto"/>
        </w:rPr>
      </w:pPr>
    </w:p>
    <w:p>
      <w:pPr>
        <w:ind w:right="360" w:firstLine="522"/>
        <w:spacing w:after="0" w:line="265" w:lineRule="auto"/>
        <w:rPr>
          <w:sz w:val="20"/>
          <w:szCs w:val="20"/>
          <w:color w:val="auto"/>
        </w:rPr>
      </w:pPr>
      <w:r>
        <w:rPr>
          <w:rFonts w:ascii="Arial" w:cs="Arial" w:eastAsia="Arial" w:hAnsi="Arial"/>
          <w:sz w:val="16"/>
          <w:szCs w:val="16"/>
          <w:color w:val="auto"/>
        </w:rPr>
        <w:t>The Company has made a policy election under applicable accounting guidance to account for forfeitures as a reduction of stock-based compensation expense when the forfeiture actually occurs.</w:t>
      </w:r>
    </w:p>
    <w:p>
      <w:pPr>
        <w:spacing w:after="0" w:line="87" w:lineRule="exact"/>
        <w:rPr>
          <w:sz w:val="20"/>
          <w:szCs w:val="20"/>
          <w:color w:val="auto"/>
        </w:rPr>
      </w:pPr>
    </w:p>
    <w:p>
      <w:pPr>
        <w:ind w:right="80" w:firstLine="522"/>
        <w:spacing w:after="0" w:line="247" w:lineRule="auto"/>
        <w:rPr>
          <w:sz w:val="20"/>
          <w:szCs w:val="20"/>
          <w:color w:val="auto"/>
        </w:rPr>
      </w:pPr>
      <w:r>
        <w:rPr>
          <w:rFonts w:ascii="Arial" w:cs="Arial" w:eastAsia="Arial" w:hAnsi="Arial"/>
          <w:sz w:val="16"/>
          <w:szCs w:val="16"/>
          <w:color w:val="auto"/>
        </w:rPr>
        <w:t>RSUs were granted to certain employees and directors at fair market value on the date of grant. The restrictions lapse upon continued performance by the RSU holder on the vest date which generally occurs over one, two or three years. RSU incentive compensation expense recorded was $6 million, $5 million and $5 million for the years ended December 31, 2020, 2019 and 2018, respectively.</w:t>
      </w:r>
    </w:p>
    <w:p>
      <w:pPr>
        <w:spacing w:after="0" w:line="101" w:lineRule="exact"/>
        <w:rPr>
          <w:sz w:val="20"/>
          <w:szCs w:val="20"/>
          <w:color w:val="auto"/>
        </w:rPr>
      </w:pPr>
    </w:p>
    <w:p>
      <w:pPr>
        <w:ind w:right="60" w:firstLine="522"/>
        <w:spacing w:after="0" w:line="247" w:lineRule="auto"/>
        <w:rPr>
          <w:sz w:val="20"/>
          <w:szCs w:val="20"/>
          <w:color w:val="auto"/>
        </w:rPr>
      </w:pPr>
      <w:r>
        <w:rPr>
          <w:rFonts w:ascii="Arial" w:cs="Arial" w:eastAsia="Arial" w:hAnsi="Arial"/>
          <w:sz w:val="16"/>
          <w:szCs w:val="16"/>
          <w:color w:val="auto"/>
        </w:rPr>
        <w:t>Performance-based awards, including performance units, were granted to certain employees at fair value at the date of grant. The Company records the fair value of each performance-based award based on a Monte-Carlo pricing model. Performance-based award incentive compensation expense recorded was $9 million, $6 million and $6 million for the years ended December 31, 2020, 2019 and 2018, respectively.</w:t>
      </w:r>
    </w:p>
    <w:p>
      <w:pPr>
        <w:spacing w:after="0" w:line="101" w:lineRule="exact"/>
        <w:rPr>
          <w:sz w:val="20"/>
          <w:szCs w:val="20"/>
          <w:color w:val="auto"/>
        </w:rPr>
      </w:pPr>
    </w:p>
    <w:p>
      <w:pPr>
        <w:ind w:right="480" w:firstLine="522"/>
        <w:spacing w:after="0" w:line="265" w:lineRule="auto"/>
        <w:rPr>
          <w:sz w:val="20"/>
          <w:szCs w:val="20"/>
          <w:color w:val="auto"/>
        </w:rPr>
      </w:pPr>
      <w:r>
        <w:rPr>
          <w:rFonts w:ascii="Arial" w:cs="Arial" w:eastAsia="Arial" w:hAnsi="Arial"/>
          <w:sz w:val="16"/>
          <w:szCs w:val="16"/>
          <w:color w:val="auto"/>
        </w:rPr>
        <w:t>Stock options were granted to certain employees at fair value on the date of grant using a Black-Scholes option pricing model. Stock option incentive compensation expense recorded was $2 million for each of the years ended December 31, 2020, 2019 and 2018.</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Pension and Post-retirement Benefit Plans</w:t>
      </w:r>
    </w:p>
    <w:p>
      <w:pPr>
        <w:spacing w:after="0" w:line="131" w:lineRule="exact"/>
        <w:rPr>
          <w:sz w:val="20"/>
          <w:szCs w:val="20"/>
          <w:color w:val="auto"/>
        </w:rPr>
      </w:pPr>
    </w:p>
    <w:p>
      <w:pPr>
        <w:ind w:right="240" w:firstLine="522"/>
        <w:spacing w:after="0" w:line="239" w:lineRule="auto"/>
        <w:rPr>
          <w:sz w:val="20"/>
          <w:szCs w:val="20"/>
          <w:color w:val="auto"/>
        </w:rPr>
      </w:pPr>
      <w:r>
        <w:rPr>
          <w:rFonts w:ascii="Arial" w:cs="Arial" w:eastAsia="Arial" w:hAnsi="Arial"/>
          <w:sz w:val="16"/>
          <w:szCs w:val="16"/>
          <w:color w:val="auto"/>
        </w:rPr>
        <w:t>For pension and other post-retirement benefits (“OPEB”) plans in which employees participate, costs are determined within the FASB’s authoritative accounting guidance set forth in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05" w:lineRule="exact"/>
        <w:rPr>
          <w:sz w:val="20"/>
          <w:szCs w:val="20"/>
          <w:color w:val="auto"/>
        </w:rPr>
      </w:pPr>
    </w:p>
    <w:p>
      <w:pPr>
        <w:ind w:right="340" w:firstLine="522"/>
        <w:spacing w:after="0" w:line="265" w:lineRule="auto"/>
        <w:rPr>
          <w:sz w:val="20"/>
          <w:szCs w:val="20"/>
          <w:color w:val="auto"/>
        </w:rPr>
      </w:pPr>
      <w:r>
        <w:rPr>
          <w:rFonts w:ascii="Arial" w:cs="Arial" w:eastAsia="Arial" w:hAnsi="Arial"/>
          <w:sz w:val="16"/>
          <w:szCs w:val="16"/>
          <w:color w:val="auto"/>
        </w:rPr>
        <w:t>Post-retirement benefit costs consist of service cost and interest cost on accrued obligations. Actuarial gains and losses on liabilities, together with any prior service costs, are charged (or credited) to income over the average remaining service lives of employees.</w:t>
      </w:r>
    </w:p>
    <w:p>
      <w:pPr>
        <w:spacing w:after="0" w:line="87" w:lineRule="exact"/>
        <w:rPr>
          <w:sz w:val="20"/>
          <w:szCs w:val="20"/>
          <w:color w:val="auto"/>
        </w:rPr>
      </w:pPr>
    </w:p>
    <w:p>
      <w:pPr>
        <w:ind w:right="100" w:firstLine="522"/>
        <w:spacing w:after="0" w:line="239" w:lineRule="auto"/>
        <w:rPr>
          <w:sz w:val="20"/>
          <w:szCs w:val="20"/>
          <w:color w:val="auto"/>
        </w:rPr>
      </w:pPr>
      <w:r>
        <w:rPr>
          <w:rFonts w:ascii="Arial" w:cs="Arial" w:eastAsia="Arial" w:hAnsi="Arial"/>
          <w:sz w:val="16"/>
          <w:szCs w:val="16"/>
          <w:color w:val="auto"/>
        </w:rPr>
        <w:t>The benefit cost components shown in the Consolidated Statements of Comprehensive Income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The Company reviews all actuarial assumptions on an annual basis. Changes in key economic indicators can change these assumptions. These assumptions, along with the actual value of assets at the measurement date, will impact the calculation of pension expenses for the following year.</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84" w:lineRule="exact"/>
        <w:rPr>
          <w:sz w:val="20"/>
          <w:szCs w:val="20"/>
          <w:color w:val="auto"/>
        </w:rPr>
      </w:pPr>
    </w:p>
    <w:p>
      <w:pPr>
        <w:ind w:right="60" w:firstLine="528"/>
        <w:spacing w:after="0" w:line="241" w:lineRule="auto"/>
        <w:rPr>
          <w:sz w:val="20"/>
          <w:szCs w:val="20"/>
          <w:color w:val="auto"/>
        </w:rPr>
      </w:pPr>
      <w:r>
        <w:rPr>
          <w:rFonts w:ascii="Arial" w:cs="Arial" w:eastAsia="Arial" w:hAnsi="Arial"/>
          <w:sz w:val="16"/>
          <w:szCs w:val="16"/>
          <w:color w:val="auto"/>
        </w:rPr>
        <w:t>In June 2016, the FASB issued authoritative accounting guidance on the presentation of financial assets at the net amount expected to be collected, which guidance has subsequently been amended. The guidance also requires the disclosure of financing receivables disaggregated by the year of origination. The Company adopted this guidance using a modified retrospective approach effective January 1, 2020. The adoption of this guidance did not have a material impact on the Company's consolidated financial statements.</w:t>
      </w:r>
    </w:p>
    <w:p>
      <w:pPr>
        <w:spacing w:after="0" w:line="106" w:lineRule="exact"/>
        <w:rPr>
          <w:sz w:val="20"/>
          <w:szCs w:val="20"/>
          <w:color w:val="auto"/>
        </w:rPr>
      </w:pPr>
    </w:p>
    <w:p>
      <w:pPr>
        <w:ind w:firstLine="522"/>
        <w:spacing w:after="0" w:line="247" w:lineRule="auto"/>
        <w:rPr>
          <w:sz w:val="20"/>
          <w:szCs w:val="20"/>
          <w:color w:val="auto"/>
        </w:rPr>
      </w:pPr>
      <w:r>
        <w:rPr>
          <w:rFonts w:ascii="Arial" w:cs="Arial" w:eastAsia="Arial" w:hAnsi="Arial"/>
          <w:sz w:val="16"/>
          <w:szCs w:val="16"/>
          <w:color w:val="auto"/>
        </w:rPr>
        <w:t>In August 2018, the FASB issued authoritative accounting guidance amending disclosure requirements for certain assets subject to fair value measurement. The guidance allows the Company to reduce the amount of disclosure on transfers between Level 1 and Level 2 assets. The Company adopted this guidance effective January 1, 2020. The adoption of this guidance did not have a material impact on the Company's consolidated financial statements.</w:t>
      </w:r>
    </w:p>
    <w:p>
      <w:pPr>
        <w:spacing w:after="0" w:line="101" w:lineRule="exact"/>
        <w:rPr>
          <w:sz w:val="20"/>
          <w:szCs w:val="20"/>
          <w:color w:val="auto"/>
        </w:rPr>
      </w:pPr>
    </w:p>
    <w:p>
      <w:pPr>
        <w:ind w:right="80" w:firstLine="522"/>
        <w:spacing w:after="0" w:line="241" w:lineRule="auto"/>
        <w:rPr>
          <w:sz w:val="20"/>
          <w:szCs w:val="20"/>
          <w:color w:val="auto"/>
        </w:rPr>
      </w:pPr>
      <w:r>
        <w:rPr>
          <w:rFonts w:ascii="Arial" w:cs="Arial" w:eastAsia="Arial" w:hAnsi="Arial"/>
          <w:sz w:val="16"/>
          <w:szCs w:val="16"/>
          <w:color w:val="auto"/>
        </w:rPr>
        <w:t>In August 2018, the FASB issued authoritative accounting guidance on accounting for implementation costs in hosting arrangements to align these costs with existing guidance for internally developed software. The stage of implementation must be assessed to determine if costs should be capitalized or expensed, and capitalized costs should be expensed during the noncancellable term of the agreement. The Company adopted this guidance on a prospective basis effective January 1, 2020. The adoption of this guidance did not have a material impact on the Company's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180" w:firstLine="528"/>
        <w:spacing w:after="0" w:line="247" w:lineRule="auto"/>
        <w:rPr>
          <w:sz w:val="20"/>
          <w:szCs w:val="20"/>
          <w:color w:val="auto"/>
        </w:rPr>
      </w:pPr>
      <w:r>
        <w:rPr>
          <w:rFonts w:ascii="Arial" w:cs="Arial" w:eastAsia="Arial" w:hAnsi="Arial"/>
          <w:sz w:val="16"/>
          <w:szCs w:val="16"/>
          <w:color w:val="auto"/>
        </w:rPr>
        <w:t>In August 2018, the FASB issued authoritative accounting guidance amending disclosure requirements for the Company's defined benefit pension plans and other postretirement benefit plan. The Company adopted this guidance using a retrospective approach effective January 1, 2020. The adoption of this guidance did not have a material impact on the Company's consolidated financial statements.</w:t>
      </w:r>
    </w:p>
    <w:p>
      <w:pPr>
        <w:spacing w:after="0" w:line="54" w:lineRule="exact"/>
        <w:rPr>
          <w:sz w:val="20"/>
          <w:szCs w:val="20"/>
          <w:color w:val="auto"/>
        </w:rPr>
      </w:pPr>
    </w:p>
    <w:p>
      <w:pPr>
        <w:ind w:firstLine="528"/>
        <w:spacing w:after="0" w:line="237" w:lineRule="auto"/>
        <w:rPr>
          <w:sz w:val="20"/>
          <w:szCs w:val="20"/>
          <w:color w:val="auto"/>
        </w:rPr>
      </w:pPr>
      <w:r>
        <w:rPr>
          <w:rFonts w:ascii="Arial" w:cs="Arial" w:eastAsia="Arial" w:hAnsi="Arial"/>
          <w:sz w:val="16"/>
          <w:szCs w:val="16"/>
          <w:color w:val="auto"/>
        </w:rPr>
        <w:t>In March 2020, the FASB issued authoritative accounting guidance regarding highly effective cash flow hedges affected by reference rate reform, which guidance was subsequently amended. The guidance allows the Company to continue to classify its interest rate hedges as highly effective subsequent to reference rate reform under certain circumstances. The Company adopted this guidance effective January 1, 2021 and will apply the guidance prospectively on all applicable transactions through December 31, 2022. Management expects to be able to elect the optional expedient within this guidance upon the Company’s transition from London Interbank Offered Rate (“LIBOR”) to an alternative reference rate. The election of the optional expedient is expected to allow for the continuation of the existing contract with no impact on the Company’s consolidated financial statements.</w:t>
      </w:r>
    </w:p>
    <w:p>
      <w:pPr>
        <w:spacing w:after="0" w:line="108" w:lineRule="exact"/>
        <w:rPr>
          <w:sz w:val="20"/>
          <w:szCs w:val="20"/>
          <w:color w:val="auto"/>
        </w:rPr>
      </w:pPr>
    </w:p>
    <w:p>
      <w:pPr>
        <w:ind w:right="20" w:firstLine="522"/>
        <w:spacing w:after="0" w:line="247" w:lineRule="auto"/>
        <w:rPr>
          <w:sz w:val="20"/>
          <w:szCs w:val="20"/>
          <w:color w:val="auto"/>
        </w:rPr>
      </w:pPr>
      <w:r>
        <w:rPr>
          <w:rFonts w:ascii="Arial" w:cs="Arial" w:eastAsia="Arial" w:hAnsi="Arial"/>
          <w:sz w:val="16"/>
          <w:szCs w:val="16"/>
          <w:color w:val="auto"/>
        </w:rPr>
        <w:t>In December 2019, the FASB issued authoritative accounting guidance to simplify the accounting for income taxes. The guidance identifies specific exceptions to be removed from the calculation and reporting of income taxes. The Company adopted this guidance effective January 1, 2021. The adoption of this guidance will not have a material impact on the Company's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REVENUE</w:t>
      </w:r>
    </w:p>
    <w:p>
      <w:pPr>
        <w:spacing w:after="0" w:line="135" w:lineRule="exact"/>
        <w:rPr>
          <w:sz w:val="20"/>
          <w:szCs w:val="20"/>
          <w:color w:val="auto"/>
        </w:rPr>
      </w:pPr>
    </w:p>
    <w:p>
      <w:pPr>
        <w:ind w:right="20" w:firstLine="522"/>
        <w:spacing w:after="0" w:line="239" w:lineRule="auto"/>
        <w:rPr>
          <w:sz w:val="20"/>
          <w:szCs w:val="20"/>
          <w:color w:val="auto"/>
        </w:rPr>
      </w:pPr>
      <w:r>
        <w:rPr>
          <w:rFonts w:ascii="Arial" w:cs="Arial" w:eastAsia="Arial" w:hAnsi="Arial"/>
          <w:sz w:val="16"/>
          <w:szCs w:val="16"/>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105" w:lineRule="exact"/>
        <w:rPr>
          <w:sz w:val="20"/>
          <w:szCs w:val="20"/>
          <w:color w:val="auto"/>
        </w:rPr>
      </w:pPr>
    </w:p>
    <w:p>
      <w:pPr>
        <w:ind w:right="340" w:firstLine="522"/>
        <w:spacing w:after="0" w:line="299" w:lineRule="auto"/>
        <w:rPr>
          <w:sz w:val="20"/>
          <w:szCs w:val="20"/>
          <w:color w:val="auto"/>
        </w:rPr>
      </w:pPr>
      <w:r>
        <w:rPr>
          <w:rFonts w:ascii="Arial" w:cs="Arial" w:eastAsia="Arial" w:hAnsi="Arial"/>
          <w:sz w:val="15"/>
          <w:szCs w:val="15"/>
          <w:color w:val="auto"/>
        </w:rPr>
        <w:t>Some of the Company's contracts include multiple performance obligations, most commonly the sale of both a transmission and ETC. The Company allocates the contract’s transaction price to each performance obligation based on the standalone selling price of each distinct good or service in the contract.</w:t>
      </w:r>
    </w:p>
    <w:p>
      <w:pPr>
        <w:spacing w:after="0" w:line="63" w:lineRule="exact"/>
        <w:rPr>
          <w:sz w:val="20"/>
          <w:szCs w:val="20"/>
          <w:color w:val="auto"/>
        </w:rPr>
      </w:pPr>
    </w:p>
    <w:p>
      <w:pPr>
        <w:ind w:firstLine="522"/>
        <w:spacing w:after="0" w:line="239" w:lineRule="auto"/>
        <w:rPr>
          <w:sz w:val="20"/>
          <w:szCs w:val="20"/>
          <w:color w:val="auto"/>
        </w:rPr>
      </w:pPr>
      <w:r>
        <w:rPr>
          <w:rFonts w:ascii="Arial" w:cs="Arial" w:eastAsia="Arial" w:hAnsi="Arial"/>
          <w:sz w:val="16"/>
          <w:szCs w:val="16"/>
          <w:color w:val="auto"/>
        </w:rPr>
        <w:t>The Company may also use volume 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historically on a quarterly basis. The Company estimates the impact of all other incentives based on the related sales and market conditions in the end market vocation. The Company recorded no material adjustments based on variable consideration during the years ended December 31, 2020 and 2019.</w:t>
      </w:r>
    </w:p>
    <w:p>
      <w:pPr>
        <w:spacing w:after="0" w:line="105" w:lineRule="exact"/>
        <w:rPr>
          <w:sz w:val="20"/>
          <w:szCs w:val="20"/>
          <w:color w:val="auto"/>
        </w:rPr>
      </w:pPr>
    </w:p>
    <w:p>
      <w:pPr>
        <w:ind w:right="60" w:firstLine="522"/>
        <w:spacing w:after="0" w:line="239" w:lineRule="auto"/>
        <w:rPr>
          <w:sz w:val="20"/>
          <w:szCs w:val="20"/>
          <w:color w:val="auto"/>
        </w:rPr>
      </w:pPr>
      <w:r>
        <w:rPr>
          <w:rFonts w:ascii="Arial" w:cs="Arial" w:eastAsia="Arial" w:hAnsi="Arial"/>
          <w:sz w:val="16"/>
          <w:szCs w:val="16"/>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December 31, 2020 and December 31, 2019. See NOTE 11, “Deferred Revenue” for more information including the amount of revenue earned during the year ended December 31, 2020 that had been previously deferred. The Company had no material contract assets as of December 31, 2020 and 2019.</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200" w:firstLine="522"/>
        <w:spacing w:after="0" w:line="247" w:lineRule="auto"/>
        <w:rPr>
          <w:sz w:val="20"/>
          <w:szCs w:val="20"/>
          <w:color w:val="auto"/>
        </w:rPr>
      </w:pPr>
      <w:r>
        <w:rPr>
          <w:rFonts w:ascii="Arial" w:cs="Arial" w:eastAsia="Arial" w:hAnsi="Arial"/>
          <w:sz w:val="16"/>
          <w:szCs w:val="16"/>
          <w:color w:val="auto"/>
        </w:rPr>
        <w:t>The Company has one operating segment and reportable segment. The Company is in one line of business, which is the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266"/>
              <w:spacing w:after="0"/>
              <w:rPr>
                <w:sz w:val="20"/>
                <w:szCs w:val="20"/>
                <w:color w:val="auto"/>
              </w:rPr>
            </w:pPr>
            <w:r>
              <w:rPr>
                <w:rFonts w:ascii="Arial" w:cs="Arial" w:eastAsia="Arial" w:hAnsi="Arial"/>
                <w:sz w:val="13"/>
                <w:szCs w:val="13"/>
                <w:b w:val="1"/>
                <w:bCs w:val="1"/>
                <w:color w:val="auto"/>
                <w:w w:val="94"/>
              </w:rPr>
              <w:t>Year ended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center"/>
              <w:ind w:right="286"/>
              <w:spacing w:after="0"/>
              <w:rPr>
                <w:sz w:val="20"/>
                <w:szCs w:val="20"/>
                <w:color w:val="auto"/>
              </w:rPr>
            </w:pPr>
            <w:r>
              <w:rPr>
                <w:rFonts w:ascii="Arial" w:cs="Arial" w:eastAsia="Arial" w:hAnsi="Arial"/>
                <w:sz w:val="13"/>
                <w:szCs w:val="13"/>
                <w:b w:val="1"/>
                <w:bCs w:val="1"/>
                <w:color w:val="auto"/>
                <w:w w:val="94"/>
              </w:rPr>
              <w:t>Year ended</w:t>
            </w:r>
          </w:p>
        </w:tc>
      </w:tr>
      <w:tr>
        <w:trPr>
          <w:trHeight w:val="141"/>
        </w:trPr>
        <w:tc>
          <w:tcPr>
            <w:tcW w:w="7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266"/>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286"/>
              <w:spacing w:after="0" w:line="141" w:lineRule="exact"/>
              <w:rPr>
                <w:sz w:val="20"/>
                <w:szCs w:val="20"/>
                <w:color w:val="auto"/>
              </w:rPr>
            </w:pPr>
            <w:r>
              <w:rPr>
                <w:rFonts w:ascii="Arial" w:cs="Arial" w:eastAsia="Arial" w:hAnsi="Arial"/>
                <w:sz w:val="13"/>
                <w:szCs w:val="13"/>
                <w:b w:val="1"/>
                <w:bCs w:val="1"/>
                <w:color w:val="auto"/>
                <w:w w:val="96"/>
              </w:rPr>
              <w:t>December 31,</w:t>
            </w:r>
          </w:p>
        </w:tc>
      </w:tr>
      <w:tr>
        <w:trPr>
          <w:trHeight w:val="153"/>
        </w:trPr>
        <w:tc>
          <w:tcPr>
            <w:tcW w:w="77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246"/>
              <w:spacing w:after="0"/>
              <w:rPr>
                <w:sz w:val="20"/>
                <w:szCs w:val="20"/>
                <w:color w:val="auto"/>
              </w:rPr>
            </w:pPr>
            <w:r>
              <w:rPr>
                <w:rFonts w:ascii="Arial" w:cs="Arial" w:eastAsia="Arial" w:hAnsi="Arial"/>
                <w:sz w:val="13"/>
                <w:szCs w:val="13"/>
                <w:b w:val="1"/>
                <w:bCs w:val="1"/>
                <w:color w:val="auto"/>
                <w:w w:val="96"/>
              </w:rPr>
              <w:t>2020</w:t>
            </w: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286"/>
              <w:spacing w:after="0"/>
              <w:rPr>
                <w:sz w:val="20"/>
                <w:szCs w:val="20"/>
                <w:color w:val="auto"/>
              </w:rPr>
            </w:pPr>
            <w:r>
              <w:rPr>
                <w:rFonts w:ascii="Arial" w:cs="Arial" w:eastAsia="Arial" w:hAnsi="Arial"/>
                <w:sz w:val="13"/>
                <w:szCs w:val="13"/>
                <w:b w:val="1"/>
                <w:bCs w:val="1"/>
                <w:color w:val="auto"/>
                <w:w w:val="89"/>
              </w:rPr>
              <w:t>2019</w:t>
            </w: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North America On-Highway</w:t>
            </w:r>
          </w:p>
        </w:tc>
        <w:tc>
          <w:tcPr>
            <w:tcW w:w="2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1,081</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1,474</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North America Off-Highway</w:t>
            </w:r>
          </w:p>
        </w:tc>
        <w:tc>
          <w:tcPr>
            <w:tcW w:w="220" w:type="dxa"/>
            <w:vAlign w:val="bottom"/>
          </w:tcPr>
          <w:p>
            <w:pPr>
              <w:spacing w:after="0"/>
              <w:rPr>
                <w:sz w:val="16"/>
                <w:szCs w:val="16"/>
                <w:color w:val="auto"/>
              </w:rPr>
            </w:pPr>
          </w:p>
        </w:tc>
        <w:tc>
          <w:tcPr>
            <w:tcW w:w="1440" w:type="dxa"/>
            <w:vAlign w:val="bottom"/>
          </w:tcPr>
          <w:p>
            <w:pPr>
              <w:jc w:val="right"/>
              <w:ind w:right="46"/>
              <w:spacing w:after="0"/>
              <w:rPr>
                <w:sz w:val="20"/>
                <w:szCs w:val="20"/>
                <w:color w:val="auto"/>
              </w:rPr>
            </w:pPr>
            <w:r>
              <w:rPr>
                <w:rFonts w:ascii="Arial" w:cs="Arial" w:eastAsia="Arial" w:hAnsi="Arial"/>
                <w:sz w:val="16"/>
                <w:szCs w:val="16"/>
                <w:b w:val="1"/>
                <w:bCs w:val="1"/>
                <w:color w:val="auto"/>
              </w:rPr>
              <w:t>13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6"/>
              <w:spacing w:after="0"/>
              <w:rPr>
                <w:sz w:val="20"/>
                <w:szCs w:val="20"/>
                <w:color w:val="auto"/>
              </w:rPr>
            </w:pPr>
            <w:r>
              <w:rPr>
                <w:rFonts w:ascii="Arial" w:cs="Arial" w:eastAsia="Arial" w:hAnsi="Arial"/>
                <w:sz w:val="16"/>
                <w:szCs w:val="16"/>
                <w:color w:val="auto"/>
              </w:rPr>
              <w:t>30</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Defense</w:t>
            </w: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182</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6"/>
              <w:spacing w:after="0"/>
              <w:rPr>
                <w:sz w:val="20"/>
                <w:szCs w:val="20"/>
                <w:color w:val="auto"/>
              </w:rPr>
            </w:pPr>
            <w:r>
              <w:rPr>
                <w:rFonts w:ascii="Arial" w:cs="Arial" w:eastAsia="Arial" w:hAnsi="Arial"/>
                <w:sz w:val="16"/>
                <w:szCs w:val="16"/>
                <w:color w:val="auto"/>
              </w:rPr>
              <w:t>151</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Outside North America On-Highway</w:t>
            </w:r>
          </w:p>
        </w:tc>
        <w:tc>
          <w:tcPr>
            <w:tcW w:w="220" w:type="dxa"/>
            <w:vAlign w:val="bottom"/>
          </w:tcPr>
          <w:p>
            <w:pPr>
              <w:spacing w:after="0"/>
              <w:rPr>
                <w:sz w:val="16"/>
                <w:szCs w:val="16"/>
                <w:color w:val="auto"/>
              </w:rPr>
            </w:pPr>
          </w:p>
        </w:tc>
        <w:tc>
          <w:tcPr>
            <w:tcW w:w="1440" w:type="dxa"/>
            <w:vAlign w:val="bottom"/>
          </w:tcPr>
          <w:p>
            <w:pPr>
              <w:jc w:val="right"/>
              <w:ind w:right="46"/>
              <w:spacing w:after="0"/>
              <w:rPr>
                <w:sz w:val="20"/>
                <w:szCs w:val="20"/>
                <w:color w:val="auto"/>
              </w:rPr>
            </w:pPr>
            <w:r>
              <w:rPr>
                <w:rFonts w:ascii="Arial" w:cs="Arial" w:eastAsia="Arial" w:hAnsi="Arial"/>
                <w:sz w:val="16"/>
                <w:szCs w:val="16"/>
                <w:b w:val="1"/>
                <w:bCs w:val="1"/>
                <w:color w:val="auto"/>
              </w:rPr>
              <w:t>280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6"/>
              <w:spacing w:after="0"/>
              <w:rPr>
                <w:sz w:val="20"/>
                <w:szCs w:val="20"/>
                <w:color w:val="auto"/>
              </w:rPr>
            </w:pPr>
            <w:r>
              <w:rPr>
                <w:rFonts w:ascii="Arial" w:cs="Arial" w:eastAsia="Arial" w:hAnsi="Arial"/>
                <w:sz w:val="16"/>
                <w:szCs w:val="16"/>
                <w:color w:val="auto"/>
              </w:rPr>
              <w:t>390</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Outside North America Off-Highway</w:t>
            </w: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61</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6"/>
              <w:spacing w:after="0"/>
              <w:rPr>
                <w:sz w:val="20"/>
                <w:szCs w:val="20"/>
                <w:color w:val="auto"/>
              </w:rPr>
            </w:pPr>
            <w:r>
              <w:rPr>
                <w:rFonts w:ascii="Arial" w:cs="Arial" w:eastAsia="Arial" w:hAnsi="Arial"/>
                <w:sz w:val="16"/>
                <w:szCs w:val="16"/>
                <w:color w:val="auto"/>
              </w:rPr>
              <w:t>109</w:t>
            </w:r>
          </w:p>
        </w:tc>
      </w:tr>
      <w:tr>
        <w:trPr>
          <w:trHeight w:val="188"/>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Service Parts, Support Equipment and Other</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464</w:t>
            </w:r>
          </w:p>
        </w:tc>
        <w:tc>
          <w:tcPr>
            <w:tcW w:w="1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color w:val="auto"/>
              </w:rPr>
              <w:t>544</w:t>
            </w:r>
          </w:p>
        </w:tc>
      </w:tr>
      <w:tr>
        <w:trPr>
          <w:trHeight w:val="180"/>
        </w:trPr>
        <w:tc>
          <w:tcPr>
            <w:tcW w:w="774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Net Sales</w:t>
            </w:r>
          </w:p>
        </w:tc>
        <w:tc>
          <w:tcPr>
            <w:tcW w:w="2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2,081</w:t>
            </w:r>
          </w:p>
        </w:tc>
        <w:tc>
          <w:tcPr>
            <w:tcW w:w="1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2,698</w:t>
            </w: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Disaggregated revenue by end market is further described as follows: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North America On-Highway</w:t>
      </w:r>
    </w:p>
    <w:p>
      <w:pPr>
        <w:spacing w:after="0" w:line="131" w:lineRule="exact"/>
        <w:rPr>
          <w:sz w:val="20"/>
          <w:szCs w:val="20"/>
          <w:color w:val="auto"/>
        </w:rPr>
      </w:pPr>
    </w:p>
    <w:p>
      <w:pPr>
        <w:ind w:right="220" w:firstLine="522"/>
        <w:spacing w:after="0" w:line="239" w:lineRule="auto"/>
        <w:rPr>
          <w:sz w:val="20"/>
          <w:szCs w:val="20"/>
          <w:color w:val="auto"/>
        </w:rPr>
      </w:pPr>
      <w:r>
        <w:rPr>
          <w:rFonts w:ascii="Arial" w:cs="Arial" w:eastAsia="Arial" w:hAnsi="Arial"/>
          <w:sz w:val="16"/>
          <w:szCs w:val="16"/>
          <w:color w:val="auto"/>
        </w:rPr>
        <w:t>Revenue from the North America On-Highway end market is driven by the sale of transmissions to Original Equipment Manufacturers (“OEMs”), distributors and dealers that install the product into Class 4-5, Class 6-7 and Class 8 straight trucks, conventional transit, shuttle and coach buses, school buses and motorhome applications. Revenue from the North America On-Highway end market also includes the sale of electric hybrid and fully electric propulsion solutions. Revenue is recognized at the point in time when control passes to the customer, which is based on shipping terms when the order is fulfilled by the Company.</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North America Off-Highway</w:t>
      </w:r>
    </w:p>
    <w:p>
      <w:pPr>
        <w:spacing w:after="0" w:line="131" w:lineRule="exact"/>
        <w:rPr>
          <w:sz w:val="20"/>
          <w:szCs w:val="20"/>
          <w:color w:val="auto"/>
        </w:rPr>
      </w:pPr>
    </w:p>
    <w:p>
      <w:pPr>
        <w:ind w:right="100" w:firstLine="522"/>
        <w:spacing w:after="0" w:line="247" w:lineRule="auto"/>
        <w:rPr>
          <w:sz w:val="20"/>
          <w:szCs w:val="20"/>
          <w:color w:val="auto"/>
        </w:rPr>
      </w:pPr>
      <w:r>
        <w:rPr>
          <w:rFonts w:ascii="Arial" w:cs="Arial" w:eastAsia="Arial" w:hAnsi="Arial"/>
          <w:sz w:val="16"/>
          <w:szCs w:val="16"/>
          <w:color w:val="auto"/>
        </w:rPr>
        <w:t>Revenue from the North America Off-Highway end market is driven by sales of transmissions to OEMs and distributors that serve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Defense</w:t>
      </w:r>
    </w:p>
    <w:p>
      <w:pPr>
        <w:spacing w:after="0" w:line="131" w:lineRule="exact"/>
        <w:rPr>
          <w:sz w:val="20"/>
          <w:szCs w:val="20"/>
          <w:color w:val="auto"/>
        </w:rPr>
      </w:pPr>
    </w:p>
    <w:p>
      <w:pPr>
        <w:ind w:right="160" w:firstLine="522"/>
        <w:spacing w:after="0" w:line="247" w:lineRule="auto"/>
        <w:rPr>
          <w:sz w:val="20"/>
          <w:szCs w:val="20"/>
          <w:color w:val="auto"/>
        </w:rPr>
      </w:pPr>
      <w:r>
        <w:rPr>
          <w:rFonts w:ascii="Arial" w:cs="Arial" w:eastAsia="Arial" w:hAnsi="Arial"/>
          <w:sz w:val="16"/>
          <w:szCs w:val="16"/>
          <w:color w:val="auto"/>
        </w:rPr>
        <w:t>Revenue from the Defense end market is driven by sales of transmissions to the U.S. Government or its contractors and sales to certain government contractors outside of the U.S. for use in both wheeled and tracked defense vehicle applications. Revenue is recognized at the point in time when control passes to the customer, which is based on shipping terms when the order is fulfilled by the Company.</w:t>
      </w:r>
    </w:p>
    <w:p>
      <w:pPr>
        <w:spacing w:after="0" w:line="101" w:lineRule="exact"/>
        <w:rPr>
          <w:sz w:val="20"/>
          <w:szCs w:val="20"/>
          <w:color w:val="auto"/>
        </w:rPr>
      </w:pPr>
    </w:p>
    <w:p>
      <w:pPr>
        <w:jc w:val="both"/>
        <w:ind w:right="140" w:firstLine="522"/>
        <w:spacing w:after="0" w:line="247" w:lineRule="auto"/>
        <w:rPr>
          <w:sz w:val="20"/>
          <w:szCs w:val="20"/>
          <w:color w:val="auto"/>
        </w:rPr>
      </w:pPr>
      <w:r>
        <w:rPr>
          <w:rFonts w:ascii="Arial" w:cs="Arial" w:eastAsia="Arial" w:hAnsi="Arial"/>
          <w:sz w:val="16"/>
          <w:szCs w:val="16"/>
          <w:color w:val="auto"/>
        </w:rPr>
        <w:t>Periodically, the Company and the U.S. Government will enter into a bill-and-hold arrangement where a completed transmission physically remains at the Company’s facility at the request of the U.S. Government. Revenue is recognized at the point in time when it is determined that the U.S. Government accepts the transmission and is able to direct its use.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Outside North America On-Highway</w:t>
      </w:r>
    </w:p>
    <w:p>
      <w:pPr>
        <w:spacing w:after="0" w:line="131" w:lineRule="exact"/>
        <w:rPr>
          <w:sz w:val="20"/>
          <w:szCs w:val="20"/>
          <w:color w:val="auto"/>
        </w:rPr>
      </w:pPr>
    </w:p>
    <w:p>
      <w:pPr>
        <w:ind w:right="40" w:firstLine="522"/>
        <w:spacing w:after="0" w:line="247" w:lineRule="auto"/>
        <w:rPr>
          <w:sz w:val="20"/>
          <w:szCs w:val="20"/>
          <w:color w:val="auto"/>
        </w:rPr>
      </w:pPr>
      <w:r>
        <w:rPr>
          <w:rFonts w:ascii="Arial" w:cs="Arial" w:eastAsia="Arial" w:hAnsi="Arial"/>
          <w:sz w:val="16"/>
          <w:szCs w:val="16"/>
          <w:color w:val="auto"/>
        </w:rPr>
        <w:t>Revenue from the Outside North America On-Highway end market is driven by the sale of transmissions and propulsion solutions to OEMs and distributors that produce vehicles for commercial users in medium and heavy duty applications. Revenue is recognized at the point in time when control passes to the customer, which is based on shipping terms when the order is fulfilled by the Company.</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Outside North America Off-Highway</w:t>
      </w:r>
    </w:p>
    <w:p>
      <w:pPr>
        <w:spacing w:after="0" w:line="131" w:lineRule="exact"/>
        <w:rPr>
          <w:sz w:val="20"/>
          <w:szCs w:val="20"/>
          <w:color w:val="auto"/>
        </w:rPr>
      </w:pPr>
    </w:p>
    <w:p>
      <w:pPr>
        <w:ind w:right="240" w:firstLine="522"/>
        <w:spacing w:after="0" w:line="247" w:lineRule="auto"/>
        <w:rPr>
          <w:sz w:val="20"/>
          <w:szCs w:val="20"/>
          <w:color w:val="auto"/>
        </w:rPr>
      </w:pPr>
      <w:r>
        <w:rPr>
          <w:rFonts w:ascii="Arial" w:cs="Arial" w:eastAsia="Arial" w:hAnsi="Arial"/>
          <w:sz w:val="16"/>
          <w:szCs w:val="16"/>
          <w:color w:val="auto"/>
        </w:rPr>
        <w:t>Revenue from the Outside North America Off-Highway end market is driven by sales of transmissions to OEMs and distributors serving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Service Parts, Support Equipment and Other</w:t>
      </w:r>
    </w:p>
    <w:p>
      <w:pPr>
        <w:spacing w:after="0" w:line="131" w:lineRule="exact"/>
        <w:rPr>
          <w:sz w:val="20"/>
          <w:szCs w:val="20"/>
          <w:color w:val="auto"/>
        </w:rPr>
      </w:pPr>
    </w:p>
    <w:p>
      <w:pPr>
        <w:ind w:right="120" w:firstLine="522"/>
        <w:spacing w:after="0" w:line="247" w:lineRule="auto"/>
        <w:rPr>
          <w:sz w:val="20"/>
          <w:szCs w:val="20"/>
          <w:color w:val="auto"/>
        </w:rPr>
      </w:pPr>
      <w:r>
        <w:rPr>
          <w:rFonts w:ascii="Arial" w:cs="Arial" w:eastAsia="Arial" w:hAnsi="Arial"/>
          <w:sz w:val="16"/>
          <w:szCs w:val="16"/>
          <w:color w:val="auto"/>
        </w:rPr>
        <w:t>Revenue from the Service Parts, Support Equipment and Other end market is primarily derived from the sale of transmission parts and fluid purchased for the normal maintenance and repair needs of products in service, the sale of aluminum die cast components purchased as original parts and the sale of ETC contracts which extend the warranty coverages of transmissions beyond the standard warranty period.</w:t>
      </w:r>
    </w:p>
    <w:p>
      <w:pPr>
        <w:spacing w:after="0" w:line="101" w:lineRule="exact"/>
        <w:rPr>
          <w:sz w:val="20"/>
          <w:szCs w:val="20"/>
          <w:color w:val="auto"/>
        </w:rPr>
      </w:pPr>
    </w:p>
    <w:p>
      <w:pPr>
        <w:ind w:right="300" w:firstLine="522"/>
        <w:spacing w:after="0" w:line="265" w:lineRule="auto"/>
        <w:rPr>
          <w:sz w:val="20"/>
          <w:szCs w:val="20"/>
          <w:color w:val="auto"/>
        </w:rPr>
      </w:pPr>
      <w:r>
        <w:rPr>
          <w:rFonts w:ascii="Arial" w:cs="Arial" w:eastAsia="Arial" w:hAnsi="Arial"/>
          <w:sz w:val="16"/>
          <w:szCs w:val="16"/>
          <w:color w:val="auto"/>
        </w:rPr>
        <w:t>Revenue is recognized on sales of service parts, support equipment and aluminum die cast components at the point in time when control passes to the customer, which is based on shipping terms when the order is fulfilled by the Company.</w:t>
      </w:r>
    </w:p>
    <w:p>
      <w:pPr>
        <w:spacing w:after="0" w:line="87" w:lineRule="exact"/>
        <w:rPr>
          <w:sz w:val="20"/>
          <w:szCs w:val="20"/>
          <w:color w:val="auto"/>
        </w:rPr>
      </w:pPr>
    </w:p>
    <w:p>
      <w:pPr>
        <w:ind w:right="20" w:firstLine="522"/>
        <w:spacing w:after="0" w:line="239" w:lineRule="auto"/>
        <w:rPr>
          <w:sz w:val="20"/>
          <w:szCs w:val="20"/>
          <w:color w:val="auto"/>
        </w:rPr>
      </w:pPr>
      <w:r>
        <w:rPr>
          <w:rFonts w:ascii="Arial" w:cs="Arial" w:eastAsia="Arial" w:hAnsi="Arial"/>
          <w:sz w:val="16"/>
          <w:szCs w:val="16"/>
          <w:color w:val="auto"/>
        </w:rPr>
        <w:t>Revenue from the sale of ETC contracts is recognized ratably over the time period that corresponds with the period of coverage, as the Company has determined this method best depicts the progress towards satisfaction of its performance obligation. ETC contracts are sold in one to five year durations within the North America On-Highway, Outside North America On-Highway, North America Off-Highway and Outside North America Off-Highway end markets. The ETC contract period begins when the standard warranty coverage period ends. All consideration allocated to an ETC performance obligation is initially deferred until the coverage period begins.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INVENTORIES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Inventories consisted of the following components (dollars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December 31, 2020</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December 31, 2019</w:t>
            </w: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Purchased parts and raw materials</w:t>
            </w: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101</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101</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Work in progress</w:t>
            </w:r>
          </w:p>
        </w:tc>
        <w:tc>
          <w:tcPr>
            <w:tcW w:w="140" w:type="dxa"/>
            <w:vAlign w:val="bottom"/>
          </w:tcPr>
          <w:p>
            <w:pPr>
              <w:spacing w:after="0"/>
              <w:rPr>
                <w:sz w:val="16"/>
                <w:szCs w:val="16"/>
                <w:color w:val="auto"/>
              </w:rPr>
            </w:pPr>
          </w:p>
        </w:tc>
        <w:tc>
          <w:tcPr>
            <w:tcW w:w="1520" w:type="dxa"/>
            <w:vAlign w:val="bottom"/>
          </w:tcPr>
          <w:p>
            <w:pPr>
              <w:jc w:val="right"/>
              <w:ind w:right="44"/>
              <w:spacing w:after="0"/>
              <w:rPr>
                <w:sz w:val="20"/>
                <w:szCs w:val="20"/>
                <w:color w:val="auto"/>
              </w:rPr>
            </w:pPr>
            <w:r>
              <w:rPr>
                <w:rFonts w:ascii="Arial" w:cs="Arial" w:eastAsia="Arial" w:hAnsi="Arial"/>
                <w:sz w:val="16"/>
                <w:szCs w:val="16"/>
                <w:b w:val="1"/>
                <w:bCs w:val="1"/>
                <w:color w:val="auto"/>
              </w:rPr>
              <w:t>15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64"/>
              <w:spacing w:after="0"/>
              <w:rPr>
                <w:sz w:val="20"/>
                <w:szCs w:val="20"/>
                <w:color w:val="auto"/>
              </w:rPr>
            </w:pPr>
            <w:r>
              <w:rPr>
                <w:rFonts w:ascii="Arial" w:cs="Arial" w:eastAsia="Arial" w:hAnsi="Arial"/>
                <w:sz w:val="16"/>
                <w:szCs w:val="16"/>
                <w:color w:val="auto"/>
              </w:rPr>
              <w:t>17</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Service parts</w:t>
            </w: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41</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51</w:t>
            </w:r>
          </w:p>
        </w:tc>
      </w:tr>
      <w:tr>
        <w:trPr>
          <w:trHeight w:val="188"/>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Finished goods</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24</w:t>
            </w:r>
          </w:p>
        </w:tc>
        <w:tc>
          <w:tcPr>
            <w:tcW w:w="1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30</w:t>
            </w:r>
          </w:p>
        </w:tc>
      </w:tr>
      <w:tr>
        <w:trPr>
          <w:trHeight w:val="180"/>
        </w:trPr>
        <w:tc>
          <w:tcPr>
            <w:tcW w:w="774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inventories</w:t>
            </w: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181</w:t>
            </w: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199</w:t>
            </w:r>
          </w:p>
        </w:tc>
      </w:tr>
      <w:tr>
        <w:trPr>
          <w:trHeight w:val="20"/>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100" w:firstLine="522"/>
        <w:spacing w:after="0" w:line="247" w:lineRule="auto"/>
        <w:rPr>
          <w:sz w:val="20"/>
          <w:szCs w:val="20"/>
          <w:color w:val="auto"/>
        </w:rPr>
      </w:pPr>
      <w:r>
        <w:rPr>
          <w:rFonts w:ascii="Arial" w:cs="Arial" w:eastAsia="Arial" w:hAnsi="Arial"/>
          <w:sz w:val="16"/>
          <w:szCs w:val="16"/>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14, “Other Current Liabilities” for more information.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PROPERTY, PLANT AND EQUIPMENT</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cost and accumulated depreciation of property, plant and equipment are as follows (dollars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December 31, 2020</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December 31, 2019</w:t>
            </w: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Land and land improvements</w:t>
            </w: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26</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ind w:right="63"/>
              <w:spacing w:after="0" w:line="180" w:lineRule="exact"/>
              <w:rPr>
                <w:sz w:val="20"/>
                <w:szCs w:val="20"/>
                <w:color w:val="auto"/>
              </w:rPr>
            </w:pPr>
            <w:r>
              <w:rPr>
                <w:rFonts w:ascii="Arial" w:cs="Arial" w:eastAsia="Arial" w:hAnsi="Arial"/>
                <w:sz w:val="16"/>
                <w:szCs w:val="16"/>
                <w:color w:val="auto"/>
              </w:rPr>
              <w:t>25</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Buildings and building improvements</w:t>
            </w:r>
          </w:p>
        </w:tc>
        <w:tc>
          <w:tcPr>
            <w:tcW w:w="140" w:type="dxa"/>
            <w:vAlign w:val="bottom"/>
          </w:tcPr>
          <w:p>
            <w:pPr>
              <w:spacing w:after="0"/>
              <w:rPr>
                <w:sz w:val="16"/>
                <w:szCs w:val="16"/>
                <w:color w:val="auto"/>
              </w:rPr>
            </w:pPr>
          </w:p>
        </w:tc>
        <w:tc>
          <w:tcPr>
            <w:tcW w:w="1520" w:type="dxa"/>
            <w:vAlign w:val="bottom"/>
          </w:tcPr>
          <w:p>
            <w:pPr>
              <w:jc w:val="right"/>
              <w:ind w:right="43"/>
              <w:spacing w:after="0"/>
              <w:rPr>
                <w:sz w:val="20"/>
                <w:szCs w:val="20"/>
                <w:color w:val="auto"/>
              </w:rPr>
            </w:pPr>
            <w:r>
              <w:rPr>
                <w:rFonts w:ascii="Arial" w:cs="Arial" w:eastAsia="Arial" w:hAnsi="Arial"/>
                <w:sz w:val="16"/>
                <w:szCs w:val="16"/>
                <w:b w:val="1"/>
                <w:bCs w:val="1"/>
                <w:color w:val="auto"/>
              </w:rPr>
              <w:t>423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63"/>
              <w:spacing w:after="0"/>
              <w:rPr>
                <w:sz w:val="20"/>
                <w:szCs w:val="20"/>
                <w:color w:val="auto"/>
              </w:rPr>
            </w:pPr>
            <w:r>
              <w:rPr>
                <w:rFonts w:ascii="Arial" w:cs="Arial" w:eastAsia="Arial" w:hAnsi="Arial"/>
                <w:sz w:val="16"/>
                <w:szCs w:val="16"/>
                <w:color w:val="auto"/>
              </w:rPr>
              <w:t>342</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Machinery and equipment</w:t>
            </w: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783</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722</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Software</w:t>
            </w:r>
          </w:p>
        </w:tc>
        <w:tc>
          <w:tcPr>
            <w:tcW w:w="140" w:type="dxa"/>
            <w:vAlign w:val="bottom"/>
          </w:tcPr>
          <w:p>
            <w:pPr>
              <w:spacing w:after="0"/>
              <w:rPr>
                <w:sz w:val="16"/>
                <w:szCs w:val="16"/>
                <w:color w:val="auto"/>
              </w:rPr>
            </w:pPr>
          </w:p>
        </w:tc>
        <w:tc>
          <w:tcPr>
            <w:tcW w:w="1520" w:type="dxa"/>
            <w:vAlign w:val="bottom"/>
          </w:tcPr>
          <w:p>
            <w:pPr>
              <w:jc w:val="right"/>
              <w:ind w:right="43"/>
              <w:spacing w:after="0"/>
              <w:rPr>
                <w:sz w:val="20"/>
                <w:szCs w:val="20"/>
                <w:color w:val="auto"/>
              </w:rPr>
            </w:pPr>
            <w:r>
              <w:rPr>
                <w:rFonts w:ascii="Arial" w:cs="Arial" w:eastAsia="Arial" w:hAnsi="Arial"/>
                <w:sz w:val="16"/>
                <w:szCs w:val="16"/>
                <w:b w:val="1"/>
                <w:bCs w:val="1"/>
                <w:color w:val="auto"/>
              </w:rPr>
              <w:t>175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63"/>
              <w:spacing w:after="0"/>
              <w:rPr>
                <w:sz w:val="20"/>
                <w:szCs w:val="20"/>
                <w:color w:val="auto"/>
              </w:rPr>
            </w:pPr>
            <w:r>
              <w:rPr>
                <w:rFonts w:ascii="Arial" w:cs="Arial" w:eastAsia="Arial" w:hAnsi="Arial"/>
                <w:sz w:val="16"/>
                <w:szCs w:val="16"/>
                <w:color w:val="auto"/>
              </w:rPr>
              <w:t>163</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Special tooling</w:t>
            </w: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223</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202</w:t>
            </w:r>
          </w:p>
        </w:tc>
      </w:tr>
      <w:tr>
        <w:trPr>
          <w:trHeight w:val="188"/>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Construction in progress</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54</w:t>
            </w:r>
          </w:p>
        </w:tc>
        <w:tc>
          <w:tcPr>
            <w:tcW w:w="1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141</w:t>
            </w:r>
          </w:p>
        </w:tc>
      </w:tr>
      <w:tr>
        <w:trPr>
          <w:trHeight w:val="180"/>
        </w:trPr>
        <w:tc>
          <w:tcPr>
            <w:tcW w:w="774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property, plant and equipment</w:t>
            </w: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1,684</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3"/>
              <w:spacing w:after="0" w:line="180" w:lineRule="exact"/>
              <w:rPr>
                <w:sz w:val="20"/>
                <w:szCs w:val="20"/>
                <w:color w:val="auto"/>
              </w:rPr>
            </w:pPr>
            <w:r>
              <w:rPr>
                <w:rFonts w:ascii="Arial" w:cs="Arial" w:eastAsia="Arial" w:hAnsi="Arial"/>
                <w:sz w:val="16"/>
                <w:szCs w:val="16"/>
                <w:color w:val="auto"/>
              </w:rPr>
              <w:t>1,595</w:t>
            </w:r>
          </w:p>
        </w:tc>
      </w:tr>
      <w:tr>
        <w:trPr>
          <w:trHeight w:val="188"/>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Accumulated depreciation</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(1,046)</w:t>
            </w:r>
          </w:p>
        </w:tc>
        <w:tc>
          <w:tcPr>
            <w:tcW w:w="1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(979)</w:t>
            </w:r>
          </w:p>
        </w:tc>
      </w:tr>
      <w:tr>
        <w:trPr>
          <w:trHeight w:val="180"/>
        </w:trPr>
        <w:tc>
          <w:tcPr>
            <w:tcW w:w="774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Property, plant and equipment, net</w:t>
            </w: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638</w:t>
            </w: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ind w:right="63"/>
              <w:spacing w:after="0" w:line="180" w:lineRule="exact"/>
              <w:rPr>
                <w:sz w:val="20"/>
                <w:szCs w:val="20"/>
                <w:color w:val="auto"/>
              </w:rPr>
            </w:pPr>
            <w:r>
              <w:rPr>
                <w:rFonts w:ascii="Arial" w:cs="Arial" w:eastAsia="Arial" w:hAnsi="Arial"/>
                <w:sz w:val="16"/>
                <w:szCs w:val="16"/>
                <w:color w:val="auto"/>
              </w:rPr>
              <w:t>616</w:t>
            </w:r>
          </w:p>
        </w:tc>
      </w:tr>
      <w:tr>
        <w:trPr>
          <w:trHeight w:val="20"/>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560" w:firstLine="522"/>
        <w:spacing w:after="0" w:line="265" w:lineRule="auto"/>
        <w:rPr>
          <w:sz w:val="20"/>
          <w:szCs w:val="20"/>
          <w:color w:val="auto"/>
        </w:rPr>
      </w:pPr>
      <w:r>
        <w:rPr>
          <w:rFonts w:ascii="Arial" w:cs="Arial" w:eastAsia="Arial" w:hAnsi="Arial"/>
          <w:sz w:val="16"/>
          <w:szCs w:val="16"/>
          <w:color w:val="auto"/>
        </w:rPr>
        <w:t>Depreciation of property, plant and equipment was $96 million, $81 million and $77 million for the years ended December 31, 2020, 2019 and 2018,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GOODWILL AND OTHER INTANGIBLE ASSETS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2020 and 2019, the carrying amount of the Company’s Goodwill was $2,064 million and $2,041 million, respectively.</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presents a summary of other intangible assets (dollars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5"/>
              </w:rPr>
              <w:t>December 31, 2020</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3"/>
                <w:szCs w:val="13"/>
                <w:b w:val="1"/>
                <w:bCs w:val="1"/>
                <w:color w:val="auto"/>
                <w:w w:val="95"/>
              </w:rPr>
              <w:t>December 31, 2019</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33"/>
        </w:trPr>
        <w:tc>
          <w:tcPr>
            <w:tcW w:w="3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24"/>
              <w:spacing w:after="0" w:line="133" w:lineRule="exact"/>
              <w:rPr>
                <w:sz w:val="20"/>
                <w:szCs w:val="20"/>
                <w:color w:val="auto"/>
              </w:rPr>
            </w:pPr>
            <w:r>
              <w:rPr>
                <w:rFonts w:ascii="Arial" w:cs="Arial" w:eastAsia="Arial" w:hAnsi="Arial"/>
                <w:sz w:val="13"/>
                <w:szCs w:val="13"/>
                <w:b w:val="1"/>
                <w:bCs w:val="1"/>
                <w:color w:val="auto"/>
                <w:w w:val="94"/>
              </w:rPr>
              <w:t>Intangible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180"/>
              <w:spacing w:after="0" w:line="133" w:lineRule="exact"/>
              <w:rPr>
                <w:sz w:val="20"/>
                <w:szCs w:val="20"/>
                <w:color w:val="auto"/>
              </w:rPr>
            </w:pPr>
            <w:r>
              <w:rPr>
                <w:rFonts w:ascii="Arial" w:cs="Arial" w:eastAsia="Arial" w:hAnsi="Arial"/>
                <w:sz w:val="13"/>
                <w:szCs w:val="13"/>
                <w:b w:val="1"/>
                <w:bCs w:val="1"/>
                <w:color w:val="auto"/>
                <w:w w:val="97"/>
              </w:rPr>
              <w:t>Accumulated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146"/>
              <w:spacing w:after="0" w:line="133" w:lineRule="exact"/>
              <w:rPr>
                <w:sz w:val="20"/>
                <w:szCs w:val="20"/>
                <w:color w:val="auto"/>
              </w:rPr>
            </w:pPr>
            <w:r>
              <w:rPr>
                <w:rFonts w:ascii="Arial" w:cs="Arial" w:eastAsia="Arial" w:hAnsi="Arial"/>
                <w:sz w:val="13"/>
                <w:szCs w:val="13"/>
                <w:b w:val="1"/>
                <w:bCs w:val="1"/>
                <w:color w:val="auto"/>
                <w:w w:val="97"/>
              </w:rPr>
              <w:t>Intangible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124"/>
              <w:spacing w:after="0" w:line="133" w:lineRule="exact"/>
              <w:rPr>
                <w:sz w:val="20"/>
                <w:szCs w:val="20"/>
                <w:color w:val="auto"/>
              </w:rPr>
            </w:pPr>
            <w:r>
              <w:rPr>
                <w:rFonts w:ascii="Arial" w:cs="Arial" w:eastAsia="Arial" w:hAnsi="Arial"/>
                <w:sz w:val="13"/>
                <w:szCs w:val="13"/>
                <w:b w:val="1"/>
                <w:bCs w:val="1"/>
                <w:color w:val="auto"/>
                <w:w w:val="97"/>
              </w:rPr>
              <w:t>Intangible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jc w:val="center"/>
              <w:ind w:right="220"/>
              <w:spacing w:after="0" w:line="133" w:lineRule="exact"/>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1"/>
                <w:szCs w:val="11"/>
                <w:color w:val="auto"/>
              </w:rPr>
            </w:pPr>
          </w:p>
        </w:tc>
        <w:tc>
          <w:tcPr>
            <w:tcW w:w="920" w:type="dxa"/>
            <w:vAlign w:val="bottom"/>
          </w:tcPr>
          <w:p>
            <w:pPr>
              <w:jc w:val="right"/>
              <w:ind w:right="206"/>
              <w:spacing w:after="0" w:line="133" w:lineRule="exact"/>
              <w:rPr>
                <w:sz w:val="20"/>
                <w:szCs w:val="20"/>
                <w:color w:val="auto"/>
              </w:rPr>
            </w:pPr>
            <w:r>
              <w:rPr>
                <w:rFonts w:ascii="Arial" w:cs="Arial" w:eastAsia="Arial" w:hAnsi="Arial"/>
                <w:sz w:val="13"/>
                <w:szCs w:val="13"/>
                <w:b w:val="1"/>
                <w:bCs w:val="1"/>
                <w:color w:val="auto"/>
              </w:rPr>
              <w:t>Intangible</w:t>
            </w:r>
          </w:p>
        </w:tc>
      </w:tr>
      <w:tr>
        <w:trPr>
          <w:trHeight w:val="153"/>
        </w:trPr>
        <w:tc>
          <w:tcPr>
            <w:tcW w:w="3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gridSpan w:val="2"/>
          </w:tcPr>
          <w:p>
            <w:pPr>
              <w:jc w:val="right"/>
              <w:ind w:right="4"/>
              <w:spacing w:after="0"/>
              <w:rPr>
                <w:sz w:val="20"/>
                <w:szCs w:val="20"/>
                <w:color w:val="auto"/>
              </w:rPr>
            </w:pPr>
            <w:r>
              <w:rPr>
                <w:rFonts w:ascii="Arial" w:cs="Arial" w:eastAsia="Arial" w:hAnsi="Arial"/>
                <w:sz w:val="13"/>
                <w:szCs w:val="13"/>
                <w:b w:val="1"/>
                <w:bCs w:val="1"/>
                <w:color w:val="auto"/>
                <w:w w:val="98"/>
              </w:rPr>
              <w:t>assets, gross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8"/>
              </w:rPr>
              <w:t>amortization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assets, net</w:t>
            </w:r>
          </w:p>
        </w:tc>
        <w:tc>
          <w:tcPr>
            <w:tcW w:w="940" w:type="dxa"/>
            <w:vAlign w:val="bottom"/>
            <w:gridSpan w:val="2"/>
          </w:tcPr>
          <w:p>
            <w:pPr>
              <w:jc w:val="right"/>
              <w:ind w:right="24"/>
              <w:spacing w:after="0"/>
              <w:rPr>
                <w:sz w:val="20"/>
                <w:szCs w:val="20"/>
                <w:color w:val="auto"/>
              </w:rPr>
            </w:pPr>
            <w:r>
              <w:rPr>
                <w:rFonts w:ascii="Arial" w:cs="Arial" w:eastAsia="Arial" w:hAnsi="Arial"/>
                <w:sz w:val="13"/>
                <w:szCs w:val="13"/>
                <w:b w:val="1"/>
                <w:bCs w:val="1"/>
                <w:color w:val="auto"/>
                <w:w w:val="98"/>
              </w:rPr>
              <w:t>assets, 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5"/>
              </w:rPr>
              <w:t>amortization</w:t>
            </w:r>
          </w:p>
        </w:tc>
        <w:tc>
          <w:tcPr>
            <w:tcW w:w="100" w:type="dxa"/>
            <w:vAlign w:val="bottom"/>
          </w:tcPr>
          <w:p>
            <w:pPr>
              <w:spacing w:after="0"/>
              <w:rPr>
                <w:sz w:val="13"/>
                <w:szCs w:val="13"/>
                <w:color w:val="auto"/>
              </w:rPr>
            </w:pPr>
          </w:p>
        </w:tc>
        <w:tc>
          <w:tcPr>
            <w:tcW w:w="920" w:type="dxa"/>
            <w:vAlign w:val="bottom"/>
          </w:tcPr>
          <w:p>
            <w:pPr>
              <w:jc w:val="right"/>
              <w:ind w:right="186"/>
              <w:spacing w:after="0"/>
              <w:rPr>
                <w:sz w:val="20"/>
                <w:szCs w:val="20"/>
                <w:color w:val="auto"/>
              </w:rPr>
            </w:pPr>
            <w:r>
              <w:rPr>
                <w:rFonts w:ascii="Arial" w:cs="Arial" w:eastAsia="Arial" w:hAnsi="Arial"/>
                <w:sz w:val="13"/>
                <w:szCs w:val="13"/>
                <w:b w:val="1"/>
                <w:bCs w:val="1"/>
                <w:color w:val="auto"/>
                <w:w w:val="95"/>
              </w:rPr>
              <w:t>assets, net</w:t>
            </w:r>
          </w:p>
        </w:tc>
      </w:tr>
      <w:tr>
        <w:trPr>
          <w:trHeight w:val="180"/>
        </w:trPr>
        <w:tc>
          <w:tcPr>
            <w:tcW w:w="36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Other intangible assets:</w:t>
            </w:r>
          </w:p>
        </w:tc>
        <w:tc>
          <w:tcPr>
            <w:tcW w:w="10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r>
      <w:tr>
        <w:trPr>
          <w:trHeight w:val="188"/>
        </w:trPr>
        <w:tc>
          <w:tcPr>
            <w:tcW w:w="3660" w:type="dxa"/>
            <w:vAlign w:val="bottom"/>
          </w:tcPr>
          <w:p>
            <w:pPr>
              <w:spacing w:after="0"/>
              <w:rPr>
                <w:sz w:val="20"/>
                <w:szCs w:val="20"/>
                <w:color w:val="auto"/>
              </w:rPr>
            </w:pPr>
            <w:r>
              <w:rPr>
                <w:rFonts w:ascii="Arial" w:cs="Arial" w:eastAsia="Arial" w:hAnsi="Arial"/>
                <w:sz w:val="16"/>
                <w:szCs w:val="16"/>
                <w:color w:val="auto"/>
              </w:rPr>
              <w:t>Trade name</w:t>
            </w: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791</w:t>
            </w:r>
          </w:p>
        </w:tc>
        <w:tc>
          <w:tcPr>
            <w:tcW w:w="440" w:type="dxa"/>
            <w:vAlign w:val="bottom"/>
            <w:gridSpan w:val="3"/>
          </w:tcPr>
          <w:p>
            <w:pPr>
              <w:jc w:val="right"/>
              <w:ind w:right="114"/>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6"/>
              <w:spacing w:after="0"/>
              <w:rPr>
                <w:sz w:val="20"/>
                <w:szCs w:val="20"/>
                <w:color w:val="auto"/>
              </w:rPr>
            </w:pPr>
            <w:r>
              <w:rPr>
                <w:rFonts w:ascii="Arial" w:cs="Arial" w:eastAsia="Arial" w:hAnsi="Arial"/>
                <w:sz w:val="16"/>
                <w:szCs w:val="16"/>
                <w:b w:val="1"/>
                <w:bCs w:val="1"/>
                <w:color w:val="auto"/>
              </w:rPr>
              <w:t>791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791</w:t>
            </w:r>
          </w:p>
        </w:tc>
        <w:tc>
          <w:tcPr>
            <w:tcW w:w="440" w:type="dxa"/>
            <w:vAlign w:val="bottom"/>
            <w:gridSpan w:val="3"/>
          </w:tcPr>
          <w:p>
            <w:pPr>
              <w:jc w:val="right"/>
              <w:ind w:right="112"/>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46"/>
              <w:spacing w:after="0"/>
              <w:rPr>
                <w:sz w:val="20"/>
                <w:szCs w:val="20"/>
                <w:color w:val="auto"/>
              </w:rPr>
            </w:pPr>
            <w:r>
              <w:rPr>
                <w:rFonts w:ascii="Arial" w:cs="Arial" w:eastAsia="Arial" w:hAnsi="Arial"/>
                <w:sz w:val="16"/>
                <w:szCs w:val="16"/>
                <w:color w:val="auto"/>
              </w:rPr>
              <w:t>791</w:t>
            </w:r>
          </w:p>
        </w:tc>
      </w:tr>
      <w:tr>
        <w:trPr>
          <w:trHeight w:val="188"/>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In process research and development</w:t>
            </w: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25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50</w:t>
            </w:r>
          </w:p>
        </w:tc>
      </w:tr>
      <w:tr>
        <w:trPr>
          <w:trHeight w:val="188"/>
        </w:trPr>
        <w:tc>
          <w:tcPr>
            <w:tcW w:w="3660" w:type="dxa"/>
            <w:vAlign w:val="bottom"/>
          </w:tcPr>
          <w:p>
            <w:pPr>
              <w:spacing w:after="0"/>
              <w:rPr>
                <w:sz w:val="20"/>
                <w:szCs w:val="20"/>
                <w:color w:val="auto"/>
              </w:rPr>
            </w:pPr>
            <w:r>
              <w:rPr>
                <w:rFonts w:ascii="Arial" w:cs="Arial" w:eastAsia="Arial" w:hAnsi="Arial"/>
                <w:sz w:val="16"/>
                <w:szCs w:val="16"/>
                <w:color w:val="auto"/>
              </w:rPr>
              <w:t>Customer relationships – commercial</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839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(708)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6"/>
              <w:spacing w:after="0"/>
              <w:rPr>
                <w:sz w:val="20"/>
                <w:szCs w:val="20"/>
                <w:color w:val="auto"/>
              </w:rPr>
            </w:pPr>
            <w:r>
              <w:rPr>
                <w:rFonts w:ascii="Arial" w:cs="Arial" w:eastAsia="Arial" w:hAnsi="Arial"/>
                <w:sz w:val="16"/>
                <w:szCs w:val="16"/>
                <w:b w:val="1"/>
                <w:bCs w:val="1"/>
                <w:color w:val="auto"/>
              </w:rPr>
              <w:t>131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46"/>
              <w:spacing w:after="0"/>
              <w:rPr>
                <w:sz w:val="20"/>
                <w:szCs w:val="20"/>
                <w:color w:val="auto"/>
              </w:rPr>
            </w:pPr>
            <w:r>
              <w:rPr>
                <w:rFonts w:ascii="Arial" w:cs="Arial" w:eastAsia="Arial" w:hAnsi="Arial"/>
                <w:sz w:val="16"/>
                <w:szCs w:val="16"/>
                <w:color w:val="auto"/>
              </w:rPr>
              <w:t>175</w:t>
            </w:r>
          </w:p>
        </w:tc>
      </w:tr>
      <w:tr>
        <w:trPr>
          <w:trHeight w:val="188"/>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Proprietary technology</w:t>
            </w: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478</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(477)</w:t>
            </w: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8</w:t>
            </w:r>
          </w:p>
        </w:tc>
      </w:tr>
      <w:tr>
        <w:trPr>
          <w:trHeight w:val="188"/>
        </w:trPr>
        <w:tc>
          <w:tcPr>
            <w:tcW w:w="3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Customer relationships – defense</w:t>
            </w:r>
          </w:p>
        </w:tc>
        <w:tc>
          <w:tcPr>
            <w:tcW w:w="106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6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15</w:t>
            </w: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18</w:t>
            </w:r>
          </w:p>
        </w:tc>
      </w:tr>
      <w:tr>
        <w:trPr>
          <w:trHeight w:val="180"/>
        </w:trPr>
        <w:tc>
          <w:tcPr>
            <w:tcW w:w="366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10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2,195</w:t>
            </w:r>
          </w:p>
        </w:tc>
        <w:tc>
          <w:tcPr>
            <w:tcW w:w="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(1,232)</w:t>
            </w:r>
          </w:p>
        </w:tc>
        <w:tc>
          <w:tcPr>
            <w:tcW w:w="6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963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2,223</w:t>
            </w:r>
          </w:p>
        </w:tc>
        <w:tc>
          <w:tcPr>
            <w:tcW w:w="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12"/>
              <w:spacing w:after="0" w:line="180"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(1,181)</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1,042</w:t>
            </w:r>
          </w:p>
        </w:tc>
      </w:tr>
      <w:tr>
        <w:trPr>
          <w:trHeight w:val="20"/>
        </w:trPr>
        <w:tc>
          <w:tcPr>
            <w:tcW w:w="3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of intangible assets was $52 million, $86 million and $87 million for the years ended December 31, 2020, 2019 and 2018, respectively.</w:t>
      </w:r>
    </w:p>
    <w:p>
      <w:pPr>
        <w:spacing w:after="0" w:line="133" w:lineRule="exact"/>
        <w:rPr>
          <w:sz w:val="20"/>
          <w:szCs w:val="20"/>
          <w:color w:val="auto"/>
        </w:rPr>
      </w:pPr>
    </w:p>
    <w:p>
      <w:pPr>
        <w:ind w:right="120" w:firstLine="522"/>
        <w:spacing w:after="0" w:line="241" w:lineRule="auto"/>
        <w:rPr>
          <w:sz w:val="20"/>
          <w:szCs w:val="20"/>
          <w:color w:val="auto"/>
        </w:rPr>
      </w:pPr>
      <w:r>
        <w:rPr>
          <w:rFonts w:ascii="Arial" w:cs="Arial" w:eastAsia="Arial" w:hAnsi="Arial"/>
          <w:sz w:val="16"/>
          <w:szCs w:val="16"/>
          <w:color w:val="auto"/>
        </w:rPr>
        <w:t>As of December 31, 2020 and 2019, the net carrying value of the Company’s Goodwill and Other intangible assets, net was $ 3,027 million and $3,083 million, respectively. The Company’s 2020 annual goodwill impairment test indicated that the fair value of the reporting unit exceeded its carrying value, indicating no impairment. The Company's 2020 annual indefinite lived intangible assets impairment test indicated that the fair value of the Company’s indefinite lived intangible assets exceeded their carrying value, indicating no impairment.</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expense related to other intangible assets for the next five years is expected to be (dollars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520" w:type="dxa"/>
            <w:vAlign w:val="bottom"/>
          </w:tcPr>
          <w:p>
            <w:pPr>
              <w:spacing w:after="0"/>
              <w:rPr>
                <w:sz w:val="13"/>
                <w:szCs w:val="13"/>
                <w:color w:val="auto"/>
              </w:rPr>
            </w:pPr>
          </w:p>
        </w:tc>
        <w:tc>
          <w:tcPr>
            <w:tcW w:w="2520" w:type="dxa"/>
            <w:vAlign w:val="bottom"/>
            <w:gridSpan w:val="2"/>
          </w:tcPr>
          <w:p>
            <w:pPr>
              <w:jc w:val="right"/>
              <w:ind w:right="27"/>
              <w:spacing w:after="0"/>
              <w:rPr>
                <w:sz w:val="20"/>
                <w:szCs w:val="20"/>
                <w:color w:val="auto"/>
              </w:rPr>
            </w:pPr>
            <w:r>
              <w:rPr>
                <w:rFonts w:ascii="Arial" w:cs="Arial" w:eastAsia="Arial" w:hAnsi="Arial"/>
                <w:sz w:val="13"/>
                <w:szCs w:val="13"/>
                <w:b w:val="1"/>
                <w:bCs w:val="1"/>
                <w:color w:val="auto"/>
              </w:rPr>
              <w:t>2021</w:t>
            </w:r>
          </w:p>
        </w:tc>
        <w:tc>
          <w:tcPr>
            <w:tcW w:w="380" w:type="dxa"/>
            <w:vAlign w:val="bottom"/>
          </w:tcPr>
          <w:p>
            <w:pPr>
              <w:spacing w:after="0"/>
              <w:rPr>
                <w:sz w:val="13"/>
                <w:szCs w:val="13"/>
                <w:color w:val="auto"/>
              </w:rPr>
            </w:pPr>
          </w:p>
        </w:tc>
        <w:tc>
          <w:tcPr>
            <w:tcW w:w="820" w:type="dxa"/>
            <w:vAlign w:val="bottom"/>
            <w:gridSpan w:val="2"/>
          </w:tcPr>
          <w:p>
            <w:pPr>
              <w:jc w:val="right"/>
              <w:ind w:right="7"/>
              <w:spacing w:after="0"/>
              <w:rPr>
                <w:sz w:val="20"/>
                <w:szCs w:val="20"/>
                <w:color w:val="auto"/>
              </w:rPr>
            </w:pPr>
            <w:r>
              <w:rPr>
                <w:rFonts w:ascii="Arial" w:cs="Arial" w:eastAsia="Arial" w:hAnsi="Arial"/>
                <w:sz w:val="13"/>
                <w:szCs w:val="13"/>
                <w:b w:val="1"/>
                <w:bCs w:val="1"/>
                <w:color w:val="auto"/>
              </w:rPr>
              <w:t>2022</w:t>
            </w:r>
          </w:p>
        </w:tc>
        <w:tc>
          <w:tcPr>
            <w:tcW w:w="380" w:type="dxa"/>
            <w:vAlign w:val="bottom"/>
          </w:tcPr>
          <w:p>
            <w:pPr>
              <w:spacing w:after="0"/>
              <w:rPr>
                <w:sz w:val="13"/>
                <w:szCs w:val="13"/>
                <w:color w:val="auto"/>
              </w:rPr>
            </w:pPr>
          </w:p>
        </w:tc>
        <w:tc>
          <w:tcPr>
            <w:tcW w:w="840" w:type="dxa"/>
            <w:vAlign w:val="bottom"/>
            <w:gridSpan w:val="2"/>
          </w:tcPr>
          <w:p>
            <w:pPr>
              <w:jc w:val="right"/>
              <w:ind w:right="27"/>
              <w:spacing w:after="0"/>
              <w:rPr>
                <w:sz w:val="20"/>
                <w:szCs w:val="20"/>
                <w:color w:val="auto"/>
              </w:rPr>
            </w:pPr>
            <w:r>
              <w:rPr>
                <w:rFonts w:ascii="Arial" w:cs="Arial" w:eastAsia="Arial" w:hAnsi="Arial"/>
                <w:sz w:val="13"/>
                <w:szCs w:val="13"/>
                <w:b w:val="1"/>
                <w:bCs w:val="1"/>
                <w:color w:val="auto"/>
              </w:rPr>
              <w:t>2023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52"/>
              <w:spacing w:after="0"/>
              <w:rPr>
                <w:sz w:val="20"/>
                <w:szCs w:val="20"/>
                <w:color w:val="auto"/>
              </w:rPr>
            </w:pPr>
            <w:r>
              <w:rPr>
                <w:rFonts w:ascii="Arial" w:cs="Arial" w:eastAsia="Arial" w:hAnsi="Arial"/>
                <w:sz w:val="13"/>
                <w:szCs w:val="13"/>
                <w:b w:val="1"/>
                <w:bCs w:val="1"/>
                <w:color w:val="auto"/>
              </w:rPr>
              <w:t>2024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410"/>
              <w:spacing w:after="0"/>
              <w:rPr>
                <w:sz w:val="20"/>
                <w:szCs w:val="20"/>
                <w:color w:val="auto"/>
              </w:rPr>
            </w:pPr>
            <w:r>
              <w:rPr>
                <w:rFonts w:ascii="Arial" w:cs="Arial" w:eastAsia="Arial" w:hAnsi="Arial"/>
                <w:sz w:val="13"/>
                <w:szCs w:val="13"/>
                <w:b w:val="1"/>
                <w:bCs w:val="1"/>
                <w:color w:val="auto"/>
              </w:rPr>
              <w:t>2025</w:t>
            </w:r>
          </w:p>
        </w:tc>
      </w:tr>
      <w:tr>
        <w:trPr>
          <w:trHeight w:val="180"/>
        </w:trPr>
        <w:tc>
          <w:tcPr>
            <w:tcW w:w="3520" w:type="dxa"/>
            <w:vAlign w:val="bottom"/>
            <w:tcBorders>
              <w:top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Amortization expense</w:t>
            </w:r>
          </w:p>
        </w:tc>
        <w:tc>
          <w:tcPr>
            <w:tcW w:w="1800" w:type="dxa"/>
            <w:vAlign w:val="bottom"/>
            <w:tcBorders>
              <w:top w:val="single" w:sz="8" w:color="CFF0FC"/>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46</w:t>
            </w:r>
          </w:p>
        </w:tc>
        <w:tc>
          <w:tcPr>
            <w:tcW w:w="100" w:type="dxa"/>
            <w:vAlign w:val="bottom"/>
            <w:tcBorders>
              <w:top w:val="single" w:sz="8" w:color="CFF0FC"/>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45</w:t>
            </w:r>
          </w:p>
        </w:tc>
        <w:tc>
          <w:tcPr>
            <w:tcW w:w="120" w:type="dxa"/>
            <w:vAlign w:val="bottom"/>
            <w:tcBorders>
              <w:top w:val="single" w:sz="8" w:color="CFF0FC"/>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43</w:t>
            </w:r>
          </w:p>
        </w:tc>
        <w:tc>
          <w:tcPr>
            <w:tcW w:w="10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ind w:right="612"/>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8</w:t>
            </w:r>
          </w:p>
        </w:tc>
        <w:tc>
          <w:tcPr>
            <w:tcW w:w="1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4</w:t>
            </w:r>
          </w:p>
        </w:tc>
      </w:tr>
    </w:tbl>
    <w:p>
      <w:pPr>
        <w:spacing w:after="0" w:line="12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presents a summary of the changes in goodwill of the Company’s single operating and reporting segment (dollars in millions):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w w:val="96"/>
              </w:rPr>
              <w:t>Allison Transmission, Inc.</w:t>
            </w:r>
          </w:p>
        </w:tc>
      </w:tr>
      <w:tr>
        <w:trPr>
          <w:trHeight w:val="180"/>
        </w:trPr>
        <w:tc>
          <w:tcPr>
            <w:tcW w:w="9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Balance at December 31, 2018</w:t>
            </w: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86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1,941</w:t>
            </w:r>
          </w:p>
        </w:tc>
      </w:tr>
      <w:tr>
        <w:trPr>
          <w:trHeight w:val="188"/>
        </w:trPr>
        <w:tc>
          <w:tcPr>
            <w:tcW w:w="92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Acquisitions</w:t>
            </w: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100</w:t>
            </w:r>
          </w:p>
        </w:tc>
      </w:tr>
      <w:tr>
        <w:trPr>
          <w:trHeight w:val="180"/>
        </w:trPr>
        <w:tc>
          <w:tcPr>
            <w:tcW w:w="9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current period impact to goodwill</w:t>
            </w:r>
          </w:p>
        </w:tc>
        <w:tc>
          <w:tcPr>
            <w:tcW w:w="1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100</w:t>
            </w:r>
          </w:p>
        </w:tc>
      </w:tr>
      <w:tr>
        <w:trPr>
          <w:trHeight w:val="180"/>
        </w:trPr>
        <w:tc>
          <w:tcPr>
            <w:tcW w:w="9260" w:type="dxa"/>
            <w:vAlign w:val="bottom"/>
          </w:tcPr>
          <w:p>
            <w:pPr>
              <w:spacing w:after="0" w:line="180" w:lineRule="exact"/>
              <w:rPr>
                <w:sz w:val="20"/>
                <w:szCs w:val="20"/>
                <w:color w:val="auto"/>
              </w:rPr>
            </w:pPr>
            <w:r>
              <w:rPr>
                <w:rFonts w:ascii="Arial" w:cs="Arial" w:eastAsia="Arial" w:hAnsi="Arial"/>
                <w:sz w:val="16"/>
                <w:szCs w:val="16"/>
                <w:color w:val="auto"/>
              </w:rPr>
              <w:t>Balance at December 31, 2019</w:t>
            </w:r>
          </w:p>
        </w:tc>
        <w:tc>
          <w:tcPr>
            <w:tcW w:w="140" w:type="dxa"/>
            <w:vAlign w:val="bottom"/>
          </w:tcPr>
          <w:p>
            <w:pPr>
              <w:jc w:val="right"/>
              <w:spacing w:after="0" w:line="180" w:lineRule="exact"/>
              <w:rPr>
                <w:sz w:val="20"/>
                <w:szCs w:val="20"/>
                <w:color w:val="auto"/>
              </w:rPr>
            </w:pPr>
            <w:r>
              <w:rPr>
                <w:rFonts w:ascii="Arial" w:cs="Arial" w:eastAsia="Arial" w:hAnsi="Arial"/>
                <w:sz w:val="16"/>
                <w:szCs w:val="16"/>
                <w:color w:val="auto"/>
                <w:w w:val="89"/>
              </w:rPr>
              <w:t>$</w:t>
            </w:r>
          </w:p>
        </w:tc>
        <w:tc>
          <w:tcPr>
            <w:tcW w:w="1860" w:type="dxa"/>
            <w:vAlign w:val="bottom"/>
          </w:tcPr>
          <w:p>
            <w:pPr>
              <w:jc w:val="right"/>
              <w:ind w:right="43"/>
              <w:spacing w:after="0" w:line="180" w:lineRule="exact"/>
              <w:rPr>
                <w:sz w:val="20"/>
                <w:szCs w:val="20"/>
                <w:color w:val="auto"/>
              </w:rPr>
            </w:pPr>
            <w:r>
              <w:rPr>
                <w:rFonts w:ascii="Arial" w:cs="Arial" w:eastAsia="Arial" w:hAnsi="Arial"/>
                <w:sz w:val="16"/>
                <w:szCs w:val="16"/>
                <w:color w:val="auto"/>
              </w:rPr>
              <w:t>2,041</w:t>
            </w:r>
          </w:p>
        </w:tc>
      </w:tr>
      <w:tr>
        <w:trPr>
          <w:trHeight w:val="188"/>
        </w:trPr>
        <w:tc>
          <w:tcPr>
            <w:tcW w:w="9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Measurement period adjustments</w:t>
            </w:r>
          </w:p>
        </w:tc>
        <w:tc>
          <w:tcPr>
            <w:tcW w:w="140" w:type="dxa"/>
            <w:vAlign w:val="bottom"/>
            <w:shd w:val="clear" w:color="auto" w:fill="CFF0FC"/>
          </w:tcPr>
          <w:p>
            <w:pPr>
              <w:spacing w:after="0"/>
              <w:rPr>
                <w:sz w:val="16"/>
                <w:szCs w:val="16"/>
                <w:color w:val="auto"/>
              </w:rPr>
            </w:pPr>
          </w:p>
        </w:tc>
        <w:tc>
          <w:tcPr>
            <w:tcW w:w="18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26</w:t>
            </w:r>
          </w:p>
        </w:tc>
      </w:tr>
      <w:tr>
        <w:trPr>
          <w:trHeight w:val="188"/>
        </w:trPr>
        <w:tc>
          <w:tcPr>
            <w:tcW w:w="9260" w:type="dxa"/>
            <w:vAlign w:val="bottom"/>
          </w:tcPr>
          <w:p>
            <w:pPr>
              <w:ind w:left="200"/>
              <w:spacing w:after="0"/>
              <w:rPr>
                <w:sz w:val="20"/>
                <w:szCs w:val="20"/>
                <w:color w:val="auto"/>
              </w:rPr>
            </w:pPr>
            <w:r>
              <w:rPr>
                <w:rFonts w:ascii="Arial" w:cs="Arial" w:eastAsia="Arial" w:hAnsi="Arial"/>
                <w:sz w:val="16"/>
                <w:szCs w:val="16"/>
                <w:color w:val="auto"/>
              </w:rPr>
              <w:t>Foreign currency translation</w:t>
            </w:r>
          </w:p>
        </w:tc>
        <w:tc>
          <w:tcPr>
            <w:tcW w:w="140" w:type="dxa"/>
            <w:vAlign w:val="bottom"/>
          </w:tcPr>
          <w:p>
            <w:pPr>
              <w:spacing w:after="0"/>
              <w:rPr>
                <w:sz w:val="16"/>
                <w:szCs w:val="16"/>
                <w:color w:val="auto"/>
              </w:rPr>
            </w:pPr>
          </w:p>
        </w:tc>
        <w:tc>
          <w:tcPr>
            <w:tcW w:w="1860" w:type="dxa"/>
            <w:vAlign w:val="bottom"/>
          </w:tcPr>
          <w:p>
            <w:pPr>
              <w:jc w:val="right"/>
              <w:ind w:right="43"/>
              <w:spacing w:after="0"/>
              <w:rPr>
                <w:sz w:val="20"/>
                <w:szCs w:val="20"/>
                <w:color w:val="auto"/>
              </w:rPr>
            </w:pPr>
            <w:r>
              <w:rPr>
                <w:rFonts w:ascii="Arial" w:cs="Arial" w:eastAsia="Arial" w:hAnsi="Arial"/>
                <w:sz w:val="16"/>
                <w:szCs w:val="16"/>
                <w:color w:val="auto"/>
              </w:rPr>
              <w:t>1</w:t>
            </w:r>
          </w:p>
        </w:tc>
      </w:tr>
      <w:tr>
        <w:trPr>
          <w:trHeight w:val="188"/>
        </w:trPr>
        <w:tc>
          <w:tcPr>
            <w:tcW w:w="9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Walker Die Casting net working capital settlement</w:t>
            </w:r>
          </w:p>
        </w:tc>
        <w:tc>
          <w:tcPr>
            <w:tcW w:w="140" w:type="dxa"/>
            <w:vAlign w:val="bottom"/>
            <w:tcBorders>
              <w:bottom w:val="single" w:sz="8" w:color="auto"/>
            </w:tcBorders>
            <w:shd w:val="clear" w:color="auto" w:fill="CFF0FC"/>
          </w:tcPr>
          <w:p>
            <w:pPr>
              <w:spacing w:after="0"/>
              <w:rPr>
                <w:sz w:val="16"/>
                <w:szCs w:val="16"/>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r>
      <w:tr>
        <w:trPr>
          <w:trHeight w:val="180"/>
        </w:trPr>
        <w:tc>
          <w:tcPr>
            <w:tcW w:w="926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Net current period impact to goodwill</w:t>
            </w:r>
          </w:p>
        </w:tc>
        <w:tc>
          <w:tcPr>
            <w:tcW w:w="1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b w:val="1"/>
                <w:bCs w:val="1"/>
                <w:color w:val="auto"/>
              </w:rPr>
              <w:t>23</w:t>
            </w:r>
          </w:p>
        </w:tc>
      </w:tr>
      <w:tr>
        <w:trPr>
          <w:trHeight w:val="180"/>
        </w:trPr>
        <w:tc>
          <w:tcPr>
            <w:tcW w:w="9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Balance at December 31, 2020</w:t>
            </w: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86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2,064</w:t>
            </w:r>
          </w:p>
        </w:tc>
      </w:tr>
    </w:tbl>
    <w:p>
      <w:pPr>
        <w:spacing w:after="0" w:line="12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NOTE 25, “Acquisitions” for more information on the impact of the three acquisitions to the Company’s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FAIR VALUE OF FINANCIAL INSTRUMENTS</w:t>
      </w:r>
    </w:p>
    <w:p>
      <w:pPr>
        <w:spacing w:after="0" w:line="135" w:lineRule="exact"/>
        <w:rPr>
          <w:sz w:val="20"/>
          <w:szCs w:val="20"/>
          <w:color w:val="auto"/>
        </w:rPr>
      </w:pPr>
    </w:p>
    <w:p>
      <w:pPr>
        <w:ind w:right="60" w:firstLine="522"/>
        <w:spacing w:after="0" w:line="234"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12" w:lineRule="exact"/>
        <w:rPr>
          <w:sz w:val="20"/>
          <w:szCs w:val="20"/>
          <w:color w:val="auto"/>
        </w:rPr>
      </w:pPr>
    </w:p>
    <w:p>
      <w:pPr>
        <w:ind w:right="480" w:firstLine="522"/>
        <w:spacing w:after="0" w:line="247" w:lineRule="auto"/>
        <w:rPr>
          <w:sz w:val="20"/>
          <w:szCs w:val="20"/>
          <w:color w:val="auto"/>
        </w:rPr>
      </w:pPr>
      <w:r>
        <w:rPr>
          <w:rFonts w:ascii="Arial" w:cs="Arial" w:eastAsia="Arial" w:hAnsi="Arial"/>
          <w:sz w:val="16"/>
          <w:szCs w:val="16"/>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01" w:lineRule="exact"/>
        <w:rPr>
          <w:sz w:val="20"/>
          <w:szCs w:val="20"/>
          <w:color w:val="auto"/>
        </w:rPr>
      </w:pPr>
    </w:p>
    <w:p>
      <w:pPr>
        <w:ind w:right="120" w:firstLine="522"/>
        <w:spacing w:after="0" w:line="237"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ind w:right="200" w:firstLine="522"/>
        <w:spacing w:after="0" w:line="241"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December 31, 2020 and 2019, the Company did not have any Level 3 financial assets or liabilities.</w:t>
      </w:r>
    </w:p>
    <w:p>
      <w:pPr>
        <w:spacing w:after="0" w:line="106" w:lineRule="exact"/>
        <w:rPr>
          <w:sz w:val="20"/>
          <w:szCs w:val="20"/>
          <w:color w:val="auto"/>
        </w:rPr>
      </w:pPr>
    </w:p>
    <w:p>
      <w:pPr>
        <w:ind w:right="340" w:firstLine="522"/>
        <w:spacing w:after="0" w:line="241" w:lineRule="auto"/>
        <w:rPr>
          <w:sz w:val="20"/>
          <w:szCs w:val="20"/>
          <w:color w:val="auto"/>
        </w:rPr>
      </w:pPr>
      <w:r>
        <w:rPr>
          <w:rFonts w:ascii="Arial" w:cs="Arial" w:eastAsia="Arial" w:hAnsi="Arial"/>
          <w:sz w:val="16"/>
          <w:szCs w:val="16"/>
          <w:color w:val="auto"/>
        </w:rPr>
        <w:t>The Company’s assets and liabilities that are measured at fair value include cash equivalents, derivative instruments, assets held in a rabbi trust and a deferred compensation obligation. The Company’s cash equivalents consist of short-term U.S. government backed securities.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06" w:lineRule="exact"/>
        <w:rPr>
          <w:sz w:val="20"/>
          <w:szCs w:val="20"/>
          <w:color w:val="auto"/>
        </w:rPr>
      </w:pPr>
    </w:p>
    <w:p>
      <w:pPr>
        <w:ind w:right="60" w:firstLine="522"/>
        <w:spacing w:after="0" w:line="241" w:lineRule="auto"/>
        <w:rPr>
          <w:sz w:val="20"/>
          <w:szCs w:val="20"/>
          <w:color w:val="auto"/>
        </w:rPr>
      </w:pPr>
      <w:r>
        <w:rPr>
          <w:rFonts w:ascii="Arial" w:cs="Arial" w:eastAsia="Arial" w:hAnsi="Arial"/>
          <w:sz w:val="16"/>
          <w:szCs w:val="16"/>
          <w:color w:val="auto"/>
        </w:rPr>
        <w:t>The Company’s valuation techniques used to calculate the fair value of cash and cash equivalents,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106" w:lineRule="exact"/>
        <w:rPr>
          <w:sz w:val="20"/>
          <w:szCs w:val="20"/>
          <w:color w:val="auto"/>
        </w:rPr>
      </w:pPr>
    </w:p>
    <w:p>
      <w:pPr>
        <w:ind w:right="60" w:firstLine="522"/>
        <w:spacing w:after="0" w:line="247" w:lineRule="auto"/>
        <w:rPr>
          <w:sz w:val="20"/>
          <w:szCs w:val="20"/>
          <w:color w:val="auto"/>
        </w:rPr>
      </w:pPr>
      <w:r>
        <w:rPr>
          <w:rFonts w:ascii="Arial" w:cs="Arial" w:eastAsia="Arial" w:hAnsi="Arial"/>
          <w:sz w:val="16"/>
          <w:szCs w:val="16"/>
          <w:color w:val="auto"/>
        </w:rPr>
        <w:t>The Company uses valuations from the issuing financial institutions for the fair value measurement of interest rate swaps. The floating-to-fixed interest rate swaps are based on the LIBOR which is observable at commonly quoted intervals. The fair values are included in other current and non-current assets and liabilities in the Consolidated Balance Sheets.</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fair value of the Company’s financial assets and (liabilities) as of December 31, 2020 and 2019 (dollars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rPr>
              <w:t>Fair Value Measurements Using</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80" w:type="dxa"/>
            <w:vAlign w:val="bottom"/>
            <w:gridSpan w:val="4"/>
          </w:tcPr>
          <w:p>
            <w:pPr>
              <w:jc w:val="center"/>
              <w:ind w:left="192"/>
              <w:spacing w:after="0" w:line="133" w:lineRule="exact"/>
              <w:rPr>
                <w:sz w:val="20"/>
                <w:szCs w:val="20"/>
                <w:color w:val="auto"/>
              </w:rPr>
            </w:pPr>
            <w:r>
              <w:rPr>
                <w:rFonts w:ascii="Arial" w:cs="Arial" w:eastAsia="Arial" w:hAnsi="Arial"/>
                <w:sz w:val="13"/>
                <w:szCs w:val="13"/>
                <w:b w:val="1"/>
                <w:bCs w:val="1"/>
                <w:color w:val="auto"/>
                <w:w w:val="95"/>
              </w:rPr>
              <w:t>Quoted Prices in Active</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6"/>
          </w:tcPr>
          <w:p>
            <w:pPr>
              <w:jc w:val="center"/>
              <w:ind w:left="212"/>
              <w:spacing w:after="0" w:line="133" w:lineRule="exact"/>
              <w:rPr>
                <w:sz w:val="20"/>
                <w:szCs w:val="20"/>
                <w:color w:val="auto"/>
              </w:rPr>
            </w:pPr>
            <w:r>
              <w:rPr>
                <w:rFonts w:ascii="Arial" w:cs="Arial" w:eastAsia="Arial" w:hAnsi="Arial"/>
                <w:sz w:val="13"/>
                <w:szCs w:val="13"/>
                <w:b w:val="1"/>
                <w:bCs w:val="1"/>
                <w:color w:val="auto"/>
                <w:w w:val="95"/>
              </w:rPr>
              <w:t>Significant Other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4"/>
          </w:tcPr>
          <w:p>
            <w:pPr>
              <w:jc w:val="center"/>
              <w:ind w:left="212"/>
              <w:spacing w:after="0" w:line="141" w:lineRule="exact"/>
              <w:rPr>
                <w:sz w:val="20"/>
                <w:szCs w:val="20"/>
                <w:color w:val="auto"/>
              </w:rPr>
            </w:pPr>
            <w:r>
              <w:rPr>
                <w:rFonts w:ascii="Arial" w:cs="Arial" w:eastAsia="Arial" w:hAnsi="Arial"/>
                <w:sz w:val="13"/>
                <w:szCs w:val="13"/>
                <w:b w:val="1"/>
                <w:bCs w:val="1"/>
                <w:color w:val="auto"/>
                <w:w w:val="96"/>
              </w:rPr>
              <w:t>Markets for Identical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6"/>
          </w:tcPr>
          <w:p>
            <w:pPr>
              <w:jc w:val="center"/>
              <w:ind w:left="192"/>
              <w:spacing w:after="0" w:line="141" w:lineRule="exact"/>
              <w:rPr>
                <w:sz w:val="20"/>
                <w:szCs w:val="20"/>
                <w:color w:val="auto"/>
              </w:rPr>
            </w:pPr>
            <w:r>
              <w:rPr>
                <w:rFonts w:ascii="Arial" w:cs="Arial" w:eastAsia="Arial" w:hAnsi="Arial"/>
                <w:sz w:val="13"/>
                <w:szCs w:val="13"/>
                <w:b w:val="1"/>
                <w:bCs w:val="1"/>
                <w:color w:val="auto"/>
                <w:w w:val="96"/>
              </w:rPr>
              <w:t>Observable Inputs</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Borders>
              <w:bottom w:val="single" w:sz="8" w:color="auto"/>
            </w:tcBorders>
            <w:gridSpan w:val="4"/>
          </w:tcPr>
          <w:p>
            <w:pPr>
              <w:jc w:val="center"/>
              <w:ind w:left="192"/>
              <w:spacing w:after="0"/>
              <w:rPr>
                <w:sz w:val="20"/>
                <w:szCs w:val="20"/>
                <w:color w:val="auto"/>
              </w:rPr>
            </w:pPr>
            <w:r>
              <w:rPr>
                <w:rFonts w:ascii="Arial" w:cs="Arial" w:eastAsia="Arial" w:hAnsi="Arial"/>
                <w:sz w:val="13"/>
                <w:szCs w:val="13"/>
                <w:b w:val="1"/>
                <w:bCs w:val="1"/>
                <w:color w:val="auto"/>
                <w:w w:val="96"/>
              </w:rPr>
              <w:t>Assets (Level 1)</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5"/>
          </w:tcPr>
          <w:p>
            <w:pPr>
              <w:jc w:val="center"/>
              <w:ind w:right="302"/>
              <w:spacing w:after="0"/>
              <w:rPr>
                <w:sz w:val="20"/>
                <w:szCs w:val="20"/>
                <w:color w:val="auto"/>
              </w:rPr>
            </w:pPr>
            <w:r>
              <w:rPr>
                <w:rFonts w:ascii="Arial" w:cs="Arial" w:eastAsia="Arial" w:hAnsi="Arial"/>
                <w:sz w:val="13"/>
                <w:szCs w:val="13"/>
                <w:b w:val="1"/>
                <w:bCs w:val="1"/>
                <w:color w:val="auto"/>
                <w:w w:val="94"/>
              </w:rPr>
              <w:t>(Level 2)</w:t>
            </w:r>
          </w:p>
        </w:tc>
        <w:tc>
          <w:tcPr>
            <w:tcW w:w="3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3"/>
                <w:szCs w:val="13"/>
                <w:b w:val="1"/>
                <w:bCs w:val="1"/>
                <w:color w:val="auto"/>
              </w:rPr>
              <w:t>TOTAL</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2020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6"/>
              </w:rPr>
              <w:t>2020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323"/>
              <w:spacing w:after="0" w:line="144" w:lineRule="exact"/>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444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Cash equivalents</w:t>
            </w:r>
          </w:p>
        </w:tc>
        <w:tc>
          <w:tcPr>
            <w:tcW w:w="220" w:type="dxa"/>
            <w:vAlign w:val="bottom"/>
            <w:tcBorders>
              <w:top w:val="single" w:sz="8" w:color="CFF0FC"/>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jc w:val="right"/>
              <w:ind w:right="452"/>
              <w:spacing w:after="0" w:line="180" w:lineRule="exact"/>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w w:val="97"/>
              </w:rPr>
              <w:t>160</w:t>
            </w:r>
          </w:p>
        </w:tc>
        <w:tc>
          <w:tcPr>
            <w:tcW w:w="120" w:type="dxa"/>
            <w:vAlign w:val="bottom"/>
            <w:tcBorders>
              <w:top w:val="single" w:sz="8" w:color="CFF0FC"/>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jc w:val="right"/>
              <w:ind w:right="467"/>
              <w:spacing w:after="0" w:line="180" w:lineRule="exact"/>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70</w:t>
            </w:r>
          </w:p>
        </w:tc>
        <w:tc>
          <w:tcPr>
            <w:tcW w:w="120" w:type="dxa"/>
            <w:vAlign w:val="bottom"/>
            <w:tcBorders>
              <w:top w:val="single" w:sz="8" w:color="CFF0FC"/>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w:t>
            </w:r>
          </w:p>
        </w:tc>
        <w:tc>
          <w:tcPr>
            <w:tcW w:w="360" w:type="dxa"/>
            <w:vAlign w:val="bottom"/>
            <w:tcBorders>
              <w:top w:val="single" w:sz="8" w:color="auto"/>
            </w:tcBorders>
            <w:gridSpan w:val="2"/>
            <w:shd w:val="clear" w:color="auto" w:fill="CFF0FC"/>
          </w:tcPr>
          <w:p>
            <w:pPr>
              <w:jc w:val="right"/>
              <w:ind w:right="27"/>
              <w:spacing w:after="0" w:line="180" w:lineRule="exact"/>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jc w:val="right"/>
              <w:ind w:right="442"/>
              <w:spacing w:after="0" w:line="180" w:lineRule="exact"/>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shd w:val="clear" w:color="auto" w:fill="CFF0FC"/>
          </w:tcPr>
          <w:p>
            <w:pPr>
              <w:jc w:val="right"/>
              <w:ind w:right="2"/>
              <w:spacing w:after="0" w:line="180"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62"/>
              <w:spacing w:after="0" w:line="180" w:lineRule="exact"/>
              <w:rPr>
                <w:sz w:val="20"/>
                <w:szCs w:val="20"/>
                <w:color w:val="auto"/>
              </w:rPr>
            </w:pPr>
            <w:r>
              <w:rPr>
                <w:rFonts w:ascii="Arial" w:cs="Arial" w:eastAsia="Arial" w:hAnsi="Arial"/>
                <w:sz w:val="16"/>
                <w:szCs w:val="16"/>
                <w:b w:val="1"/>
                <w:bCs w:val="1"/>
                <w:color w:val="auto"/>
                <w:w w:val="89"/>
              </w:rPr>
              <w:t>$</w:t>
            </w:r>
          </w:p>
        </w:tc>
        <w:tc>
          <w:tcPr>
            <w:tcW w:w="16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w w:val="97"/>
              </w:rPr>
              <w:t>160</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20"/>
                <w:szCs w:val="20"/>
                <w:color w:val="auto"/>
              </w:rPr>
            </w:pPr>
            <w:r>
              <w:rPr>
                <w:rFonts w:ascii="Arial" w:cs="Arial" w:eastAsia="Arial" w:hAnsi="Arial"/>
                <w:sz w:val="16"/>
                <w:szCs w:val="16"/>
                <w:color w:val="auto"/>
              </w:rPr>
              <w:t>Derivative liabilities, net</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spacing w:after="0"/>
              <w:rPr>
                <w:sz w:val="16"/>
                <w:szCs w:val="16"/>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rPr>
              <w:t>(60)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8"/>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Rabbi trust assets</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17</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27"/>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17</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8"/>
        </w:trPr>
        <w:tc>
          <w:tcPr>
            <w:tcW w:w="4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Deferred compensation obligation</w:t>
            </w:r>
          </w:p>
        </w:tc>
        <w:tc>
          <w:tcPr>
            <w:tcW w:w="220" w:type="dxa"/>
            <w:vAlign w:val="bottom"/>
            <w:tcBorders>
              <w:bottom w:val="single" w:sz="8" w:color="CFF0FC"/>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tcBorders>
              <w:bottom w:val="single" w:sz="8" w:color="CFF0FC"/>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FF0FC"/>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0"/>
        </w:trPr>
        <w:tc>
          <w:tcPr>
            <w:tcW w:w="444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2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52"/>
              <w:spacing w:after="0" w:line="180" w:lineRule="exact"/>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w w:val="97"/>
              </w:rPr>
              <w:t>160</w:t>
            </w:r>
          </w:p>
        </w:tc>
        <w:tc>
          <w:tcPr>
            <w:tcW w:w="1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67"/>
              <w:spacing w:after="0" w:line="180" w:lineRule="exact"/>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70</w:t>
            </w:r>
          </w:p>
        </w:tc>
        <w:tc>
          <w:tcPr>
            <w:tcW w:w="1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gridSpan w:val="2"/>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(60)</w:t>
            </w:r>
          </w:p>
        </w:tc>
        <w:tc>
          <w:tcPr>
            <w:tcW w:w="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42"/>
              <w:spacing w:after="0" w:line="180" w:lineRule="exact"/>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(34)</w:t>
            </w:r>
          </w:p>
        </w:tc>
        <w:tc>
          <w:tcPr>
            <w:tcW w:w="4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Arial" w:cs="Arial" w:eastAsia="Arial" w:hAnsi="Arial"/>
                <w:sz w:val="16"/>
                <w:szCs w:val="16"/>
                <w:b w:val="1"/>
                <w:bCs w:val="1"/>
                <w:color w:val="auto"/>
                <w:w w:val="89"/>
              </w:rPr>
              <w:t>$</w:t>
            </w:r>
          </w:p>
        </w:tc>
        <w:tc>
          <w:tcPr>
            <w:tcW w:w="16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w w:val="97"/>
              </w:rPr>
              <w:t>100</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6"/>
                <w:szCs w:val="16"/>
                <w:b w:val="1"/>
                <w:bCs w:val="1"/>
                <w:color w:val="auto"/>
              </w:rPr>
              <w:t>NOTE 8.  DEBT</w:t>
            </w: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280" w:type="dxa"/>
            <w:vAlign w:val="bottom"/>
            <w:gridSpan w:val="3"/>
          </w:tcPr>
          <w:p>
            <w:pPr>
              <w:ind w:left="520"/>
              <w:spacing w:after="0"/>
              <w:rPr>
                <w:sz w:val="20"/>
                <w:szCs w:val="20"/>
                <w:color w:val="auto"/>
              </w:rPr>
            </w:pPr>
            <w:r>
              <w:rPr>
                <w:rFonts w:ascii="Arial" w:cs="Arial" w:eastAsia="Arial" w:hAnsi="Arial"/>
                <w:sz w:val="16"/>
                <w:szCs w:val="16"/>
                <w:color w:val="auto"/>
              </w:rPr>
              <w:t>Long-term debt and maturities are as follows (dollars in millions):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44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620" w:type="dxa"/>
            <w:vAlign w:val="bottom"/>
            <w:tcBorders>
              <w:bottom w:val="single" w:sz="8" w:color="CFF0FC"/>
            </w:tcBorders>
          </w:tcPr>
          <w:p>
            <w:pPr>
              <w:spacing w:after="0"/>
              <w:rPr>
                <w:sz w:val="24"/>
                <w:szCs w:val="24"/>
                <w:color w:val="auto"/>
              </w:rPr>
            </w:pPr>
          </w:p>
        </w:tc>
        <w:tc>
          <w:tcPr>
            <w:tcW w:w="4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640" w:type="dxa"/>
            <w:vAlign w:val="bottom"/>
            <w:tcBorders>
              <w:bottom w:val="single" w:sz="8" w:color="CFF0FC"/>
            </w:tcBorders>
          </w:tcPr>
          <w:p>
            <w:pPr>
              <w:spacing w:after="0"/>
              <w:rPr>
                <w:sz w:val="24"/>
                <w:szCs w:val="24"/>
                <w:color w:val="auto"/>
              </w:rPr>
            </w:pPr>
          </w:p>
        </w:tc>
        <w:tc>
          <w:tcPr>
            <w:tcW w:w="38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64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jc w:val="right"/>
              <w:ind w:right="262"/>
              <w:spacing w:after="0"/>
              <w:rPr>
                <w:sz w:val="20"/>
                <w:szCs w:val="20"/>
                <w:color w:val="auto"/>
              </w:rPr>
            </w:pPr>
            <w:r>
              <w:rPr>
                <w:rFonts w:ascii="Arial" w:cs="Arial" w:eastAsia="Arial" w:hAnsi="Arial"/>
                <w:sz w:val="13"/>
                <w:szCs w:val="13"/>
                <w:b w:val="1"/>
                <w:bCs w:val="1"/>
                <w:color w:val="auto"/>
                <w:w w:val="95"/>
              </w:rPr>
              <w:t>December 31, 2020</w:t>
            </w:r>
          </w:p>
        </w:tc>
        <w:tc>
          <w:tcPr>
            <w:tcW w:w="16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263"/>
              <w:spacing w:after="0"/>
              <w:rPr>
                <w:sz w:val="20"/>
                <w:szCs w:val="20"/>
                <w:color w:val="auto"/>
              </w:rPr>
            </w:pPr>
            <w:r>
              <w:rPr>
                <w:rFonts w:ascii="Arial" w:cs="Arial" w:eastAsia="Arial" w:hAnsi="Arial"/>
                <w:sz w:val="13"/>
                <w:szCs w:val="13"/>
                <w:b w:val="1"/>
                <w:bCs w:val="1"/>
                <w:color w:val="auto"/>
                <w:w w:val="95"/>
              </w:rPr>
              <w:t>December 31, 2019</w:t>
            </w:r>
          </w:p>
        </w:tc>
        <w:tc>
          <w:tcPr>
            <w:tcW w:w="0" w:type="dxa"/>
            <w:vAlign w:val="bottom"/>
          </w:tcPr>
          <w:p>
            <w:pPr>
              <w:spacing w:after="0"/>
              <w:rPr>
                <w:sz w:val="1"/>
                <w:szCs w:val="1"/>
                <w:color w:val="auto"/>
              </w:rPr>
            </w:pPr>
          </w:p>
        </w:tc>
      </w:tr>
      <w:tr>
        <w:trPr>
          <w:trHeight w:val="180"/>
        </w:trPr>
        <w:tc>
          <w:tcPr>
            <w:tcW w:w="44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Long-term debt:</w:t>
            </w: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40" w:type="dxa"/>
            <w:vAlign w:val="bottom"/>
          </w:tcPr>
          <w:p>
            <w:pPr>
              <w:spacing w:after="0"/>
              <w:rPr>
                <w:sz w:val="20"/>
                <w:szCs w:val="20"/>
                <w:color w:val="auto"/>
              </w:rPr>
            </w:pPr>
            <w:r>
              <w:rPr>
                <w:rFonts w:ascii="Arial" w:cs="Arial" w:eastAsia="Arial" w:hAnsi="Arial"/>
                <w:sz w:val="16"/>
                <w:szCs w:val="16"/>
                <w:color w:val="auto"/>
              </w:rPr>
              <w:t>Senior Notes, fixed 5.0%, due 2024</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gridSpan w:val="2"/>
          </w:tcPr>
          <w:p>
            <w:pPr>
              <w:jc w:val="right"/>
              <w:ind w:right="27"/>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8"/>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Senior Secured Credit Facility Term Loan, variable, due 2026</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80" w:type="dxa"/>
            <w:vAlign w:val="bottom"/>
            <w:gridSpan w:val="3"/>
            <w:shd w:val="clear" w:color="auto" w:fill="CFF0FC"/>
          </w:tcPr>
          <w:p>
            <w:pPr>
              <w:jc w:val="right"/>
              <w:ind w:right="42"/>
              <w:spacing w:after="0"/>
              <w:rPr>
                <w:sz w:val="20"/>
                <w:szCs w:val="20"/>
                <w:color w:val="auto"/>
              </w:rPr>
            </w:pPr>
            <w:r>
              <w:rPr>
                <w:rFonts w:ascii="Arial" w:cs="Arial" w:eastAsia="Arial" w:hAnsi="Arial"/>
                <w:sz w:val="16"/>
                <w:szCs w:val="16"/>
                <w:b w:val="1"/>
                <w:bCs w:val="1"/>
                <w:color w:val="auto"/>
                <w:w w:val="89"/>
              </w:rPr>
              <w:t>638</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20"/>
                <w:szCs w:val="20"/>
                <w:color w:val="auto"/>
              </w:rPr>
            </w:pPr>
            <w:r>
              <w:rPr>
                <w:rFonts w:ascii="Arial" w:cs="Arial" w:eastAsia="Arial" w:hAnsi="Arial"/>
                <w:sz w:val="16"/>
                <w:szCs w:val="16"/>
                <w:color w:val="auto"/>
              </w:rPr>
              <w:t>Senior Notes, fixed 4.75%, due 2027</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gridSpan w:val="3"/>
          </w:tcPr>
          <w:p>
            <w:pPr>
              <w:jc w:val="right"/>
              <w:ind w:right="42"/>
              <w:spacing w:after="0"/>
              <w:rPr>
                <w:sz w:val="20"/>
                <w:szCs w:val="20"/>
                <w:color w:val="auto"/>
              </w:rPr>
            </w:pPr>
            <w:r>
              <w:rPr>
                <w:rFonts w:ascii="Arial" w:cs="Arial" w:eastAsia="Arial" w:hAnsi="Arial"/>
                <w:sz w:val="16"/>
                <w:szCs w:val="16"/>
                <w:b w:val="1"/>
                <w:bCs w:val="1"/>
                <w:color w:val="auto"/>
                <w:w w:val="89"/>
              </w:rPr>
              <w:t>400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88"/>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Senior Notes, fixed 5.875%, due 2029</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80" w:type="dxa"/>
            <w:vAlign w:val="bottom"/>
            <w:gridSpan w:val="3"/>
            <w:shd w:val="clear" w:color="auto" w:fill="CFF0FC"/>
          </w:tcPr>
          <w:p>
            <w:pPr>
              <w:jc w:val="right"/>
              <w:ind w:right="42"/>
              <w:spacing w:after="0"/>
              <w:rPr>
                <w:sz w:val="20"/>
                <w:szCs w:val="20"/>
                <w:color w:val="auto"/>
              </w:rPr>
            </w:pPr>
            <w:r>
              <w:rPr>
                <w:rFonts w:ascii="Arial" w:cs="Arial" w:eastAsia="Arial" w:hAnsi="Arial"/>
                <w:sz w:val="16"/>
                <w:szCs w:val="16"/>
                <w:b w:val="1"/>
                <w:bCs w:val="1"/>
                <w:color w:val="auto"/>
                <w:w w:val="89"/>
              </w:rPr>
              <w:t>500</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88"/>
        </w:trPr>
        <w:tc>
          <w:tcPr>
            <w:tcW w:w="4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Senior Notes, fixed 3.75%, due 2031</w:t>
            </w:r>
          </w:p>
        </w:tc>
        <w:tc>
          <w:tcPr>
            <w:tcW w:w="220" w:type="dxa"/>
            <w:vAlign w:val="bottom"/>
            <w:tcBorders>
              <w:bottom w:val="single" w:sz="8" w:color="CFF0FC"/>
            </w:tcBorders>
          </w:tcPr>
          <w:p>
            <w:pPr>
              <w:spacing w:after="0"/>
              <w:rPr>
                <w:sz w:val="16"/>
                <w:szCs w:val="16"/>
                <w:color w:val="auto"/>
              </w:rPr>
            </w:pPr>
          </w:p>
        </w:tc>
        <w:tc>
          <w:tcPr>
            <w:tcW w:w="620" w:type="dxa"/>
            <w:vAlign w:val="bottom"/>
            <w:tcBorders>
              <w:bottom w:val="single" w:sz="8" w:color="CFF0FC"/>
            </w:tcBorders>
          </w:tcPr>
          <w:p>
            <w:pPr>
              <w:spacing w:after="0"/>
              <w:rPr>
                <w:sz w:val="16"/>
                <w:szCs w:val="16"/>
                <w:color w:val="auto"/>
              </w:rPr>
            </w:pPr>
          </w:p>
        </w:tc>
        <w:tc>
          <w:tcPr>
            <w:tcW w:w="40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640" w:type="dxa"/>
            <w:vAlign w:val="bottom"/>
            <w:tcBorders>
              <w:bottom w:val="single" w:sz="8" w:color="CFF0FC"/>
            </w:tcBorders>
          </w:tcPr>
          <w:p>
            <w:pPr>
              <w:spacing w:after="0"/>
              <w:rPr>
                <w:sz w:val="16"/>
                <w:szCs w:val="16"/>
                <w:color w:val="auto"/>
              </w:rPr>
            </w:pPr>
          </w:p>
        </w:tc>
        <w:tc>
          <w:tcPr>
            <w:tcW w:w="38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64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6"/>
                <w:szCs w:val="16"/>
                <w:b w:val="1"/>
                <w:bCs w:val="1"/>
                <w:color w:val="auto"/>
              </w:rPr>
              <w:t>1,000</w:t>
            </w:r>
          </w:p>
        </w:tc>
        <w:tc>
          <w:tcPr>
            <w:tcW w:w="16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444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long-term debt</w:t>
            </w: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20" w:type="dxa"/>
            <w:vAlign w:val="bottom"/>
            <w:gridSpan w:val="4"/>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2,538</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jc w:val="center"/>
              <w:ind w:right="22"/>
              <w:spacing w:after="0" w:line="180" w:lineRule="exact"/>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20"/>
                <w:szCs w:val="20"/>
                <w:color w:val="auto"/>
              </w:rPr>
            </w:pPr>
            <w:r>
              <w:rPr>
                <w:rFonts w:ascii="Arial" w:cs="Arial" w:eastAsia="Arial" w:hAnsi="Arial"/>
                <w:sz w:val="16"/>
                <w:szCs w:val="16"/>
                <w:color w:val="auto"/>
              </w:rPr>
              <w:t>Less: current maturities of long-term debt</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gridSpan w:val="3"/>
          </w:tcPr>
          <w:p>
            <w:pPr>
              <w:jc w:val="right"/>
              <w:ind w:right="42"/>
              <w:spacing w:after="0"/>
              <w:rPr>
                <w:sz w:val="20"/>
                <w:szCs w:val="20"/>
                <w:color w:val="auto"/>
              </w:rPr>
            </w:pPr>
            <w:r>
              <w:rPr>
                <w:rFonts w:ascii="Arial" w:cs="Arial" w:eastAsia="Arial" w:hAnsi="Arial"/>
                <w:sz w:val="16"/>
                <w:szCs w:val="16"/>
                <w:b w:val="1"/>
                <w:bCs w:val="1"/>
                <w:color w:val="auto"/>
              </w:rPr>
              <w:t>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8"/>
        </w:trPr>
        <w:tc>
          <w:tcPr>
            <w:tcW w:w="44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deferred financing costs, net (see NOTE 2)</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gridSpan w:val="3"/>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25</w:t>
            </w:r>
          </w:p>
        </w:tc>
        <w:tc>
          <w:tcPr>
            <w:tcW w:w="1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0"/>
        </w:trPr>
        <w:tc>
          <w:tcPr>
            <w:tcW w:w="4440" w:type="dxa"/>
            <w:vAlign w:val="bottom"/>
          </w:tcPr>
          <w:p>
            <w:pPr>
              <w:ind w:left="200"/>
              <w:spacing w:after="0" w:line="180" w:lineRule="exact"/>
              <w:rPr>
                <w:sz w:val="20"/>
                <w:szCs w:val="20"/>
                <w:color w:val="auto"/>
              </w:rPr>
            </w:pPr>
            <w:r>
              <w:rPr>
                <w:rFonts w:ascii="Arial" w:cs="Arial" w:eastAsia="Arial" w:hAnsi="Arial"/>
                <w:sz w:val="16"/>
                <w:szCs w:val="16"/>
                <w:color w:val="auto"/>
              </w:rPr>
              <w:t>Total long-term debt, net</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4"/>
          </w:tcPr>
          <w:p>
            <w:pPr>
              <w:jc w:val="right"/>
              <w:ind w:right="42"/>
              <w:spacing w:after="0" w:line="180" w:lineRule="exact"/>
              <w:rPr>
                <w:sz w:val="20"/>
                <w:szCs w:val="20"/>
                <w:color w:val="auto"/>
              </w:rPr>
            </w:pPr>
            <w:r>
              <w:rPr>
                <w:rFonts w:ascii="Arial" w:cs="Arial" w:eastAsia="Arial" w:hAnsi="Arial"/>
                <w:sz w:val="16"/>
                <w:szCs w:val="16"/>
                <w:b w:val="1"/>
                <w:bCs w:val="1"/>
                <w:color w:val="auto"/>
              </w:rPr>
              <w:t>2,507</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center"/>
              <w:ind w:right="22"/>
              <w:spacing w:after="0" w:line="180"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71</w:t>
            </w: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4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Principal payments required on long-term debt during the next five years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20" w:type="dxa"/>
            <w:vAlign w:val="bottom"/>
          </w:tcPr>
          <w:p>
            <w:pPr>
              <w:jc w:val="center"/>
              <w:ind w:right="1810"/>
              <w:spacing w:after="0"/>
              <w:rPr>
                <w:sz w:val="20"/>
                <w:szCs w:val="20"/>
                <w:color w:val="auto"/>
              </w:rPr>
            </w:pPr>
            <w:r>
              <w:rPr>
                <w:rFonts w:ascii="Arial" w:cs="Arial" w:eastAsia="Arial" w:hAnsi="Arial"/>
                <w:sz w:val="13"/>
                <w:szCs w:val="13"/>
                <w:b w:val="1"/>
                <w:bCs w:val="1"/>
                <w:color w:val="auto"/>
                <w:w w:val="95"/>
              </w:rPr>
              <w:t>(dollars in millions)</w:t>
            </w:r>
          </w:p>
        </w:tc>
        <w:tc>
          <w:tcPr>
            <w:tcW w:w="2620" w:type="dxa"/>
            <w:vAlign w:val="bottom"/>
            <w:gridSpan w:val="2"/>
          </w:tcPr>
          <w:p>
            <w:pPr>
              <w:jc w:val="right"/>
              <w:ind w:right="47"/>
              <w:spacing w:after="0"/>
              <w:rPr>
                <w:sz w:val="20"/>
                <w:szCs w:val="20"/>
                <w:color w:val="auto"/>
              </w:rPr>
            </w:pPr>
            <w:r>
              <w:rPr>
                <w:rFonts w:ascii="Arial" w:cs="Arial" w:eastAsia="Arial" w:hAnsi="Arial"/>
                <w:sz w:val="13"/>
                <w:szCs w:val="13"/>
                <w:b w:val="1"/>
                <w:bCs w:val="1"/>
                <w:color w:val="auto"/>
              </w:rPr>
              <w:t>2021</w:t>
            </w:r>
          </w:p>
        </w:tc>
        <w:tc>
          <w:tcPr>
            <w:tcW w:w="320" w:type="dxa"/>
            <w:vAlign w:val="bottom"/>
          </w:tcPr>
          <w:p>
            <w:pPr>
              <w:spacing w:after="0"/>
              <w:rPr>
                <w:sz w:val="13"/>
                <w:szCs w:val="13"/>
                <w:color w:val="auto"/>
              </w:rPr>
            </w:pPr>
          </w:p>
        </w:tc>
        <w:tc>
          <w:tcPr>
            <w:tcW w:w="1000" w:type="dxa"/>
            <w:vAlign w:val="bottom"/>
            <w:gridSpan w:val="2"/>
          </w:tcPr>
          <w:p>
            <w:pPr>
              <w:jc w:val="right"/>
              <w:ind w:right="42"/>
              <w:spacing w:after="0"/>
              <w:rPr>
                <w:sz w:val="20"/>
                <w:szCs w:val="20"/>
                <w:color w:val="auto"/>
              </w:rPr>
            </w:pPr>
            <w:r>
              <w:rPr>
                <w:rFonts w:ascii="Arial" w:cs="Arial" w:eastAsia="Arial" w:hAnsi="Arial"/>
                <w:sz w:val="13"/>
                <w:szCs w:val="13"/>
                <w:b w:val="1"/>
                <w:bCs w:val="1"/>
                <w:color w:val="auto"/>
              </w:rPr>
              <w:t>2022</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50"/>
              <w:spacing w:after="0"/>
              <w:rPr>
                <w:sz w:val="20"/>
                <w:szCs w:val="20"/>
                <w:color w:val="auto"/>
              </w:rPr>
            </w:pPr>
            <w:r>
              <w:rPr>
                <w:rFonts w:ascii="Arial" w:cs="Arial" w:eastAsia="Arial" w:hAnsi="Arial"/>
                <w:sz w:val="13"/>
                <w:szCs w:val="13"/>
                <w:b w:val="1"/>
                <w:bCs w:val="1"/>
                <w:color w:val="auto"/>
              </w:rPr>
              <w:t>2023</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52"/>
              <w:spacing w:after="0"/>
              <w:rPr>
                <w:sz w:val="20"/>
                <w:szCs w:val="20"/>
                <w:color w:val="auto"/>
              </w:rPr>
            </w:pPr>
            <w:r>
              <w:rPr>
                <w:rFonts w:ascii="Arial" w:cs="Arial" w:eastAsia="Arial" w:hAnsi="Arial"/>
                <w:sz w:val="13"/>
                <w:szCs w:val="13"/>
                <w:b w:val="1"/>
                <w:bCs w:val="1"/>
                <w:color w:val="auto"/>
              </w:rPr>
              <w:t>2024</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390"/>
              <w:spacing w:after="0"/>
              <w:rPr>
                <w:sz w:val="20"/>
                <w:szCs w:val="20"/>
                <w:color w:val="auto"/>
              </w:rPr>
            </w:pPr>
            <w:r>
              <w:rPr>
                <w:rFonts w:ascii="Arial" w:cs="Arial" w:eastAsia="Arial" w:hAnsi="Arial"/>
                <w:sz w:val="13"/>
                <w:szCs w:val="13"/>
                <w:b w:val="1"/>
                <w:bCs w:val="1"/>
                <w:color w:val="auto"/>
              </w:rPr>
              <w:t>2025</w:t>
            </w:r>
          </w:p>
        </w:tc>
      </w:tr>
      <w:tr>
        <w:trPr>
          <w:trHeight w:val="180"/>
        </w:trPr>
        <w:tc>
          <w:tcPr>
            <w:tcW w:w="3020" w:type="dxa"/>
            <w:vAlign w:val="bottom"/>
            <w:tcBorders>
              <w:top w:val="single" w:sz="8" w:color="CFF0FC"/>
            </w:tcBorders>
            <w:shd w:val="clear" w:color="auto" w:fill="CFF0FC"/>
          </w:tcPr>
          <w:p>
            <w:pPr>
              <w:jc w:val="center"/>
              <w:ind w:right="1850"/>
              <w:spacing w:after="0" w:line="180" w:lineRule="exact"/>
              <w:rPr>
                <w:sz w:val="20"/>
                <w:szCs w:val="20"/>
                <w:color w:val="auto"/>
              </w:rPr>
            </w:pPr>
            <w:r>
              <w:rPr>
                <w:rFonts w:ascii="Arial" w:cs="Arial" w:eastAsia="Arial" w:hAnsi="Arial"/>
                <w:sz w:val="16"/>
                <w:szCs w:val="16"/>
                <w:color w:val="auto"/>
                <w:w w:val="98"/>
              </w:rPr>
              <w:t>Payments</w:t>
            </w:r>
          </w:p>
        </w:tc>
        <w:tc>
          <w:tcPr>
            <w:tcW w:w="1900" w:type="dxa"/>
            <w:vAlign w:val="bottom"/>
            <w:tcBorders>
              <w:top w:val="single" w:sz="8" w:color="CFF0FC"/>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6</w:t>
            </w:r>
          </w:p>
        </w:tc>
        <w:tc>
          <w:tcPr>
            <w:tcW w:w="260" w:type="dxa"/>
            <w:vAlign w:val="bottom"/>
            <w:tcBorders>
              <w:top w:val="single" w:sz="8" w:color="CFF0FC"/>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jc w:val="right"/>
              <w:ind w:right="562"/>
              <w:spacing w:after="0" w:line="180" w:lineRule="exact"/>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6</w:t>
            </w:r>
          </w:p>
        </w:tc>
        <w:tc>
          <w:tcPr>
            <w:tcW w:w="260" w:type="dxa"/>
            <w:vAlign w:val="bottom"/>
            <w:tcBorders>
              <w:top w:val="single" w:sz="8" w:color="CFF0FC"/>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jc w:val="right"/>
              <w:ind w:right="570"/>
              <w:spacing w:after="0" w:line="180" w:lineRule="exact"/>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6</w:t>
            </w:r>
          </w:p>
        </w:tc>
        <w:tc>
          <w:tcPr>
            <w:tcW w:w="280" w:type="dxa"/>
            <w:vAlign w:val="bottom"/>
            <w:tcBorders>
              <w:top w:val="single" w:sz="8" w:color="CFF0FC"/>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jc w:val="right"/>
              <w:ind w:right="572"/>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ind w:right="22"/>
              <w:spacing w:after="0" w:line="180" w:lineRule="exact"/>
              <w:rPr>
                <w:sz w:val="20"/>
                <w:szCs w:val="20"/>
                <w:color w:val="auto"/>
              </w:rPr>
            </w:pPr>
            <w:r>
              <w:rPr>
                <w:rFonts w:ascii="Arial" w:cs="Arial" w:eastAsia="Arial" w:hAnsi="Arial"/>
                <w:sz w:val="16"/>
                <w:szCs w:val="16"/>
                <w:color w:val="auto"/>
              </w:rPr>
              <w:t>6</w:t>
            </w:r>
          </w:p>
        </w:tc>
        <w:tc>
          <w:tcPr>
            <w:tcW w:w="2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6</w:t>
            </w:r>
          </w:p>
        </w:tc>
      </w:tr>
    </w:tbl>
    <w:p>
      <w:pPr>
        <w:spacing w:after="0" w:line="155" w:lineRule="exact"/>
        <w:rPr>
          <w:sz w:val="20"/>
          <w:szCs w:val="20"/>
          <w:color w:val="auto"/>
        </w:rPr>
      </w:pPr>
    </w:p>
    <w:p>
      <w:pPr>
        <w:ind w:right="60" w:firstLine="522"/>
        <w:spacing w:after="0" w:line="237" w:lineRule="auto"/>
        <w:rPr>
          <w:sz w:val="20"/>
          <w:szCs w:val="20"/>
          <w:color w:val="auto"/>
        </w:rPr>
      </w:pPr>
      <w:r>
        <w:rPr>
          <w:rFonts w:ascii="Arial" w:cs="Arial" w:eastAsia="Arial" w:hAnsi="Arial"/>
          <w:sz w:val="16"/>
          <w:szCs w:val="16"/>
          <w:color w:val="auto"/>
        </w:rPr>
        <w:t>As of December 31, 2020, the Company had $2,538 million of indebtedness associated with Allison Transmission, Inc.’s (“ATI”), the Company’s wholly-owned subsidiary, ATI’s 4.75% Senior Notes due October 2027 (“4.75% Senior Notes”), ATI’s 5.875% Senior Notes due June 2029 (“5.875% Senior Notes”), ATI’s 3.75% Senior Notes due January 2031 (“3.75% Senior Notes” and, together with the 4.75% Senior Notes and 5.875% Senior Notes, the “Senior Notes”) and the Second Amended and Restated Credit Agreement dated as of March 29, 2019, as amended (the “Credit Agreement”), governing ATI’s new term loan facility in the amount of $ 638 million due March 2026 (“New Term Loan”) and ATI’s new revolving credit facility with commitments in the amount of $650 million due September 2025 (“New Revolving Credit Facility” and, together with the New Term Loan, the “New Senior Secured Credit Facility”).</w:t>
      </w:r>
    </w:p>
    <w:p>
      <w:pPr>
        <w:spacing w:after="0" w:line="108" w:lineRule="exact"/>
        <w:rPr>
          <w:sz w:val="20"/>
          <w:szCs w:val="20"/>
          <w:color w:val="auto"/>
        </w:rPr>
      </w:pPr>
    </w:p>
    <w:p>
      <w:pPr>
        <w:jc w:val="both"/>
        <w:ind w:right="100" w:firstLine="522"/>
        <w:spacing w:after="0" w:line="247" w:lineRule="auto"/>
        <w:rPr>
          <w:sz w:val="20"/>
          <w:szCs w:val="20"/>
          <w:color w:val="auto"/>
        </w:rPr>
      </w:pPr>
      <w:r>
        <w:rPr>
          <w:rFonts w:ascii="Arial" w:cs="Arial" w:eastAsia="Arial" w:hAnsi="Arial"/>
          <w:sz w:val="16"/>
          <w:szCs w:val="16"/>
          <w:color w:val="auto"/>
        </w:rPr>
        <w:t>The fair value of the Company’s long-term debt obligations as of December 31, 2020 was $ 2,635 million. The fair value is based on quoted Level 2 market prices of the Company’s debt as of December 31, 2020.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New Senior Secured Credit Facility</w:t>
      </w:r>
    </w:p>
    <w:p>
      <w:pPr>
        <w:spacing w:after="0" w:line="131" w:lineRule="exact"/>
        <w:rPr>
          <w:sz w:val="20"/>
          <w:szCs w:val="20"/>
          <w:color w:val="auto"/>
        </w:rPr>
      </w:pPr>
    </w:p>
    <w:p>
      <w:pPr>
        <w:ind w:right="80" w:firstLine="522"/>
        <w:spacing w:after="0" w:line="235" w:lineRule="auto"/>
        <w:rPr>
          <w:sz w:val="20"/>
          <w:szCs w:val="20"/>
          <w:color w:val="auto"/>
        </w:rPr>
      </w:pPr>
      <w:r>
        <w:rPr>
          <w:rFonts w:ascii="Arial" w:cs="Arial" w:eastAsia="Arial" w:hAnsi="Arial"/>
          <w:sz w:val="16"/>
          <w:szCs w:val="16"/>
          <w:color w:val="auto"/>
        </w:rPr>
        <w:t>In March 2019, the Company and ATI entered into the Credit Agreement to reduce the commitments under the prior term loan due 2022 (“Prior Term Loan”) by $500 million and increase the commitments under the prior $550 million revolving credit facility due 2021 (“Prior Revolving Credit Facility” and, together with the Prior Term Loan, the “Prior Senior Secured Credit Facility”) by $50 million. The New Senior Secured Credit Facility also extended the maturity of the Prior Term Loan from 2022 to 2026 and extended the Prior Revolving Credit Facility termination date from 2021 to 2024. The New Senior Secured Credit Facility replaced the Prior Senior Secured Credit Facility, including the Prior Term Loan and Prior Revolving Credit Facility, on March 29, 2019. The Credit Agreement was treated as a modification to the Prior Senior Secured Credit Facility under GAAP, and thus the Company expensed $5 million of prior deferred financing fees and $1 million of related third party fees in the Consolidated Statement of Comprehensive Income for the year ended December 31, 2019 and recorded $5 million as new deferred financing fees in the Consolidated Balance Sheet in the first quarter of 2019.</w:t>
      </w:r>
    </w:p>
    <w:p>
      <w:pPr>
        <w:spacing w:after="0" w:line="109" w:lineRule="exact"/>
        <w:rPr>
          <w:sz w:val="20"/>
          <w:szCs w:val="20"/>
          <w:color w:val="auto"/>
        </w:rPr>
      </w:pPr>
    </w:p>
    <w:p>
      <w:pPr>
        <w:ind w:right="100" w:firstLine="522"/>
        <w:spacing w:after="0" w:line="247" w:lineRule="auto"/>
        <w:rPr>
          <w:sz w:val="20"/>
          <w:szCs w:val="20"/>
          <w:color w:val="auto"/>
        </w:rPr>
      </w:pPr>
      <w:r>
        <w:rPr>
          <w:rFonts w:ascii="Arial" w:cs="Arial" w:eastAsia="Arial" w:hAnsi="Arial"/>
          <w:sz w:val="16"/>
          <w:szCs w:val="16"/>
          <w:color w:val="auto"/>
        </w:rPr>
        <w:t>In October 2019, the Company and ATI entered into an amendment to the Credit Agreement with the New Term Loan lenders under its New Senior Secured Credit Facility to lower the applicable margins on the New Term Loan by 0.25%. The October 2019 amendment was treated as a modification to the New Senior Secured Credit Facility under GAAP.</w:t>
      </w:r>
    </w:p>
    <w:p>
      <w:pPr>
        <w:spacing w:after="0" w:line="101" w:lineRule="exact"/>
        <w:rPr>
          <w:sz w:val="20"/>
          <w:szCs w:val="20"/>
          <w:color w:val="auto"/>
        </w:rPr>
      </w:pPr>
    </w:p>
    <w:p>
      <w:pPr>
        <w:ind w:right="360" w:firstLine="522"/>
        <w:spacing w:after="0" w:line="247" w:lineRule="auto"/>
        <w:rPr>
          <w:sz w:val="20"/>
          <w:szCs w:val="20"/>
          <w:color w:val="auto"/>
        </w:rPr>
      </w:pPr>
      <w:r>
        <w:rPr>
          <w:rFonts w:ascii="Arial" w:cs="Arial" w:eastAsia="Arial" w:hAnsi="Arial"/>
          <w:sz w:val="16"/>
          <w:szCs w:val="16"/>
          <w:color w:val="auto"/>
        </w:rPr>
        <w:t>In November 2020, the Company and ATI entered into an amendment to the Credit Agreement to increase the commitments under the New Revolving Credit Facility by $50 million to $650 million. The amendment also extended the New Revolving Credit Facility termination date from September 2024 to September 2025.</w:t>
      </w:r>
    </w:p>
    <w:p>
      <w:pPr>
        <w:spacing w:after="0" w:line="101" w:lineRule="exact"/>
        <w:rPr>
          <w:sz w:val="20"/>
          <w:szCs w:val="20"/>
          <w:color w:val="auto"/>
        </w:rPr>
      </w:pPr>
    </w:p>
    <w:p>
      <w:pPr>
        <w:ind w:right="60" w:firstLine="522"/>
        <w:spacing w:after="0" w:line="236" w:lineRule="auto"/>
        <w:rPr>
          <w:sz w:val="20"/>
          <w:szCs w:val="20"/>
          <w:color w:val="auto"/>
        </w:rPr>
      </w:pPr>
      <w:r>
        <w:rPr>
          <w:rFonts w:ascii="Arial" w:cs="Arial" w:eastAsia="Arial" w:hAnsi="Arial"/>
          <w:sz w:val="16"/>
          <w:szCs w:val="16"/>
          <w:color w:val="auto"/>
        </w:rPr>
        <w:t>The borrowings under the New Senior Secured Credit Facility are collateralized by a lien on substantially all assets of the Company, ATI and each of the existing and future U.S. subsidiary guarantors, with certain exceptions set forth in the Credit Agreement, and ATI’s capital stock and all of the capital stock or other equity interests held by the Company, ATI and each of ATI’s existing and future U.S. subsidiary guarantors (subject to certain limitations for equity interest of foreign subsidiaries and other exceptions set forth in the Credit Agreement). Interest on the New Term Loan, as of December 31, 2020, is either (a) 1.75% over a LIBOR rate on deposits in U.S. dollars for one-, two-, three- or six-month periods (or twelve-month or shorter periods if, at the time of the borrowing, available from all relevant lenders) (the "LIBOR Rate"), or (b) 0.75% over the greater of the prime lending rate as quoted by the administrative agent, the LIBOR Rate for an interest period of one month plus 1.00% and the federal funds effective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rate published by the Federal Reserve Bank of New York plus 0.50%, subject to a 1.00% floor (the "Base Rate"). As of December 31, 2020, the Company elected to pay the lowest all-in rate of LIBOR plus the applicable margin, or 1.90%, on the New Term Loan. The Credit Agreement requires minimum quarterly principal payments on the New Term Loan starting with the fiscal quarter which ended September 30, 2019, as well as prepayments from certain net cash proceeds of non-ordinary course asset sales and casualty and condemnation events, the incurrence of certain debt and from a percentage of excess cash flow, if applicable. The minimum required quarterly principal payment on the New Term Loan through its maturity date of March 2026 is $2 million. As of December 31, 2020, there had been no payments required for certain net cash proceeds of non-ordinary course asset sales and casualty and condemnation events. The remaining principal balance is due upon maturity.</w:t>
      </w:r>
    </w:p>
    <w:p>
      <w:pPr>
        <w:spacing w:after="0" w:line="107" w:lineRule="exact"/>
        <w:rPr>
          <w:sz w:val="20"/>
          <w:szCs w:val="20"/>
          <w:color w:val="auto"/>
        </w:rPr>
      </w:pPr>
    </w:p>
    <w:p>
      <w:pPr>
        <w:ind w:firstLine="522"/>
        <w:spacing w:after="0" w:line="249" w:lineRule="auto"/>
        <w:rPr>
          <w:sz w:val="20"/>
          <w:szCs w:val="20"/>
          <w:color w:val="auto"/>
        </w:rPr>
      </w:pPr>
      <w:r>
        <w:rPr>
          <w:rFonts w:ascii="Arial" w:cs="Arial" w:eastAsia="Arial" w:hAnsi="Arial"/>
          <w:sz w:val="15"/>
          <w:szCs w:val="15"/>
          <w:color w:val="auto"/>
        </w:rPr>
        <w:t>The New Senior Secured Credit Facility also provides a New Revolving Credit Facility, net of an allowance for up to $75 million in outstanding letters of credit commitments. Throughout the year ended December 31, 2020, the Company made periodic withdrawals and payments on the New Revolving Credit Facility as part of the Company's debt and cash management plans. The maximum amount outstanding at any time during the year ended December 31, 2020 was $500 million. As of December 31, 2020, the Company had $645 million available under the New Revolving Credit Facility, net of $5 million in letters of credit. Borrowings under the New Revolving Credit Facility bear interest at a variable base rate plus an applicable margin based on the Company’s first lien net leverage ratio. When the Company’s first lien net leverage ratio is above 4.00x, interest on the New Revolving Credit Facility is (a) 0.75% over the Base Rate or (b) 1.75% over the LIBOR Rate; when the Company’s first lien net leverage ratio is equal to or less than 4.00x and above 3.50x, interest on the New Revolving Credit Facility is (i)</w:t>
      </w:r>
    </w:p>
    <w:p>
      <w:pPr>
        <w:ind w:right="60"/>
        <w:spacing w:after="0" w:line="233" w:lineRule="auto"/>
        <w:rPr>
          <w:sz w:val="20"/>
          <w:szCs w:val="20"/>
          <w:color w:val="auto"/>
        </w:rPr>
      </w:pPr>
      <w:r>
        <w:rPr>
          <w:rFonts w:ascii="Arial" w:cs="Arial" w:eastAsia="Arial" w:hAnsi="Arial"/>
          <w:sz w:val="16"/>
          <w:szCs w:val="16"/>
          <w:color w:val="auto"/>
        </w:rPr>
        <w:t>0.50% over the Base Rate or (ii) 1.50% over the LIBOR Rate; and when the Company’s first lien net leverage ratio is equal to or below 3.50x, interest on the New Revolving Credit Facility is (y) 0.25% over the Base Rate or (z) 1.25% over the LIBOR Rate. As of December 31, 2020, the applicable margin for the New Revolving Credit Facility was 1.25%. In addition, there is an annual commitment fee, based on the Company’s first lien net leverage ratio, on the average unused revolving credit borrowings available under the New Revolving Credit Facility. As of December 31, 2020, the commitment fee is 0.25%. Borrowings under the New Revolving Credit Facility are payable at the option of the Company throughout the term of the New Senior Secured Credit Facility with the balance due in September 2025.</w:t>
      </w:r>
    </w:p>
    <w:p>
      <w:pPr>
        <w:spacing w:after="0" w:line="106" w:lineRule="exact"/>
        <w:rPr>
          <w:sz w:val="20"/>
          <w:szCs w:val="20"/>
          <w:color w:val="auto"/>
        </w:rPr>
      </w:pPr>
    </w:p>
    <w:p>
      <w:pPr>
        <w:ind w:right="220" w:firstLine="522"/>
        <w:spacing w:after="0" w:line="239" w:lineRule="auto"/>
        <w:rPr>
          <w:sz w:val="20"/>
          <w:szCs w:val="20"/>
          <w:color w:val="auto"/>
        </w:rPr>
      </w:pPr>
      <w:r>
        <w:rPr>
          <w:rFonts w:ascii="Arial" w:cs="Arial" w:eastAsia="Arial" w:hAnsi="Arial"/>
          <w:sz w:val="16"/>
          <w:szCs w:val="16"/>
          <w:color w:val="auto"/>
        </w:rPr>
        <w:t>The New Senior Secured Credit Facility requires the Company to maintain a specified maximum first lien net leverage ratio of 5.50x when revolving loan commitments remain outstanding on the New Revolving Credit Facility at the end of a fiscal quarter. As of December 31, 2020, the Company had no amounts outstanding under the New Revolving Credit Facility; however, the Company would have been in compliance with the maximum first lien net leverage ratio, achieving a 0.45x ratio. Additionally, within the terms of the New Senior Secured Credit Facility, a first lien net leverage ratio at or below 4.00x results in the elimination of excess cash flow payments on the New Senior Secured Credit Facility for the applicable year.</w:t>
      </w:r>
    </w:p>
    <w:p>
      <w:pPr>
        <w:spacing w:after="0" w:line="105" w:lineRule="exact"/>
        <w:rPr>
          <w:sz w:val="20"/>
          <w:szCs w:val="20"/>
          <w:color w:val="auto"/>
        </w:rPr>
      </w:pPr>
    </w:p>
    <w:p>
      <w:pPr>
        <w:ind w:right="140" w:firstLine="522"/>
        <w:spacing w:after="0" w:line="272" w:lineRule="auto"/>
        <w:rPr>
          <w:sz w:val="20"/>
          <w:szCs w:val="20"/>
          <w:color w:val="auto"/>
        </w:rPr>
      </w:pPr>
      <w:r>
        <w:rPr>
          <w:rFonts w:ascii="Arial" w:cs="Arial" w:eastAsia="Arial" w:hAnsi="Arial"/>
          <w:sz w:val="15"/>
          <w:szCs w:val="15"/>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December 31, 2020, the Company was in compliance with all covenants under the Credit Agreement.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5.0% Senior Notes</w:t>
      </w:r>
    </w:p>
    <w:p>
      <w:pPr>
        <w:spacing w:after="0" w:line="131" w:lineRule="exact"/>
        <w:rPr>
          <w:sz w:val="20"/>
          <w:szCs w:val="20"/>
          <w:color w:val="auto"/>
        </w:rPr>
      </w:pPr>
    </w:p>
    <w:p>
      <w:pPr>
        <w:ind w:right="100" w:firstLine="522"/>
        <w:spacing w:after="0" w:line="241" w:lineRule="auto"/>
        <w:rPr>
          <w:sz w:val="20"/>
          <w:szCs w:val="20"/>
          <w:color w:val="auto"/>
        </w:rPr>
      </w:pPr>
      <w:r>
        <w:rPr>
          <w:rFonts w:ascii="Arial" w:cs="Arial" w:eastAsia="Arial" w:hAnsi="Arial"/>
          <w:sz w:val="16"/>
          <w:szCs w:val="16"/>
          <w:color w:val="auto"/>
        </w:rPr>
        <w:t>In November 2020, ATI redeemed all of its outstanding 5.0% Senior Notes due 2024 (“5.0% Senior Notes”), at the redemption price equal to 101.25% of the principal amount plus any accrued and unpaid interest, using the proceeds from the issuance of the 3.75% Senior Notes and cash on hand, resulting in a loss (the premium between the purchase price of the 5.0% Senior Notes and the face value of such notes) of $19 million including the deferred financing fees written off.</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4.75% Senior Notes</w:t>
      </w:r>
    </w:p>
    <w:p>
      <w:pPr>
        <w:spacing w:after="0" w:line="131" w:lineRule="exact"/>
        <w:rPr>
          <w:sz w:val="20"/>
          <w:szCs w:val="20"/>
          <w:color w:val="auto"/>
        </w:rPr>
      </w:pPr>
    </w:p>
    <w:p>
      <w:pPr>
        <w:ind w:right="120" w:firstLine="522"/>
        <w:spacing w:after="0" w:line="239" w:lineRule="auto"/>
        <w:rPr>
          <w:sz w:val="20"/>
          <w:szCs w:val="20"/>
          <w:color w:val="auto"/>
        </w:rPr>
      </w:pPr>
      <w:r>
        <w:rPr>
          <w:rFonts w:ascii="Arial" w:cs="Arial" w:eastAsia="Arial" w:hAnsi="Arial"/>
          <w:sz w:val="16"/>
          <w:szCs w:val="16"/>
          <w:color w:val="auto"/>
        </w:rPr>
        <w:t>ATI may from time to time seek to retire the 4.75%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October 1, 2022, ATI may redeem some or all of the 4.75% Senior Notes by paying a price equal to 100.00% of the principal amount being redeemed, plus an “applicable premium”. At any time on or after October 1, 2022, ATI may redeem some or all of the 4.75% Senior Notes at specified redemption prices in the governing indenture.</w:t>
      </w:r>
    </w:p>
    <w:p>
      <w:pPr>
        <w:spacing w:after="0" w:line="105" w:lineRule="exact"/>
        <w:rPr>
          <w:sz w:val="20"/>
          <w:szCs w:val="20"/>
          <w:color w:val="auto"/>
        </w:rPr>
      </w:pPr>
    </w:p>
    <w:p>
      <w:pPr>
        <w:ind w:right="40" w:firstLine="522"/>
        <w:spacing w:after="0" w:line="235" w:lineRule="auto"/>
        <w:rPr>
          <w:sz w:val="20"/>
          <w:szCs w:val="20"/>
          <w:color w:val="auto"/>
        </w:rPr>
      </w:pPr>
      <w:r>
        <w:rPr>
          <w:rFonts w:ascii="Arial" w:cs="Arial" w:eastAsia="Arial" w:hAnsi="Arial"/>
          <w:sz w:val="16"/>
          <w:szCs w:val="16"/>
          <w:color w:val="auto"/>
        </w:rPr>
        <w:t>The 4.75%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December 31, 2020, the Company was in compliance with all covenants under the indenture governing the 4.75% Senior Notes.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5.875% Senior Notes</w:t>
      </w:r>
    </w:p>
    <w:p>
      <w:pPr>
        <w:spacing w:after="0" w:line="131" w:lineRule="exact"/>
        <w:rPr>
          <w:sz w:val="20"/>
          <w:szCs w:val="20"/>
          <w:color w:val="auto"/>
        </w:rPr>
      </w:pPr>
    </w:p>
    <w:p>
      <w:pPr>
        <w:ind w:firstLine="522"/>
        <w:spacing w:after="0" w:line="239" w:lineRule="auto"/>
        <w:rPr>
          <w:sz w:val="20"/>
          <w:szCs w:val="20"/>
          <w:color w:val="auto"/>
        </w:rPr>
      </w:pPr>
      <w:r>
        <w:rPr>
          <w:rFonts w:ascii="Arial" w:cs="Arial" w:eastAsia="Arial" w:hAnsi="Arial"/>
          <w:sz w:val="16"/>
          <w:szCs w:val="16"/>
          <w:color w:val="auto"/>
        </w:rPr>
        <w:t>In March 2019, ATI completed an offering of $500 million of the 5.875% Senior Notes. The 5.875% Senior Notes were offered in a private placement exempt from registration under the Securities Act of 1933, as amended. The net proceeds from the offering, together with borrowings under the New Senior Secured Credit Facility and cash on hand, were used to repay all of the outstanding borrowings under the Prior Term Loan plus accrued and unpaid interest and related transaction expenses. As a result of the offering, the Company recorded $6 million as deferred financing fees in the Consolidated Balance Sheet in the first quarter of 2019.</w:t>
      </w:r>
    </w:p>
    <w:p>
      <w:pPr>
        <w:spacing w:after="0" w:line="105" w:lineRule="exact"/>
        <w:rPr>
          <w:sz w:val="20"/>
          <w:szCs w:val="20"/>
          <w:color w:val="auto"/>
        </w:rPr>
      </w:pPr>
    </w:p>
    <w:p>
      <w:pPr>
        <w:ind w:firstLine="522"/>
        <w:spacing w:after="0" w:line="237" w:lineRule="auto"/>
        <w:rPr>
          <w:sz w:val="20"/>
          <w:szCs w:val="20"/>
          <w:color w:val="auto"/>
        </w:rPr>
      </w:pPr>
      <w:r>
        <w:rPr>
          <w:rFonts w:ascii="Arial" w:cs="Arial" w:eastAsia="Arial" w:hAnsi="Arial"/>
          <w:sz w:val="16"/>
          <w:szCs w:val="16"/>
          <w:color w:val="auto"/>
        </w:rPr>
        <w:t>ATI may from time to time seek to retire the 5.875% Senior Notes through cash purchase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June 1, 2022, ATI may redeem up to 40% of the 5.875% Senior Notes by paying a price equal to 105.875% of the principal amount being redeemed. Prior to June 1, 2024, ATI may redeem some or all of the 5.875% Senior Notes by paying a price equal to 100.00% of the principal amount being redeemed, plus an “applicable premium”. At any time on or after June 1, 2024, ATI may redeem some or all of the 5.875% Senior Notes at specified redemption prices in the governing indenture.</w:t>
      </w:r>
    </w:p>
    <w:p>
      <w:pPr>
        <w:spacing w:after="0" w:line="108" w:lineRule="exact"/>
        <w:rPr>
          <w:sz w:val="20"/>
          <w:szCs w:val="20"/>
          <w:color w:val="auto"/>
        </w:rPr>
      </w:pPr>
    </w:p>
    <w:p>
      <w:pPr>
        <w:ind w:right="100" w:firstLine="522"/>
        <w:spacing w:after="0" w:line="235" w:lineRule="auto"/>
        <w:rPr>
          <w:sz w:val="20"/>
          <w:szCs w:val="20"/>
          <w:color w:val="auto"/>
        </w:rPr>
      </w:pPr>
      <w:r>
        <w:rPr>
          <w:rFonts w:ascii="Arial" w:cs="Arial" w:eastAsia="Arial" w:hAnsi="Arial"/>
          <w:sz w:val="16"/>
          <w:szCs w:val="16"/>
          <w:color w:val="auto"/>
        </w:rPr>
        <w:t>The 5.875%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5.875% Senior Notes. The indenture governing the 5.875%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December 31, 2020, the Company was in compliance with all covenants under the indenture governing the 5.875% Senior Notes.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3.75% Senior Notes</w:t>
      </w:r>
    </w:p>
    <w:p>
      <w:pPr>
        <w:spacing w:after="0" w:line="131" w:lineRule="exact"/>
        <w:rPr>
          <w:sz w:val="20"/>
          <w:szCs w:val="20"/>
          <w:color w:val="auto"/>
        </w:rPr>
      </w:pPr>
    </w:p>
    <w:p>
      <w:pPr>
        <w:ind w:right="80" w:firstLine="522"/>
        <w:spacing w:after="0" w:line="241" w:lineRule="auto"/>
        <w:rPr>
          <w:sz w:val="20"/>
          <w:szCs w:val="20"/>
          <w:color w:val="auto"/>
        </w:rPr>
      </w:pPr>
      <w:r>
        <w:rPr>
          <w:rFonts w:ascii="Arial" w:cs="Arial" w:eastAsia="Arial" w:hAnsi="Arial"/>
          <w:sz w:val="16"/>
          <w:szCs w:val="16"/>
          <w:color w:val="auto"/>
        </w:rPr>
        <w:t>In November 2020, ATI completed an offering of $1,000 million of the 3.75% Senior Notes. The 3.75% Senior Notes were offered in a private placement exempt from registration under the Securities Act of 1933, as amended. The net proceeds from the offering, together with cash on hand, were used to redeem all of the outstanding 5.0% Senior Notes plus accrued and unpaid interest and related transaction expenses. As a result of the offering, the Company recorded $10 million as deferred financing fees in the Consolidated Balance Sheet as of December 31, 2020.</w:t>
      </w:r>
    </w:p>
    <w:p>
      <w:pPr>
        <w:spacing w:after="0" w:line="106" w:lineRule="exact"/>
        <w:rPr>
          <w:sz w:val="20"/>
          <w:szCs w:val="20"/>
          <w:color w:val="auto"/>
        </w:rPr>
      </w:pPr>
    </w:p>
    <w:p>
      <w:pPr>
        <w:ind w:firstLine="522"/>
        <w:spacing w:after="0" w:line="255" w:lineRule="auto"/>
        <w:rPr>
          <w:sz w:val="20"/>
          <w:szCs w:val="20"/>
          <w:color w:val="auto"/>
        </w:rPr>
      </w:pPr>
      <w:r>
        <w:rPr>
          <w:rFonts w:ascii="Arial" w:cs="Arial" w:eastAsia="Arial" w:hAnsi="Arial"/>
          <w:sz w:val="15"/>
          <w:szCs w:val="15"/>
          <w:color w:val="auto"/>
        </w:rPr>
        <w:t>ATI may from time to time seek to retire the 3.75% Senior Notes through cash purchase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January 30, 2024, ATI may redeem up to 40% of the 3.75% Senior Notes by paying a price equal to 103.750% of the principal amount being redeemed. Prior to January 30, 2026, ATI may redeem some or all of the 3.75% Senior Notes by paying a price equal to 100.00% of the principal amount being redeemed, plus an “applicable premium”. At any time on or after January 30, 2026, ATI may redeem some or all of the 3.75% Senior Notes at specified redemption prices in the governing indenture.</w:t>
      </w:r>
    </w:p>
    <w:p>
      <w:pPr>
        <w:spacing w:after="0" w:line="98" w:lineRule="exact"/>
        <w:rPr>
          <w:sz w:val="20"/>
          <w:szCs w:val="20"/>
          <w:color w:val="auto"/>
        </w:rPr>
      </w:pPr>
    </w:p>
    <w:p>
      <w:pPr>
        <w:ind w:firstLine="522"/>
        <w:spacing w:after="0" w:line="235" w:lineRule="auto"/>
        <w:rPr>
          <w:sz w:val="20"/>
          <w:szCs w:val="20"/>
          <w:color w:val="auto"/>
        </w:rPr>
      </w:pPr>
      <w:r>
        <w:rPr>
          <w:rFonts w:ascii="Arial" w:cs="Arial" w:eastAsia="Arial" w:hAnsi="Arial"/>
          <w:sz w:val="16"/>
          <w:szCs w:val="16"/>
          <w:color w:val="auto"/>
        </w:rPr>
        <w:t>The 3.75%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3.75% Senior Notes. The indenture governing the 3.75%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December 31, 2020, the Company was in compliance with all covenants under the indenture governing the 3.75% Senior Notes.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DERIVATIVES</w:t>
      </w:r>
    </w:p>
    <w:p>
      <w:pPr>
        <w:spacing w:after="0" w:line="135" w:lineRule="exact"/>
        <w:rPr>
          <w:sz w:val="20"/>
          <w:szCs w:val="20"/>
          <w:color w:val="auto"/>
        </w:rPr>
      </w:pPr>
    </w:p>
    <w:p>
      <w:pPr>
        <w:ind w:firstLine="522"/>
        <w:spacing w:after="0" w:line="234" w:lineRule="auto"/>
        <w:rPr>
          <w:sz w:val="20"/>
          <w:szCs w:val="20"/>
          <w:color w:val="auto"/>
        </w:rPr>
      </w:pPr>
      <w:r>
        <w:rPr>
          <w:rFonts w:ascii="Arial" w:cs="Arial" w:eastAsia="Arial" w:hAnsi="Arial"/>
          <w:sz w:val="16"/>
          <w:szCs w:val="16"/>
          <w:color w:val="auto"/>
        </w:rPr>
        <w:t>The Company is subject to interest rate risk related to the New Senior Secured Credit Facility and enters into interest rate swaps that are based on LIBOR to manage a portion of this exposure. The interest rate swaps are designated as cash flow hedges that qualify for hedge accounting under the hypothetical derivative method. Fair value adjustments are recorded as a component of AOCL in the Consolidated Balance Sheets. Balances in AOCL are reclassified to earnings when transactions related to the underlying risk are settled. During the first quarter of 2019, the Company entered into $250 million of interest rate swaps and designated them as cash flow hedges under the hypothetical derivative method. As of December 31, 2020, the Company held interest rate swaps effective from (i) September 2019 to September 2022 with notional values totaling $250 million and a weighted average LIBOR fixed rate of 3.01%, (ii) from September 2019 to September 2025 with notional values totaling $250 million and a weighted average LIBOR fixed rate of 3.04% and (iii) September 2022 to September 2025 with notional values totaling $ 250 million and a weighted average LIBOR fixed rate of 2.82%. See NOTE 7, “Fair Value of Financial Instruments” for information regarding the fair value of the Company’s interest rate swaps.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80"/>
          </w:cols>
          <w:pgMar w:left="320" w:top="120" w:right="39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120" w:firstLine="522"/>
        <w:spacing w:after="0" w:line="265" w:lineRule="auto"/>
        <w:rPr>
          <w:sz w:val="20"/>
          <w:szCs w:val="20"/>
          <w:color w:val="auto"/>
        </w:rPr>
      </w:pPr>
      <w:r>
        <w:rPr>
          <w:rFonts w:ascii="Arial" w:cs="Arial" w:eastAsia="Arial" w:hAnsi="Arial"/>
          <w:sz w:val="16"/>
          <w:szCs w:val="16"/>
          <w:color w:val="auto"/>
        </w:rPr>
        <w:t>The following tabular disclosures further describe the Company’s interest rate derivatives qualifying and designated for hedge accounting and their impact on the financial condition of the Company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40" w:type="dxa"/>
            <w:vAlign w:val="bottom"/>
          </w:tcPr>
          <w:p>
            <w:pPr>
              <w:spacing w:after="0"/>
              <w:rPr>
                <w:sz w:val="13"/>
                <w:szCs w:val="13"/>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2020</w:t>
            </w:r>
          </w:p>
        </w:tc>
        <w:tc>
          <w:tcPr>
            <w:tcW w:w="10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3"/>
                <w:szCs w:val="13"/>
                <w:b w:val="1"/>
                <w:bCs w:val="1"/>
                <w:color w:val="auto"/>
              </w:rPr>
              <w:t>December 31, 2019</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540" w:type="dxa"/>
            <w:vAlign w:val="bottom"/>
          </w:tcPr>
          <w:p>
            <w:pPr>
              <w:spacing w:after="0"/>
              <w:rPr>
                <w:sz w:val="11"/>
                <w:szCs w:val="11"/>
                <w:color w:val="auto"/>
              </w:rPr>
            </w:pPr>
          </w:p>
        </w:tc>
        <w:tc>
          <w:tcPr>
            <w:tcW w:w="2200" w:type="dxa"/>
            <w:vAlign w:val="bottom"/>
            <w:gridSpan w:val="3"/>
          </w:tcPr>
          <w:p>
            <w:pPr>
              <w:jc w:val="right"/>
              <w:ind w:right="807"/>
              <w:spacing w:after="0" w:line="133" w:lineRule="exact"/>
              <w:rPr>
                <w:sz w:val="20"/>
                <w:szCs w:val="20"/>
                <w:color w:val="auto"/>
              </w:rPr>
            </w:pPr>
            <w:r>
              <w:rPr>
                <w:rFonts w:ascii="Arial" w:cs="Arial" w:eastAsia="Arial" w:hAnsi="Arial"/>
                <w:sz w:val="13"/>
                <w:szCs w:val="13"/>
                <w:b w:val="1"/>
                <w:bCs w:val="1"/>
                <w:color w:val="auto"/>
              </w:rPr>
              <w:t>Balance Sheet</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0" w:type="dxa"/>
            <w:vAlign w:val="bottom"/>
            <w:gridSpan w:val="4"/>
          </w:tcPr>
          <w:p>
            <w:pPr>
              <w:jc w:val="right"/>
              <w:ind w:right="830"/>
              <w:spacing w:after="0" w:line="133" w:lineRule="exact"/>
              <w:rPr>
                <w:sz w:val="20"/>
                <w:szCs w:val="20"/>
                <w:color w:val="auto"/>
              </w:rPr>
            </w:pPr>
            <w:r>
              <w:rPr>
                <w:rFonts w:ascii="Arial" w:cs="Arial" w:eastAsia="Arial" w:hAnsi="Arial"/>
                <w:sz w:val="13"/>
                <w:szCs w:val="13"/>
                <w:b w:val="1"/>
                <w:bCs w:val="1"/>
                <w:color w:val="auto"/>
              </w:rPr>
              <w:t>Balance Sheet</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40" w:type="dxa"/>
            <w:vAlign w:val="bottom"/>
          </w:tcPr>
          <w:p>
            <w:pPr>
              <w:spacing w:after="0"/>
              <w:rPr>
                <w:sz w:val="13"/>
                <w:szCs w:val="13"/>
                <w:color w:val="auto"/>
              </w:rPr>
            </w:pPr>
          </w:p>
        </w:tc>
        <w:tc>
          <w:tcPr>
            <w:tcW w:w="2200" w:type="dxa"/>
            <w:vAlign w:val="bottom"/>
            <w:gridSpan w:val="3"/>
          </w:tcPr>
          <w:p>
            <w:pPr>
              <w:jc w:val="right"/>
              <w:ind w:right="967"/>
              <w:spacing w:after="0"/>
              <w:rPr>
                <w:sz w:val="20"/>
                <w:szCs w:val="20"/>
                <w:color w:val="auto"/>
              </w:rPr>
            </w:pPr>
            <w:r>
              <w:rPr>
                <w:rFonts w:ascii="Arial" w:cs="Arial" w:eastAsia="Arial" w:hAnsi="Arial"/>
                <w:sz w:val="13"/>
                <w:szCs w:val="13"/>
                <w:b w:val="1"/>
                <w:bCs w:val="1"/>
                <w:color w:val="auto"/>
              </w:rPr>
              <w:t>Location</w:t>
            </w:r>
          </w:p>
        </w:tc>
        <w:tc>
          <w:tcPr>
            <w:tcW w:w="1080" w:type="dxa"/>
            <w:vAlign w:val="bottom"/>
          </w:tcPr>
          <w:p>
            <w:pPr>
              <w:jc w:val="right"/>
              <w:ind w:right="366"/>
              <w:spacing w:after="0"/>
              <w:rPr>
                <w:sz w:val="20"/>
                <w:szCs w:val="20"/>
                <w:color w:val="auto"/>
              </w:rPr>
            </w:pPr>
            <w:r>
              <w:rPr>
                <w:rFonts w:ascii="Arial" w:cs="Arial" w:eastAsia="Arial" w:hAnsi="Arial"/>
                <w:sz w:val="13"/>
                <w:szCs w:val="13"/>
                <w:b w:val="1"/>
                <w:bCs w:val="1"/>
                <w:color w:val="auto"/>
                <w:w w:val="99"/>
              </w:rPr>
              <w:t>Fair Value</w:t>
            </w:r>
          </w:p>
        </w:tc>
        <w:tc>
          <w:tcPr>
            <w:tcW w:w="140" w:type="dxa"/>
            <w:vAlign w:val="bottom"/>
          </w:tcPr>
          <w:p>
            <w:pPr>
              <w:spacing w:after="0"/>
              <w:rPr>
                <w:sz w:val="13"/>
                <w:szCs w:val="13"/>
                <w:color w:val="auto"/>
              </w:rPr>
            </w:pPr>
          </w:p>
        </w:tc>
        <w:tc>
          <w:tcPr>
            <w:tcW w:w="2200" w:type="dxa"/>
            <w:vAlign w:val="bottom"/>
            <w:gridSpan w:val="4"/>
          </w:tcPr>
          <w:p>
            <w:pPr>
              <w:jc w:val="right"/>
              <w:ind w:right="1010"/>
              <w:spacing w:after="0"/>
              <w:rPr>
                <w:sz w:val="20"/>
                <w:szCs w:val="20"/>
                <w:color w:val="auto"/>
              </w:rPr>
            </w:pPr>
            <w:r>
              <w:rPr>
                <w:rFonts w:ascii="Arial" w:cs="Arial" w:eastAsia="Arial" w:hAnsi="Arial"/>
                <w:sz w:val="13"/>
                <w:szCs w:val="13"/>
                <w:b w:val="1"/>
                <w:bCs w:val="1"/>
                <w:color w:val="auto"/>
              </w:rPr>
              <w:t>Location</w:t>
            </w:r>
          </w:p>
        </w:tc>
        <w:tc>
          <w:tcPr>
            <w:tcW w:w="1100" w:type="dxa"/>
            <w:vAlign w:val="bottom"/>
          </w:tcPr>
          <w:p>
            <w:pPr>
              <w:jc w:val="right"/>
              <w:ind w:right="386"/>
              <w:spacing w:after="0"/>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180"/>
        </w:trPr>
        <w:tc>
          <w:tcPr>
            <w:tcW w:w="454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Derivatives designated as hedging instruments:</w:t>
            </w:r>
          </w:p>
        </w:tc>
        <w:tc>
          <w:tcPr>
            <w:tcW w:w="18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8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540" w:type="dxa"/>
            <w:vAlign w:val="bottom"/>
          </w:tcPr>
          <w:p>
            <w:pPr>
              <w:ind w:left="200"/>
              <w:spacing w:after="0" w:line="165" w:lineRule="exact"/>
              <w:rPr>
                <w:sz w:val="20"/>
                <w:szCs w:val="20"/>
                <w:color w:val="auto"/>
              </w:rPr>
            </w:pPr>
            <w:r>
              <w:rPr>
                <w:rFonts w:ascii="Arial" w:cs="Arial" w:eastAsia="Arial" w:hAnsi="Arial"/>
                <w:sz w:val="16"/>
                <w:szCs w:val="16"/>
                <w:color w:val="auto"/>
              </w:rPr>
              <w:t>Interest rate swaps</w:t>
            </w:r>
          </w:p>
        </w:tc>
        <w:tc>
          <w:tcPr>
            <w:tcW w:w="2200" w:type="dxa"/>
            <w:vAlign w:val="bottom"/>
            <w:gridSpan w:val="3"/>
          </w:tcPr>
          <w:p>
            <w:pPr>
              <w:jc w:val="right"/>
              <w:ind w:right="347"/>
              <w:spacing w:after="0" w:line="165" w:lineRule="exact"/>
              <w:rPr>
                <w:sz w:val="20"/>
                <w:szCs w:val="20"/>
                <w:color w:val="auto"/>
              </w:rPr>
            </w:pPr>
            <w:r>
              <w:rPr>
                <w:rFonts w:ascii="Arial" w:cs="Arial" w:eastAsia="Arial" w:hAnsi="Arial"/>
                <w:sz w:val="16"/>
                <w:szCs w:val="16"/>
                <w:color w:val="auto"/>
              </w:rPr>
              <w:t>Other current</w:t>
            </w:r>
          </w:p>
        </w:tc>
        <w:tc>
          <w:tcPr>
            <w:tcW w:w="1080" w:type="dxa"/>
            <w:vAlign w:val="bottom"/>
            <w:vMerge w:val="restart"/>
          </w:tcPr>
          <w:p>
            <w:pPr>
              <w:jc w:val="right"/>
              <w:ind w:right="46"/>
              <w:spacing w:after="0"/>
              <w:rPr>
                <w:sz w:val="20"/>
                <w:szCs w:val="20"/>
                <w:color w:val="auto"/>
              </w:rPr>
            </w:pPr>
            <w:r>
              <w:rPr>
                <w:rFonts w:ascii="Arial" w:cs="Arial" w:eastAsia="Arial" w:hAnsi="Arial"/>
                <w:sz w:val="16"/>
                <w:szCs w:val="16"/>
                <w:b w:val="1"/>
                <w:bCs w:val="1"/>
                <w:color w:val="auto"/>
              </w:rPr>
              <w:t>14</w:t>
            </w:r>
          </w:p>
        </w:tc>
        <w:tc>
          <w:tcPr>
            <w:tcW w:w="140" w:type="dxa"/>
            <w:vAlign w:val="bottom"/>
          </w:tcPr>
          <w:p>
            <w:pPr>
              <w:spacing w:after="0"/>
              <w:rPr>
                <w:sz w:val="14"/>
                <w:szCs w:val="14"/>
                <w:color w:val="auto"/>
              </w:rPr>
            </w:pPr>
          </w:p>
        </w:tc>
        <w:tc>
          <w:tcPr>
            <w:tcW w:w="2200" w:type="dxa"/>
            <w:vAlign w:val="bottom"/>
            <w:gridSpan w:val="4"/>
          </w:tcPr>
          <w:p>
            <w:pPr>
              <w:jc w:val="right"/>
              <w:ind w:right="370"/>
              <w:spacing w:after="0" w:line="165" w:lineRule="exact"/>
              <w:rPr>
                <w:sz w:val="20"/>
                <w:szCs w:val="20"/>
                <w:color w:val="auto"/>
              </w:rPr>
            </w:pPr>
            <w:r>
              <w:rPr>
                <w:rFonts w:ascii="Arial" w:cs="Arial" w:eastAsia="Arial" w:hAnsi="Arial"/>
                <w:sz w:val="16"/>
                <w:szCs w:val="16"/>
                <w:color w:val="auto"/>
              </w:rPr>
              <w:t>Other current</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540" w:type="dxa"/>
            <w:vAlign w:val="bottom"/>
          </w:tcPr>
          <w:p>
            <w:pPr>
              <w:spacing w:after="0"/>
              <w:rPr>
                <w:sz w:val="17"/>
                <w:szCs w:val="17"/>
                <w:color w:val="auto"/>
              </w:rPr>
            </w:pPr>
          </w:p>
        </w:tc>
        <w:tc>
          <w:tcPr>
            <w:tcW w:w="2200" w:type="dxa"/>
            <w:vAlign w:val="bottom"/>
            <w:gridSpan w:val="3"/>
          </w:tcPr>
          <w:p>
            <w:pPr>
              <w:jc w:val="right"/>
              <w:ind w:right="107"/>
              <w:spacing w:after="0"/>
              <w:rPr>
                <w:sz w:val="20"/>
                <w:szCs w:val="20"/>
                <w:color w:val="auto"/>
              </w:rPr>
            </w:pPr>
            <w:r>
              <w:rPr>
                <w:rFonts w:ascii="Arial" w:cs="Arial" w:eastAsia="Arial" w:hAnsi="Arial"/>
                <w:sz w:val="16"/>
                <w:szCs w:val="16"/>
                <w:color w:val="auto"/>
              </w:rPr>
              <w:t xml:space="preserve">liabilities  </w:t>
            </w:r>
            <w:r>
              <w:rPr>
                <w:rFonts w:ascii="Arial" w:cs="Arial" w:eastAsia="Arial" w:hAnsi="Arial"/>
                <w:sz w:val="16"/>
                <w:szCs w:val="16"/>
                <w:b w:val="1"/>
                <w:bCs w:val="1"/>
                <w:color w:val="auto"/>
              </w:rPr>
              <w:t>$</w:t>
            </w:r>
          </w:p>
        </w:tc>
        <w:tc>
          <w:tcPr>
            <w:tcW w:w="1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4"/>
          </w:tcPr>
          <w:p>
            <w:pPr>
              <w:jc w:val="right"/>
              <w:ind w:right="130"/>
              <w:spacing w:after="0"/>
              <w:rPr>
                <w:sz w:val="20"/>
                <w:szCs w:val="20"/>
                <w:color w:val="auto"/>
              </w:rPr>
            </w:pPr>
            <w:r>
              <w:rPr>
                <w:rFonts w:ascii="Arial" w:cs="Arial" w:eastAsia="Arial" w:hAnsi="Arial"/>
                <w:sz w:val="16"/>
                <w:szCs w:val="16"/>
                <w:color w:val="auto"/>
              </w:rPr>
              <w:t>liabilities  $</w:t>
            </w:r>
          </w:p>
        </w:tc>
        <w:tc>
          <w:tcPr>
            <w:tcW w:w="1100" w:type="dxa"/>
            <w:vAlign w:val="bottom"/>
          </w:tcPr>
          <w:p>
            <w:pPr>
              <w:jc w:val="right"/>
              <w:ind w:right="66"/>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7"/>
        </w:trPr>
        <w:tc>
          <w:tcPr>
            <w:tcW w:w="4540" w:type="dxa"/>
            <w:vAlign w:val="bottom"/>
            <w:shd w:val="clear" w:color="auto" w:fill="CFF0FC"/>
          </w:tcPr>
          <w:p>
            <w:pPr>
              <w:spacing w:after="0"/>
              <w:rPr>
                <w:sz w:val="14"/>
                <w:szCs w:val="14"/>
                <w:color w:val="auto"/>
              </w:rPr>
            </w:pPr>
          </w:p>
        </w:tc>
        <w:tc>
          <w:tcPr>
            <w:tcW w:w="2200" w:type="dxa"/>
            <w:vAlign w:val="bottom"/>
            <w:gridSpan w:val="3"/>
            <w:shd w:val="clear" w:color="auto" w:fill="CFF0FC"/>
          </w:tcPr>
          <w:p>
            <w:pPr>
              <w:jc w:val="right"/>
              <w:ind w:right="347"/>
              <w:spacing w:after="0" w:line="167" w:lineRule="exact"/>
              <w:rPr>
                <w:sz w:val="20"/>
                <w:szCs w:val="20"/>
                <w:color w:val="auto"/>
              </w:rPr>
            </w:pPr>
            <w:r>
              <w:rPr>
                <w:rFonts w:ascii="Arial" w:cs="Arial" w:eastAsia="Arial" w:hAnsi="Arial"/>
                <w:sz w:val="16"/>
                <w:szCs w:val="16"/>
                <w:color w:val="auto"/>
              </w:rPr>
              <w:t>Other non-current</w:t>
            </w:r>
          </w:p>
        </w:tc>
        <w:tc>
          <w:tcPr>
            <w:tcW w:w="1080" w:type="dxa"/>
            <w:vAlign w:val="bottom"/>
            <w:vMerge w:val="restart"/>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46</w:t>
            </w:r>
          </w:p>
        </w:tc>
        <w:tc>
          <w:tcPr>
            <w:tcW w:w="140" w:type="dxa"/>
            <w:vAlign w:val="bottom"/>
            <w:shd w:val="clear" w:color="auto" w:fill="CFF0FC"/>
          </w:tcPr>
          <w:p>
            <w:pPr>
              <w:spacing w:after="0"/>
              <w:rPr>
                <w:sz w:val="14"/>
                <w:szCs w:val="14"/>
                <w:color w:val="auto"/>
              </w:rPr>
            </w:pPr>
          </w:p>
        </w:tc>
        <w:tc>
          <w:tcPr>
            <w:tcW w:w="2200" w:type="dxa"/>
            <w:vAlign w:val="bottom"/>
            <w:gridSpan w:val="4"/>
            <w:shd w:val="clear" w:color="auto" w:fill="CFF0FC"/>
          </w:tcPr>
          <w:p>
            <w:pPr>
              <w:jc w:val="right"/>
              <w:ind w:right="370"/>
              <w:spacing w:after="0" w:line="167" w:lineRule="exact"/>
              <w:rPr>
                <w:sz w:val="20"/>
                <w:szCs w:val="20"/>
                <w:color w:val="auto"/>
              </w:rPr>
            </w:pPr>
            <w:r>
              <w:rPr>
                <w:rFonts w:ascii="Arial" w:cs="Arial" w:eastAsia="Arial" w:hAnsi="Arial"/>
                <w:sz w:val="16"/>
                <w:szCs w:val="16"/>
                <w:color w:val="auto"/>
              </w:rPr>
              <w:t>Other non-current</w:t>
            </w:r>
          </w:p>
        </w:tc>
        <w:tc>
          <w:tcPr>
            <w:tcW w:w="1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540" w:type="dxa"/>
            <w:vAlign w:val="bottom"/>
            <w:shd w:val="clear" w:color="auto" w:fill="CFF0FC"/>
          </w:tcPr>
          <w:p>
            <w:pPr>
              <w:spacing w:after="0"/>
              <w:rPr>
                <w:sz w:val="17"/>
                <w:szCs w:val="17"/>
                <w:color w:val="auto"/>
              </w:rPr>
            </w:pPr>
          </w:p>
        </w:tc>
        <w:tc>
          <w:tcPr>
            <w:tcW w:w="2200" w:type="dxa"/>
            <w:vAlign w:val="bottom"/>
            <w:gridSpan w:val="3"/>
            <w:shd w:val="clear" w:color="auto" w:fill="CFF0FC"/>
          </w:tcPr>
          <w:p>
            <w:pPr>
              <w:jc w:val="right"/>
              <w:ind w:right="347"/>
              <w:spacing w:after="0"/>
              <w:rPr>
                <w:sz w:val="20"/>
                <w:szCs w:val="20"/>
                <w:color w:val="auto"/>
              </w:rPr>
            </w:pPr>
            <w:r>
              <w:rPr>
                <w:rFonts w:ascii="Arial" w:cs="Arial" w:eastAsia="Arial" w:hAnsi="Arial"/>
                <w:sz w:val="16"/>
                <w:szCs w:val="16"/>
                <w:color w:val="auto"/>
              </w:rPr>
              <w:t>liabilities</w:t>
            </w:r>
          </w:p>
        </w:tc>
        <w:tc>
          <w:tcPr>
            <w:tcW w:w="108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0" w:type="dxa"/>
            <w:vAlign w:val="bottom"/>
            <w:gridSpan w:val="4"/>
            <w:shd w:val="clear" w:color="auto" w:fill="CFF0FC"/>
          </w:tcPr>
          <w:p>
            <w:pPr>
              <w:jc w:val="right"/>
              <w:ind w:right="370"/>
              <w:spacing w:after="0"/>
              <w:rPr>
                <w:sz w:val="20"/>
                <w:szCs w:val="20"/>
                <w:color w:val="auto"/>
              </w:rPr>
            </w:pPr>
            <w:r>
              <w:rPr>
                <w:rFonts w:ascii="Arial" w:cs="Arial" w:eastAsia="Arial" w:hAnsi="Arial"/>
                <w:sz w:val="16"/>
                <w:szCs w:val="16"/>
                <w:color w:val="auto"/>
              </w:rPr>
              <w:t>liabilities</w:t>
            </w:r>
          </w:p>
        </w:tc>
        <w:tc>
          <w:tcPr>
            <w:tcW w:w="1100" w:type="dxa"/>
            <w:vAlign w:val="bottom"/>
            <w:shd w:val="clear" w:color="auto" w:fill="CFF0FC"/>
          </w:tcPr>
          <w:p>
            <w:pPr>
              <w:jc w:val="right"/>
              <w:ind w:right="66"/>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0"/>
        </w:trPr>
        <w:tc>
          <w:tcPr>
            <w:tcW w:w="4540" w:type="dxa"/>
            <w:vAlign w:val="bottom"/>
          </w:tcPr>
          <w:p>
            <w:pPr>
              <w:spacing w:after="0" w:line="180" w:lineRule="exact"/>
              <w:rPr>
                <w:sz w:val="20"/>
                <w:szCs w:val="20"/>
                <w:color w:val="auto"/>
              </w:rPr>
            </w:pPr>
            <w:r>
              <w:rPr>
                <w:rFonts w:ascii="Arial" w:cs="Arial" w:eastAsia="Arial" w:hAnsi="Arial"/>
                <w:sz w:val="16"/>
                <w:szCs w:val="16"/>
                <w:color w:val="auto"/>
              </w:rPr>
              <w:t>Total derivatives designated as hedging instruments</w:t>
            </w: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tcPr>
          <w:p>
            <w:pPr>
              <w:jc w:val="right"/>
              <w:ind w:right="46"/>
              <w:spacing w:after="0" w:line="180" w:lineRule="exact"/>
              <w:rPr>
                <w:sz w:val="20"/>
                <w:szCs w:val="20"/>
                <w:color w:val="auto"/>
              </w:rPr>
            </w:pPr>
            <w:r>
              <w:rPr>
                <w:rFonts w:ascii="Arial" w:cs="Arial" w:eastAsia="Arial" w:hAnsi="Arial"/>
                <w:sz w:val="16"/>
                <w:szCs w:val="16"/>
                <w:b w:val="1"/>
                <w:bCs w:val="1"/>
                <w:color w:val="auto"/>
              </w:rPr>
              <w:t>60</w:t>
            </w: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ind w:right="66"/>
              <w:spacing w:after="0" w:line="180"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firstLine="522"/>
        <w:spacing w:after="0" w:line="239" w:lineRule="auto"/>
        <w:rPr>
          <w:sz w:val="20"/>
          <w:szCs w:val="20"/>
          <w:color w:val="auto"/>
        </w:rPr>
      </w:pPr>
      <w:r>
        <w:rPr>
          <w:rFonts w:ascii="Arial" w:cs="Arial" w:eastAsia="Arial" w:hAnsi="Arial"/>
          <w:sz w:val="16"/>
          <w:szCs w:val="16"/>
          <w:color w:val="auto"/>
        </w:rPr>
        <w:t>The balance of derivative losses recorded in AOCL as of December 31, 2020 and 2019 was $60 million and $34 million, respectively. During the year ended December 31, 2020, the Company reclassified $11 million from AOCL to earnings, which was recorded as Interest expense, net on the Consolidated Statements of Comprehensive Income. The Company had $14 million of derivative losses recorded in AOCL expected to be reclassified to earnings within the next twelve months as of December 31, 2020. See NOTE 17, “Accumulated Other Comprehensive Loss” for information regarding activity recorded as a component of AOCL during the year ended December 31, 2020.</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PRODUCT WARRANTY LIABILITIES</w:t>
      </w:r>
    </w:p>
    <w:p>
      <w:pPr>
        <w:spacing w:after="0" w:line="135" w:lineRule="exact"/>
        <w:rPr>
          <w:sz w:val="20"/>
          <w:szCs w:val="20"/>
          <w:color w:val="auto"/>
        </w:rPr>
      </w:pPr>
    </w:p>
    <w:p>
      <w:pPr>
        <w:ind w:right="60" w:firstLine="522"/>
        <w:spacing w:after="0" w:line="247" w:lineRule="auto"/>
        <w:rPr>
          <w:sz w:val="20"/>
          <w:szCs w:val="20"/>
          <w:color w:val="auto"/>
        </w:rPr>
      </w:pPr>
      <w:r>
        <w:rPr>
          <w:rFonts w:ascii="Arial" w:cs="Arial" w:eastAsia="Arial" w:hAnsi="Arial"/>
          <w:sz w:val="16"/>
          <w:szCs w:val="16"/>
          <w:color w:val="auto"/>
        </w:rPr>
        <w:t>As of December 31, 2020, the current and non-current product warranty liabilities were $36 million and $30 million, respectively. As of December 31, 2019, the current and non-current product warranty liabilities were $24 million and $28 million, respectively. Product warranty liability activities consist of the following (dollars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3"/>
                <w:szCs w:val="13"/>
                <w:color w:val="auto"/>
              </w:rPr>
            </w:pPr>
          </w:p>
        </w:tc>
        <w:tc>
          <w:tcPr>
            <w:tcW w:w="1080" w:type="dxa"/>
            <w:vAlign w:val="bottom"/>
          </w:tcPr>
          <w:p>
            <w:pPr>
              <w:jc w:val="center"/>
              <w:ind w:left="171"/>
              <w:spacing w:after="0"/>
              <w:rPr>
                <w:sz w:val="20"/>
                <w:szCs w:val="20"/>
                <w:color w:val="auto"/>
              </w:rPr>
            </w:pPr>
            <w:r>
              <w:rPr>
                <w:rFonts w:ascii="Arial" w:cs="Arial" w:eastAsia="Arial" w:hAnsi="Arial"/>
                <w:sz w:val="13"/>
                <w:szCs w:val="13"/>
                <w:b w:val="1"/>
                <w:bCs w:val="1"/>
                <w:color w:val="auto"/>
                <w:w w:val="96"/>
              </w:rPr>
              <w:t>Year ended</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left="152"/>
              <w:spacing w:after="0"/>
              <w:rPr>
                <w:sz w:val="20"/>
                <w:szCs w:val="20"/>
                <w:color w:val="auto"/>
              </w:rPr>
            </w:pPr>
            <w:r>
              <w:rPr>
                <w:rFonts w:ascii="Arial" w:cs="Arial" w:eastAsia="Arial" w:hAnsi="Arial"/>
                <w:sz w:val="13"/>
                <w:szCs w:val="13"/>
                <w:b w:val="1"/>
                <w:bCs w:val="1"/>
                <w:color w:val="auto"/>
                <w:w w:val="94"/>
              </w:rPr>
              <w:t>Year ended</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ind w:right="228"/>
              <w:spacing w:after="0"/>
              <w:rPr>
                <w:sz w:val="20"/>
                <w:szCs w:val="20"/>
                <w:color w:val="auto"/>
              </w:rPr>
            </w:pPr>
            <w:r>
              <w:rPr>
                <w:rFonts w:ascii="Arial" w:cs="Arial" w:eastAsia="Arial" w:hAnsi="Arial"/>
                <w:sz w:val="13"/>
                <w:szCs w:val="13"/>
                <w:b w:val="1"/>
                <w:bCs w:val="1"/>
                <w:color w:val="auto"/>
                <w:w w:val="94"/>
              </w:rPr>
              <w:t>Year ended</w:t>
            </w:r>
          </w:p>
        </w:tc>
      </w:tr>
      <w:tr>
        <w:trPr>
          <w:trHeight w:val="141"/>
        </w:trPr>
        <w:tc>
          <w:tcPr>
            <w:tcW w:w="6660" w:type="dxa"/>
            <w:vAlign w:val="bottom"/>
          </w:tcPr>
          <w:p>
            <w:pPr>
              <w:spacing w:after="0"/>
              <w:rPr>
                <w:sz w:val="12"/>
                <w:szCs w:val="12"/>
                <w:color w:val="auto"/>
              </w:rPr>
            </w:pPr>
          </w:p>
        </w:tc>
        <w:tc>
          <w:tcPr>
            <w:tcW w:w="1080" w:type="dxa"/>
            <w:vAlign w:val="bottom"/>
          </w:tcPr>
          <w:p>
            <w:pPr>
              <w:jc w:val="center"/>
              <w:ind w:left="171"/>
              <w:spacing w:after="0" w:line="141" w:lineRule="exact"/>
              <w:rPr>
                <w:sz w:val="20"/>
                <w:szCs w:val="20"/>
                <w:color w:val="auto"/>
              </w:rPr>
            </w:pPr>
            <w:r>
              <w:rPr>
                <w:rFonts w:ascii="Arial" w:cs="Arial" w:eastAsia="Arial" w:hAnsi="Arial"/>
                <w:sz w:val="13"/>
                <w:szCs w:val="13"/>
                <w:b w:val="1"/>
                <w:bCs w:val="1"/>
                <w:color w:val="auto"/>
                <w:w w:val="94"/>
              </w:rPr>
              <w:t>December 31,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left="152"/>
              <w:spacing w:after="0" w:line="141" w:lineRule="exact"/>
              <w:rPr>
                <w:sz w:val="20"/>
                <w:szCs w:val="20"/>
                <w:color w:val="auto"/>
              </w:rPr>
            </w:pPr>
            <w:r>
              <w:rPr>
                <w:rFonts w:ascii="Arial" w:cs="Arial" w:eastAsia="Arial" w:hAnsi="Arial"/>
                <w:sz w:val="13"/>
                <w:szCs w:val="13"/>
                <w:b w:val="1"/>
                <w:bCs w:val="1"/>
                <w:color w:val="auto"/>
                <w:w w:val="96"/>
              </w:rPr>
              <w:t>December 31,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228"/>
              <w:spacing w:after="0" w:line="141" w:lineRule="exact"/>
              <w:rPr>
                <w:sz w:val="20"/>
                <w:szCs w:val="20"/>
                <w:color w:val="auto"/>
              </w:rPr>
            </w:pPr>
            <w:r>
              <w:rPr>
                <w:rFonts w:ascii="Arial" w:cs="Arial" w:eastAsia="Arial" w:hAnsi="Arial"/>
                <w:sz w:val="13"/>
                <w:szCs w:val="13"/>
                <w:b w:val="1"/>
                <w:bCs w:val="1"/>
                <w:color w:val="auto"/>
                <w:w w:val="96"/>
              </w:rPr>
              <w:t>December 31,</w:t>
            </w:r>
          </w:p>
        </w:tc>
      </w:tr>
      <w:tr>
        <w:trPr>
          <w:trHeight w:val="153"/>
        </w:trPr>
        <w:tc>
          <w:tcPr>
            <w:tcW w:w="6660" w:type="dxa"/>
            <w:vAlign w:val="bottom"/>
          </w:tcPr>
          <w:p>
            <w:pPr>
              <w:spacing w:after="0"/>
              <w:rPr>
                <w:sz w:val="13"/>
                <w:szCs w:val="13"/>
                <w:color w:val="auto"/>
              </w:rPr>
            </w:pPr>
          </w:p>
        </w:tc>
        <w:tc>
          <w:tcPr>
            <w:tcW w:w="1080" w:type="dxa"/>
            <w:vAlign w:val="bottom"/>
          </w:tcPr>
          <w:p>
            <w:pPr>
              <w:jc w:val="center"/>
              <w:ind w:left="171"/>
              <w:spacing w:after="0"/>
              <w:rPr>
                <w:sz w:val="20"/>
                <w:szCs w:val="20"/>
                <w:color w:val="auto"/>
              </w:rPr>
            </w:pPr>
            <w:r>
              <w:rPr>
                <w:rFonts w:ascii="Arial" w:cs="Arial" w:eastAsia="Arial" w:hAnsi="Arial"/>
                <w:sz w:val="13"/>
                <w:szCs w:val="13"/>
                <w:b w:val="1"/>
                <w:bCs w:val="1"/>
                <w:color w:val="auto"/>
                <w:w w:val="96"/>
              </w:rPr>
              <w:t>2020</w:t>
            </w:r>
          </w:p>
        </w:tc>
        <w:tc>
          <w:tcPr>
            <w:tcW w:w="360" w:type="dxa"/>
            <w:vAlign w:val="bottom"/>
          </w:tcPr>
          <w:p>
            <w:pPr>
              <w:spacing w:after="0"/>
              <w:rPr>
                <w:sz w:val="13"/>
                <w:szCs w:val="13"/>
                <w:color w:val="auto"/>
              </w:rPr>
            </w:pPr>
          </w:p>
        </w:tc>
        <w:tc>
          <w:tcPr>
            <w:tcW w:w="1220" w:type="dxa"/>
            <w:vAlign w:val="bottom"/>
            <w:gridSpan w:val="2"/>
          </w:tcPr>
          <w:p>
            <w:pPr>
              <w:jc w:val="center"/>
              <w:ind w:left="317"/>
              <w:spacing w:after="0"/>
              <w:rPr>
                <w:sz w:val="20"/>
                <w:szCs w:val="20"/>
                <w:color w:val="auto"/>
              </w:rPr>
            </w:pPr>
            <w:r>
              <w:rPr>
                <w:rFonts w:ascii="Arial" w:cs="Arial" w:eastAsia="Arial" w:hAnsi="Arial"/>
                <w:sz w:val="13"/>
                <w:szCs w:val="13"/>
                <w:b w:val="1"/>
                <w:bCs w:val="1"/>
                <w:color w:val="auto"/>
                <w:w w:val="96"/>
              </w:rPr>
              <w:t>2019</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ind w:right="248"/>
              <w:spacing w:after="0"/>
              <w:rPr>
                <w:sz w:val="20"/>
                <w:szCs w:val="20"/>
                <w:color w:val="auto"/>
              </w:rPr>
            </w:pPr>
            <w:r>
              <w:rPr>
                <w:rFonts w:ascii="Arial" w:cs="Arial" w:eastAsia="Arial" w:hAnsi="Arial"/>
                <w:sz w:val="13"/>
                <w:szCs w:val="13"/>
                <w:b w:val="1"/>
                <w:bCs w:val="1"/>
                <w:color w:val="auto"/>
                <w:w w:val="96"/>
              </w:rPr>
              <w:t>2018</w:t>
            </w:r>
          </w:p>
        </w:tc>
      </w:tr>
      <w:tr>
        <w:trPr>
          <w:trHeight w:val="180"/>
        </w:trPr>
        <w:tc>
          <w:tcPr>
            <w:tcW w:w="66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Beginning balance</w:t>
            </w:r>
          </w:p>
        </w:tc>
        <w:tc>
          <w:tcPr>
            <w:tcW w:w="1080" w:type="dxa"/>
            <w:vAlign w:val="bottom"/>
            <w:tcBorders>
              <w:top w:val="single" w:sz="8" w:color="auto"/>
            </w:tcBorders>
            <w:shd w:val="clear" w:color="auto" w:fill="CFF0FC"/>
          </w:tcPr>
          <w:p>
            <w:pPr>
              <w:jc w:val="right"/>
              <w:ind w:right="911"/>
              <w:spacing w:after="0" w:line="180" w:lineRule="exact"/>
              <w:rPr>
                <w:sz w:val="20"/>
                <w:szCs w:val="20"/>
                <w:color w:val="auto"/>
              </w:rPr>
            </w:pPr>
            <w:r>
              <w:rPr>
                <w:rFonts w:ascii="Arial" w:cs="Arial" w:eastAsia="Arial" w:hAnsi="Arial"/>
                <w:sz w:val="16"/>
                <w:szCs w:val="16"/>
                <w:b w:val="1"/>
                <w:bCs w:val="1"/>
                <w:color w:val="auto"/>
                <w:w w:val="89"/>
              </w:rPr>
              <w:t>$</w:t>
            </w:r>
          </w:p>
        </w:tc>
        <w:tc>
          <w:tcPr>
            <w:tcW w:w="36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52</w:t>
            </w:r>
          </w:p>
        </w:tc>
        <w:tc>
          <w:tcPr>
            <w:tcW w:w="140" w:type="dxa"/>
            <w:vAlign w:val="bottom"/>
            <w:tcBorders>
              <w:top w:val="single" w:sz="8" w:color="CFF0FC"/>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jc w:val="right"/>
              <w:ind w:right="932"/>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ind w:right="22"/>
              <w:spacing w:after="0" w:line="180" w:lineRule="exact"/>
              <w:rPr>
                <w:sz w:val="20"/>
                <w:szCs w:val="20"/>
                <w:color w:val="auto"/>
              </w:rPr>
            </w:pPr>
            <w:r>
              <w:rPr>
                <w:rFonts w:ascii="Arial" w:cs="Arial" w:eastAsia="Arial" w:hAnsi="Arial"/>
                <w:sz w:val="16"/>
                <w:szCs w:val="16"/>
                <w:color w:val="auto"/>
              </w:rPr>
              <w:t>66</w:t>
            </w: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2"/>
              <w:spacing w:after="0" w:line="180" w:lineRule="exact"/>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FF0FC"/>
          </w:tcPr>
          <w:p>
            <w:pPr>
              <w:jc w:val="right"/>
              <w:ind w:right="68"/>
              <w:spacing w:after="0" w:line="180" w:lineRule="exact"/>
              <w:rPr>
                <w:sz w:val="20"/>
                <w:szCs w:val="20"/>
                <w:color w:val="auto"/>
              </w:rPr>
            </w:pPr>
            <w:r>
              <w:rPr>
                <w:rFonts w:ascii="Arial" w:cs="Arial" w:eastAsia="Arial" w:hAnsi="Arial"/>
                <w:sz w:val="16"/>
                <w:szCs w:val="16"/>
                <w:color w:val="auto"/>
              </w:rPr>
              <w:t>55</w:t>
            </w:r>
          </w:p>
        </w:tc>
      </w:tr>
      <w:tr>
        <w:trPr>
          <w:trHeight w:val="188"/>
        </w:trPr>
        <w:tc>
          <w:tcPr>
            <w:tcW w:w="6660" w:type="dxa"/>
            <w:vAlign w:val="bottom"/>
          </w:tcPr>
          <w:p>
            <w:pPr>
              <w:spacing w:after="0"/>
              <w:rPr>
                <w:sz w:val="20"/>
                <w:szCs w:val="20"/>
                <w:color w:val="auto"/>
              </w:rPr>
            </w:pPr>
            <w:r>
              <w:rPr>
                <w:rFonts w:ascii="Arial" w:cs="Arial" w:eastAsia="Arial" w:hAnsi="Arial"/>
                <w:sz w:val="16"/>
                <w:szCs w:val="16"/>
                <w:color w:val="auto"/>
              </w:rPr>
              <w:t>Payments</w:t>
            </w:r>
          </w:p>
        </w:tc>
        <w:tc>
          <w:tcPr>
            <w:tcW w:w="10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w w:val="98"/>
              </w:rPr>
              <w:t>(32)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8"/>
              </w:rPr>
              <w:t>(26)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6"/>
                <w:szCs w:val="16"/>
                <w:color w:val="auto"/>
              </w:rPr>
              <w:t>(32)</w:t>
            </w: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Increase in liability (warranty issued during period)</w:t>
            </w:r>
          </w:p>
        </w:tc>
        <w:tc>
          <w:tcPr>
            <w:tcW w:w="108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15</w:t>
            </w: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68"/>
              <w:spacing w:after="0"/>
              <w:rPr>
                <w:sz w:val="20"/>
                <w:szCs w:val="20"/>
                <w:color w:val="auto"/>
              </w:rPr>
            </w:pPr>
            <w:r>
              <w:rPr>
                <w:rFonts w:ascii="Arial" w:cs="Arial" w:eastAsia="Arial" w:hAnsi="Arial"/>
                <w:sz w:val="16"/>
                <w:szCs w:val="16"/>
                <w:color w:val="auto"/>
              </w:rPr>
              <w:t>38</w:t>
            </w:r>
          </w:p>
        </w:tc>
      </w:tr>
      <w:tr>
        <w:trPr>
          <w:trHeight w:val="188"/>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adjustments to liability</w:t>
            </w:r>
          </w:p>
        </w:tc>
        <w:tc>
          <w:tcPr>
            <w:tcW w:w="10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31</w:t>
            </w:r>
          </w:p>
        </w:tc>
        <w:tc>
          <w:tcPr>
            <w:tcW w:w="140" w:type="dxa"/>
            <w:vAlign w:val="bottom"/>
            <w:tcBorders>
              <w:bottom w:val="single" w:sz="8" w:color="CFF0FC"/>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6"/>
                <w:szCs w:val="16"/>
                <w:color w:val="auto"/>
              </w:rPr>
              <w:t>5</w:t>
            </w:r>
          </w:p>
        </w:tc>
      </w:tr>
      <w:tr>
        <w:trPr>
          <w:trHeight w:val="180"/>
        </w:trPr>
        <w:tc>
          <w:tcPr>
            <w:tcW w:w="66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auto"/>
            </w:tcBorders>
            <w:shd w:val="clear" w:color="auto" w:fill="CFF0FC"/>
          </w:tcPr>
          <w:p>
            <w:pPr>
              <w:jc w:val="right"/>
              <w:ind w:right="911"/>
              <w:spacing w:after="0" w:line="180" w:lineRule="exact"/>
              <w:rPr>
                <w:sz w:val="20"/>
                <w:szCs w:val="20"/>
                <w:color w:val="auto"/>
              </w:rPr>
            </w:pPr>
            <w:r>
              <w:rPr>
                <w:rFonts w:ascii="Arial" w:cs="Arial" w:eastAsia="Arial" w:hAnsi="Arial"/>
                <w:sz w:val="16"/>
                <w:szCs w:val="16"/>
                <w:b w:val="1"/>
                <w:bCs w:val="1"/>
                <w:color w:val="auto"/>
                <w:w w:val="89"/>
              </w:rPr>
              <w:t>$</w:t>
            </w:r>
          </w:p>
        </w:tc>
        <w:tc>
          <w:tcPr>
            <w:tcW w:w="3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66</w:t>
            </w:r>
          </w:p>
        </w:tc>
        <w:tc>
          <w:tcPr>
            <w:tcW w:w="14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932"/>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Arial" w:cs="Arial" w:eastAsia="Arial" w:hAnsi="Arial"/>
                <w:sz w:val="16"/>
                <w:szCs w:val="16"/>
                <w:color w:val="auto"/>
              </w:rPr>
              <w:t>52</w:t>
            </w: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ind w:right="68"/>
              <w:spacing w:after="0" w:line="180" w:lineRule="exact"/>
              <w:rPr>
                <w:sz w:val="20"/>
                <w:szCs w:val="20"/>
                <w:color w:val="auto"/>
              </w:rPr>
            </w:pPr>
            <w:r>
              <w:rPr>
                <w:rFonts w:ascii="Arial" w:cs="Arial" w:eastAsia="Arial" w:hAnsi="Arial"/>
                <w:sz w:val="16"/>
                <w:szCs w:val="16"/>
                <w:color w:val="auto"/>
              </w:rPr>
              <w:t>66</w:t>
            </w:r>
          </w:p>
        </w:tc>
      </w:tr>
      <w:tr>
        <w:trPr>
          <w:trHeight w:val="20"/>
        </w:trPr>
        <w:tc>
          <w:tcPr>
            <w:tcW w:w="6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200" w:firstLine="522"/>
        <w:spacing w:after="0" w:line="265" w:lineRule="auto"/>
        <w:rPr>
          <w:sz w:val="20"/>
          <w:szCs w:val="20"/>
          <w:color w:val="auto"/>
        </w:rPr>
      </w:pPr>
      <w:r>
        <w:rPr>
          <w:rFonts w:ascii="Arial" w:cs="Arial" w:eastAsia="Arial" w:hAnsi="Arial"/>
          <w:sz w:val="16"/>
          <w:szCs w:val="16"/>
          <w:color w:val="auto"/>
        </w:rPr>
        <w:t>The adjustments to the total liability in 2020, 2019 and 2018 were the result of general changes in estimates for various products and specific field action programs as additional claims data and field information became available.</w:t>
      </w:r>
    </w:p>
    <w:p>
      <w:pPr>
        <w:spacing w:after="0" w:line="157" w:lineRule="exact"/>
        <w:rPr>
          <w:sz w:val="20"/>
          <w:szCs w:val="20"/>
          <w:color w:val="auto"/>
        </w:rPr>
      </w:pPr>
    </w:p>
    <w:p>
      <w:pPr>
        <w:ind w:right="620" w:firstLine="522"/>
        <w:spacing w:after="0" w:line="241" w:lineRule="auto"/>
        <w:rPr>
          <w:sz w:val="20"/>
          <w:szCs w:val="20"/>
          <w:color w:val="auto"/>
        </w:rPr>
      </w:pPr>
      <w:r>
        <w:rPr>
          <w:rFonts w:ascii="Arial" w:cs="Arial" w:eastAsia="Arial" w:hAnsi="Arial"/>
          <w:sz w:val="16"/>
          <w:szCs w:val="16"/>
          <w:color w:val="auto"/>
        </w:rPr>
        <w:t>During the third quarter of 2020, the Company recorded a $ 23 million product warranty adjustment to address a transmission performance issue associated with shift quality in a defined population of products. As a result of this performance issue, the Company created a field action program in 2019 dedicated to the defined population of products and reviewed, assessed and made adjustments to the liability on a quarterly basis. The product warranty adjustment during the third quarter of 2020 was the result of additional claims data and field information becoming available.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DEFERRED REVENUE</w:t>
      </w:r>
    </w:p>
    <w:p>
      <w:pPr>
        <w:spacing w:after="0" w:line="135" w:lineRule="exact"/>
        <w:rPr>
          <w:sz w:val="20"/>
          <w:szCs w:val="20"/>
          <w:color w:val="auto"/>
        </w:rPr>
      </w:pPr>
    </w:p>
    <w:p>
      <w:pPr>
        <w:jc w:val="both"/>
        <w:ind w:right="240" w:firstLine="593"/>
        <w:spacing w:after="0" w:line="299" w:lineRule="auto"/>
        <w:rPr>
          <w:sz w:val="20"/>
          <w:szCs w:val="20"/>
          <w:color w:val="auto"/>
        </w:rPr>
      </w:pPr>
      <w:r>
        <w:rPr>
          <w:rFonts w:ascii="Arial" w:cs="Arial" w:eastAsia="Arial" w:hAnsi="Arial"/>
          <w:sz w:val="15"/>
          <w:szCs w:val="15"/>
          <w:color w:val="auto"/>
        </w:rPr>
        <w:t>As of December 31, 2020, the current and non-current deferred revenue were $34 million and $109 million, respectively. As of December 31, 2019, the current and non-current deferred revenue were $35 million and $104 million, respectively. Deferred revenue activity consists of the following (dollars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right="208"/>
              <w:spacing w:after="0"/>
              <w:rPr>
                <w:sz w:val="20"/>
                <w:szCs w:val="20"/>
                <w:color w:val="auto"/>
              </w:rPr>
            </w:pPr>
            <w:r>
              <w:rPr>
                <w:rFonts w:ascii="Arial" w:cs="Arial" w:eastAsia="Arial" w:hAnsi="Arial"/>
                <w:sz w:val="13"/>
                <w:szCs w:val="13"/>
                <w:b w:val="1"/>
                <w:bCs w:val="1"/>
                <w:color w:val="auto"/>
                <w:w w:val="94"/>
              </w:rPr>
              <w:t>Year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4"/>
              </w:rPr>
              <w:t>Year ended</w:t>
            </w:r>
          </w:p>
        </w:tc>
        <w:tc>
          <w:tcPr>
            <w:tcW w:w="160" w:type="dxa"/>
            <w:vAlign w:val="bottom"/>
          </w:tcPr>
          <w:p>
            <w:pPr>
              <w:spacing w:after="0"/>
              <w:rPr>
                <w:sz w:val="13"/>
                <w:szCs w:val="13"/>
                <w:color w:val="auto"/>
              </w:rPr>
            </w:pPr>
          </w:p>
        </w:tc>
        <w:tc>
          <w:tcPr>
            <w:tcW w:w="1280" w:type="dxa"/>
            <w:vAlign w:val="bottom"/>
          </w:tcPr>
          <w:p>
            <w:pPr>
              <w:jc w:val="center"/>
              <w:ind w:right="228"/>
              <w:spacing w:after="0"/>
              <w:rPr>
                <w:sz w:val="20"/>
                <w:szCs w:val="20"/>
                <w:color w:val="auto"/>
              </w:rPr>
            </w:pPr>
            <w:r>
              <w:rPr>
                <w:rFonts w:ascii="Arial" w:cs="Arial" w:eastAsia="Arial" w:hAnsi="Arial"/>
                <w:sz w:val="13"/>
                <w:szCs w:val="13"/>
                <w:b w:val="1"/>
                <w:bCs w:val="1"/>
                <w:color w:val="auto"/>
                <w:w w:val="94"/>
              </w:rPr>
              <w:t>Year ended</w:t>
            </w:r>
          </w:p>
        </w:tc>
      </w:tr>
      <w:tr>
        <w:trPr>
          <w:trHeight w:val="141"/>
        </w:trPr>
        <w:tc>
          <w:tcPr>
            <w:tcW w:w="6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208"/>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2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2"/>
                <w:szCs w:val="12"/>
                <w:color w:val="auto"/>
              </w:rPr>
            </w:pPr>
          </w:p>
        </w:tc>
        <w:tc>
          <w:tcPr>
            <w:tcW w:w="1280" w:type="dxa"/>
            <w:vAlign w:val="bottom"/>
          </w:tcPr>
          <w:p>
            <w:pPr>
              <w:jc w:val="center"/>
              <w:ind w:right="228"/>
              <w:spacing w:after="0" w:line="141" w:lineRule="exact"/>
              <w:rPr>
                <w:sz w:val="20"/>
                <w:szCs w:val="20"/>
                <w:color w:val="auto"/>
              </w:rPr>
            </w:pPr>
            <w:r>
              <w:rPr>
                <w:rFonts w:ascii="Arial" w:cs="Arial" w:eastAsia="Arial" w:hAnsi="Arial"/>
                <w:sz w:val="13"/>
                <w:szCs w:val="13"/>
                <w:b w:val="1"/>
                <w:bCs w:val="1"/>
                <w:color w:val="auto"/>
                <w:w w:val="96"/>
              </w:rPr>
              <w:t>December 31,</w:t>
            </w:r>
          </w:p>
        </w:tc>
      </w:tr>
      <w:tr>
        <w:trPr>
          <w:trHeight w:val="153"/>
        </w:trPr>
        <w:tc>
          <w:tcPr>
            <w:tcW w:w="66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88"/>
              <w:spacing w:after="0"/>
              <w:rPr>
                <w:sz w:val="20"/>
                <w:szCs w:val="20"/>
                <w:color w:val="auto"/>
              </w:rPr>
            </w:pPr>
            <w:r>
              <w:rPr>
                <w:rFonts w:ascii="Arial" w:cs="Arial" w:eastAsia="Arial" w:hAnsi="Arial"/>
                <w:sz w:val="13"/>
                <w:szCs w:val="13"/>
                <w:b w:val="1"/>
                <w:bCs w:val="1"/>
                <w:color w:val="auto"/>
                <w:w w:val="96"/>
              </w:rPr>
              <w:t>2020</w:t>
            </w: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228"/>
              <w:spacing w:after="0"/>
              <w:rPr>
                <w:sz w:val="20"/>
                <w:szCs w:val="20"/>
                <w:color w:val="auto"/>
              </w:rPr>
            </w:pPr>
            <w:r>
              <w:rPr>
                <w:rFonts w:ascii="Arial" w:cs="Arial" w:eastAsia="Arial" w:hAnsi="Arial"/>
                <w:sz w:val="13"/>
                <w:szCs w:val="13"/>
                <w:b w:val="1"/>
                <w:bCs w:val="1"/>
                <w:color w:val="auto"/>
                <w:w w:val="96"/>
              </w:rPr>
              <w:t>2019</w:t>
            </w: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08"/>
              <w:spacing w:after="0"/>
              <w:rPr>
                <w:sz w:val="20"/>
                <w:szCs w:val="20"/>
                <w:color w:val="auto"/>
              </w:rPr>
            </w:pPr>
            <w:r>
              <w:rPr>
                <w:rFonts w:ascii="Arial" w:cs="Arial" w:eastAsia="Arial" w:hAnsi="Arial"/>
                <w:sz w:val="13"/>
                <w:szCs w:val="13"/>
                <w:b w:val="1"/>
                <w:bCs w:val="1"/>
                <w:color w:val="auto"/>
                <w:w w:val="96"/>
              </w:rPr>
              <w:t>2018</w:t>
            </w:r>
          </w:p>
        </w:tc>
      </w:tr>
      <w:tr>
        <w:trPr>
          <w:trHeight w:val="180"/>
        </w:trPr>
        <w:tc>
          <w:tcPr>
            <w:tcW w:w="66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Beginning balance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FF0FC"/>
          </w:tcPr>
          <w:p>
            <w:pPr>
              <w:jc w:val="right"/>
              <w:ind w:right="28"/>
              <w:spacing w:after="0" w:line="180" w:lineRule="exact"/>
              <w:rPr>
                <w:sz w:val="20"/>
                <w:szCs w:val="20"/>
                <w:color w:val="auto"/>
              </w:rPr>
            </w:pPr>
            <w:r>
              <w:rPr>
                <w:rFonts w:ascii="Arial" w:cs="Arial" w:eastAsia="Arial" w:hAnsi="Arial"/>
                <w:sz w:val="16"/>
                <w:szCs w:val="16"/>
                <w:b w:val="1"/>
                <w:bCs w:val="1"/>
                <w:color w:val="auto"/>
              </w:rPr>
              <w:t>139</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
              <w:spacing w:after="0" w:line="180" w:lineRule="exact"/>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122</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68"/>
              <w:spacing w:after="0" w:line="180" w:lineRule="exact"/>
              <w:rPr>
                <w:sz w:val="20"/>
                <w:szCs w:val="20"/>
                <w:color w:val="auto"/>
              </w:rPr>
            </w:pPr>
            <w:r>
              <w:rPr>
                <w:rFonts w:ascii="Arial" w:cs="Arial" w:eastAsia="Arial" w:hAnsi="Arial"/>
                <w:sz w:val="16"/>
                <w:szCs w:val="16"/>
                <w:color w:val="auto"/>
              </w:rPr>
              <w:t>110</w:t>
            </w:r>
          </w:p>
        </w:tc>
      </w:tr>
      <w:tr>
        <w:trPr>
          <w:trHeight w:val="188"/>
        </w:trPr>
        <w:tc>
          <w:tcPr>
            <w:tcW w:w="6680" w:type="dxa"/>
            <w:vAlign w:val="bottom"/>
          </w:tcPr>
          <w:p>
            <w:pPr>
              <w:spacing w:after="0"/>
              <w:rPr>
                <w:sz w:val="20"/>
                <w:szCs w:val="20"/>
                <w:color w:val="auto"/>
              </w:rPr>
            </w:pPr>
            <w:r>
              <w:rPr>
                <w:rFonts w:ascii="Arial" w:cs="Arial" w:eastAsia="Arial" w:hAnsi="Arial"/>
                <w:sz w:val="16"/>
                <w:szCs w:val="16"/>
                <w:color w:val="auto"/>
              </w:rPr>
              <w:t>Increases</w:t>
            </w:r>
          </w:p>
        </w:tc>
        <w:tc>
          <w:tcPr>
            <w:tcW w:w="16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6"/>
                <w:szCs w:val="16"/>
                <w:b w:val="1"/>
                <w:bCs w:val="1"/>
                <w:color w:val="auto"/>
              </w:rPr>
              <w:t>40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48"/>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68"/>
              <w:spacing w:after="0"/>
              <w:rPr>
                <w:sz w:val="20"/>
                <w:szCs w:val="20"/>
                <w:color w:val="auto"/>
              </w:rPr>
            </w:pPr>
            <w:r>
              <w:rPr>
                <w:rFonts w:ascii="Arial" w:cs="Arial" w:eastAsia="Arial" w:hAnsi="Arial"/>
                <w:sz w:val="16"/>
                <w:szCs w:val="16"/>
                <w:color w:val="auto"/>
              </w:rPr>
              <w:t>52</w:t>
            </w:r>
          </w:p>
        </w:tc>
      </w:tr>
      <w:tr>
        <w:trPr>
          <w:trHeight w:val="188"/>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Revenue earned</w:t>
            </w:r>
          </w:p>
        </w:tc>
        <w:tc>
          <w:tcPr>
            <w:tcW w:w="1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w:t>
            </w:r>
          </w:p>
        </w:tc>
        <w:tc>
          <w:tcPr>
            <w:tcW w:w="1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6"/>
                <w:szCs w:val="16"/>
                <w:color w:val="auto"/>
              </w:rPr>
              <w:t>(40)</w:t>
            </w:r>
          </w:p>
        </w:tc>
      </w:tr>
      <w:tr>
        <w:trPr>
          <w:trHeight w:val="180"/>
        </w:trPr>
        <w:tc>
          <w:tcPr>
            <w:tcW w:w="6680" w:type="dxa"/>
            <w:vAlign w:val="bottom"/>
          </w:tcPr>
          <w:p>
            <w:pPr>
              <w:spacing w:after="0" w:line="180" w:lineRule="exact"/>
              <w:rPr>
                <w:sz w:val="20"/>
                <w:szCs w:val="20"/>
                <w:color w:val="auto"/>
              </w:rPr>
            </w:pPr>
            <w:r>
              <w:rPr>
                <w:rFonts w:ascii="Arial" w:cs="Arial" w:eastAsia="Arial" w:hAnsi="Arial"/>
                <w:sz w:val="16"/>
                <w:szCs w:val="16"/>
                <w:color w:val="auto"/>
              </w:rPr>
              <w:t>Ending balance</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ind w:right="28"/>
              <w:spacing w:after="0" w:line="180" w:lineRule="exact"/>
              <w:rPr>
                <w:sz w:val="20"/>
                <w:szCs w:val="20"/>
                <w:color w:val="auto"/>
              </w:rPr>
            </w:pPr>
            <w:r>
              <w:rPr>
                <w:rFonts w:ascii="Arial" w:cs="Arial" w:eastAsia="Arial" w:hAnsi="Arial"/>
                <w:sz w:val="16"/>
                <w:szCs w:val="16"/>
                <w:b w:val="1"/>
                <w:bCs w:val="1"/>
                <w:color w:val="auto"/>
              </w:rPr>
              <w:t>143</w:t>
            </w: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48"/>
              <w:spacing w:after="0" w:line="180" w:lineRule="exact"/>
              <w:rPr>
                <w:sz w:val="20"/>
                <w:szCs w:val="20"/>
                <w:color w:val="auto"/>
              </w:rPr>
            </w:pPr>
            <w:r>
              <w:rPr>
                <w:rFonts w:ascii="Arial" w:cs="Arial" w:eastAsia="Arial" w:hAnsi="Arial"/>
                <w:sz w:val="16"/>
                <w:szCs w:val="16"/>
                <w:color w:val="auto"/>
              </w:rPr>
              <w:t>139</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68"/>
              <w:spacing w:after="0" w:line="180" w:lineRule="exact"/>
              <w:rPr>
                <w:sz w:val="20"/>
                <w:szCs w:val="20"/>
                <w:color w:val="auto"/>
              </w:rPr>
            </w:pPr>
            <w:r>
              <w:rPr>
                <w:rFonts w:ascii="Arial" w:cs="Arial" w:eastAsia="Arial" w:hAnsi="Arial"/>
                <w:sz w:val="16"/>
                <w:szCs w:val="16"/>
                <w:color w:val="auto"/>
              </w:rPr>
              <w:t>122</w:t>
            </w:r>
          </w:p>
        </w:tc>
      </w:tr>
      <w:tr>
        <w:trPr>
          <w:trHeight w:val="20"/>
        </w:trPr>
        <w:tc>
          <w:tcPr>
            <w:tcW w:w="6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Deferred revenue recorded in current and non-current liabilities related to ETC as of December 31, 2020 were $28 million and $88 million, respectively.</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Deferred revenue recorded in current and non-current liabilities related to ETC as of December 31, 2019 were $29 million and $84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LEASES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Lessee Accounting</w:t>
      </w:r>
    </w:p>
    <w:p>
      <w:pPr>
        <w:spacing w:after="0" w:line="131" w:lineRule="exact"/>
        <w:rPr>
          <w:sz w:val="20"/>
          <w:szCs w:val="20"/>
          <w:color w:val="auto"/>
        </w:rPr>
      </w:pPr>
    </w:p>
    <w:p>
      <w:pPr>
        <w:ind w:right="80" w:firstLine="528"/>
        <w:spacing w:after="0" w:line="237" w:lineRule="auto"/>
        <w:rPr>
          <w:sz w:val="20"/>
          <w:szCs w:val="20"/>
          <w:color w:val="auto"/>
        </w:rPr>
      </w:pPr>
      <w:r>
        <w:rPr>
          <w:rFonts w:ascii="Arial" w:cs="Arial" w:eastAsia="Arial" w:hAnsi="Arial"/>
          <w:sz w:val="16"/>
          <w:szCs w:val="16"/>
          <w:color w:val="auto"/>
        </w:rPr>
        <w:t>Contracts are assessed by the Company to determine if the contract conveys the right to control an identified asset in exchange for consideration during a period of time. The Company classifies all identified leases as either operating or finance leases. As of December 31, 2020,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108" w:lineRule="exact"/>
        <w:rPr>
          <w:sz w:val="20"/>
          <w:szCs w:val="20"/>
          <w:color w:val="auto"/>
        </w:rPr>
      </w:pPr>
    </w:p>
    <w:p>
      <w:pPr>
        <w:ind w:right="300" w:firstLine="528"/>
        <w:spacing w:after="0" w:line="247" w:lineRule="auto"/>
        <w:rPr>
          <w:sz w:val="20"/>
          <w:szCs w:val="20"/>
          <w:color w:val="auto"/>
        </w:rPr>
      </w:pPr>
      <w:r>
        <w:rPr>
          <w:rFonts w:ascii="Arial" w:cs="Arial" w:eastAsia="Arial" w:hAnsi="Arial"/>
          <w:sz w:val="16"/>
          <w:szCs w:val="16"/>
          <w:color w:val="auto"/>
        </w:rPr>
        <w:t>Certain lease agreements may contain an option to extend or terminate the lease. The Company considers the economic impact of extension and termination options for each lease agreement. If the Company concludes it is reasonably certain an option will be exercised, that option is included in the lease term and impacts the amount recorded as an ROU asset and lease liability upon inception of the contract.</w:t>
      </w:r>
    </w:p>
    <w:p>
      <w:pPr>
        <w:spacing w:after="0" w:line="101" w:lineRule="exact"/>
        <w:rPr>
          <w:sz w:val="20"/>
          <w:szCs w:val="20"/>
          <w:color w:val="auto"/>
        </w:rPr>
      </w:pPr>
    </w:p>
    <w:p>
      <w:pPr>
        <w:ind w:right="80" w:firstLine="528"/>
        <w:spacing w:after="0" w:line="239" w:lineRule="auto"/>
        <w:rPr>
          <w:sz w:val="20"/>
          <w:szCs w:val="20"/>
          <w:color w:val="auto"/>
        </w:rPr>
      </w:pPr>
      <w:r>
        <w:rPr>
          <w:rFonts w:ascii="Arial" w:cs="Arial" w:eastAsia="Arial" w:hAnsi="Arial"/>
          <w:sz w:val="16"/>
          <w:szCs w:val="16"/>
          <w:color w:val="auto"/>
        </w:rPr>
        <w:t>The Company's lease liability is determined by discounting the future cash flows over the lease period. The Company determines its discount rates by utilizing current secured financing rates based on the length of the lease period plus the Company's margin over LIBOR on the New Term Loan. The Company believes this rate effectively represents a borrowing rate the Company could obtain on a debt instrument possessing similar terms as the lease. Any lease liability is classified between current and non-current liabilities based on the terms of the underlying leases. The weighted average discount rate on operating leases as of December 31, 2020 and 2019 was 4.37% and 4.36%, respectively.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jc w:val="both"/>
        <w:ind w:right="520" w:firstLine="522"/>
        <w:spacing w:after="0" w:line="247" w:lineRule="auto"/>
        <w:rPr>
          <w:sz w:val="20"/>
          <w:szCs w:val="20"/>
          <w:color w:val="auto"/>
        </w:rPr>
      </w:pPr>
      <w:r>
        <w:rPr>
          <w:rFonts w:ascii="Arial" w:cs="Arial" w:eastAsia="Arial" w:hAnsi="Arial"/>
          <w:sz w:val="16"/>
          <w:szCs w:val="16"/>
          <w:color w:val="auto"/>
        </w:rPr>
        <w:t>As of December 31, 2020, the Company recorded current and non-current operating lease liabilities of $4 million and $17 million, respectively. As of December 31, 2019, the Company recorded current and non-current operating lease liabilities of $5 million and $18 million, respectively. The following table reconciles total operating lease liabilities as of December 31, 2020 to future undiscounted cash flows for operating leases: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tcPr>
          <w:p>
            <w:pPr>
              <w:jc w:val="right"/>
              <w:ind w:right="645"/>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9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925"/>
              <w:spacing w:after="0"/>
              <w:rPr>
                <w:sz w:val="20"/>
                <w:szCs w:val="20"/>
                <w:color w:val="auto"/>
              </w:rPr>
            </w:pPr>
            <w:r>
              <w:rPr>
                <w:rFonts w:ascii="Arial" w:cs="Arial" w:eastAsia="Arial" w:hAnsi="Arial"/>
                <w:sz w:val="13"/>
                <w:szCs w:val="13"/>
                <w:b w:val="1"/>
                <w:bCs w:val="1"/>
                <w:color w:val="auto"/>
              </w:rPr>
              <w:t>2020</w:t>
            </w:r>
          </w:p>
        </w:tc>
      </w:tr>
      <w:tr>
        <w:trPr>
          <w:trHeight w:val="180"/>
        </w:trPr>
        <w:tc>
          <w:tcPr>
            <w:tcW w:w="91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2021</w:t>
            </w:r>
          </w:p>
        </w:tc>
        <w:tc>
          <w:tcPr>
            <w:tcW w:w="340" w:type="dxa"/>
            <w:vAlign w:val="bottom"/>
            <w:shd w:val="clear" w:color="auto" w:fill="CFF0FC"/>
          </w:tcPr>
          <w:p>
            <w:pPr>
              <w:jc w:val="right"/>
              <w:ind w:right="162"/>
              <w:spacing w:after="0" w:line="180" w:lineRule="exact"/>
              <w:rPr>
                <w:sz w:val="20"/>
                <w:szCs w:val="20"/>
                <w:color w:val="auto"/>
              </w:rPr>
            </w:pPr>
            <w:r>
              <w:rPr>
                <w:rFonts w:ascii="Arial" w:cs="Arial" w:eastAsia="Arial" w:hAnsi="Arial"/>
                <w:sz w:val="16"/>
                <w:szCs w:val="16"/>
                <w:b w:val="1"/>
                <w:bCs w:val="1"/>
                <w:color w:val="auto"/>
                <w:w w:val="89"/>
              </w:rPr>
              <w:t>$</w:t>
            </w:r>
          </w:p>
        </w:tc>
        <w:tc>
          <w:tcPr>
            <w:tcW w:w="180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b w:val="1"/>
                <w:bCs w:val="1"/>
                <w:color w:val="auto"/>
              </w:rPr>
              <w:t>5</w:t>
            </w:r>
          </w:p>
        </w:tc>
      </w:tr>
      <w:tr>
        <w:trPr>
          <w:trHeight w:val="188"/>
        </w:trPr>
        <w:tc>
          <w:tcPr>
            <w:tcW w:w="9120" w:type="dxa"/>
            <w:vAlign w:val="bottom"/>
          </w:tcPr>
          <w:p>
            <w:pPr>
              <w:spacing w:after="0"/>
              <w:rPr>
                <w:sz w:val="20"/>
                <w:szCs w:val="20"/>
                <w:color w:val="auto"/>
              </w:rPr>
            </w:pPr>
            <w:r>
              <w:rPr>
                <w:rFonts w:ascii="Arial" w:cs="Arial" w:eastAsia="Arial" w:hAnsi="Arial"/>
                <w:sz w:val="16"/>
                <w:szCs w:val="16"/>
                <w:color w:val="auto"/>
              </w:rPr>
              <w:t>2022</w:t>
            </w:r>
          </w:p>
        </w:tc>
        <w:tc>
          <w:tcPr>
            <w:tcW w:w="340" w:type="dxa"/>
            <w:vAlign w:val="bottom"/>
          </w:tcPr>
          <w:p>
            <w:pPr>
              <w:spacing w:after="0"/>
              <w:rPr>
                <w:sz w:val="16"/>
                <w:szCs w:val="16"/>
                <w:color w:val="auto"/>
              </w:rPr>
            </w:pPr>
          </w:p>
        </w:tc>
        <w:tc>
          <w:tcPr>
            <w:tcW w:w="1800" w:type="dxa"/>
            <w:vAlign w:val="bottom"/>
          </w:tcPr>
          <w:p>
            <w:pPr>
              <w:jc w:val="right"/>
              <w:ind w:right="65"/>
              <w:spacing w:after="0"/>
              <w:rPr>
                <w:sz w:val="20"/>
                <w:szCs w:val="20"/>
                <w:color w:val="auto"/>
              </w:rPr>
            </w:pPr>
            <w:r>
              <w:rPr>
                <w:rFonts w:ascii="Arial" w:cs="Arial" w:eastAsia="Arial" w:hAnsi="Arial"/>
                <w:sz w:val="16"/>
                <w:szCs w:val="16"/>
                <w:b w:val="1"/>
                <w:bCs w:val="1"/>
                <w:color w:val="auto"/>
              </w:rPr>
              <w:t>4</w:t>
            </w:r>
          </w:p>
        </w:tc>
      </w:tr>
      <w:tr>
        <w:trPr>
          <w:trHeight w:val="188"/>
        </w:trPr>
        <w:tc>
          <w:tcPr>
            <w:tcW w:w="912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340" w:type="dxa"/>
            <w:vAlign w:val="bottom"/>
            <w:shd w:val="clear" w:color="auto" w:fill="CFF0FC"/>
          </w:tcPr>
          <w:p>
            <w:pPr>
              <w:spacing w:after="0"/>
              <w:rPr>
                <w:sz w:val="16"/>
                <w:szCs w:val="16"/>
                <w:color w:val="auto"/>
              </w:rPr>
            </w:pPr>
          </w:p>
        </w:tc>
        <w:tc>
          <w:tcPr>
            <w:tcW w:w="1800" w:type="dxa"/>
            <w:vAlign w:val="bottom"/>
            <w:shd w:val="clear" w:color="auto" w:fill="CFF0FC"/>
          </w:tcPr>
          <w:p>
            <w:pPr>
              <w:jc w:val="right"/>
              <w:ind w:right="65"/>
              <w:spacing w:after="0"/>
              <w:rPr>
                <w:sz w:val="20"/>
                <w:szCs w:val="20"/>
                <w:color w:val="auto"/>
              </w:rPr>
            </w:pPr>
            <w:r>
              <w:rPr>
                <w:rFonts w:ascii="Arial" w:cs="Arial" w:eastAsia="Arial" w:hAnsi="Arial"/>
                <w:sz w:val="16"/>
                <w:szCs w:val="16"/>
                <w:b w:val="1"/>
                <w:bCs w:val="1"/>
                <w:color w:val="auto"/>
              </w:rPr>
              <w:t>3</w:t>
            </w:r>
          </w:p>
        </w:tc>
      </w:tr>
      <w:tr>
        <w:trPr>
          <w:trHeight w:val="188"/>
        </w:trPr>
        <w:tc>
          <w:tcPr>
            <w:tcW w:w="9120" w:type="dxa"/>
            <w:vAlign w:val="bottom"/>
          </w:tcPr>
          <w:p>
            <w:pPr>
              <w:spacing w:after="0"/>
              <w:rPr>
                <w:sz w:val="20"/>
                <w:szCs w:val="20"/>
                <w:color w:val="auto"/>
              </w:rPr>
            </w:pPr>
            <w:r>
              <w:rPr>
                <w:rFonts w:ascii="Arial" w:cs="Arial" w:eastAsia="Arial" w:hAnsi="Arial"/>
                <w:sz w:val="16"/>
                <w:szCs w:val="16"/>
                <w:color w:val="auto"/>
              </w:rPr>
              <w:t>2024</w:t>
            </w:r>
          </w:p>
        </w:tc>
        <w:tc>
          <w:tcPr>
            <w:tcW w:w="340" w:type="dxa"/>
            <w:vAlign w:val="bottom"/>
          </w:tcPr>
          <w:p>
            <w:pPr>
              <w:spacing w:after="0"/>
              <w:rPr>
                <w:sz w:val="16"/>
                <w:szCs w:val="16"/>
                <w:color w:val="auto"/>
              </w:rPr>
            </w:pPr>
          </w:p>
        </w:tc>
        <w:tc>
          <w:tcPr>
            <w:tcW w:w="1800" w:type="dxa"/>
            <w:vAlign w:val="bottom"/>
          </w:tcPr>
          <w:p>
            <w:pPr>
              <w:jc w:val="right"/>
              <w:ind w:right="65"/>
              <w:spacing w:after="0"/>
              <w:rPr>
                <w:sz w:val="20"/>
                <w:szCs w:val="20"/>
                <w:color w:val="auto"/>
              </w:rPr>
            </w:pPr>
            <w:r>
              <w:rPr>
                <w:rFonts w:ascii="Arial" w:cs="Arial" w:eastAsia="Arial" w:hAnsi="Arial"/>
                <w:sz w:val="16"/>
                <w:szCs w:val="16"/>
                <w:b w:val="1"/>
                <w:bCs w:val="1"/>
                <w:color w:val="auto"/>
              </w:rPr>
              <w:t>2</w:t>
            </w:r>
          </w:p>
        </w:tc>
      </w:tr>
      <w:tr>
        <w:trPr>
          <w:trHeight w:val="188"/>
        </w:trPr>
        <w:tc>
          <w:tcPr>
            <w:tcW w:w="912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340" w:type="dxa"/>
            <w:vAlign w:val="bottom"/>
            <w:shd w:val="clear" w:color="auto" w:fill="CFF0FC"/>
          </w:tcPr>
          <w:p>
            <w:pPr>
              <w:spacing w:after="0"/>
              <w:rPr>
                <w:sz w:val="16"/>
                <w:szCs w:val="16"/>
                <w:color w:val="auto"/>
              </w:rPr>
            </w:pPr>
          </w:p>
        </w:tc>
        <w:tc>
          <w:tcPr>
            <w:tcW w:w="1800" w:type="dxa"/>
            <w:vAlign w:val="bottom"/>
            <w:shd w:val="clear" w:color="auto" w:fill="CFF0FC"/>
          </w:tcPr>
          <w:p>
            <w:pPr>
              <w:jc w:val="right"/>
              <w:ind w:right="65"/>
              <w:spacing w:after="0"/>
              <w:rPr>
                <w:sz w:val="20"/>
                <w:szCs w:val="20"/>
                <w:color w:val="auto"/>
              </w:rPr>
            </w:pPr>
            <w:r>
              <w:rPr>
                <w:rFonts w:ascii="Arial" w:cs="Arial" w:eastAsia="Arial" w:hAnsi="Arial"/>
                <w:sz w:val="16"/>
                <w:szCs w:val="16"/>
                <w:b w:val="1"/>
                <w:bCs w:val="1"/>
                <w:color w:val="auto"/>
              </w:rPr>
              <w:t>1</w:t>
            </w:r>
          </w:p>
        </w:tc>
      </w:tr>
      <w:tr>
        <w:trPr>
          <w:trHeight w:val="188"/>
        </w:trPr>
        <w:tc>
          <w:tcPr>
            <w:tcW w:w="91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8</w:t>
            </w:r>
          </w:p>
        </w:tc>
      </w:tr>
      <w:tr>
        <w:trPr>
          <w:trHeight w:val="180"/>
        </w:trPr>
        <w:tc>
          <w:tcPr>
            <w:tcW w:w="912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lease payments</w:t>
            </w:r>
          </w:p>
        </w:tc>
        <w:tc>
          <w:tcPr>
            <w:tcW w:w="340" w:type="dxa"/>
            <w:vAlign w:val="bottom"/>
            <w:shd w:val="clear" w:color="auto" w:fill="CFF0FC"/>
          </w:tcPr>
          <w:p>
            <w:pPr>
              <w:jc w:val="right"/>
              <w:ind w:right="162"/>
              <w:spacing w:after="0" w:line="180" w:lineRule="exact"/>
              <w:rPr>
                <w:sz w:val="20"/>
                <w:szCs w:val="20"/>
                <w:color w:val="auto"/>
              </w:rPr>
            </w:pPr>
            <w:r>
              <w:rPr>
                <w:rFonts w:ascii="Arial" w:cs="Arial" w:eastAsia="Arial" w:hAnsi="Arial"/>
                <w:sz w:val="16"/>
                <w:szCs w:val="16"/>
                <w:b w:val="1"/>
                <w:bCs w:val="1"/>
                <w:color w:val="auto"/>
                <w:w w:val="89"/>
              </w:rPr>
              <w:t>$</w:t>
            </w:r>
          </w:p>
        </w:tc>
        <w:tc>
          <w:tcPr>
            <w:tcW w:w="180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b w:val="1"/>
                <w:bCs w:val="1"/>
                <w:color w:val="auto"/>
              </w:rPr>
              <w:t>23</w:t>
            </w:r>
          </w:p>
        </w:tc>
      </w:tr>
      <w:tr>
        <w:trPr>
          <w:trHeight w:val="188"/>
        </w:trPr>
        <w:tc>
          <w:tcPr>
            <w:tcW w:w="912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Less: Interest</w:t>
            </w: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2</w:t>
            </w:r>
          </w:p>
        </w:tc>
      </w:tr>
      <w:tr>
        <w:trPr>
          <w:trHeight w:val="180"/>
        </w:trPr>
        <w:tc>
          <w:tcPr>
            <w:tcW w:w="912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Present value of lease liabilities</w:t>
            </w:r>
          </w:p>
        </w:tc>
        <w:tc>
          <w:tcPr>
            <w:tcW w:w="340" w:type="dxa"/>
            <w:vAlign w:val="bottom"/>
            <w:tcBorders>
              <w:bottom w:val="single" w:sz="8" w:color="auto"/>
            </w:tcBorders>
            <w:shd w:val="clear" w:color="auto" w:fill="CFF0FC"/>
          </w:tcPr>
          <w:p>
            <w:pPr>
              <w:jc w:val="right"/>
              <w:ind w:right="162"/>
              <w:spacing w:after="0" w:line="180" w:lineRule="exact"/>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CFF0FC"/>
          </w:tcPr>
          <w:p>
            <w:pPr>
              <w:jc w:val="right"/>
              <w:ind w:right="65"/>
              <w:spacing w:after="0" w:line="180" w:lineRule="exact"/>
              <w:rPr>
                <w:sz w:val="20"/>
                <w:szCs w:val="20"/>
                <w:color w:val="auto"/>
              </w:rPr>
            </w:pPr>
            <w:r>
              <w:rPr>
                <w:rFonts w:ascii="Arial" w:cs="Arial" w:eastAsia="Arial" w:hAnsi="Arial"/>
                <w:sz w:val="16"/>
                <w:szCs w:val="16"/>
                <w:b w:val="1"/>
                <w:bCs w:val="1"/>
                <w:color w:val="auto"/>
              </w:rPr>
              <w:t>21</w:t>
            </w:r>
          </w:p>
        </w:tc>
      </w:tr>
      <w:tr>
        <w:trPr>
          <w:trHeight w:val="20"/>
        </w:trPr>
        <w:tc>
          <w:tcPr>
            <w:tcW w:w="9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200" w:firstLine="522"/>
        <w:spacing w:after="0" w:line="265" w:lineRule="auto"/>
        <w:rPr>
          <w:sz w:val="20"/>
          <w:szCs w:val="20"/>
          <w:color w:val="auto"/>
        </w:rPr>
      </w:pPr>
      <w:r>
        <w:rPr>
          <w:rFonts w:ascii="Arial" w:cs="Arial" w:eastAsia="Arial" w:hAnsi="Arial"/>
          <w:sz w:val="16"/>
          <w:szCs w:val="16"/>
          <w:color w:val="auto"/>
        </w:rPr>
        <w:t>ROU assets are calculated as the related lease liability adjusted for lease incentives, prepayments and the effect of escalating lease payments on period expense. The below table depicts the ROU assets held by the Company based on the underlying asset: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tcPr>
          <w:p>
            <w:pPr>
              <w:jc w:val="right"/>
              <w:ind w:right="646"/>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91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906"/>
              <w:spacing w:after="0"/>
              <w:rPr>
                <w:sz w:val="20"/>
                <w:szCs w:val="20"/>
                <w:color w:val="auto"/>
              </w:rPr>
            </w:pPr>
            <w:r>
              <w:rPr>
                <w:rFonts w:ascii="Arial" w:cs="Arial" w:eastAsia="Arial" w:hAnsi="Arial"/>
                <w:sz w:val="13"/>
                <w:szCs w:val="13"/>
                <w:b w:val="1"/>
                <w:bCs w:val="1"/>
                <w:color w:val="auto"/>
              </w:rPr>
              <w:t>2020</w:t>
            </w:r>
          </w:p>
        </w:tc>
      </w:tr>
      <w:tr>
        <w:trPr>
          <w:trHeight w:val="180"/>
        </w:trPr>
        <w:tc>
          <w:tcPr>
            <w:tcW w:w="91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Buildings</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78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b w:val="1"/>
                <w:bCs w:val="1"/>
                <w:color w:val="auto"/>
              </w:rPr>
              <w:t>19</w:t>
            </w:r>
          </w:p>
        </w:tc>
      </w:tr>
      <w:tr>
        <w:trPr>
          <w:trHeight w:val="188"/>
        </w:trPr>
        <w:tc>
          <w:tcPr>
            <w:tcW w:w="9140" w:type="dxa"/>
            <w:vAlign w:val="bottom"/>
          </w:tcPr>
          <w:p>
            <w:pPr>
              <w:spacing w:after="0"/>
              <w:rPr>
                <w:sz w:val="20"/>
                <w:szCs w:val="20"/>
                <w:color w:val="auto"/>
              </w:rPr>
            </w:pPr>
            <w:r>
              <w:rPr>
                <w:rFonts w:ascii="Arial" w:cs="Arial" w:eastAsia="Arial" w:hAnsi="Arial"/>
                <w:sz w:val="16"/>
                <w:szCs w:val="16"/>
                <w:color w:val="auto"/>
              </w:rPr>
              <w:t>Land</w:t>
            </w:r>
          </w:p>
        </w:tc>
        <w:tc>
          <w:tcPr>
            <w:tcW w:w="340" w:type="dxa"/>
            <w:vAlign w:val="bottom"/>
          </w:tcPr>
          <w:p>
            <w:pPr>
              <w:spacing w:after="0"/>
              <w:rPr>
                <w:sz w:val="16"/>
                <w:szCs w:val="16"/>
                <w:color w:val="auto"/>
              </w:rPr>
            </w:pPr>
          </w:p>
        </w:tc>
        <w:tc>
          <w:tcPr>
            <w:tcW w:w="1780" w:type="dxa"/>
            <w:vAlign w:val="bottom"/>
          </w:tcPr>
          <w:p>
            <w:pPr>
              <w:jc w:val="right"/>
              <w:ind w:right="66"/>
              <w:spacing w:after="0"/>
              <w:rPr>
                <w:sz w:val="20"/>
                <w:szCs w:val="20"/>
                <w:color w:val="auto"/>
              </w:rPr>
            </w:pPr>
            <w:r>
              <w:rPr>
                <w:rFonts w:ascii="Arial" w:cs="Arial" w:eastAsia="Arial" w:hAnsi="Arial"/>
                <w:sz w:val="16"/>
                <w:szCs w:val="16"/>
                <w:b w:val="1"/>
                <w:bCs w:val="1"/>
                <w:color w:val="auto"/>
              </w:rPr>
              <w:t>1</w:t>
            </w:r>
          </w:p>
        </w:tc>
      </w:tr>
      <w:tr>
        <w:trPr>
          <w:trHeight w:val="188"/>
        </w:trPr>
        <w:tc>
          <w:tcPr>
            <w:tcW w:w="9140" w:type="dxa"/>
            <w:vAlign w:val="bottom"/>
            <w:shd w:val="clear" w:color="auto" w:fill="CFF0FC"/>
          </w:tcPr>
          <w:p>
            <w:pPr>
              <w:spacing w:after="0"/>
              <w:rPr>
                <w:sz w:val="20"/>
                <w:szCs w:val="20"/>
                <w:color w:val="auto"/>
              </w:rPr>
            </w:pPr>
            <w:r>
              <w:rPr>
                <w:rFonts w:ascii="Arial" w:cs="Arial" w:eastAsia="Arial" w:hAnsi="Arial"/>
                <w:sz w:val="16"/>
                <w:szCs w:val="16"/>
                <w:color w:val="auto"/>
              </w:rPr>
              <w:t>Vehicles</w:t>
            </w:r>
          </w:p>
        </w:tc>
        <w:tc>
          <w:tcPr>
            <w:tcW w:w="34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66"/>
              <w:spacing w:after="0"/>
              <w:rPr>
                <w:sz w:val="20"/>
                <w:szCs w:val="20"/>
                <w:color w:val="auto"/>
              </w:rPr>
            </w:pPr>
            <w:r>
              <w:rPr>
                <w:rFonts w:ascii="Arial" w:cs="Arial" w:eastAsia="Arial" w:hAnsi="Arial"/>
                <w:sz w:val="16"/>
                <w:szCs w:val="16"/>
                <w:b w:val="1"/>
                <w:bCs w:val="1"/>
                <w:color w:val="auto"/>
              </w:rPr>
              <w:t>1</w:t>
            </w:r>
          </w:p>
        </w:tc>
      </w:tr>
      <w:tr>
        <w:trPr>
          <w:trHeight w:val="188"/>
        </w:trPr>
        <w:tc>
          <w:tcPr>
            <w:tcW w:w="9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Equipment</w:t>
            </w: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b w:val="1"/>
                <w:bCs w:val="1"/>
                <w:color w:val="auto"/>
              </w:rPr>
              <w:t>—</w:t>
            </w:r>
          </w:p>
        </w:tc>
      </w:tr>
      <w:tr>
        <w:trPr>
          <w:trHeight w:val="180"/>
        </w:trPr>
        <w:tc>
          <w:tcPr>
            <w:tcW w:w="91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right-of-use assets</w:t>
            </w: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780" w:type="dxa"/>
            <w:vAlign w:val="bottom"/>
            <w:tcBorders>
              <w:bottom w:val="single" w:sz="8" w:color="auto"/>
            </w:tcBorders>
            <w:shd w:val="clear" w:color="auto" w:fill="CFF0FC"/>
          </w:tcPr>
          <w:p>
            <w:pPr>
              <w:jc w:val="right"/>
              <w:ind w:right="66"/>
              <w:spacing w:after="0" w:line="180" w:lineRule="exact"/>
              <w:rPr>
                <w:sz w:val="20"/>
                <w:szCs w:val="20"/>
                <w:color w:val="auto"/>
              </w:rPr>
            </w:pPr>
            <w:r>
              <w:rPr>
                <w:rFonts w:ascii="Arial" w:cs="Arial" w:eastAsia="Arial" w:hAnsi="Arial"/>
                <w:sz w:val="16"/>
                <w:szCs w:val="16"/>
                <w:b w:val="1"/>
                <w:bCs w:val="1"/>
                <w:color w:val="auto"/>
              </w:rPr>
              <w:t>21</w:t>
            </w:r>
          </w:p>
        </w:tc>
      </w:tr>
    </w:tbl>
    <w:p>
      <w:pPr>
        <w:spacing w:after="0" w:line="15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 average remaining lease term as of December 31, 2020 and December 31, 2019 was 7.61 years and 7.70 years, respectively.</w:t>
      </w:r>
    </w:p>
    <w:p>
      <w:pPr>
        <w:spacing w:after="0" w:line="133" w:lineRule="exact"/>
        <w:rPr>
          <w:sz w:val="20"/>
          <w:szCs w:val="20"/>
          <w:color w:val="auto"/>
        </w:rPr>
      </w:pPr>
    </w:p>
    <w:p>
      <w:pPr>
        <w:jc w:val="both"/>
        <w:ind w:right="160" w:firstLine="522"/>
        <w:spacing w:after="0" w:line="241" w:lineRule="auto"/>
        <w:rPr>
          <w:sz w:val="20"/>
          <w:szCs w:val="20"/>
          <w:color w:val="auto"/>
        </w:rPr>
      </w:pPr>
      <w:r>
        <w:rPr>
          <w:rFonts w:ascii="Arial" w:cs="Arial" w:eastAsia="Arial" w:hAnsi="Arial"/>
          <w:sz w:val="16"/>
          <w:szCs w:val="16"/>
          <w:color w:val="auto"/>
        </w:rPr>
        <w:t>Operating lease expense was $6 million and $5 million for the years ended December 31, 2020 and 2019, respectively, and was recorded within Selling, general and administrative expense and Engineering - research and development on the Company's Consolidated Statements of Comprehensive Income. There was no short-term operating lease expense for the year ended December 31, 2020 and 2019. Rent expense under prior accounting guidance for non-cancelable operating leases was $5 million for the year ended December 31, 2018.</w:t>
      </w:r>
    </w:p>
    <w:p>
      <w:pPr>
        <w:spacing w:after="0" w:line="106" w:lineRule="exact"/>
        <w:rPr>
          <w:sz w:val="20"/>
          <w:szCs w:val="20"/>
          <w:color w:val="auto"/>
        </w:rPr>
      </w:pPr>
    </w:p>
    <w:p>
      <w:pPr>
        <w:ind w:right="60" w:firstLine="522"/>
        <w:spacing w:after="0" w:line="247" w:lineRule="auto"/>
        <w:rPr>
          <w:sz w:val="20"/>
          <w:szCs w:val="20"/>
          <w:color w:val="auto"/>
        </w:rPr>
      </w:pPr>
      <w:r>
        <w:rPr>
          <w:rFonts w:ascii="Arial" w:cs="Arial" w:eastAsia="Arial" w:hAnsi="Arial"/>
          <w:sz w:val="16"/>
          <w:szCs w:val="16"/>
          <w:color w:val="auto"/>
        </w:rPr>
        <w:t>The calculation of the Company's ROU assets and lease liabilities did not include cash consideration as of December 31, 2020 and 2019. During the years ended December 31, 2020 and 2019, the Company recorded $2 million and $14 million, respectively, of new ROU assets obtained in exchange for lease obligations.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OTHER (EXPENSE) INCOME, NET</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Other (expense) income, net consists of the following (dollars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7"/>
              </w:rPr>
              <w:t>Years ended December 31,</w:t>
            </w: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20" w:type="dxa"/>
            <w:vAlign w:val="bottom"/>
            <w:tcBorders>
              <w:bottom w:val="single" w:sz="8" w:color="CFF0FC"/>
            </w:tcBorders>
          </w:tcPr>
          <w:p>
            <w:pPr>
              <w:spacing w:after="0"/>
              <w:rPr>
                <w:sz w:val="12"/>
                <w:szCs w:val="12"/>
                <w:color w:val="auto"/>
              </w:rPr>
            </w:pPr>
          </w:p>
        </w:tc>
        <w:tc>
          <w:tcPr>
            <w:tcW w:w="224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ind w:right="67"/>
              <w:spacing w:after="0" w:line="144" w:lineRule="exact"/>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4"/>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4"/>
              <w:spacing w:after="0" w:line="144"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80"/>
        </w:trPr>
        <w:tc>
          <w:tcPr>
            <w:tcW w:w="44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Post-retirement benefit plan amendment credits</w:t>
            </w:r>
          </w:p>
        </w:tc>
        <w:tc>
          <w:tcPr>
            <w:tcW w:w="2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767"/>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13</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24"/>
              <w:spacing w:after="0" w:line="180" w:lineRule="exact"/>
              <w:rPr>
                <w:sz w:val="20"/>
                <w:szCs w:val="20"/>
                <w:color w:val="auto"/>
              </w:rPr>
            </w:pPr>
            <w:r>
              <w:rPr>
                <w:rFonts w:ascii="Arial" w:cs="Arial" w:eastAsia="Arial" w:hAnsi="Arial"/>
                <w:sz w:val="16"/>
                <w:szCs w:val="16"/>
                <w:color w:val="auto"/>
              </w:rPr>
              <w:t>11</w:t>
            </w: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42"/>
              <w:spacing w:after="0" w:line="180" w:lineRule="exact"/>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8"/>
        </w:trPr>
        <w:tc>
          <w:tcPr>
            <w:tcW w:w="4420" w:type="dxa"/>
            <w:vAlign w:val="bottom"/>
          </w:tcPr>
          <w:p>
            <w:pPr>
              <w:spacing w:after="0"/>
              <w:rPr>
                <w:sz w:val="20"/>
                <w:szCs w:val="20"/>
                <w:color w:val="auto"/>
              </w:rPr>
            </w:pPr>
            <w:r>
              <w:rPr>
                <w:rFonts w:ascii="Arial" w:cs="Arial" w:eastAsia="Arial" w:hAnsi="Arial"/>
                <w:sz w:val="16"/>
                <w:szCs w:val="16"/>
                <w:color w:val="auto"/>
              </w:rPr>
              <w:t>Expenses related to long-term debt refinancing</w:t>
            </w:r>
          </w:p>
        </w:tc>
        <w:tc>
          <w:tcPr>
            <w:tcW w:w="2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Vendor settlements</w:t>
            </w:r>
          </w:p>
        </w:tc>
        <w:tc>
          <w:tcPr>
            <w:tcW w:w="2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8"/>
        </w:trPr>
        <w:tc>
          <w:tcPr>
            <w:tcW w:w="4420" w:type="dxa"/>
            <w:vAlign w:val="bottom"/>
          </w:tcPr>
          <w:p>
            <w:pPr>
              <w:spacing w:after="0"/>
              <w:rPr>
                <w:sz w:val="20"/>
                <w:szCs w:val="20"/>
                <w:color w:val="auto"/>
              </w:rPr>
            </w:pPr>
            <w:r>
              <w:rPr>
                <w:rFonts w:ascii="Arial" w:cs="Arial" w:eastAsia="Arial" w:hAnsi="Arial"/>
                <w:sz w:val="16"/>
                <w:szCs w:val="16"/>
                <w:color w:val="auto"/>
              </w:rPr>
              <w:t>Other</w:t>
            </w:r>
          </w:p>
        </w:tc>
        <w:tc>
          <w:tcPr>
            <w:tcW w:w="2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0"/>
        </w:trPr>
        <w:tc>
          <w:tcPr>
            <w:tcW w:w="4420" w:type="dxa"/>
            <w:vAlign w:val="bottom"/>
            <w:tcBorders>
              <w:top w:val="single" w:sz="8" w:color="CFF0FC"/>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2240" w:type="dxa"/>
            <w:vAlign w:val="bottom"/>
            <w:tcBorders>
              <w:top w:val="single" w:sz="8" w:color="CFF0FC"/>
              <w:bottom w:val="single" w:sz="8" w:color="CFF0FC"/>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jc w:val="right"/>
              <w:ind w:right="767"/>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ind w:right="24"/>
              <w:spacing w:after="0" w:line="180" w:lineRule="exact"/>
              <w:rPr>
                <w:sz w:val="20"/>
                <w:szCs w:val="20"/>
                <w:color w:val="auto"/>
              </w:rPr>
            </w:pPr>
            <w:r>
              <w:rPr>
                <w:rFonts w:ascii="Arial" w:cs="Arial" w:eastAsia="Arial" w:hAnsi="Arial"/>
                <w:sz w:val="16"/>
                <w:szCs w:val="16"/>
                <w:color w:val="auto"/>
              </w:rPr>
              <w:t>10</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60" w:type="dxa"/>
            <w:vAlign w:val="bottom"/>
            <w:tcBorders>
              <w:top w:val="single" w:sz="8" w:color="CFF0FC"/>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142"/>
              <w:spacing w:after="0" w:line="180"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240" w:type="dxa"/>
            <w:vAlign w:val="bottom"/>
            <w:vMerge w:val="restart"/>
          </w:tcPr>
          <w:p>
            <w:pPr>
              <w:jc w:val="right"/>
              <w:ind w:right="862"/>
              <w:spacing w:after="0"/>
              <w:rPr>
                <w:sz w:val="20"/>
                <w:szCs w:val="20"/>
                <w:color w:val="auto"/>
              </w:rPr>
            </w:pPr>
            <w:r>
              <w:rPr>
                <w:rFonts w:ascii="Arial" w:cs="Arial" w:eastAsia="Arial" w:hAnsi="Arial"/>
                <w:sz w:val="16"/>
                <w:szCs w:val="16"/>
                <w:color w:val="auto"/>
              </w:rPr>
              <w:t>78</w:t>
            </w: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44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42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OTHER CURRENT LIABILITIES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current liabilities consist of the following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As of December 31,</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Pr>
          <w:p>
            <w:pPr>
              <w:jc w:val="right"/>
              <w:ind w:right="404"/>
              <w:spacing w:after="0"/>
              <w:rPr>
                <w:sz w:val="20"/>
                <w:szCs w:val="20"/>
                <w:color w:val="auto"/>
              </w:rPr>
            </w:pPr>
            <w:r>
              <w:rPr>
                <w:rFonts w:ascii="Arial" w:cs="Arial" w:eastAsia="Arial" w:hAnsi="Arial"/>
                <w:sz w:val="13"/>
                <w:szCs w:val="13"/>
                <w:b w:val="1"/>
                <w:bCs w:val="1"/>
                <w:color w:val="auto"/>
              </w:rPr>
              <w:t>As of December 31,</w:t>
            </w:r>
          </w:p>
        </w:tc>
      </w:tr>
      <w:tr>
        <w:trPr>
          <w:trHeight w:val="153"/>
        </w:trPr>
        <w:tc>
          <w:tcPr>
            <w:tcW w:w="714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412"/>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844"/>
              <w:spacing w:after="0"/>
              <w:rPr>
                <w:sz w:val="20"/>
                <w:szCs w:val="20"/>
                <w:color w:val="auto"/>
              </w:rPr>
            </w:pPr>
            <w:r>
              <w:rPr>
                <w:rFonts w:ascii="Arial" w:cs="Arial" w:eastAsia="Arial" w:hAnsi="Arial"/>
                <w:sz w:val="13"/>
                <w:szCs w:val="13"/>
                <w:b w:val="1"/>
                <w:bCs w:val="1"/>
                <w:color w:val="auto"/>
              </w:rPr>
              <w:t>2019</w:t>
            </w:r>
          </w:p>
        </w:tc>
      </w:tr>
      <w:tr>
        <w:trPr>
          <w:trHeight w:val="180"/>
        </w:trPr>
        <w:tc>
          <w:tcPr>
            <w:tcW w:w="71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Payroll and related costs</w:t>
            </w:r>
          </w:p>
        </w:tc>
        <w:tc>
          <w:tcPr>
            <w:tcW w:w="1540" w:type="dxa"/>
            <w:vAlign w:val="bottom"/>
            <w:shd w:val="clear" w:color="auto" w:fill="CFF0FC"/>
          </w:tcPr>
          <w:p>
            <w:pPr>
              <w:jc w:val="right"/>
              <w:ind w:right="1392"/>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47</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w w:val="89"/>
              </w:rPr>
              <w:t>$</w:t>
            </w:r>
          </w:p>
        </w:tc>
        <w:tc>
          <w:tcPr>
            <w:tcW w:w="178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87</w:t>
            </w:r>
          </w:p>
        </w:tc>
      </w:tr>
      <w:tr>
        <w:trPr>
          <w:trHeight w:val="188"/>
        </w:trPr>
        <w:tc>
          <w:tcPr>
            <w:tcW w:w="7140" w:type="dxa"/>
            <w:vAlign w:val="bottom"/>
          </w:tcPr>
          <w:p>
            <w:pPr>
              <w:spacing w:after="0"/>
              <w:rPr>
                <w:sz w:val="20"/>
                <w:szCs w:val="20"/>
                <w:color w:val="auto"/>
              </w:rPr>
            </w:pPr>
            <w:r>
              <w:rPr>
                <w:rFonts w:ascii="Arial" w:cs="Arial" w:eastAsia="Arial" w:hAnsi="Arial"/>
                <w:sz w:val="16"/>
                <w:szCs w:val="16"/>
                <w:color w:val="auto"/>
              </w:rPr>
              <w:t>Sales allowances</w:t>
            </w:r>
          </w:p>
        </w:tc>
        <w:tc>
          <w:tcPr>
            <w:tcW w:w="15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20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jc w:val="right"/>
              <w:ind w:right="64"/>
              <w:spacing w:after="0"/>
              <w:rPr>
                <w:sz w:val="20"/>
                <w:szCs w:val="20"/>
                <w:color w:val="auto"/>
              </w:rPr>
            </w:pPr>
            <w:r>
              <w:rPr>
                <w:rFonts w:ascii="Arial" w:cs="Arial" w:eastAsia="Arial" w:hAnsi="Arial"/>
                <w:sz w:val="16"/>
                <w:szCs w:val="16"/>
                <w:color w:val="auto"/>
              </w:rPr>
              <w:t>32</w:t>
            </w:r>
          </w:p>
        </w:tc>
      </w:tr>
      <w:tr>
        <w:trPr>
          <w:trHeight w:val="188"/>
        </w:trPr>
        <w:tc>
          <w:tcPr>
            <w:tcW w:w="7140" w:type="dxa"/>
            <w:vAlign w:val="bottom"/>
            <w:shd w:val="clear" w:color="auto" w:fill="CFF0FC"/>
          </w:tcPr>
          <w:p>
            <w:pPr>
              <w:spacing w:after="0"/>
              <w:rPr>
                <w:sz w:val="20"/>
                <w:szCs w:val="20"/>
                <w:color w:val="auto"/>
              </w:rPr>
            </w:pPr>
            <w:r>
              <w:rPr>
                <w:rFonts w:ascii="Arial" w:cs="Arial" w:eastAsia="Arial" w:hAnsi="Arial"/>
                <w:sz w:val="16"/>
                <w:szCs w:val="16"/>
                <w:color w:val="auto"/>
              </w:rPr>
              <w:t>Vendor buyback obligation</w:t>
            </w:r>
          </w:p>
        </w:tc>
        <w:tc>
          <w:tcPr>
            <w:tcW w:w="15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16</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16</w:t>
            </w:r>
          </w:p>
        </w:tc>
      </w:tr>
      <w:tr>
        <w:trPr>
          <w:trHeight w:val="188"/>
        </w:trPr>
        <w:tc>
          <w:tcPr>
            <w:tcW w:w="7140" w:type="dxa"/>
            <w:vAlign w:val="bottom"/>
          </w:tcPr>
          <w:p>
            <w:pPr>
              <w:spacing w:after="0"/>
              <w:rPr>
                <w:sz w:val="20"/>
                <w:szCs w:val="20"/>
                <w:color w:val="auto"/>
              </w:rPr>
            </w:pPr>
            <w:r>
              <w:rPr>
                <w:rFonts w:ascii="Arial" w:cs="Arial" w:eastAsia="Arial" w:hAnsi="Arial"/>
                <w:sz w:val="16"/>
                <w:szCs w:val="16"/>
                <w:color w:val="auto"/>
              </w:rPr>
              <w:t>Derivative liabilities</w:t>
            </w:r>
          </w:p>
        </w:tc>
        <w:tc>
          <w:tcPr>
            <w:tcW w:w="15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14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jc w:val="right"/>
              <w:ind w:right="64"/>
              <w:spacing w:after="0"/>
              <w:rPr>
                <w:sz w:val="20"/>
                <w:szCs w:val="20"/>
                <w:color w:val="auto"/>
              </w:rPr>
            </w:pPr>
            <w:r>
              <w:rPr>
                <w:rFonts w:ascii="Arial" w:cs="Arial" w:eastAsia="Arial" w:hAnsi="Arial"/>
                <w:sz w:val="16"/>
                <w:szCs w:val="16"/>
                <w:color w:val="auto"/>
              </w:rPr>
              <w:t>7</w:t>
            </w:r>
          </w:p>
        </w:tc>
      </w:tr>
      <w:tr>
        <w:trPr>
          <w:trHeight w:val="188"/>
        </w:trPr>
        <w:tc>
          <w:tcPr>
            <w:tcW w:w="714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 payable</w:t>
            </w:r>
          </w:p>
        </w:tc>
        <w:tc>
          <w:tcPr>
            <w:tcW w:w="15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12</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21</w:t>
            </w:r>
          </w:p>
        </w:tc>
      </w:tr>
      <w:tr>
        <w:trPr>
          <w:trHeight w:val="188"/>
        </w:trPr>
        <w:tc>
          <w:tcPr>
            <w:tcW w:w="7140" w:type="dxa"/>
            <w:vAlign w:val="bottom"/>
          </w:tcPr>
          <w:p>
            <w:pPr>
              <w:spacing w:after="0"/>
              <w:rPr>
                <w:sz w:val="20"/>
                <w:szCs w:val="20"/>
                <w:color w:val="auto"/>
              </w:rPr>
            </w:pPr>
            <w:r>
              <w:rPr>
                <w:rFonts w:ascii="Arial" w:cs="Arial" w:eastAsia="Arial" w:hAnsi="Arial"/>
                <w:sz w:val="16"/>
                <w:szCs w:val="16"/>
                <w:color w:val="auto"/>
              </w:rPr>
              <w:t>Taxes payable</w:t>
            </w:r>
          </w:p>
        </w:tc>
        <w:tc>
          <w:tcPr>
            <w:tcW w:w="15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11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jc w:val="right"/>
              <w:ind w:right="64"/>
              <w:spacing w:after="0"/>
              <w:rPr>
                <w:sz w:val="20"/>
                <w:szCs w:val="20"/>
                <w:color w:val="auto"/>
              </w:rPr>
            </w:pPr>
            <w:r>
              <w:rPr>
                <w:rFonts w:ascii="Arial" w:cs="Arial" w:eastAsia="Arial" w:hAnsi="Arial"/>
                <w:sz w:val="16"/>
                <w:szCs w:val="16"/>
                <w:color w:val="auto"/>
              </w:rPr>
              <w:t>12</w:t>
            </w:r>
          </w:p>
        </w:tc>
      </w:tr>
      <w:tr>
        <w:trPr>
          <w:trHeight w:val="188"/>
        </w:trPr>
        <w:tc>
          <w:tcPr>
            <w:tcW w:w="7140" w:type="dxa"/>
            <w:vAlign w:val="bottom"/>
            <w:shd w:val="clear" w:color="auto" w:fill="CFF0FC"/>
          </w:tcPr>
          <w:p>
            <w:pPr>
              <w:spacing w:after="0"/>
              <w:rPr>
                <w:sz w:val="20"/>
                <w:szCs w:val="20"/>
                <w:color w:val="auto"/>
              </w:rPr>
            </w:pPr>
            <w:r>
              <w:rPr>
                <w:rFonts w:ascii="Arial" w:cs="Arial" w:eastAsia="Arial" w:hAnsi="Arial"/>
                <w:sz w:val="16"/>
                <w:szCs w:val="16"/>
                <w:color w:val="auto"/>
              </w:rPr>
              <w:t>Lease liability</w:t>
            </w:r>
          </w:p>
        </w:tc>
        <w:tc>
          <w:tcPr>
            <w:tcW w:w="15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5</w:t>
            </w:r>
          </w:p>
        </w:tc>
      </w:tr>
      <w:tr>
        <w:trPr>
          <w:trHeight w:val="188"/>
        </w:trPr>
        <w:tc>
          <w:tcPr>
            <w:tcW w:w="7140" w:type="dxa"/>
            <w:vAlign w:val="bottom"/>
          </w:tcPr>
          <w:p>
            <w:pPr>
              <w:spacing w:after="0"/>
              <w:rPr>
                <w:sz w:val="20"/>
                <w:szCs w:val="20"/>
                <w:color w:val="auto"/>
              </w:rPr>
            </w:pPr>
            <w:r>
              <w:rPr>
                <w:rFonts w:ascii="Arial" w:cs="Arial" w:eastAsia="Arial" w:hAnsi="Arial"/>
                <w:sz w:val="16"/>
                <w:szCs w:val="16"/>
                <w:color w:val="auto"/>
              </w:rPr>
              <w:t>Non-trade payables</w:t>
            </w:r>
          </w:p>
        </w:tc>
        <w:tc>
          <w:tcPr>
            <w:tcW w:w="15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jc w:val="right"/>
              <w:ind w:right="64"/>
              <w:spacing w:after="0"/>
              <w:rPr>
                <w:sz w:val="20"/>
                <w:szCs w:val="20"/>
                <w:color w:val="auto"/>
              </w:rPr>
            </w:pPr>
            <w:r>
              <w:rPr>
                <w:rFonts w:ascii="Arial" w:cs="Arial" w:eastAsia="Arial" w:hAnsi="Arial"/>
                <w:sz w:val="16"/>
                <w:szCs w:val="16"/>
                <w:color w:val="auto"/>
              </w:rPr>
              <w:t>2</w:t>
            </w:r>
          </w:p>
        </w:tc>
      </w:tr>
      <w:tr>
        <w:trPr>
          <w:trHeight w:val="188"/>
        </w:trPr>
        <w:tc>
          <w:tcPr>
            <w:tcW w:w="7140" w:type="dxa"/>
            <w:vAlign w:val="bottom"/>
            <w:shd w:val="clear" w:color="auto" w:fill="CFF0FC"/>
          </w:tcPr>
          <w:p>
            <w:pPr>
              <w:spacing w:after="0"/>
              <w:rPr>
                <w:sz w:val="20"/>
                <w:szCs w:val="20"/>
                <w:color w:val="auto"/>
              </w:rPr>
            </w:pPr>
            <w:r>
              <w:rPr>
                <w:rFonts w:ascii="Arial" w:cs="Arial" w:eastAsia="Arial" w:hAnsi="Arial"/>
                <w:sz w:val="16"/>
                <w:szCs w:val="16"/>
                <w:color w:val="auto"/>
              </w:rPr>
              <w:t>Construction liability</w:t>
            </w:r>
          </w:p>
        </w:tc>
        <w:tc>
          <w:tcPr>
            <w:tcW w:w="15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4</w:t>
            </w:r>
          </w:p>
        </w:tc>
      </w:tr>
      <w:tr>
        <w:trPr>
          <w:trHeight w:val="188"/>
        </w:trPr>
        <w:tc>
          <w:tcPr>
            <w:tcW w:w="7140" w:type="dxa"/>
            <w:vAlign w:val="bottom"/>
          </w:tcPr>
          <w:p>
            <w:pPr>
              <w:spacing w:after="0"/>
              <w:rPr>
                <w:sz w:val="20"/>
                <w:szCs w:val="20"/>
                <w:color w:val="auto"/>
              </w:rPr>
            </w:pPr>
            <w:r>
              <w:rPr>
                <w:rFonts w:ascii="Arial" w:cs="Arial" w:eastAsia="Arial" w:hAnsi="Arial"/>
                <w:sz w:val="16"/>
                <w:szCs w:val="16"/>
                <w:color w:val="auto"/>
              </w:rPr>
              <w:t>Vendor liability</w:t>
            </w:r>
          </w:p>
        </w:tc>
        <w:tc>
          <w:tcPr>
            <w:tcW w:w="15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jc w:val="right"/>
              <w:ind w:right="64"/>
              <w:spacing w:after="0"/>
              <w:rPr>
                <w:sz w:val="20"/>
                <w:szCs w:val="20"/>
                <w:color w:val="auto"/>
              </w:rPr>
            </w:pPr>
            <w:r>
              <w:rPr>
                <w:rFonts w:ascii="Arial" w:cs="Arial" w:eastAsia="Arial" w:hAnsi="Arial"/>
                <w:sz w:val="16"/>
                <w:szCs w:val="16"/>
                <w:color w:val="auto"/>
              </w:rPr>
              <w:t>3</w:t>
            </w:r>
          </w:p>
        </w:tc>
      </w:tr>
      <w:tr>
        <w:trPr>
          <w:trHeight w:val="188"/>
        </w:trPr>
        <w:tc>
          <w:tcPr>
            <w:tcW w:w="7140" w:type="dxa"/>
            <w:vAlign w:val="bottom"/>
            <w:shd w:val="clear" w:color="auto" w:fill="CFF0FC"/>
          </w:tcPr>
          <w:p>
            <w:pPr>
              <w:spacing w:after="0"/>
              <w:rPr>
                <w:sz w:val="20"/>
                <w:szCs w:val="20"/>
                <w:color w:val="auto"/>
              </w:rPr>
            </w:pPr>
            <w:r>
              <w:rPr>
                <w:rFonts w:ascii="Arial" w:cs="Arial" w:eastAsia="Arial" w:hAnsi="Arial"/>
                <w:sz w:val="16"/>
                <w:szCs w:val="16"/>
                <w:color w:val="auto"/>
              </w:rPr>
              <w:t>Other accruals</w:t>
            </w:r>
          </w:p>
        </w:tc>
        <w:tc>
          <w:tcPr>
            <w:tcW w:w="15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12</w:t>
            </w:r>
          </w:p>
        </w:tc>
        <w:tc>
          <w:tcPr>
            <w:tcW w:w="1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78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6"/>
                <w:szCs w:val="16"/>
                <w:color w:val="auto"/>
              </w:rPr>
              <w:t>13</w:t>
            </w:r>
          </w:p>
        </w:tc>
      </w:tr>
      <w:tr>
        <w:trPr>
          <w:trHeight w:val="180"/>
        </w:trPr>
        <w:tc>
          <w:tcPr>
            <w:tcW w:w="714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1540" w:type="dxa"/>
            <w:vAlign w:val="bottom"/>
            <w:tcBorders>
              <w:bottom w:val="single" w:sz="8" w:color="auto"/>
            </w:tcBorders>
          </w:tcPr>
          <w:p>
            <w:pPr>
              <w:jc w:val="right"/>
              <w:ind w:right="1392"/>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140</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ind w:right="64"/>
              <w:spacing w:after="0" w:line="180" w:lineRule="exact"/>
              <w:rPr>
                <w:sz w:val="20"/>
                <w:szCs w:val="20"/>
                <w:color w:val="auto"/>
              </w:rPr>
            </w:pPr>
            <w:r>
              <w:rPr>
                <w:rFonts w:ascii="Arial" w:cs="Arial" w:eastAsia="Arial" w:hAnsi="Arial"/>
                <w:sz w:val="16"/>
                <w:szCs w:val="16"/>
                <w:color w:val="auto"/>
              </w:rPr>
              <w:t>202</w:t>
            </w:r>
          </w:p>
        </w:tc>
      </w:tr>
      <w:tr>
        <w:trPr>
          <w:trHeight w:val="20"/>
        </w:trPr>
        <w:tc>
          <w:tcPr>
            <w:tcW w:w="7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EMPLOYEE BENEFIT PLANS</w:t>
      </w:r>
    </w:p>
    <w:p>
      <w:pPr>
        <w:spacing w:after="0" w:line="135" w:lineRule="exact"/>
        <w:rPr>
          <w:sz w:val="20"/>
          <w:szCs w:val="20"/>
          <w:color w:val="auto"/>
        </w:rPr>
      </w:pPr>
    </w:p>
    <w:p>
      <w:pPr>
        <w:ind w:right="20" w:firstLine="522"/>
        <w:spacing w:after="0" w:line="237" w:lineRule="auto"/>
        <w:rPr>
          <w:sz w:val="20"/>
          <w:szCs w:val="20"/>
          <w:color w:val="auto"/>
        </w:rPr>
      </w:pPr>
      <w:r>
        <w:rPr>
          <w:rFonts w:ascii="Arial" w:cs="Arial" w:eastAsia="Arial" w:hAnsi="Arial"/>
          <w:sz w:val="16"/>
          <w:szCs w:val="16"/>
          <w:color w:val="auto"/>
        </w:rPr>
        <w:t>The Company’s hourly defined benefit pension plan generally provides benefits of negotiated, stated amounts for each year of service as well as significant supplemental benefits for employees who were hired on or before May 18, 2008 and retire with 30 years of service before normal retirement age. Any difference between actual and expected returns on assets during a year and actuarial gains and losses on liabilities together with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accounting disclosures, and certain allocation methodologies such as population demographics.</w:t>
      </w:r>
    </w:p>
    <w:p>
      <w:pPr>
        <w:spacing w:after="0" w:line="108" w:lineRule="exact"/>
        <w:rPr>
          <w:sz w:val="20"/>
          <w:szCs w:val="20"/>
          <w:color w:val="auto"/>
        </w:rPr>
      </w:pPr>
    </w:p>
    <w:p>
      <w:pPr>
        <w:ind w:right="140" w:firstLine="522"/>
        <w:spacing w:after="0" w:line="239" w:lineRule="auto"/>
        <w:rPr>
          <w:sz w:val="20"/>
          <w:szCs w:val="20"/>
          <w:color w:val="auto"/>
        </w:rPr>
      </w:pPr>
      <w:r>
        <w:rPr>
          <w:rFonts w:ascii="Arial" w:cs="Arial" w:eastAsia="Arial" w:hAnsi="Arial"/>
          <w:sz w:val="16"/>
          <w:szCs w:val="16"/>
          <w:color w:val="auto"/>
        </w:rPr>
        <w:t>The Company’s salaried defined benefit plan covering salaried employees with a service date prior to January 1, 2001 is generally based on years of service and compensation history. Any difference between actual and expected returns on assets during a year and actuarial gains and losses on liabilities together with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accounting disclosures, and certain allocation methodologies such as population demographics.</w:t>
      </w:r>
    </w:p>
    <w:p>
      <w:pPr>
        <w:spacing w:after="0" w:line="105" w:lineRule="exact"/>
        <w:rPr>
          <w:sz w:val="20"/>
          <w:szCs w:val="20"/>
          <w:color w:val="auto"/>
        </w:rPr>
      </w:pPr>
    </w:p>
    <w:p>
      <w:pPr>
        <w:ind w:right="80" w:firstLine="522"/>
        <w:spacing w:after="0" w:line="247" w:lineRule="auto"/>
        <w:rPr>
          <w:sz w:val="20"/>
          <w:szCs w:val="20"/>
          <w:color w:val="auto"/>
        </w:rPr>
      </w:pPr>
      <w:r>
        <w:rPr>
          <w:rFonts w:ascii="Arial" w:cs="Arial" w:eastAsia="Arial" w:hAnsi="Arial"/>
          <w:sz w:val="16"/>
          <w:szCs w:val="16"/>
          <w:color w:val="auto"/>
        </w:rPr>
        <w:t>The Company sponsors defined contribution retirement savings plans for eligible employees, based on employee location and status. The Company’s salaried defined contribution retirement savings plans provide for a Company match of employee contributions up to certain limits based upon eligible base salary. As a result of the business acquisitions in 2019, the number of employees eligible to participate in the plans has increased from prior years.</w:t>
      </w:r>
    </w:p>
    <w:p>
      <w:pPr>
        <w:spacing w:after="0" w:line="101" w:lineRule="exact"/>
        <w:rPr>
          <w:sz w:val="20"/>
          <w:szCs w:val="20"/>
          <w:color w:val="auto"/>
        </w:rPr>
      </w:pPr>
    </w:p>
    <w:p>
      <w:pPr>
        <w:ind w:right="340" w:firstLine="522"/>
        <w:spacing w:after="0" w:line="265" w:lineRule="auto"/>
        <w:rPr>
          <w:sz w:val="20"/>
          <w:szCs w:val="20"/>
          <w:color w:val="auto"/>
        </w:rPr>
      </w:pPr>
      <w:r>
        <w:rPr>
          <w:rFonts w:ascii="Arial" w:cs="Arial" w:eastAsia="Arial" w:hAnsi="Arial"/>
          <w:sz w:val="16"/>
          <w:szCs w:val="16"/>
          <w:color w:val="auto"/>
        </w:rPr>
        <w:t>The charge to expense for the Company’s defined contribution retirement savings plans was $12 million, $11 million and $9 million for the years ended December 31, 2020, 2019 and 2018, respectively.</w:t>
      </w:r>
    </w:p>
    <w:p>
      <w:pPr>
        <w:spacing w:after="0" w:line="87" w:lineRule="exact"/>
        <w:rPr>
          <w:sz w:val="20"/>
          <w:szCs w:val="20"/>
          <w:color w:val="auto"/>
        </w:rPr>
      </w:pPr>
    </w:p>
    <w:p>
      <w:pPr>
        <w:ind w:right="100" w:firstLine="522"/>
        <w:spacing w:after="0" w:line="237" w:lineRule="auto"/>
        <w:rPr>
          <w:sz w:val="20"/>
          <w:szCs w:val="20"/>
          <w:color w:val="auto"/>
        </w:rPr>
      </w:pPr>
      <w:r>
        <w:rPr>
          <w:rFonts w:ascii="Arial" w:cs="Arial" w:eastAsia="Arial" w:hAnsi="Arial"/>
          <w:sz w:val="16"/>
          <w:szCs w:val="16"/>
          <w:color w:val="auto"/>
        </w:rPr>
        <w:t>The Company is also responsible for OPEB costs (medical, dental, vision, and life insurance) for hourly employees hired prior to May 19, 2008, excluding those employees eligible to retire at the time of the sale of the Company. Post-retirement benefit costs consist of service cost and interest cost on accrued obligations. Actuarial gains and losses on liabilities and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OPEB accounting disclosures, and certain allocation methodologies such as population demographics. The plan is unfunded and any future payments will be funded by the Company’s operating cash flows. As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December 31, 2020 and 2019, the Company had an estimated OPEB liability for hourly employees hired prior to May 19, 2008, excluding those employees eligible to retire at the time of the sale of the Company, of $107 million and $94 million, respectively.</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provides contributions to certain international benefit plans; however, these contributions are not material for the periods presented.</w:t>
      </w:r>
    </w:p>
    <w:p>
      <w:pPr>
        <w:spacing w:after="0" w:line="133" w:lineRule="exact"/>
        <w:rPr>
          <w:sz w:val="20"/>
          <w:szCs w:val="20"/>
          <w:color w:val="auto"/>
        </w:rPr>
      </w:pPr>
    </w:p>
    <w:p>
      <w:pPr>
        <w:ind w:right="60" w:firstLine="593"/>
        <w:spacing w:after="0" w:line="241" w:lineRule="auto"/>
        <w:rPr>
          <w:sz w:val="20"/>
          <w:szCs w:val="20"/>
          <w:color w:val="auto"/>
        </w:rPr>
      </w:pPr>
      <w:r>
        <w:rPr>
          <w:rFonts w:ascii="Arial" w:cs="Arial" w:eastAsia="Arial" w:hAnsi="Arial"/>
          <w:sz w:val="16"/>
          <w:szCs w:val="16"/>
          <w:color w:val="auto"/>
        </w:rPr>
        <w:t>For all pension and OPEB plans in which employees participate, costs are determined within the FASB’s authoritative accounting guidance set forth on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06" w:lineRule="exact"/>
        <w:rPr>
          <w:sz w:val="20"/>
          <w:szCs w:val="20"/>
          <w:color w:val="auto"/>
        </w:rPr>
      </w:pPr>
    </w:p>
    <w:p>
      <w:pPr>
        <w:ind w:right="480" w:firstLine="522"/>
        <w:spacing w:after="0" w:line="265" w:lineRule="auto"/>
        <w:rPr>
          <w:sz w:val="20"/>
          <w:szCs w:val="20"/>
          <w:color w:val="auto"/>
        </w:rPr>
      </w:pPr>
      <w:r>
        <w:rPr>
          <w:rFonts w:ascii="Arial" w:cs="Arial" w:eastAsia="Arial" w:hAnsi="Arial"/>
          <w:sz w:val="16"/>
          <w:szCs w:val="16"/>
          <w:color w:val="auto"/>
        </w:rPr>
        <w:t>Information about the net periodic benefit cost (credit) and other changes recognized in AOCL for the pension and post-retirement benefit plans is as follows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52"/>
              <w:spacing w:after="0"/>
              <w:rPr>
                <w:sz w:val="20"/>
                <w:szCs w:val="20"/>
                <w:color w:val="auto"/>
              </w:rPr>
            </w:pPr>
            <w:r>
              <w:rPr>
                <w:rFonts w:ascii="Arial" w:cs="Arial" w:eastAsia="Arial" w:hAnsi="Arial"/>
                <w:sz w:val="13"/>
                <w:szCs w:val="13"/>
                <w:b w:val="1"/>
                <w:bCs w:val="1"/>
                <w:color w:val="auto"/>
                <w:w w:val="94"/>
              </w:rPr>
              <w:t>Pension Plans</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3"/>
                <w:szCs w:val="13"/>
                <w:b w:val="1"/>
                <w:bCs w:val="1"/>
                <w:color w:val="auto"/>
                <w:w w:val="96"/>
              </w:rPr>
              <w:t>Post-retirement Benefits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360"/>
              <w:spacing w:after="0" w:line="133" w:lineRule="exact"/>
              <w:rPr>
                <w:sz w:val="20"/>
                <w:szCs w:val="20"/>
                <w:color w:val="auto"/>
              </w:rPr>
            </w:pPr>
            <w:r>
              <w:rPr>
                <w:rFonts w:ascii="Arial" w:cs="Arial" w:eastAsia="Arial" w:hAnsi="Arial"/>
                <w:sz w:val="13"/>
                <w:szCs w:val="13"/>
                <w:b w:val="1"/>
                <w:bCs w:val="1"/>
                <w:color w:val="auto"/>
                <w:w w:val="96"/>
              </w:rPr>
              <w:t>Year ended</w:t>
            </w:r>
          </w:p>
        </w:tc>
        <w:tc>
          <w:tcPr>
            <w:tcW w:w="100" w:type="dxa"/>
            <w:vAlign w:val="bottom"/>
          </w:tcPr>
          <w:p>
            <w:pPr>
              <w:spacing w:after="0"/>
              <w:rPr>
                <w:sz w:val="11"/>
                <w:szCs w:val="11"/>
                <w:color w:val="auto"/>
              </w:rPr>
            </w:pPr>
          </w:p>
        </w:tc>
        <w:tc>
          <w:tcPr>
            <w:tcW w:w="1100" w:type="dxa"/>
            <w:vAlign w:val="bottom"/>
          </w:tcPr>
          <w:p>
            <w:pPr>
              <w:jc w:val="center"/>
              <w:ind w:right="152"/>
              <w:spacing w:after="0" w:line="133" w:lineRule="exact"/>
              <w:rPr>
                <w:sz w:val="20"/>
                <w:szCs w:val="20"/>
                <w:color w:val="auto"/>
              </w:rPr>
            </w:pPr>
            <w:r>
              <w:rPr>
                <w:rFonts w:ascii="Arial" w:cs="Arial" w:eastAsia="Arial" w:hAnsi="Arial"/>
                <w:sz w:val="13"/>
                <w:szCs w:val="13"/>
                <w:b w:val="1"/>
                <w:bCs w:val="1"/>
                <w:color w:val="auto"/>
                <w:w w:val="96"/>
              </w:rPr>
              <w:t>Year ended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152"/>
              <w:spacing w:after="0" w:line="133" w:lineRule="exact"/>
              <w:rPr>
                <w:sz w:val="20"/>
                <w:szCs w:val="20"/>
                <w:color w:val="auto"/>
              </w:rPr>
            </w:pPr>
            <w:r>
              <w:rPr>
                <w:rFonts w:ascii="Arial" w:cs="Arial" w:eastAsia="Arial" w:hAnsi="Arial"/>
                <w:sz w:val="13"/>
                <w:szCs w:val="13"/>
                <w:b w:val="1"/>
                <w:bCs w:val="1"/>
                <w:color w:val="auto"/>
                <w:w w:val="96"/>
              </w:rPr>
              <w:t>Year ended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right="112"/>
              <w:spacing w:after="0" w:line="133" w:lineRule="exact"/>
              <w:rPr>
                <w:sz w:val="20"/>
                <w:szCs w:val="20"/>
                <w:color w:val="auto"/>
              </w:rPr>
            </w:pPr>
            <w:r>
              <w:rPr>
                <w:rFonts w:ascii="Arial" w:cs="Arial" w:eastAsia="Arial" w:hAnsi="Arial"/>
                <w:sz w:val="13"/>
                <w:szCs w:val="13"/>
                <w:b w:val="1"/>
                <w:bCs w:val="1"/>
                <w:color w:val="auto"/>
                <w:w w:val="96"/>
              </w:rPr>
              <w:t>Year ended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3"/>
                <w:szCs w:val="13"/>
                <w:b w:val="1"/>
                <w:bCs w:val="1"/>
                <w:color w:val="auto"/>
                <w:w w:val="96"/>
              </w:rPr>
              <w:t>Year ended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172"/>
              <w:spacing w:after="0" w:line="133" w:lineRule="exact"/>
              <w:rPr>
                <w:sz w:val="20"/>
                <w:szCs w:val="20"/>
                <w:color w:val="auto"/>
              </w:rPr>
            </w:pPr>
            <w:r>
              <w:rPr>
                <w:rFonts w:ascii="Arial" w:cs="Arial" w:eastAsia="Arial" w:hAnsi="Arial"/>
                <w:sz w:val="13"/>
                <w:szCs w:val="13"/>
                <w:b w:val="1"/>
                <w:bCs w:val="1"/>
                <w:color w:val="auto"/>
                <w:w w:val="96"/>
              </w:rPr>
              <w:t>Year ended</w:t>
            </w:r>
          </w:p>
        </w:tc>
        <w:tc>
          <w:tcPr>
            <w:tcW w:w="0" w:type="dxa"/>
            <w:vAlign w:val="bottom"/>
          </w:tcPr>
          <w:p>
            <w:pPr>
              <w:spacing w:after="0"/>
              <w:rPr>
                <w:sz w:val="1"/>
                <w:szCs w:val="1"/>
                <w:color w:val="auto"/>
              </w:rPr>
            </w:pPr>
          </w:p>
        </w:tc>
      </w:tr>
      <w:tr>
        <w:trPr>
          <w:trHeight w:val="141"/>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60"/>
              <w:spacing w:after="0" w:line="141"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2"/>
                <w:szCs w:val="12"/>
                <w:color w:val="auto"/>
              </w:rPr>
            </w:pPr>
          </w:p>
        </w:tc>
        <w:tc>
          <w:tcPr>
            <w:tcW w:w="1100" w:type="dxa"/>
            <w:vAlign w:val="bottom"/>
          </w:tcPr>
          <w:p>
            <w:pPr>
              <w:jc w:val="center"/>
              <w:ind w:right="152"/>
              <w:spacing w:after="0" w:line="141" w:lineRule="exact"/>
              <w:rPr>
                <w:sz w:val="20"/>
                <w:szCs w:val="20"/>
                <w:color w:val="auto"/>
              </w:rPr>
            </w:pPr>
            <w:r>
              <w:rPr>
                <w:rFonts w:ascii="Arial" w:cs="Arial" w:eastAsia="Arial" w:hAnsi="Arial"/>
                <w:sz w:val="13"/>
                <w:szCs w:val="13"/>
                <w:b w:val="1"/>
                <w:bCs w:val="1"/>
                <w:color w:val="auto"/>
                <w:w w:val="94"/>
              </w:rPr>
              <w:t>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60"/>
              <w:spacing w:after="0" w:line="141"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2"/>
                <w:szCs w:val="12"/>
                <w:color w:val="auto"/>
              </w:rPr>
            </w:pPr>
          </w:p>
        </w:tc>
        <w:tc>
          <w:tcPr>
            <w:tcW w:w="1060" w:type="dxa"/>
            <w:vAlign w:val="bottom"/>
          </w:tcPr>
          <w:p>
            <w:pPr>
              <w:jc w:val="center"/>
              <w:ind w:right="112"/>
              <w:spacing w:after="0" w:line="141" w:lineRule="exact"/>
              <w:rPr>
                <w:sz w:val="20"/>
                <w:szCs w:val="20"/>
                <w:color w:val="auto"/>
              </w:rPr>
            </w:pPr>
            <w:r>
              <w:rPr>
                <w:rFonts w:ascii="Arial" w:cs="Arial" w:eastAsia="Arial" w:hAnsi="Arial"/>
                <w:sz w:val="13"/>
                <w:szCs w:val="13"/>
                <w:b w:val="1"/>
                <w:bCs w:val="1"/>
                <w:color w:val="auto"/>
                <w:w w:val="94"/>
              </w:rPr>
              <w:t>December 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94"/>
              </w:rPr>
              <w:t>December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72"/>
              <w:spacing w:after="0" w:line="141" w:lineRule="exact"/>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53"/>
        </w:trPr>
        <w:tc>
          <w:tcPr>
            <w:tcW w:w="33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52"/>
              <w:spacing w:after="0"/>
              <w:rPr>
                <w:sz w:val="20"/>
                <w:szCs w:val="20"/>
                <w:color w:val="auto"/>
              </w:rPr>
            </w:pPr>
            <w:r>
              <w:rPr>
                <w:rFonts w:ascii="Arial" w:cs="Arial" w:eastAsia="Arial" w:hAnsi="Arial"/>
                <w:sz w:val="13"/>
                <w:szCs w:val="13"/>
                <w:b w:val="1"/>
                <w:bCs w:val="1"/>
                <w:color w:val="auto"/>
                <w:w w:val="96"/>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52"/>
              <w:spacing w:after="0"/>
              <w:rPr>
                <w:sz w:val="20"/>
                <w:szCs w:val="20"/>
                <w:color w:val="auto"/>
              </w:rPr>
            </w:pPr>
            <w:r>
              <w:rPr>
                <w:rFonts w:ascii="Arial" w:cs="Arial" w:eastAsia="Arial" w:hAnsi="Arial"/>
                <w:sz w:val="13"/>
                <w:szCs w:val="13"/>
                <w:b w:val="1"/>
                <w:bCs w:val="1"/>
                <w:color w:val="auto"/>
                <w:w w:val="96"/>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52"/>
              <w:spacing w:after="0"/>
              <w:rPr>
                <w:sz w:val="20"/>
                <w:szCs w:val="20"/>
                <w:color w:val="auto"/>
              </w:rPr>
            </w:pPr>
            <w:r>
              <w:rPr>
                <w:rFonts w:ascii="Arial" w:cs="Arial" w:eastAsia="Arial" w:hAnsi="Arial"/>
                <w:sz w:val="13"/>
                <w:szCs w:val="13"/>
                <w:b w:val="1"/>
                <w:bCs w:val="1"/>
                <w:color w:val="auto"/>
                <w:w w:val="96"/>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3"/>
                <w:szCs w:val="13"/>
                <w:b w:val="1"/>
                <w:bCs w:val="1"/>
                <w:color w:val="auto"/>
                <w:w w:val="96"/>
              </w:rPr>
              <w:t>2020</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72"/>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72"/>
              <w:spacing w:after="0"/>
              <w:rPr>
                <w:sz w:val="20"/>
                <w:szCs w:val="20"/>
                <w:color w:val="auto"/>
              </w:rPr>
            </w:pPr>
            <w:r>
              <w:rPr>
                <w:rFonts w:ascii="Arial" w:cs="Arial" w:eastAsia="Arial" w:hAnsi="Arial"/>
                <w:sz w:val="13"/>
                <w:szCs w:val="13"/>
                <w:b w:val="1"/>
                <w:bCs w:val="1"/>
                <w:color w:val="auto"/>
                <w:w w:val="96"/>
              </w:rPr>
              <w:t>2018</w:t>
            </w:r>
          </w:p>
        </w:tc>
        <w:tc>
          <w:tcPr>
            <w:tcW w:w="0" w:type="dxa"/>
            <w:vAlign w:val="bottom"/>
          </w:tcPr>
          <w:p>
            <w:pPr>
              <w:spacing w:after="0"/>
              <w:rPr>
                <w:sz w:val="1"/>
                <w:szCs w:val="1"/>
                <w:color w:val="auto"/>
              </w:rPr>
            </w:pPr>
          </w:p>
        </w:tc>
      </w:tr>
      <w:tr>
        <w:trPr>
          <w:trHeight w:val="168"/>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Net Periodic Benefit Cost (Credit):</w:t>
            </w: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20"/>
                <w:szCs w:val="20"/>
                <w:color w:val="auto"/>
              </w:rPr>
            </w:pPr>
            <w:r>
              <w:rPr>
                <w:rFonts w:ascii="Arial" w:cs="Arial" w:eastAsia="Arial" w:hAnsi="Arial"/>
                <w:sz w:val="14"/>
                <w:szCs w:val="14"/>
                <w:color w:val="auto"/>
              </w:rPr>
              <w:t>Service cost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ind w:right="52"/>
              <w:spacing w:after="0"/>
              <w:rPr>
                <w:sz w:val="20"/>
                <w:szCs w:val="20"/>
                <w:color w:val="auto"/>
              </w:rPr>
            </w:pPr>
            <w:r>
              <w:rPr>
                <w:rFonts w:ascii="Arial" w:cs="Arial" w:eastAsia="Arial" w:hAnsi="Arial"/>
                <w:sz w:val="14"/>
                <w:szCs w:val="14"/>
                <w:b w:val="1"/>
                <w:bCs w:val="1"/>
                <w:color w:val="auto"/>
              </w:rPr>
              <w:t>10</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10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12"/>
              <w:spacing w:after="0"/>
              <w:rPr>
                <w:sz w:val="20"/>
                <w:szCs w:val="20"/>
                <w:color w:val="auto"/>
              </w:rPr>
            </w:pPr>
            <w:r>
              <w:rPr>
                <w:rFonts w:ascii="Arial" w:cs="Arial" w:eastAsia="Arial" w:hAnsi="Arial"/>
                <w:sz w:val="14"/>
                <w:szCs w:val="14"/>
                <w:b w:val="1"/>
                <w:bCs w:val="1"/>
                <w:color w:val="auto"/>
              </w:rPr>
              <w:t>1</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Interest cost</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52"/>
              <w:spacing w:after="0"/>
              <w:rPr>
                <w:sz w:val="20"/>
                <w:szCs w:val="20"/>
                <w:color w:val="auto"/>
              </w:rPr>
            </w:pPr>
            <w:r>
              <w:rPr>
                <w:rFonts w:ascii="Arial" w:cs="Arial" w:eastAsia="Arial" w:hAnsi="Arial"/>
                <w:sz w:val="14"/>
                <w:szCs w:val="14"/>
                <w:b w:val="1"/>
                <w:bCs w:val="1"/>
                <w:color w:val="auto"/>
              </w:rPr>
              <w:t>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2"/>
              <w:spacing w:after="0"/>
              <w:rPr>
                <w:sz w:val="20"/>
                <w:szCs w:val="20"/>
                <w:color w:val="auto"/>
              </w:rPr>
            </w:pPr>
            <w:r>
              <w:rPr>
                <w:rFonts w:ascii="Arial" w:cs="Arial" w:eastAsia="Arial" w:hAnsi="Arial"/>
                <w:sz w:val="14"/>
                <w:szCs w:val="14"/>
                <w:b w:val="1"/>
                <w:bCs w:val="1"/>
                <w:color w:val="auto"/>
              </w:rPr>
              <w:t>3</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20"/>
                <w:szCs w:val="20"/>
                <w:color w:val="auto"/>
              </w:rPr>
            </w:pPr>
            <w:r>
              <w:rPr>
                <w:rFonts w:ascii="Arial" w:cs="Arial" w:eastAsia="Arial" w:hAnsi="Arial"/>
                <w:sz w:val="14"/>
                <w:szCs w:val="14"/>
                <w:color w:val="auto"/>
              </w:rPr>
              <w:t>Expected return on assets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Settlement loss</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52"/>
              <w:spacing w:after="0"/>
              <w:rPr>
                <w:sz w:val="20"/>
                <w:szCs w:val="20"/>
                <w:color w:val="auto"/>
              </w:rPr>
            </w:pPr>
            <w:r>
              <w:rPr>
                <w:rFonts w:ascii="Arial" w:cs="Arial" w:eastAsia="Arial" w:hAnsi="Arial"/>
                <w:sz w:val="14"/>
                <w:szCs w:val="14"/>
                <w:b w:val="1"/>
                <w:bCs w:val="1"/>
                <w:color w:val="auto"/>
              </w:rPr>
              <w:t>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20"/>
                <w:szCs w:val="20"/>
                <w:color w:val="auto"/>
              </w:rPr>
            </w:pPr>
            <w:r>
              <w:rPr>
                <w:rFonts w:ascii="Arial" w:cs="Arial" w:eastAsia="Arial" w:hAnsi="Arial"/>
                <w:sz w:val="14"/>
                <w:szCs w:val="14"/>
                <w:color w:val="auto"/>
              </w:rPr>
              <w:t>Prior service credit</w:t>
            </w:r>
          </w:p>
        </w:tc>
        <w:tc>
          <w:tcPr>
            <w:tcW w:w="10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8"/>
        </w:trPr>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Net Periodic Benefit Cost (Credit)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4"/>
                <w:szCs w:val="14"/>
                <w:b w:val="1"/>
                <w:bCs w:val="1"/>
                <w:color w:val="auto"/>
              </w:rPr>
              <w:t>9</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4"/>
                <w:szCs w:val="14"/>
                <w:color w:val="auto"/>
              </w:rPr>
              <w:t>8</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4"/>
                <w:szCs w:val="14"/>
                <w:color w:val="auto"/>
              </w:rPr>
              <w:t>10</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w:t>
            </w:r>
          </w:p>
        </w:tc>
        <w:tc>
          <w:tcPr>
            <w:tcW w:w="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0"/>
        </w:trPr>
        <w:tc>
          <w:tcPr>
            <w:tcW w:w="3320" w:type="dxa"/>
            <w:vAlign w:val="bottom"/>
          </w:tcPr>
          <w:p>
            <w:pPr>
              <w:spacing w:after="0" w:line="160" w:lineRule="exact"/>
              <w:rPr>
                <w:sz w:val="20"/>
                <w:szCs w:val="20"/>
                <w:color w:val="auto"/>
              </w:rPr>
            </w:pPr>
            <w:r>
              <w:rPr>
                <w:rFonts w:ascii="Arial" w:cs="Arial" w:eastAsia="Arial" w:hAnsi="Arial"/>
                <w:sz w:val="14"/>
                <w:szCs w:val="14"/>
                <w:color w:val="auto"/>
              </w:rPr>
              <w:t>Other changes recognized in other</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320" w:type="dxa"/>
            <w:vAlign w:val="bottom"/>
          </w:tcPr>
          <w:p>
            <w:pPr>
              <w:ind w:left="120"/>
              <w:spacing w:after="0"/>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Net loss (gain)</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shd w:val="clear" w:color="auto" w:fill="CFF0FC"/>
          </w:tcPr>
          <w:p>
            <w:pPr>
              <w:jc w:val="right"/>
              <w:ind w:right="52"/>
              <w:spacing w:after="0"/>
              <w:rPr>
                <w:sz w:val="20"/>
                <w:szCs w:val="20"/>
                <w:color w:val="auto"/>
              </w:rPr>
            </w:pPr>
            <w:r>
              <w:rPr>
                <w:rFonts w:ascii="Arial" w:cs="Arial" w:eastAsia="Arial" w:hAnsi="Arial"/>
                <w:sz w:val="14"/>
                <w:szCs w:val="14"/>
                <w:b w:val="1"/>
                <w:bCs w:val="1"/>
                <w:color w:val="auto"/>
              </w:rPr>
              <w:t>12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FF0FC"/>
          </w:tcPr>
          <w:p>
            <w:pPr>
              <w:jc w:val="right"/>
              <w:ind w:right="12"/>
              <w:spacing w:after="0"/>
              <w:rPr>
                <w:sz w:val="20"/>
                <w:szCs w:val="20"/>
                <w:color w:val="auto"/>
              </w:rPr>
            </w:pPr>
            <w:r>
              <w:rPr>
                <w:rFonts w:ascii="Arial" w:cs="Arial" w:eastAsia="Arial" w:hAnsi="Arial"/>
                <w:sz w:val="14"/>
                <w:szCs w:val="14"/>
                <w:b w:val="1"/>
                <w:bCs w:val="1"/>
                <w:color w:val="auto"/>
              </w:rPr>
              <w:t>12</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20"/>
                <w:szCs w:val="20"/>
                <w:color w:val="auto"/>
              </w:rPr>
            </w:pPr>
            <w:r>
              <w:rPr>
                <w:rFonts w:ascii="Arial" w:cs="Arial" w:eastAsia="Arial" w:hAnsi="Arial"/>
                <w:sz w:val="14"/>
                <w:szCs w:val="14"/>
                <w:color w:val="auto"/>
              </w:rPr>
              <w:t>Amortizations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b w:val="1"/>
                <w:bCs w:val="1"/>
                <w:color w:val="auto"/>
              </w:rPr>
              <w:t>13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2"/>
        </w:trPr>
        <w:tc>
          <w:tcPr>
            <w:tcW w:w="3320" w:type="dxa"/>
            <w:vAlign w:val="bottom"/>
            <w:tcBorders>
              <w:top w:val="single" w:sz="8" w:color="CFF0FC"/>
            </w:tcBorders>
            <w:shd w:val="clear" w:color="auto" w:fill="CFF0FC"/>
          </w:tcPr>
          <w:p>
            <w:pPr>
              <w:spacing w:after="0" w:line="151" w:lineRule="exact"/>
              <w:rPr>
                <w:sz w:val="20"/>
                <w:szCs w:val="20"/>
                <w:color w:val="auto"/>
              </w:rPr>
            </w:pPr>
            <w:r>
              <w:rPr>
                <w:rFonts w:ascii="Arial" w:cs="Arial" w:eastAsia="Arial" w:hAnsi="Arial"/>
                <w:sz w:val="14"/>
                <w:szCs w:val="14"/>
                <w:color w:val="auto"/>
              </w:rPr>
              <w:t>Total recognized – other</w:t>
            </w: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tcBorders>
            <w:vMerge w:val="restart"/>
            <w:shd w:val="clear" w:color="auto" w:fill="CFF0FC"/>
          </w:tcPr>
          <w:p>
            <w:pPr>
              <w:jc w:val="right"/>
              <w:ind w:right="52"/>
              <w:spacing w:after="0"/>
              <w:rPr>
                <w:sz w:val="20"/>
                <w:szCs w:val="20"/>
                <w:color w:val="auto"/>
              </w:rPr>
            </w:pPr>
            <w:r>
              <w:rPr>
                <w:rFonts w:ascii="Arial" w:cs="Arial" w:eastAsia="Arial" w:hAnsi="Arial"/>
                <w:sz w:val="14"/>
                <w:szCs w:val="14"/>
                <w:b w:val="1"/>
                <w:bCs w:val="1"/>
                <w:color w:val="auto"/>
              </w:rPr>
              <w:t>10</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vMerge w:val="restart"/>
            <w:shd w:val="clear" w:color="auto" w:fill="CFF0FC"/>
          </w:tcPr>
          <w:p>
            <w:pPr>
              <w:jc w:val="right"/>
              <w:ind w:right="12"/>
              <w:spacing w:after="0"/>
              <w:rPr>
                <w:sz w:val="20"/>
                <w:szCs w:val="20"/>
                <w:color w:val="auto"/>
              </w:rPr>
            </w:pPr>
            <w:r>
              <w:rPr>
                <w:rFonts w:ascii="Arial" w:cs="Arial" w:eastAsia="Arial" w:hAnsi="Arial"/>
                <w:sz w:val="14"/>
                <w:szCs w:val="14"/>
                <w:b w:val="1"/>
                <w:bCs w:val="1"/>
                <w:color w:val="auto"/>
              </w:rPr>
              <w:t>25</w:t>
            </w:r>
          </w:p>
        </w:tc>
        <w:tc>
          <w:tcPr>
            <w:tcW w:w="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comprehensive loss (income)</w:t>
            </w:r>
          </w:p>
        </w:tc>
        <w:tc>
          <w:tcPr>
            <w:tcW w:w="100" w:type="dxa"/>
            <w:vAlign w:val="bottom"/>
            <w:vMerge w:val="continue"/>
            <w:shd w:val="clear" w:color="auto" w:fill="CFF0FC"/>
          </w:tcPr>
          <w:p>
            <w:pPr>
              <w:spacing w:after="0"/>
              <w:rPr>
                <w:sz w:val="15"/>
                <w:szCs w:val="15"/>
                <w:color w:val="auto"/>
              </w:rPr>
            </w:pPr>
          </w:p>
        </w:tc>
        <w:tc>
          <w:tcPr>
            <w:tcW w:w="110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060" w:type="dxa"/>
            <w:vAlign w:val="bottom"/>
            <w:vMerge w:val="continue"/>
            <w:shd w:val="clear" w:color="auto" w:fill="CFF0FC"/>
          </w:tcPr>
          <w:p>
            <w:pPr>
              <w:spacing w:after="0"/>
              <w:rPr>
                <w:sz w:val="15"/>
                <w:szCs w:val="15"/>
                <w:color w:val="auto"/>
              </w:rPr>
            </w:pP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460" w:firstLine="522"/>
        <w:spacing w:after="0" w:line="265" w:lineRule="auto"/>
        <w:rPr>
          <w:sz w:val="20"/>
          <w:szCs w:val="20"/>
          <w:color w:val="auto"/>
        </w:rPr>
      </w:pPr>
      <w:r>
        <w:rPr>
          <w:rFonts w:ascii="Arial" w:cs="Arial" w:eastAsia="Arial" w:hAnsi="Arial"/>
          <w:sz w:val="16"/>
          <w:szCs w:val="16"/>
          <w:color w:val="auto"/>
        </w:rPr>
        <w:t>The components of net periodic benefit costs other than the service cost component are included in Other (expense) income, net in the Consolidated Statements of Comprehensive Income.</w:t>
      </w:r>
    </w:p>
    <w:p>
      <w:pPr>
        <w:spacing w:after="0" w:line="87" w:lineRule="exact"/>
        <w:rPr>
          <w:sz w:val="20"/>
          <w:szCs w:val="20"/>
          <w:color w:val="auto"/>
        </w:rPr>
      </w:pPr>
    </w:p>
    <w:p>
      <w:pPr>
        <w:ind w:right="20" w:firstLine="522"/>
        <w:spacing w:after="0" w:line="265" w:lineRule="auto"/>
        <w:rPr>
          <w:sz w:val="20"/>
          <w:szCs w:val="20"/>
          <w:color w:val="auto"/>
        </w:rPr>
      </w:pPr>
      <w:r>
        <w:rPr>
          <w:rFonts w:ascii="Arial" w:cs="Arial" w:eastAsia="Arial" w:hAnsi="Arial"/>
          <w:sz w:val="16"/>
          <w:szCs w:val="16"/>
          <w:color w:val="auto"/>
        </w:rPr>
        <w:t>The voluntary and involuntary separation programs in the second quarter of 2020 resulted in a one-time, non-cash settlement charge of $2 million recorded in Other (expense) income, net in the Consolidated Statements of Comprehensive Income.</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table below provides the weighted-average actuarial assumptions used to determine the net periodic benefit cost (credit).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2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96"/>
              </w:rPr>
              <w:t>Pension Plans</w:t>
            </w:r>
          </w:p>
        </w:tc>
        <w:tc>
          <w:tcPr>
            <w:tcW w:w="1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tcBorders>
              <w:bottom w:val="single" w:sz="8" w:color="auto"/>
            </w:tcBorders>
            <w:gridSpan w:val="4"/>
          </w:tcPr>
          <w:p>
            <w:pPr>
              <w:jc w:val="center"/>
              <w:ind w:left="1014"/>
              <w:spacing w:after="0"/>
              <w:rPr>
                <w:sz w:val="20"/>
                <w:szCs w:val="20"/>
                <w:color w:val="auto"/>
              </w:rPr>
            </w:pPr>
            <w:r>
              <w:rPr>
                <w:rFonts w:ascii="Arial" w:cs="Arial" w:eastAsia="Arial" w:hAnsi="Arial"/>
                <w:sz w:val="13"/>
                <w:szCs w:val="13"/>
                <w:b w:val="1"/>
                <w:bCs w:val="1"/>
                <w:color w:val="auto"/>
                <w:w w:val="95"/>
              </w:rPr>
              <w:t>Post-retirement Benefits</w:t>
            </w: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20" w:type="dxa"/>
            <w:vAlign w:val="bottom"/>
          </w:tcPr>
          <w:p>
            <w:pPr>
              <w:spacing w:after="0"/>
              <w:rPr>
                <w:sz w:val="11"/>
                <w:szCs w:val="11"/>
                <w:color w:val="auto"/>
              </w:rPr>
            </w:pPr>
          </w:p>
        </w:tc>
        <w:tc>
          <w:tcPr>
            <w:tcW w:w="1360" w:type="dxa"/>
            <w:vAlign w:val="bottom"/>
            <w:gridSpan w:val="2"/>
          </w:tcPr>
          <w:p>
            <w:pPr>
              <w:jc w:val="center"/>
              <w:ind w:right="300"/>
              <w:spacing w:after="0" w:line="133" w:lineRule="exact"/>
              <w:rPr>
                <w:sz w:val="20"/>
                <w:szCs w:val="20"/>
                <w:color w:val="auto"/>
              </w:rPr>
            </w:pPr>
            <w:r>
              <w:rPr>
                <w:rFonts w:ascii="Arial" w:cs="Arial" w:eastAsia="Arial" w:hAnsi="Arial"/>
                <w:sz w:val="13"/>
                <w:szCs w:val="13"/>
                <w:b w:val="1"/>
                <w:bCs w:val="1"/>
                <w:color w:val="auto"/>
                <w:w w:val="94"/>
              </w:rPr>
              <w:t>Year ended</w:t>
            </w:r>
          </w:p>
        </w:tc>
        <w:tc>
          <w:tcPr>
            <w:tcW w:w="1360" w:type="dxa"/>
            <w:vAlign w:val="bottom"/>
            <w:gridSpan w:val="2"/>
          </w:tcPr>
          <w:p>
            <w:pPr>
              <w:jc w:val="center"/>
              <w:ind w:right="300"/>
              <w:spacing w:after="0" w:line="133" w:lineRule="exact"/>
              <w:rPr>
                <w:sz w:val="20"/>
                <w:szCs w:val="20"/>
                <w:color w:val="auto"/>
              </w:rPr>
            </w:pPr>
            <w:r>
              <w:rPr>
                <w:rFonts w:ascii="Arial" w:cs="Arial" w:eastAsia="Arial" w:hAnsi="Arial"/>
                <w:sz w:val="13"/>
                <w:szCs w:val="13"/>
                <w:b w:val="1"/>
                <w:bCs w:val="1"/>
                <w:color w:val="auto"/>
                <w:w w:val="94"/>
              </w:rPr>
              <w:t>Year ended</w:t>
            </w:r>
          </w:p>
        </w:tc>
        <w:tc>
          <w:tcPr>
            <w:tcW w:w="1220" w:type="dxa"/>
            <w:vAlign w:val="bottom"/>
          </w:tcPr>
          <w:p>
            <w:pPr>
              <w:jc w:val="center"/>
              <w:ind w:right="93"/>
              <w:spacing w:after="0" w:line="133" w:lineRule="exact"/>
              <w:rPr>
                <w:sz w:val="20"/>
                <w:szCs w:val="20"/>
                <w:color w:val="auto"/>
              </w:rPr>
            </w:pPr>
            <w:r>
              <w:rPr>
                <w:rFonts w:ascii="Arial" w:cs="Arial" w:eastAsia="Arial" w:hAnsi="Arial"/>
                <w:sz w:val="13"/>
                <w:szCs w:val="13"/>
                <w:b w:val="1"/>
                <w:bCs w:val="1"/>
                <w:color w:val="auto"/>
                <w:w w:val="94"/>
              </w:rPr>
              <w:t>Year ended</w:t>
            </w:r>
          </w:p>
        </w:tc>
        <w:tc>
          <w:tcPr>
            <w:tcW w:w="140" w:type="dxa"/>
            <w:vAlign w:val="bottom"/>
          </w:tcPr>
          <w:p>
            <w:pPr>
              <w:spacing w:after="0"/>
              <w:rPr>
                <w:sz w:val="11"/>
                <w:szCs w:val="11"/>
                <w:color w:val="auto"/>
              </w:rPr>
            </w:pPr>
          </w:p>
        </w:tc>
        <w:tc>
          <w:tcPr>
            <w:tcW w:w="136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6"/>
              </w:rPr>
              <w:t>Year ended</w:t>
            </w:r>
          </w:p>
        </w:tc>
        <w:tc>
          <w:tcPr>
            <w:tcW w:w="136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6"/>
              </w:rPr>
              <w:t>Year ended</w:t>
            </w:r>
          </w:p>
        </w:tc>
        <w:tc>
          <w:tcPr>
            <w:tcW w:w="1240" w:type="dxa"/>
            <w:vAlign w:val="bottom"/>
          </w:tcPr>
          <w:p>
            <w:pPr>
              <w:jc w:val="center"/>
              <w:ind w:right="93"/>
              <w:spacing w:after="0" w:line="133" w:lineRule="exact"/>
              <w:rPr>
                <w:sz w:val="20"/>
                <w:szCs w:val="20"/>
                <w:color w:val="auto"/>
              </w:rPr>
            </w:pPr>
            <w:r>
              <w:rPr>
                <w:rFonts w:ascii="Arial" w:cs="Arial" w:eastAsia="Arial" w:hAnsi="Arial"/>
                <w:sz w:val="13"/>
                <w:szCs w:val="13"/>
                <w:b w:val="1"/>
                <w:bCs w:val="1"/>
                <w:color w:val="auto"/>
                <w:w w:val="96"/>
              </w:rPr>
              <w:t>Year ended</w:t>
            </w:r>
          </w:p>
        </w:tc>
        <w:tc>
          <w:tcPr>
            <w:tcW w:w="0" w:type="dxa"/>
            <w:vAlign w:val="bottom"/>
          </w:tcPr>
          <w:p>
            <w:pPr>
              <w:spacing w:after="0"/>
              <w:rPr>
                <w:sz w:val="1"/>
                <w:szCs w:val="1"/>
                <w:color w:val="auto"/>
              </w:rPr>
            </w:pPr>
          </w:p>
        </w:tc>
      </w:tr>
      <w:tr>
        <w:trPr>
          <w:trHeight w:val="141"/>
        </w:trPr>
        <w:tc>
          <w:tcPr>
            <w:tcW w:w="3220" w:type="dxa"/>
            <w:vAlign w:val="bottom"/>
          </w:tcPr>
          <w:p>
            <w:pPr>
              <w:spacing w:after="0"/>
              <w:rPr>
                <w:sz w:val="12"/>
                <w:szCs w:val="12"/>
                <w:color w:val="auto"/>
              </w:rPr>
            </w:pPr>
          </w:p>
        </w:tc>
        <w:tc>
          <w:tcPr>
            <w:tcW w:w="136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36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36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36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94"/>
              </w:rPr>
              <w:t>December 31,</w:t>
            </w:r>
          </w:p>
        </w:tc>
        <w:tc>
          <w:tcPr>
            <w:tcW w:w="136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94"/>
              </w:rPr>
              <w:t>December 31,</w:t>
            </w:r>
          </w:p>
        </w:tc>
        <w:tc>
          <w:tcPr>
            <w:tcW w:w="1240" w:type="dxa"/>
            <w:vAlign w:val="bottom"/>
          </w:tcPr>
          <w:p>
            <w:pPr>
              <w:jc w:val="center"/>
              <w:ind w:right="93"/>
              <w:spacing w:after="0" w:line="141" w:lineRule="exact"/>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53"/>
        </w:trPr>
        <w:tc>
          <w:tcPr>
            <w:tcW w:w="322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6"/>
              </w:rPr>
              <w:t>2020</w:t>
            </w:r>
          </w:p>
        </w:tc>
        <w:tc>
          <w:tcPr>
            <w:tcW w:w="14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b w:val="1"/>
                <w:bCs w:val="1"/>
                <w:color w:val="auto"/>
                <w:w w:val="96"/>
              </w:rPr>
              <w:t>2019</w:t>
            </w:r>
          </w:p>
        </w:tc>
        <w:tc>
          <w:tcPr>
            <w:tcW w:w="14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6"/>
              </w:rPr>
              <w:t>2018</w:t>
            </w:r>
          </w:p>
        </w:tc>
        <w:tc>
          <w:tcPr>
            <w:tcW w:w="14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6"/>
              </w:rPr>
              <w:t>2018</w:t>
            </w:r>
          </w:p>
        </w:tc>
        <w:tc>
          <w:tcPr>
            <w:tcW w:w="0" w:type="dxa"/>
            <w:vAlign w:val="bottom"/>
          </w:tcPr>
          <w:p>
            <w:pPr>
              <w:spacing w:after="0"/>
              <w:rPr>
                <w:sz w:val="1"/>
                <w:szCs w:val="1"/>
                <w:color w:val="auto"/>
              </w:rPr>
            </w:pPr>
          </w:p>
        </w:tc>
      </w:tr>
      <w:tr>
        <w:trPr>
          <w:trHeight w:val="168"/>
        </w:trPr>
        <w:tc>
          <w:tcPr>
            <w:tcW w:w="3220" w:type="dxa"/>
            <w:vAlign w:val="bottom"/>
            <w:shd w:val="clear" w:color="auto" w:fill="CFF0FC"/>
          </w:tcPr>
          <w:p>
            <w:pPr>
              <w:spacing w:after="0"/>
              <w:rPr>
                <w:sz w:val="20"/>
                <w:szCs w:val="20"/>
                <w:color w:val="auto"/>
              </w:rPr>
            </w:pPr>
            <w:r>
              <w:rPr>
                <w:rFonts w:ascii="Arial" w:cs="Arial" w:eastAsia="Arial" w:hAnsi="Arial"/>
                <w:sz w:val="14"/>
                <w:szCs w:val="14"/>
                <w:color w:val="auto"/>
              </w:rPr>
              <w:t>Discount rate</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3.20%</w:t>
            </w:r>
          </w:p>
        </w:tc>
        <w:tc>
          <w:tcPr>
            <w:tcW w:w="14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w:t>
            </w:r>
          </w:p>
        </w:tc>
        <w:tc>
          <w:tcPr>
            <w:tcW w:w="14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w:t>
            </w: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3.20%</w:t>
            </w: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w:t>
            </w: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60"/>
        </w:trPr>
        <w:tc>
          <w:tcPr>
            <w:tcW w:w="3220" w:type="dxa"/>
            <w:vAlign w:val="bottom"/>
          </w:tcPr>
          <w:p>
            <w:pPr>
              <w:spacing w:after="0" w:line="160" w:lineRule="exact"/>
              <w:rPr>
                <w:sz w:val="20"/>
                <w:szCs w:val="20"/>
                <w:color w:val="auto"/>
              </w:rPr>
            </w:pPr>
            <w:r>
              <w:rPr>
                <w:rFonts w:ascii="Arial" w:cs="Arial" w:eastAsia="Arial" w:hAnsi="Arial"/>
                <w:sz w:val="14"/>
                <w:szCs w:val="14"/>
                <w:color w:val="auto"/>
              </w:rPr>
              <w:t>Rate of compensation</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3.00%</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N/A</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20" w:type="dxa"/>
            <w:vAlign w:val="bottom"/>
          </w:tcPr>
          <w:p>
            <w:pPr>
              <w:ind w:left="120"/>
              <w:spacing w:after="0"/>
              <w:rPr>
                <w:sz w:val="20"/>
                <w:szCs w:val="20"/>
                <w:color w:val="auto"/>
              </w:rPr>
            </w:pPr>
            <w:r>
              <w:rPr>
                <w:rFonts w:ascii="Arial" w:cs="Arial" w:eastAsia="Arial" w:hAnsi="Arial"/>
                <w:sz w:val="14"/>
                <w:szCs w:val="14"/>
                <w:color w:val="auto"/>
              </w:rPr>
              <w:t>increase (salaried)</w:t>
            </w:r>
          </w:p>
        </w:tc>
        <w:tc>
          <w:tcPr>
            <w:tcW w:w="1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3.00%</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3.00%</w:t>
            </w:r>
          </w:p>
        </w:tc>
        <w:tc>
          <w:tcPr>
            <w:tcW w:w="1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360" w:type="dxa"/>
            <w:vAlign w:val="bottom"/>
            <w:gridSpan w:val="2"/>
          </w:tcPr>
          <w:p>
            <w:pPr>
              <w:ind w:left="840"/>
              <w:spacing w:after="0"/>
              <w:rPr>
                <w:sz w:val="20"/>
                <w:szCs w:val="20"/>
                <w:color w:val="auto"/>
              </w:rPr>
            </w:pPr>
            <w:r>
              <w:rPr>
                <w:rFonts w:ascii="Arial" w:cs="Arial" w:eastAsia="Arial" w:hAnsi="Arial"/>
                <w:sz w:val="14"/>
                <w:szCs w:val="14"/>
                <w:color w:val="auto"/>
              </w:rPr>
              <w:t>N/A</w:t>
            </w:r>
          </w:p>
        </w:tc>
        <w:tc>
          <w:tcPr>
            <w:tcW w:w="1240" w:type="dxa"/>
            <w:vAlign w:val="bottom"/>
          </w:tcPr>
          <w:p>
            <w:pPr>
              <w:ind w:left="8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spacing w:after="0"/>
              <w:rPr>
                <w:sz w:val="20"/>
                <w:szCs w:val="20"/>
                <w:color w:val="auto"/>
              </w:rPr>
            </w:pPr>
            <w:r>
              <w:rPr>
                <w:rFonts w:ascii="Arial" w:cs="Arial" w:eastAsia="Arial" w:hAnsi="Arial"/>
                <w:sz w:val="14"/>
                <w:szCs w:val="14"/>
                <w:color w:val="auto"/>
              </w:rPr>
              <w:t>Expected return on assets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4.00%</w:t>
            </w: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w:t>
            </w: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w:t>
            </w:r>
          </w:p>
        </w:tc>
        <w:tc>
          <w:tcPr>
            <w:tcW w:w="1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ind w:left="840"/>
              <w:spacing w:after="0"/>
              <w:rPr>
                <w:sz w:val="20"/>
                <w:szCs w:val="20"/>
                <w:color w:val="auto"/>
              </w:rPr>
            </w:pPr>
            <w:r>
              <w:rPr>
                <w:rFonts w:ascii="Arial" w:cs="Arial" w:eastAsia="Arial" w:hAnsi="Arial"/>
                <w:sz w:val="14"/>
                <w:szCs w:val="14"/>
                <w:b w:val="1"/>
                <w:bCs w:val="1"/>
                <w:color w:val="auto"/>
              </w:rPr>
              <w:t>N/A</w:t>
            </w:r>
          </w:p>
        </w:tc>
        <w:tc>
          <w:tcPr>
            <w:tcW w:w="1360" w:type="dxa"/>
            <w:vAlign w:val="bottom"/>
            <w:gridSpan w:val="2"/>
            <w:shd w:val="clear" w:color="auto" w:fill="CFF0FC"/>
          </w:tcPr>
          <w:p>
            <w:pPr>
              <w:ind w:left="840"/>
              <w:spacing w:after="0"/>
              <w:rPr>
                <w:sz w:val="20"/>
                <w:szCs w:val="20"/>
                <w:color w:val="auto"/>
              </w:rPr>
            </w:pPr>
            <w:r>
              <w:rPr>
                <w:rFonts w:ascii="Arial" w:cs="Arial" w:eastAsia="Arial" w:hAnsi="Arial"/>
                <w:sz w:val="14"/>
                <w:szCs w:val="14"/>
                <w:color w:val="auto"/>
              </w:rPr>
              <w:t>N/A</w:t>
            </w:r>
          </w:p>
        </w:tc>
        <w:tc>
          <w:tcPr>
            <w:tcW w:w="1240" w:type="dxa"/>
            <w:vAlign w:val="bottom"/>
            <w:shd w:val="clear" w:color="auto" w:fill="CFF0FC"/>
          </w:tcPr>
          <w:p>
            <w:pPr>
              <w:ind w:left="8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table below provides the weighted-average actuarial assumptions used to determine the benefit obligations of the Company’s plans.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700" w:type="dxa"/>
            <w:vAlign w:val="bottom"/>
          </w:tcPr>
          <w:p>
            <w:pPr>
              <w:spacing w:after="0"/>
              <w:rPr>
                <w:sz w:val="13"/>
                <w:szCs w:val="13"/>
                <w:color w:val="auto"/>
              </w:rPr>
            </w:pPr>
          </w:p>
        </w:tc>
        <w:tc>
          <w:tcPr>
            <w:tcW w:w="1780" w:type="dxa"/>
            <w:vAlign w:val="bottom"/>
            <w:tcBorders>
              <w:bottom w:val="single" w:sz="8" w:color="auto"/>
            </w:tcBorders>
            <w:gridSpan w:val="3"/>
          </w:tcPr>
          <w:p>
            <w:pPr>
              <w:ind w:left="840"/>
              <w:spacing w:after="0"/>
              <w:rPr>
                <w:sz w:val="20"/>
                <w:szCs w:val="20"/>
                <w:color w:val="auto"/>
              </w:rPr>
            </w:pPr>
            <w:r>
              <w:rPr>
                <w:rFonts w:ascii="Arial" w:cs="Arial" w:eastAsia="Arial" w:hAnsi="Arial"/>
                <w:sz w:val="13"/>
                <w:szCs w:val="13"/>
                <w:b w:val="1"/>
                <w:bCs w:val="1"/>
                <w:color w:val="auto"/>
              </w:rPr>
              <w:t>Pension Plans</w:t>
            </w: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3"/>
          </w:tcPr>
          <w:p>
            <w:pPr>
              <w:jc w:val="right"/>
              <w:ind w:right="647"/>
              <w:spacing w:after="0"/>
              <w:rPr>
                <w:sz w:val="20"/>
                <w:szCs w:val="20"/>
                <w:color w:val="auto"/>
              </w:rPr>
            </w:pPr>
            <w:r>
              <w:rPr>
                <w:rFonts w:ascii="Arial" w:cs="Arial" w:eastAsia="Arial" w:hAnsi="Arial"/>
                <w:sz w:val="13"/>
                <w:szCs w:val="13"/>
                <w:b w:val="1"/>
                <w:bCs w:val="1"/>
                <w:color w:val="auto"/>
              </w:rPr>
              <w:t>Post-retirement Benefits</w:t>
            </w:r>
          </w:p>
        </w:tc>
      </w:tr>
      <w:tr>
        <w:trPr>
          <w:trHeight w:val="144"/>
        </w:trPr>
        <w:tc>
          <w:tcPr>
            <w:tcW w:w="5700" w:type="dxa"/>
            <w:vAlign w:val="bottom"/>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4"/>
          </w:tcPr>
          <w:p>
            <w:pPr>
              <w:ind w:left="340"/>
              <w:spacing w:after="0" w:line="144" w:lineRule="exact"/>
              <w:rPr>
                <w:sz w:val="20"/>
                <w:szCs w:val="20"/>
                <w:color w:val="auto"/>
              </w:rPr>
            </w:pPr>
            <w:r>
              <w:rPr>
                <w:rFonts w:ascii="Arial" w:cs="Arial" w:eastAsia="Arial" w:hAnsi="Arial"/>
                <w:sz w:val="13"/>
                <w:szCs w:val="13"/>
                <w:b w:val="1"/>
                <w:bCs w:val="1"/>
                <w:color w:val="auto"/>
              </w:rPr>
              <w:t>As of December 31,</w:t>
            </w:r>
          </w:p>
        </w:tc>
        <w:tc>
          <w:tcPr>
            <w:tcW w:w="1300" w:type="dxa"/>
            <w:vAlign w:val="bottom"/>
            <w:tcBorders>
              <w:bottom w:val="single" w:sz="8" w:color="auto"/>
            </w:tcBorders>
          </w:tcPr>
          <w:p>
            <w:pPr>
              <w:spacing w:after="0"/>
              <w:rPr>
                <w:sz w:val="12"/>
                <w:szCs w:val="12"/>
                <w:color w:val="auto"/>
              </w:rPr>
            </w:pPr>
          </w:p>
        </w:tc>
      </w:tr>
      <w:tr>
        <w:trPr>
          <w:trHeight w:val="144"/>
        </w:trPr>
        <w:tc>
          <w:tcPr>
            <w:tcW w:w="5700" w:type="dxa"/>
            <w:vAlign w:val="bottom"/>
            <w:tcBorders>
              <w:bottom w:val="single" w:sz="8" w:color="CFF0FC"/>
            </w:tcBorders>
          </w:tcPr>
          <w:p>
            <w:pPr>
              <w:spacing w:after="0"/>
              <w:rPr>
                <w:sz w:val="12"/>
                <w:szCs w:val="12"/>
                <w:color w:val="auto"/>
              </w:rPr>
            </w:pPr>
          </w:p>
        </w:tc>
        <w:tc>
          <w:tcPr>
            <w:tcW w:w="1300" w:type="dxa"/>
            <w:vAlign w:val="bottom"/>
            <w:tcBorders>
              <w:bottom w:val="single" w:sz="8" w:color="auto"/>
            </w:tcBorders>
          </w:tcPr>
          <w:p>
            <w:pPr>
              <w:jc w:val="right"/>
              <w:ind w:right="530"/>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30"/>
              <w:spacing w:after="0" w:line="144"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2"/>
                <w:szCs w:val="12"/>
                <w:color w:val="auto"/>
              </w:rPr>
            </w:pPr>
          </w:p>
        </w:tc>
        <w:tc>
          <w:tcPr>
            <w:tcW w:w="1300" w:type="dxa"/>
            <w:vAlign w:val="bottom"/>
            <w:tcBorders>
              <w:bottom w:val="single" w:sz="8" w:color="auto"/>
            </w:tcBorders>
          </w:tcPr>
          <w:p>
            <w:pPr>
              <w:jc w:val="right"/>
              <w:ind w:right="530"/>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1300" w:type="dxa"/>
            <w:vAlign w:val="bottom"/>
            <w:tcBorders>
              <w:bottom w:val="single" w:sz="8" w:color="auto"/>
            </w:tcBorders>
          </w:tcPr>
          <w:p>
            <w:pPr>
              <w:jc w:val="right"/>
              <w:ind w:right="527"/>
              <w:spacing w:after="0" w:line="144" w:lineRule="exact"/>
              <w:rPr>
                <w:sz w:val="20"/>
                <w:szCs w:val="20"/>
                <w:color w:val="auto"/>
              </w:rPr>
            </w:pPr>
            <w:r>
              <w:rPr>
                <w:rFonts w:ascii="Arial" w:cs="Arial" w:eastAsia="Arial" w:hAnsi="Arial"/>
                <w:sz w:val="13"/>
                <w:szCs w:val="13"/>
                <w:b w:val="1"/>
                <w:bCs w:val="1"/>
                <w:color w:val="auto"/>
              </w:rPr>
              <w:t>2019</w:t>
            </w:r>
          </w:p>
        </w:tc>
      </w:tr>
      <w:tr>
        <w:trPr>
          <w:trHeight w:val="180"/>
        </w:trPr>
        <w:tc>
          <w:tcPr>
            <w:tcW w:w="57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Discount rate</w:t>
            </w:r>
          </w:p>
        </w:tc>
        <w:tc>
          <w:tcPr>
            <w:tcW w:w="1300" w:type="dxa"/>
            <w:vAlign w:val="bottom"/>
            <w:shd w:val="clear" w:color="auto" w:fill="CFF0FC"/>
          </w:tcPr>
          <w:p>
            <w:pPr>
              <w:ind w:left="820"/>
              <w:spacing w:after="0" w:line="180" w:lineRule="exact"/>
              <w:rPr>
                <w:sz w:val="20"/>
                <w:szCs w:val="20"/>
                <w:color w:val="auto"/>
              </w:rPr>
            </w:pPr>
            <w:r>
              <w:rPr>
                <w:rFonts w:ascii="Arial" w:cs="Arial" w:eastAsia="Arial" w:hAnsi="Arial"/>
                <w:sz w:val="16"/>
                <w:szCs w:val="16"/>
                <w:b w:val="1"/>
                <w:bCs w:val="1"/>
                <w:color w:val="auto"/>
              </w:rPr>
              <w:t>2.30%</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3.20%</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2.40%</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3.20%</w:t>
            </w:r>
          </w:p>
        </w:tc>
      </w:tr>
      <w:tr>
        <w:trPr>
          <w:trHeight w:val="222"/>
        </w:trPr>
        <w:tc>
          <w:tcPr>
            <w:tcW w:w="5700" w:type="dxa"/>
            <w:vAlign w:val="bottom"/>
          </w:tcPr>
          <w:p>
            <w:pPr>
              <w:spacing w:after="0"/>
              <w:rPr>
                <w:sz w:val="20"/>
                <w:szCs w:val="20"/>
                <w:color w:val="auto"/>
              </w:rPr>
            </w:pPr>
            <w:r>
              <w:rPr>
                <w:rFonts w:ascii="Arial" w:cs="Arial" w:eastAsia="Arial" w:hAnsi="Arial"/>
                <w:sz w:val="16"/>
                <w:szCs w:val="16"/>
                <w:color w:val="auto"/>
              </w:rPr>
              <w:t>Rate of compensation increase (salaried)</w:t>
            </w:r>
          </w:p>
        </w:tc>
        <w:tc>
          <w:tcPr>
            <w:tcW w:w="1300" w:type="dxa"/>
            <w:vAlign w:val="bottom"/>
          </w:tcPr>
          <w:p>
            <w:pPr>
              <w:ind w:left="820"/>
              <w:spacing w:after="0"/>
              <w:rPr>
                <w:sz w:val="20"/>
                <w:szCs w:val="20"/>
                <w:color w:val="auto"/>
              </w:rPr>
            </w:pPr>
            <w:r>
              <w:rPr>
                <w:rFonts w:ascii="Arial" w:cs="Arial" w:eastAsia="Arial" w:hAnsi="Arial"/>
                <w:sz w:val="16"/>
                <w:szCs w:val="16"/>
                <w:b w:val="1"/>
                <w:bCs w:val="1"/>
                <w:color w:val="auto"/>
              </w:rPr>
              <w:t>3.00%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9"/>
                <w:szCs w:val="19"/>
                <w:color w:val="auto"/>
              </w:rPr>
            </w:pPr>
          </w:p>
        </w:tc>
        <w:tc>
          <w:tcPr>
            <w:tcW w:w="1420" w:type="dxa"/>
            <w:vAlign w:val="bottom"/>
            <w:gridSpan w:val="2"/>
          </w:tcPr>
          <w:p>
            <w:pPr>
              <w:ind w:left="860"/>
              <w:spacing w:after="0"/>
              <w:rPr>
                <w:sz w:val="20"/>
                <w:szCs w:val="20"/>
                <w:color w:val="auto"/>
              </w:rPr>
            </w:pPr>
            <w:r>
              <w:rPr>
                <w:rFonts w:ascii="Arial" w:cs="Arial" w:eastAsia="Arial" w:hAnsi="Arial"/>
                <w:sz w:val="16"/>
                <w:szCs w:val="16"/>
                <w:b w:val="1"/>
                <w:bCs w:val="1"/>
                <w:color w:val="auto"/>
              </w:rPr>
              <w:t>N/A</w:t>
            </w:r>
          </w:p>
        </w:tc>
        <w:tc>
          <w:tcPr>
            <w:tcW w:w="1300" w:type="dxa"/>
            <w:vAlign w:val="bottom"/>
          </w:tcPr>
          <w:p>
            <w:pPr>
              <w:jc w:val="right"/>
              <w:ind w:right="107"/>
              <w:spacing w:after="0"/>
              <w:rPr>
                <w:sz w:val="20"/>
                <w:szCs w:val="20"/>
                <w:color w:val="auto"/>
              </w:rPr>
            </w:pPr>
            <w:r>
              <w:rPr>
                <w:rFonts w:ascii="Arial" w:cs="Arial" w:eastAsia="Arial" w:hAnsi="Arial"/>
                <w:sz w:val="16"/>
                <w:szCs w:val="16"/>
                <w:color w:val="auto"/>
              </w:rPr>
              <w:t>N/A</w:t>
            </w:r>
          </w:p>
        </w:tc>
      </w:tr>
    </w:tbl>
    <w:p>
      <w:pPr>
        <w:spacing w:after="0" w:line="122" w:lineRule="exact"/>
        <w:rPr>
          <w:sz w:val="20"/>
          <w:szCs w:val="20"/>
          <w:color w:val="auto"/>
        </w:rPr>
      </w:pPr>
    </w:p>
    <w:p>
      <w:pPr>
        <w:ind w:right="80" w:firstLine="522"/>
        <w:spacing w:after="0" w:line="247" w:lineRule="auto"/>
        <w:rPr>
          <w:sz w:val="20"/>
          <w:szCs w:val="20"/>
          <w:color w:val="auto"/>
        </w:rPr>
      </w:pPr>
      <w:r>
        <w:rPr>
          <w:rFonts w:ascii="Arial" w:cs="Arial" w:eastAsia="Arial" w:hAnsi="Arial"/>
          <w:sz w:val="16"/>
          <w:szCs w:val="16"/>
          <w:color w:val="auto"/>
        </w:rPr>
        <w:t>The Company’s pension and OPEB costs are calculated using various actuarial assumptions and methodologies as prescribed by authoritative accounting guidance. These assumptions include discount rates, expected return on plan assets, health care cost trend rates, inflation, rate of compensation increases, mortality rates and other factors. The Company reviews all actuarial assumptions on an annual basis and in the case of remeasurement.</w:t>
      </w:r>
    </w:p>
    <w:p>
      <w:pPr>
        <w:spacing w:after="0" w:line="101" w:lineRule="exact"/>
        <w:rPr>
          <w:sz w:val="20"/>
          <w:szCs w:val="20"/>
          <w:color w:val="auto"/>
        </w:rPr>
      </w:pPr>
    </w:p>
    <w:p>
      <w:pPr>
        <w:ind w:right="20" w:firstLine="522"/>
        <w:spacing w:after="0" w:line="299" w:lineRule="auto"/>
        <w:rPr>
          <w:sz w:val="20"/>
          <w:szCs w:val="20"/>
          <w:color w:val="auto"/>
        </w:rPr>
      </w:pPr>
      <w:r>
        <w:rPr>
          <w:rFonts w:ascii="Arial" w:cs="Arial" w:eastAsia="Arial" w:hAnsi="Arial"/>
          <w:sz w:val="15"/>
          <w:szCs w:val="15"/>
          <w:color w:val="auto"/>
        </w:rPr>
        <w:t>The discount rate is used to determine the present value of the Company’s benefit obligations. The Company’s discount rate is determined by matching the plans’ projected cash flows to a yield curve based on long-term, fixed income debt instruments available as of the measurement date of December 31, 2020.</w:t>
      </w:r>
    </w:p>
    <w:p>
      <w:pPr>
        <w:spacing w:after="0" w:line="63" w:lineRule="exact"/>
        <w:rPr>
          <w:sz w:val="20"/>
          <w:szCs w:val="20"/>
          <w:color w:val="auto"/>
        </w:rPr>
      </w:pPr>
    </w:p>
    <w:p>
      <w:pPr>
        <w:ind w:right="100" w:firstLine="522"/>
        <w:spacing w:after="0" w:line="265" w:lineRule="auto"/>
        <w:rPr>
          <w:sz w:val="20"/>
          <w:szCs w:val="20"/>
          <w:color w:val="auto"/>
        </w:rPr>
      </w:pPr>
      <w:r>
        <w:rPr>
          <w:rFonts w:ascii="Arial" w:cs="Arial" w:eastAsia="Arial" w:hAnsi="Arial"/>
          <w:sz w:val="16"/>
          <w:szCs w:val="16"/>
          <w:color w:val="auto"/>
        </w:rPr>
        <w:t>The overall expected rate of return on plan assets is based upon historical and expected future returns consistent with the expected benefit duration of the plan for each asset group adjusted for investment and administrative fees.</w:t>
      </w:r>
    </w:p>
    <w:p>
      <w:pPr>
        <w:spacing w:after="0" w:line="87" w:lineRule="exact"/>
        <w:rPr>
          <w:sz w:val="20"/>
          <w:szCs w:val="20"/>
          <w:color w:val="auto"/>
        </w:rPr>
      </w:pPr>
    </w:p>
    <w:p>
      <w:pPr>
        <w:ind w:right="60" w:firstLine="522"/>
        <w:spacing w:after="0" w:line="247" w:lineRule="auto"/>
        <w:rPr>
          <w:sz w:val="20"/>
          <w:szCs w:val="20"/>
          <w:color w:val="auto"/>
        </w:rPr>
      </w:pPr>
      <w:r>
        <w:rPr>
          <w:rFonts w:ascii="Arial" w:cs="Arial" w:eastAsia="Arial" w:hAnsi="Arial"/>
          <w:sz w:val="16"/>
          <w:szCs w:val="16"/>
          <w:color w:val="auto"/>
        </w:rPr>
        <w:t>Health care cost trends are used to project future post-retirement benefits payable from the Company’s plans. For the Company’s December 31, 2020 obligations, future post-retirement health care costs were forecasted assuming an initial annual increase of up to 6.00%, decreasing to an annual increase of up to 4.50% by the year 2036.</w:t>
      </w:r>
    </w:p>
    <w:p>
      <w:pPr>
        <w:spacing w:after="0" w:line="148" w:lineRule="exact"/>
        <w:rPr>
          <w:sz w:val="20"/>
          <w:szCs w:val="20"/>
          <w:color w:val="auto"/>
        </w:rPr>
      </w:pPr>
    </w:p>
    <w:p>
      <w:pPr>
        <w:ind w:right="240" w:firstLine="522"/>
        <w:spacing w:after="0" w:line="265" w:lineRule="auto"/>
        <w:rPr>
          <w:sz w:val="20"/>
          <w:szCs w:val="20"/>
          <w:color w:val="auto"/>
        </w:rPr>
      </w:pPr>
      <w:r>
        <w:rPr>
          <w:rFonts w:ascii="Arial" w:cs="Arial" w:eastAsia="Arial" w:hAnsi="Arial"/>
          <w:sz w:val="16"/>
          <w:szCs w:val="16"/>
          <w:color w:val="auto"/>
        </w:rPr>
        <w:t>The following table provides a reconciliation of the changes in the net benefit obligations and fair value of plan assets for the years ended December 31, 2020, 2019 and 2018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64"/>
              <w:spacing w:after="0"/>
              <w:rPr>
                <w:sz w:val="20"/>
                <w:szCs w:val="20"/>
                <w:color w:val="auto"/>
              </w:rPr>
            </w:pPr>
            <w:r>
              <w:rPr>
                <w:rFonts w:ascii="Arial" w:cs="Arial" w:eastAsia="Arial" w:hAnsi="Arial"/>
                <w:sz w:val="13"/>
                <w:szCs w:val="13"/>
                <w:b w:val="1"/>
                <w:bCs w:val="1"/>
                <w:color w:val="auto"/>
                <w:w w:val="96"/>
              </w:rPr>
              <w:t>Pension Plans</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6"/>
          </w:tcPr>
          <w:p>
            <w:pPr>
              <w:jc w:val="center"/>
              <w:ind w:left="585"/>
              <w:spacing w:after="0"/>
              <w:rPr>
                <w:sz w:val="20"/>
                <w:szCs w:val="20"/>
                <w:color w:val="auto"/>
              </w:rPr>
            </w:pPr>
            <w:r>
              <w:rPr>
                <w:rFonts w:ascii="Arial" w:cs="Arial" w:eastAsia="Arial" w:hAnsi="Arial"/>
                <w:sz w:val="13"/>
                <w:szCs w:val="13"/>
                <w:b w:val="1"/>
                <w:bCs w:val="1"/>
                <w:color w:val="auto"/>
                <w:w w:val="96"/>
              </w:rPr>
              <w:t>Post-retirement Benefits</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144"/>
              <w:spacing w:after="0" w:line="133" w:lineRule="exact"/>
              <w:rPr>
                <w:sz w:val="20"/>
                <w:szCs w:val="20"/>
                <w:color w:val="auto"/>
              </w:rPr>
            </w:pPr>
            <w:r>
              <w:rPr>
                <w:rFonts w:ascii="Arial" w:cs="Arial" w:eastAsia="Arial" w:hAnsi="Arial"/>
                <w:sz w:val="13"/>
                <w:szCs w:val="13"/>
                <w:b w:val="1"/>
                <w:bCs w:val="1"/>
                <w:color w:val="auto"/>
                <w:w w:val="94"/>
              </w:rPr>
              <w:t>Year ended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44"/>
              <w:spacing w:after="0" w:line="133" w:lineRule="exact"/>
              <w:rPr>
                <w:sz w:val="20"/>
                <w:szCs w:val="20"/>
                <w:color w:val="auto"/>
              </w:rPr>
            </w:pPr>
            <w:r>
              <w:rPr>
                <w:rFonts w:ascii="Arial" w:cs="Arial" w:eastAsia="Arial" w:hAnsi="Arial"/>
                <w:sz w:val="13"/>
                <w:szCs w:val="13"/>
                <w:b w:val="1"/>
                <w:bCs w:val="1"/>
                <w:color w:val="auto"/>
                <w:w w:val="94"/>
              </w:rPr>
              <w:t>Year ended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144"/>
              <w:spacing w:after="0" w:line="133" w:lineRule="exact"/>
              <w:rPr>
                <w:sz w:val="20"/>
                <w:szCs w:val="20"/>
                <w:color w:val="auto"/>
              </w:rPr>
            </w:pPr>
            <w:r>
              <w:rPr>
                <w:rFonts w:ascii="Arial" w:cs="Arial" w:eastAsia="Arial" w:hAnsi="Arial"/>
                <w:sz w:val="13"/>
                <w:szCs w:val="13"/>
                <w:b w:val="1"/>
                <w:bCs w:val="1"/>
                <w:color w:val="auto"/>
                <w:w w:val="96"/>
              </w:rPr>
              <w:t>Year ended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1"/>
                <w:szCs w:val="11"/>
                <w:color w:val="auto"/>
              </w:rPr>
            </w:pPr>
          </w:p>
        </w:tc>
        <w:tc>
          <w:tcPr>
            <w:tcW w:w="880" w:type="dxa"/>
            <w:vAlign w:val="bottom"/>
          </w:tcPr>
          <w:p>
            <w:pPr>
              <w:jc w:val="center"/>
              <w:ind w:right="144"/>
              <w:spacing w:after="0" w:line="133" w:lineRule="exact"/>
              <w:rPr>
                <w:sz w:val="20"/>
                <w:szCs w:val="20"/>
                <w:color w:val="auto"/>
              </w:rPr>
            </w:pPr>
            <w:r>
              <w:rPr>
                <w:rFonts w:ascii="Arial" w:cs="Arial" w:eastAsia="Arial" w:hAnsi="Arial"/>
                <w:sz w:val="13"/>
                <w:szCs w:val="13"/>
                <w:b w:val="1"/>
                <w:bCs w:val="1"/>
                <w:color w:val="auto"/>
                <w:w w:val="94"/>
              </w:rPr>
              <w:t>Year ended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124"/>
              <w:spacing w:after="0" w:line="133" w:lineRule="exact"/>
              <w:rPr>
                <w:sz w:val="20"/>
                <w:szCs w:val="20"/>
                <w:color w:val="auto"/>
              </w:rPr>
            </w:pPr>
            <w:r>
              <w:rPr>
                <w:rFonts w:ascii="Arial" w:cs="Arial" w:eastAsia="Arial" w:hAnsi="Arial"/>
                <w:sz w:val="13"/>
                <w:szCs w:val="13"/>
                <w:b w:val="1"/>
                <w:bCs w:val="1"/>
                <w:color w:val="auto"/>
                <w:w w:val="91"/>
              </w:rPr>
              <w:t>Year ended</w:t>
            </w:r>
          </w:p>
        </w:tc>
        <w:tc>
          <w:tcPr>
            <w:tcW w:w="0" w:type="dxa"/>
            <w:vAlign w:val="bottom"/>
          </w:tcPr>
          <w:p>
            <w:pPr>
              <w:spacing w:after="0"/>
              <w:rPr>
                <w:sz w:val="1"/>
                <w:szCs w:val="1"/>
                <w:color w:val="auto"/>
              </w:rPr>
            </w:pPr>
          </w:p>
        </w:tc>
      </w:tr>
      <w:tr>
        <w:trPr>
          <w:trHeight w:val="141"/>
        </w:trPr>
        <w:tc>
          <w:tcPr>
            <w:tcW w:w="3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gridSpan w:val="2"/>
          </w:tcPr>
          <w:p>
            <w:pPr>
              <w:jc w:val="center"/>
              <w:ind w:right="44"/>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2"/>
                <w:szCs w:val="12"/>
                <w:color w:val="auto"/>
              </w:rPr>
            </w:pPr>
          </w:p>
        </w:tc>
        <w:tc>
          <w:tcPr>
            <w:tcW w:w="1000" w:type="dxa"/>
            <w:vAlign w:val="bottom"/>
            <w:gridSpan w:val="2"/>
          </w:tcPr>
          <w:p>
            <w:pPr>
              <w:jc w:val="center"/>
              <w:ind w:right="64"/>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2"/>
                <w:szCs w:val="12"/>
                <w:color w:val="auto"/>
              </w:rPr>
            </w:pPr>
          </w:p>
        </w:tc>
        <w:tc>
          <w:tcPr>
            <w:tcW w:w="1100" w:type="dxa"/>
            <w:vAlign w:val="bottom"/>
            <w:gridSpan w:val="3"/>
          </w:tcPr>
          <w:p>
            <w:pPr>
              <w:jc w:val="center"/>
              <w:ind w:right="220"/>
              <w:spacing w:after="0" w:line="141" w:lineRule="exact"/>
              <w:rPr>
                <w:sz w:val="20"/>
                <w:szCs w:val="20"/>
                <w:color w:val="auto"/>
              </w:rPr>
            </w:pPr>
            <w:r>
              <w:rPr>
                <w:rFonts w:ascii="Arial" w:cs="Arial" w:eastAsia="Arial" w:hAnsi="Arial"/>
                <w:sz w:val="13"/>
                <w:szCs w:val="13"/>
                <w:b w:val="1"/>
                <w:bCs w:val="1"/>
                <w:color w:val="auto"/>
                <w:w w:val="94"/>
              </w:rPr>
              <w:t>December 31,</w:t>
            </w:r>
          </w:p>
        </w:tc>
        <w:tc>
          <w:tcPr>
            <w:tcW w:w="1080" w:type="dxa"/>
            <w:vAlign w:val="bottom"/>
            <w:gridSpan w:val="3"/>
          </w:tcPr>
          <w:p>
            <w:pPr>
              <w:ind w:left="20"/>
              <w:spacing w:after="0" w:line="141" w:lineRule="exact"/>
              <w:rPr>
                <w:sz w:val="20"/>
                <w:szCs w:val="20"/>
                <w:color w:val="auto"/>
              </w:rPr>
            </w:pPr>
            <w:r>
              <w:rPr>
                <w:rFonts w:ascii="Arial" w:cs="Arial" w:eastAsia="Arial" w:hAnsi="Arial"/>
                <w:sz w:val="13"/>
                <w:szCs w:val="13"/>
                <w:b w:val="1"/>
                <w:bCs w:val="1"/>
                <w:color w:val="auto"/>
              </w:rPr>
              <w:t>December 31,</w:t>
            </w:r>
          </w:p>
        </w:tc>
        <w:tc>
          <w:tcPr>
            <w:tcW w:w="980" w:type="dxa"/>
            <w:vAlign w:val="bottom"/>
            <w:gridSpan w:val="2"/>
          </w:tcPr>
          <w:p>
            <w:pPr>
              <w:ind w:left="20"/>
              <w:spacing w:after="0" w:line="141"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368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64"/>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24"/>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w w:val="96"/>
              </w:rPr>
              <w:t>2018</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24"/>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80"/>
        </w:trPr>
        <w:tc>
          <w:tcPr>
            <w:tcW w:w="36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Benefit Obligations:</w:t>
            </w: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680" w:type="dxa"/>
            <w:vAlign w:val="bottom"/>
          </w:tcPr>
          <w:p>
            <w:pPr>
              <w:spacing w:after="0" w:line="167" w:lineRule="exact"/>
              <w:rPr>
                <w:sz w:val="20"/>
                <w:szCs w:val="20"/>
                <w:color w:val="auto"/>
              </w:rPr>
            </w:pPr>
            <w:r>
              <w:rPr>
                <w:rFonts w:ascii="Arial" w:cs="Arial" w:eastAsia="Arial" w:hAnsi="Arial"/>
                <w:sz w:val="16"/>
                <w:szCs w:val="16"/>
                <w:color w:val="auto"/>
              </w:rPr>
              <w:t>Net benefit obligation at beginning of</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64"/>
              <w:spacing w:after="0"/>
              <w:rPr>
                <w:sz w:val="20"/>
                <w:szCs w:val="20"/>
                <w:color w:val="auto"/>
              </w:rPr>
            </w:pPr>
            <w:r>
              <w:rPr>
                <w:rFonts w:ascii="Arial" w:cs="Arial" w:eastAsia="Arial" w:hAnsi="Arial"/>
                <w:sz w:val="16"/>
                <w:szCs w:val="16"/>
                <w:b w:val="1"/>
                <w:bCs w:val="1"/>
                <w:color w:val="auto"/>
              </w:rPr>
              <w:t>204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6"/>
                <w:szCs w:val="16"/>
                <w:b w:val="1"/>
                <w:bCs w:val="1"/>
                <w:color w:val="auto"/>
                <w:w w:val="89"/>
              </w:rPr>
              <w:t>$</w:t>
            </w:r>
          </w:p>
        </w:tc>
        <w:tc>
          <w:tcPr>
            <w:tcW w:w="880" w:type="dxa"/>
            <w:vAlign w:val="bottom"/>
            <w:vMerge w:val="restart"/>
          </w:tcPr>
          <w:p>
            <w:pPr>
              <w:jc w:val="right"/>
              <w:ind w:right="45"/>
              <w:spacing w:after="0"/>
              <w:rPr>
                <w:sz w:val="20"/>
                <w:szCs w:val="20"/>
                <w:color w:val="auto"/>
              </w:rPr>
            </w:pPr>
            <w:r>
              <w:rPr>
                <w:rFonts w:ascii="Arial" w:cs="Arial" w:eastAsia="Arial" w:hAnsi="Arial"/>
                <w:sz w:val="16"/>
                <w:szCs w:val="16"/>
                <w:b w:val="1"/>
                <w:bCs w:val="1"/>
                <w:color w:val="auto"/>
              </w:rPr>
              <w:t>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680" w:type="dxa"/>
            <w:vAlign w:val="bottom"/>
          </w:tcPr>
          <w:p>
            <w:pPr>
              <w:ind w:left="120"/>
              <w:spacing w:after="0"/>
              <w:rPr>
                <w:sz w:val="20"/>
                <w:szCs w:val="20"/>
                <w:color w:val="auto"/>
              </w:rPr>
            </w:pPr>
            <w:r>
              <w:rPr>
                <w:rFonts w:ascii="Arial" w:cs="Arial" w:eastAsia="Arial" w:hAnsi="Arial"/>
                <w:sz w:val="16"/>
                <w:szCs w:val="16"/>
                <w:color w:val="auto"/>
              </w:rPr>
              <w:t>year</w:t>
            </w:r>
          </w:p>
        </w:tc>
        <w:tc>
          <w:tcPr>
            <w:tcW w:w="120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177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93</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Service cost</w:t>
            </w: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64"/>
              <w:spacing w:after="0"/>
              <w:rPr>
                <w:sz w:val="20"/>
                <w:szCs w:val="20"/>
                <w:color w:val="auto"/>
              </w:rPr>
            </w:pPr>
            <w:r>
              <w:rPr>
                <w:rFonts w:ascii="Arial" w:cs="Arial" w:eastAsia="Arial" w:hAnsi="Arial"/>
                <w:sz w:val="16"/>
                <w:szCs w:val="16"/>
                <w:b w:val="1"/>
                <w:bCs w:val="1"/>
                <w:color w:val="auto"/>
              </w:rPr>
              <w:t>10</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20"/>
                <w:szCs w:val="20"/>
                <w:color w:val="auto"/>
              </w:rPr>
            </w:pPr>
            <w:r>
              <w:rPr>
                <w:rFonts w:ascii="Arial" w:cs="Arial" w:eastAsia="Arial" w:hAnsi="Arial"/>
                <w:sz w:val="16"/>
                <w:szCs w:val="16"/>
                <w:color w:val="auto"/>
              </w:rPr>
              <w:t>Interest cost</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64"/>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45"/>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Settlements</w:t>
            </w: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20"/>
                <w:szCs w:val="20"/>
                <w:color w:val="auto"/>
              </w:rPr>
            </w:pPr>
            <w:r>
              <w:rPr>
                <w:rFonts w:ascii="Arial" w:cs="Arial" w:eastAsia="Arial" w:hAnsi="Arial"/>
                <w:sz w:val="16"/>
                <w:szCs w:val="16"/>
                <w:color w:val="auto"/>
              </w:rPr>
              <w:t>Benefits paid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Actuarial loss (gain)</w:t>
            </w:r>
          </w:p>
        </w:tc>
        <w:tc>
          <w:tcPr>
            <w:tcW w:w="11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6"/>
                <w:szCs w:val="16"/>
                <w:b w:val="1"/>
                <w:bCs w:val="1"/>
                <w:color w:val="auto"/>
              </w:rPr>
              <w:t>33</w:t>
            </w:r>
          </w:p>
        </w:tc>
        <w:tc>
          <w:tcPr>
            <w:tcW w:w="12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12</w:t>
            </w:r>
          </w:p>
        </w:tc>
        <w:tc>
          <w:tcPr>
            <w:tcW w:w="1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0"/>
        </w:trPr>
        <w:tc>
          <w:tcPr>
            <w:tcW w:w="368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Net benefit obligation at end of year</w:t>
            </w:r>
          </w:p>
        </w:tc>
        <w:tc>
          <w:tcPr>
            <w:tcW w:w="1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64"/>
              <w:spacing w:after="0" w:line="180" w:lineRule="exact"/>
              <w:rPr>
                <w:sz w:val="20"/>
                <w:szCs w:val="20"/>
                <w:color w:val="auto"/>
              </w:rPr>
            </w:pPr>
            <w:r>
              <w:rPr>
                <w:rFonts w:ascii="Arial" w:cs="Arial" w:eastAsia="Arial" w:hAnsi="Arial"/>
                <w:sz w:val="16"/>
                <w:szCs w:val="16"/>
                <w:b w:val="1"/>
                <w:bCs w:val="1"/>
                <w:color w:val="auto"/>
              </w:rPr>
              <w:t>235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44"/>
              <w:spacing w:after="0" w:line="180" w:lineRule="exact"/>
              <w:rPr>
                <w:sz w:val="20"/>
                <w:szCs w:val="20"/>
                <w:color w:val="auto"/>
              </w:rPr>
            </w:pPr>
            <w:r>
              <w:rPr>
                <w:rFonts w:ascii="Arial" w:cs="Arial" w:eastAsia="Arial" w:hAnsi="Arial"/>
                <w:sz w:val="16"/>
                <w:szCs w:val="16"/>
                <w:color w:val="auto"/>
              </w:rPr>
              <w:t>204</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44"/>
              <w:spacing w:after="0" w:line="180" w:lineRule="exact"/>
              <w:rPr>
                <w:sz w:val="20"/>
                <w:szCs w:val="20"/>
                <w:color w:val="auto"/>
              </w:rPr>
            </w:pPr>
            <w:r>
              <w:rPr>
                <w:rFonts w:ascii="Arial" w:cs="Arial" w:eastAsia="Arial" w:hAnsi="Arial"/>
                <w:sz w:val="16"/>
                <w:szCs w:val="16"/>
                <w:color w:val="auto"/>
              </w:rPr>
              <w:t>177</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45"/>
              <w:spacing w:after="0" w:line="180" w:lineRule="exact"/>
              <w:rPr>
                <w:sz w:val="20"/>
                <w:szCs w:val="20"/>
                <w:color w:val="auto"/>
              </w:rPr>
            </w:pPr>
            <w:r>
              <w:rPr>
                <w:rFonts w:ascii="Arial" w:cs="Arial" w:eastAsia="Arial" w:hAnsi="Arial"/>
                <w:sz w:val="16"/>
                <w:szCs w:val="16"/>
                <w:b w:val="1"/>
                <w:bCs w:val="1"/>
                <w:color w:val="auto"/>
              </w:rPr>
              <w:t>107</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44"/>
              <w:spacing w:after="0" w:line="180" w:lineRule="exact"/>
              <w:rPr>
                <w:sz w:val="20"/>
                <w:szCs w:val="20"/>
                <w:color w:val="auto"/>
              </w:rPr>
            </w:pPr>
            <w:r>
              <w:rPr>
                <w:rFonts w:ascii="Arial" w:cs="Arial" w:eastAsia="Arial" w:hAnsi="Arial"/>
                <w:sz w:val="16"/>
                <w:szCs w:val="16"/>
                <w:color w:val="auto"/>
              </w:rPr>
              <w:t>94</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line="180"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24"/>
              <w:spacing w:after="0" w:line="180" w:lineRule="exact"/>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63"/>
        </w:trPr>
        <w:tc>
          <w:tcPr>
            <w:tcW w:w="368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Fair Value of Plan Assets:</w:t>
            </w: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80" w:type="dxa"/>
            <w:vAlign w:val="bottom"/>
          </w:tcPr>
          <w:p>
            <w:pPr>
              <w:spacing w:after="0" w:line="167" w:lineRule="exact"/>
              <w:rPr>
                <w:sz w:val="20"/>
                <w:szCs w:val="20"/>
                <w:color w:val="auto"/>
              </w:rPr>
            </w:pPr>
            <w:r>
              <w:rPr>
                <w:rFonts w:ascii="Arial" w:cs="Arial" w:eastAsia="Arial" w:hAnsi="Arial"/>
                <w:sz w:val="16"/>
                <w:szCs w:val="16"/>
                <w:color w:val="auto"/>
              </w:rPr>
              <w:t>Fair value of plan assets at beginning</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64"/>
              <w:spacing w:after="0"/>
              <w:rPr>
                <w:sz w:val="20"/>
                <w:szCs w:val="20"/>
                <w:color w:val="auto"/>
              </w:rPr>
            </w:pPr>
            <w:r>
              <w:rPr>
                <w:rFonts w:ascii="Arial" w:cs="Arial" w:eastAsia="Arial" w:hAnsi="Arial"/>
                <w:sz w:val="16"/>
                <w:szCs w:val="16"/>
                <w:b w:val="1"/>
                <w:bCs w:val="1"/>
                <w:color w:val="auto"/>
              </w:rPr>
              <w:t>217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680" w:type="dxa"/>
            <w:vAlign w:val="bottom"/>
          </w:tcPr>
          <w:p>
            <w:pPr>
              <w:ind w:left="120"/>
              <w:spacing w:after="0"/>
              <w:rPr>
                <w:sz w:val="20"/>
                <w:szCs w:val="20"/>
                <w:color w:val="auto"/>
              </w:rPr>
            </w:pPr>
            <w:r>
              <w:rPr>
                <w:rFonts w:ascii="Arial" w:cs="Arial" w:eastAsia="Arial" w:hAnsi="Arial"/>
                <w:sz w:val="16"/>
                <w:szCs w:val="16"/>
                <w:color w:val="auto"/>
              </w:rPr>
              <w:t>of year</w:t>
            </w:r>
          </w:p>
        </w:tc>
        <w:tc>
          <w:tcPr>
            <w:tcW w:w="120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196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Actual return on plan assets</w:t>
            </w: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64"/>
              <w:spacing w:after="0"/>
              <w:rPr>
                <w:sz w:val="20"/>
                <w:szCs w:val="20"/>
                <w:color w:val="auto"/>
              </w:rPr>
            </w:pPr>
            <w:r>
              <w:rPr>
                <w:rFonts w:ascii="Arial" w:cs="Arial" w:eastAsia="Arial" w:hAnsi="Arial"/>
                <w:sz w:val="16"/>
                <w:szCs w:val="16"/>
                <w:b w:val="1"/>
                <w:bCs w:val="1"/>
                <w:color w:val="auto"/>
              </w:rPr>
              <w:t>29</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20"/>
                <w:szCs w:val="20"/>
                <w:color w:val="auto"/>
              </w:rPr>
            </w:pPr>
            <w:r>
              <w:rPr>
                <w:rFonts w:ascii="Arial" w:cs="Arial" w:eastAsia="Arial" w:hAnsi="Arial"/>
                <w:sz w:val="16"/>
                <w:szCs w:val="16"/>
                <w:color w:val="auto"/>
              </w:rPr>
              <w:t>Employer contributions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45"/>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Settlements</w:t>
            </w: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Benefits paid</w:t>
            </w:r>
          </w:p>
        </w:tc>
        <w:tc>
          <w:tcPr>
            <w:tcW w:w="1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59"/>
        </w:trPr>
        <w:tc>
          <w:tcPr>
            <w:tcW w:w="3680" w:type="dxa"/>
            <w:vAlign w:val="bottom"/>
            <w:shd w:val="clear" w:color="auto" w:fill="CFF0FC"/>
          </w:tcPr>
          <w:p>
            <w:pPr>
              <w:spacing w:after="0" w:line="159" w:lineRule="exact"/>
              <w:rPr>
                <w:sz w:val="20"/>
                <w:szCs w:val="20"/>
                <w:color w:val="auto"/>
              </w:rPr>
            </w:pPr>
            <w:r>
              <w:rPr>
                <w:rFonts w:ascii="Arial" w:cs="Arial" w:eastAsia="Arial" w:hAnsi="Arial"/>
                <w:sz w:val="16"/>
                <w:szCs w:val="16"/>
                <w:color w:val="auto"/>
              </w:rPr>
              <w:t>Fair value of plan assets at end of</w:t>
            </w:r>
          </w:p>
        </w:tc>
        <w:tc>
          <w:tcPr>
            <w:tcW w:w="1100" w:type="dxa"/>
            <w:vAlign w:val="bottom"/>
            <w:vMerge w:val="restart"/>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vMerge w:val="restart"/>
            <w:shd w:val="clear" w:color="auto" w:fill="CFF0FC"/>
          </w:tcPr>
          <w:p>
            <w:pPr>
              <w:jc w:val="right"/>
              <w:ind w:right="64"/>
              <w:spacing w:after="0"/>
              <w:rPr>
                <w:sz w:val="20"/>
                <w:szCs w:val="20"/>
                <w:color w:val="auto"/>
              </w:rPr>
            </w:pPr>
            <w:r>
              <w:rPr>
                <w:rFonts w:ascii="Arial" w:cs="Arial" w:eastAsia="Arial" w:hAnsi="Arial"/>
                <w:sz w:val="16"/>
                <w:szCs w:val="16"/>
                <w:b w:val="1"/>
                <w:bCs w:val="1"/>
                <w:color w:val="auto"/>
              </w:rPr>
              <w:t>228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year</w:t>
            </w:r>
          </w:p>
        </w:tc>
        <w:tc>
          <w:tcPr>
            <w:tcW w:w="1100" w:type="dxa"/>
            <w:vAlign w:val="bottom"/>
            <w:vMerge w:val="continue"/>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217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Funded Status</w:t>
            </w: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
              <w:spacing w:after="0" w:line="163" w:lineRule="exact"/>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44"/>
              <w:spacing w:after="0" w:line="163" w:lineRule="exact"/>
              <w:rPr>
                <w:sz w:val="20"/>
                <w:szCs w:val="20"/>
                <w:color w:val="auto"/>
              </w:rPr>
            </w:pPr>
            <w:r>
              <w:rPr>
                <w:rFonts w:ascii="Arial" w:cs="Arial" w:eastAsia="Arial" w:hAnsi="Arial"/>
                <w:sz w:val="16"/>
                <w:szCs w:val="16"/>
                <w:color w:val="auto"/>
              </w:rPr>
              <w:t>13</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44"/>
              <w:spacing w:after="0" w:line="163" w:lineRule="exact"/>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line="163"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6"/>
                <w:szCs w:val="16"/>
                <w:b w:val="1"/>
                <w:bCs w:val="1"/>
                <w:color w:val="auto"/>
              </w:rPr>
              <w:t>(107)</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line="16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6"/>
                <w:szCs w:val="16"/>
                <w:color w:val="auto"/>
              </w:rPr>
              <w:t>(94)</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line="16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3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6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pension plan assets mostly consist of diversified equity securities and diversified debt securities. The fair values of plan assets for the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Company’s pension plans as of December 31, 2020 and 2019 are as follows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5"/>
          </w:tcPr>
          <w:p>
            <w:pPr>
              <w:jc w:val="center"/>
              <w:ind w:right="25"/>
              <w:spacing w:after="0"/>
              <w:rPr>
                <w:sz w:val="20"/>
                <w:szCs w:val="20"/>
                <w:color w:val="auto"/>
              </w:rPr>
            </w:pPr>
            <w:r>
              <w:rPr>
                <w:rFonts w:ascii="Arial" w:cs="Arial" w:eastAsia="Arial" w:hAnsi="Arial"/>
                <w:sz w:val="13"/>
                <w:szCs w:val="13"/>
                <w:b w:val="1"/>
                <w:bCs w:val="1"/>
                <w:color w:val="auto"/>
                <w:w w:val="95"/>
              </w:rPr>
              <w:t>Fair Value Measurements Using</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33"/>
        </w:trPr>
        <w:tc>
          <w:tcPr>
            <w:tcW w:w="3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740" w:type="dxa"/>
            <w:vAlign w:val="bottom"/>
            <w:gridSpan w:val="4"/>
          </w:tcPr>
          <w:p>
            <w:pPr>
              <w:jc w:val="center"/>
              <w:ind w:left="154"/>
              <w:spacing w:after="0" w:line="133" w:lineRule="exact"/>
              <w:rPr>
                <w:sz w:val="20"/>
                <w:szCs w:val="20"/>
                <w:color w:val="auto"/>
              </w:rPr>
            </w:pPr>
            <w:r>
              <w:rPr>
                <w:rFonts w:ascii="Arial" w:cs="Arial" w:eastAsia="Arial" w:hAnsi="Arial"/>
                <w:sz w:val="13"/>
                <w:szCs w:val="13"/>
                <w:b w:val="1"/>
                <w:bCs w:val="1"/>
                <w:color w:val="auto"/>
                <w:w w:val="95"/>
              </w:rPr>
              <w:t>Quoted Prices in Active</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4"/>
          </w:tcPr>
          <w:p>
            <w:pPr>
              <w:jc w:val="center"/>
              <w:ind w:right="245"/>
              <w:spacing w:after="0" w:line="133" w:lineRule="exact"/>
              <w:rPr>
                <w:sz w:val="20"/>
                <w:szCs w:val="20"/>
                <w:color w:val="auto"/>
              </w:rPr>
            </w:pPr>
            <w:r>
              <w:rPr>
                <w:rFonts w:ascii="Arial" w:cs="Arial" w:eastAsia="Arial" w:hAnsi="Arial"/>
                <w:sz w:val="13"/>
                <w:szCs w:val="13"/>
                <w:b w:val="1"/>
                <w:bCs w:val="1"/>
                <w:color w:val="auto"/>
                <w:w w:val="97"/>
              </w:rPr>
              <w:t>Significant Other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1"/>
        </w:trPr>
        <w:tc>
          <w:tcPr>
            <w:tcW w:w="3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740" w:type="dxa"/>
            <w:vAlign w:val="bottom"/>
            <w:gridSpan w:val="4"/>
          </w:tcPr>
          <w:p>
            <w:pPr>
              <w:jc w:val="center"/>
              <w:ind w:left="174"/>
              <w:spacing w:after="0" w:line="141" w:lineRule="exact"/>
              <w:rPr>
                <w:sz w:val="20"/>
                <w:szCs w:val="20"/>
                <w:color w:val="auto"/>
              </w:rPr>
            </w:pPr>
            <w:r>
              <w:rPr>
                <w:rFonts w:ascii="Arial" w:cs="Arial" w:eastAsia="Arial" w:hAnsi="Arial"/>
                <w:sz w:val="13"/>
                <w:szCs w:val="13"/>
                <w:b w:val="1"/>
                <w:bCs w:val="1"/>
                <w:color w:val="auto"/>
                <w:w w:val="96"/>
              </w:rPr>
              <w:t>Markets for Identical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4"/>
          </w:tcPr>
          <w:p>
            <w:pPr>
              <w:jc w:val="center"/>
              <w:ind w:right="245"/>
              <w:spacing w:after="0" w:line="141" w:lineRule="exact"/>
              <w:rPr>
                <w:sz w:val="20"/>
                <w:szCs w:val="20"/>
                <w:color w:val="auto"/>
              </w:rPr>
            </w:pPr>
            <w:r>
              <w:rPr>
                <w:rFonts w:ascii="Arial" w:cs="Arial" w:eastAsia="Arial" w:hAnsi="Arial"/>
                <w:sz w:val="13"/>
                <w:szCs w:val="13"/>
                <w:b w:val="1"/>
                <w:bCs w:val="1"/>
                <w:color w:val="auto"/>
                <w:w w:val="96"/>
              </w:rPr>
              <w:t>Observable Inputs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53"/>
        </w:trPr>
        <w:tc>
          <w:tcPr>
            <w:tcW w:w="3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40" w:type="dxa"/>
            <w:vAlign w:val="bottom"/>
            <w:tcBorders>
              <w:bottom w:val="single" w:sz="8" w:color="auto"/>
            </w:tcBorders>
            <w:gridSpan w:val="4"/>
          </w:tcPr>
          <w:p>
            <w:pPr>
              <w:jc w:val="center"/>
              <w:ind w:left="154"/>
              <w:spacing w:after="0"/>
              <w:rPr>
                <w:sz w:val="20"/>
                <w:szCs w:val="20"/>
                <w:color w:val="auto"/>
              </w:rPr>
            </w:pPr>
            <w:r>
              <w:rPr>
                <w:rFonts w:ascii="Arial" w:cs="Arial" w:eastAsia="Arial" w:hAnsi="Arial"/>
                <w:sz w:val="13"/>
                <w:szCs w:val="13"/>
                <w:b w:val="1"/>
                <w:bCs w:val="1"/>
                <w:color w:val="auto"/>
                <w:w w:val="96"/>
              </w:rPr>
              <w:t>Assets (Level 1)</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3"/>
                <w:szCs w:val="13"/>
                <w:b w:val="1"/>
                <w:bCs w:val="1"/>
                <w:color w:val="auto"/>
                <w:w w:val="94"/>
              </w:rPr>
              <w:t>(Level 2)</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3"/>
                <w:szCs w:val="13"/>
                <w:b w:val="1"/>
                <w:bCs w:val="1"/>
                <w:color w:val="auto"/>
              </w:rPr>
              <w:t>TOTAL</w:t>
            </w:r>
          </w:p>
        </w:tc>
        <w:tc>
          <w:tcPr>
            <w:tcW w:w="820" w:type="dxa"/>
            <w:vAlign w:val="bottom"/>
            <w:tcBorders>
              <w:bottom w:val="single" w:sz="8" w:color="auto"/>
            </w:tcBorders>
          </w:tcPr>
          <w:p>
            <w:pPr>
              <w:spacing w:after="0"/>
              <w:rPr>
                <w:sz w:val="13"/>
                <w:szCs w:val="13"/>
                <w:color w:val="auto"/>
              </w:rPr>
            </w:pPr>
          </w:p>
        </w:tc>
      </w:tr>
      <w:tr>
        <w:trPr>
          <w:trHeight w:val="144"/>
        </w:trPr>
        <w:tc>
          <w:tcPr>
            <w:tcW w:w="3300" w:type="dxa"/>
            <w:vAlign w:val="bottom"/>
            <w:tcBorders>
              <w:bottom w:val="single" w:sz="8" w:color="CFF0FC"/>
            </w:tcBorders>
          </w:tcPr>
          <w:p>
            <w:pPr>
              <w:spacing w:after="0"/>
              <w:rPr>
                <w:sz w:val="12"/>
                <w:szCs w:val="12"/>
                <w:color w:val="auto"/>
              </w:rPr>
            </w:pPr>
          </w:p>
        </w:tc>
        <w:tc>
          <w:tcPr>
            <w:tcW w:w="142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2020</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2019</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0"/>
              <w:spacing w:after="0" w:line="144"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45"/>
              <w:spacing w:after="0" w:line="144"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7"/>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5"/>
              <w:spacing w:after="0" w:line="144" w:lineRule="exact"/>
              <w:rPr>
                <w:sz w:val="20"/>
                <w:szCs w:val="20"/>
                <w:color w:val="auto"/>
              </w:rPr>
            </w:pPr>
            <w:r>
              <w:rPr>
                <w:rFonts w:ascii="Arial" w:cs="Arial" w:eastAsia="Arial" w:hAnsi="Arial"/>
                <w:sz w:val="13"/>
                <w:szCs w:val="13"/>
                <w:b w:val="1"/>
                <w:bCs w:val="1"/>
                <w:color w:val="auto"/>
              </w:rPr>
              <w:t>2019</w:t>
            </w:r>
          </w:p>
        </w:tc>
      </w:tr>
      <w:tr>
        <w:trPr>
          <w:trHeight w:val="180"/>
        </w:trPr>
        <w:tc>
          <w:tcPr>
            <w:tcW w:w="33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Diversified debt securities</w:t>
            </w:r>
          </w:p>
        </w:tc>
        <w:tc>
          <w:tcPr>
            <w:tcW w:w="14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94"/>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91"/>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51"/>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172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164</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2"/>
              <w:spacing w:after="0" w:line="180" w:lineRule="exact"/>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FF0FC"/>
          </w:tcPr>
          <w:p>
            <w:pPr>
              <w:jc w:val="right"/>
              <w:ind w:right="47"/>
              <w:spacing w:after="0" w:line="180" w:lineRule="exact"/>
              <w:rPr>
                <w:sz w:val="20"/>
                <w:szCs w:val="20"/>
                <w:color w:val="auto"/>
              </w:rPr>
            </w:pPr>
            <w:r>
              <w:rPr>
                <w:rFonts w:ascii="Arial" w:cs="Arial" w:eastAsia="Arial" w:hAnsi="Arial"/>
                <w:sz w:val="16"/>
                <w:szCs w:val="16"/>
                <w:b w:val="1"/>
                <w:bCs w:val="1"/>
                <w:color w:val="auto"/>
              </w:rPr>
              <w:t>186</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177</w:t>
            </w:r>
          </w:p>
        </w:tc>
      </w:tr>
      <w:tr>
        <w:trPr>
          <w:trHeight w:val="188"/>
        </w:trPr>
        <w:tc>
          <w:tcPr>
            <w:tcW w:w="3300" w:type="dxa"/>
            <w:vAlign w:val="bottom"/>
          </w:tcPr>
          <w:p>
            <w:pPr>
              <w:spacing w:after="0"/>
              <w:rPr>
                <w:sz w:val="20"/>
                <w:szCs w:val="20"/>
                <w:color w:val="auto"/>
              </w:rPr>
            </w:pPr>
            <w:r>
              <w:rPr>
                <w:rFonts w:ascii="Arial" w:cs="Arial" w:eastAsia="Arial" w:hAnsi="Arial"/>
                <w:sz w:val="16"/>
                <w:szCs w:val="16"/>
                <w:color w:val="auto"/>
              </w:rPr>
              <w:t>Diversified equity securities</w:t>
            </w:r>
          </w:p>
        </w:tc>
        <w:tc>
          <w:tcPr>
            <w:tcW w:w="1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jc w:val="right"/>
              <w:ind w:right="42"/>
              <w:spacing w:after="0"/>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jc w:val="right"/>
              <w:ind w:right="42"/>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50"/>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47"/>
              <w:spacing w:after="0"/>
              <w:rPr>
                <w:sz w:val="20"/>
                <w:szCs w:val="20"/>
                <w:color w:val="auto"/>
              </w:rPr>
            </w:pPr>
            <w:r>
              <w:rPr>
                <w:rFonts w:ascii="Arial" w:cs="Arial" w:eastAsia="Arial" w:hAnsi="Arial"/>
                <w:sz w:val="16"/>
                <w:szCs w:val="16"/>
                <w:b w:val="1"/>
                <w:bCs w:val="1"/>
                <w:color w:val="auto"/>
              </w:rPr>
              <w:t>38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45"/>
              <w:spacing w:after="0"/>
              <w:rPr>
                <w:sz w:val="20"/>
                <w:szCs w:val="20"/>
                <w:color w:val="auto"/>
              </w:rPr>
            </w:pPr>
            <w:r>
              <w:rPr>
                <w:rFonts w:ascii="Arial" w:cs="Arial" w:eastAsia="Arial" w:hAnsi="Arial"/>
                <w:sz w:val="16"/>
                <w:szCs w:val="16"/>
                <w:color w:val="auto"/>
              </w:rPr>
              <w:t>34</w:t>
            </w:r>
          </w:p>
        </w:tc>
      </w:tr>
      <w:tr>
        <w:trPr>
          <w:trHeight w:val="188"/>
        </w:trPr>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Cash equivalents</w:t>
            </w:r>
          </w:p>
        </w:tc>
        <w:tc>
          <w:tcPr>
            <w:tcW w:w="14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7"/>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6</w:t>
            </w:r>
          </w:p>
        </w:tc>
      </w:tr>
      <w:tr>
        <w:trPr>
          <w:trHeight w:val="180"/>
        </w:trPr>
        <w:tc>
          <w:tcPr>
            <w:tcW w:w="330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142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46</w:t>
            </w:r>
          </w:p>
        </w:tc>
        <w:tc>
          <w:tcPr>
            <w:tcW w:w="10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43</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ind w:right="50"/>
              <w:spacing w:after="0" w:line="180" w:lineRule="exact"/>
              <w:rPr>
                <w:sz w:val="20"/>
                <w:szCs w:val="20"/>
                <w:color w:val="auto"/>
              </w:rPr>
            </w:pPr>
            <w:r>
              <w:rPr>
                <w:rFonts w:ascii="Arial" w:cs="Arial" w:eastAsia="Arial" w:hAnsi="Arial"/>
                <w:sz w:val="16"/>
                <w:szCs w:val="16"/>
                <w:b w:val="1"/>
                <w:bCs w:val="1"/>
                <w:color w:val="auto"/>
              </w:rPr>
              <w:t>182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5"/>
              <w:spacing w:after="0" w:line="180" w:lineRule="exact"/>
              <w:rPr>
                <w:sz w:val="20"/>
                <w:szCs w:val="20"/>
                <w:color w:val="auto"/>
              </w:rPr>
            </w:pPr>
            <w:r>
              <w:rPr>
                <w:rFonts w:ascii="Arial" w:cs="Arial" w:eastAsia="Arial" w:hAnsi="Arial"/>
                <w:sz w:val="16"/>
                <w:szCs w:val="16"/>
                <w:color w:val="auto"/>
              </w:rPr>
              <w:t>174</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2"/>
              <w:spacing w:after="0" w:line="180"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ind w:right="47"/>
              <w:spacing w:after="0" w:line="180" w:lineRule="exact"/>
              <w:rPr>
                <w:sz w:val="20"/>
                <w:szCs w:val="20"/>
                <w:color w:val="auto"/>
              </w:rPr>
            </w:pPr>
            <w:r>
              <w:rPr>
                <w:rFonts w:ascii="Arial" w:cs="Arial" w:eastAsia="Arial" w:hAnsi="Arial"/>
                <w:sz w:val="16"/>
                <w:szCs w:val="16"/>
                <w:b w:val="1"/>
                <w:bCs w:val="1"/>
                <w:color w:val="auto"/>
              </w:rPr>
              <w:t>228</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45"/>
              <w:spacing w:after="0" w:line="180" w:lineRule="exact"/>
              <w:rPr>
                <w:sz w:val="20"/>
                <w:szCs w:val="20"/>
                <w:color w:val="auto"/>
              </w:rPr>
            </w:pPr>
            <w:r>
              <w:rPr>
                <w:rFonts w:ascii="Arial" w:cs="Arial" w:eastAsia="Arial" w:hAnsi="Arial"/>
                <w:sz w:val="16"/>
                <w:szCs w:val="16"/>
                <w:color w:val="auto"/>
              </w:rPr>
              <w:t>217</w:t>
            </w:r>
          </w:p>
        </w:tc>
      </w:tr>
      <w:tr>
        <w:trPr>
          <w:trHeight w:val="20"/>
        </w:trPr>
        <w:tc>
          <w:tcPr>
            <w:tcW w:w="3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right="360" w:firstLine="522"/>
        <w:spacing w:after="0" w:line="247" w:lineRule="auto"/>
        <w:rPr>
          <w:sz w:val="20"/>
          <w:szCs w:val="20"/>
          <w:color w:val="auto"/>
        </w:rPr>
      </w:pPr>
      <w:r>
        <w:rPr>
          <w:rFonts w:ascii="Arial" w:cs="Arial" w:eastAsia="Arial" w:hAnsi="Arial"/>
          <w:sz w:val="16"/>
          <w:szCs w:val="16"/>
          <w:color w:val="auto"/>
        </w:rPr>
        <w:t>The Company’s investment strategy with respect to pension plan assets is to invest the assets in accordance with laws and regulations. The long-term primary objectives for the Company’s pension assets are to provide results that meet or exceed the plans’ actuarially assumed long-term rate of return without subjecting the funds to undue risk. To achieve these objectives the Company has established the following targets: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2180" w:type="dxa"/>
            <w:vAlign w:val="bottom"/>
            <w:tcBorders>
              <w:bottom w:val="single" w:sz="8" w:color="auto"/>
            </w:tcBorders>
            <w:gridSpan w:val="3"/>
          </w:tcPr>
          <w:p>
            <w:pPr>
              <w:ind w:left="1520"/>
              <w:spacing w:after="0"/>
              <w:rPr>
                <w:sz w:val="20"/>
                <w:szCs w:val="20"/>
                <w:color w:val="auto"/>
              </w:rPr>
            </w:pPr>
            <w:r>
              <w:rPr>
                <w:rFonts w:ascii="Arial" w:cs="Arial" w:eastAsia="Arial" w:hAnsi="Arial"/>
                <w:sz w:val="13"/>
                <w:szCs w:val="13"/>
                <w:b w:val="1"/>
                <w:bCs w:val="1"/>
                <w:color w:val="auto"/>
              </w:rPr>
              <w:t>Target</w:t>
            </w:r>
          </w:p>
        </w:tc>
        <w:tc>
          <w:tcPr>
            <w:tcW w:w="1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680" w:type="dxa"/>
            <w:vAlign w:val="bottom"/>
            <w:gridSpan w:val="2"/>
            <w:vMerge w:val="continue"/>
          </w:tcPr>
          <w:p>
            <w:pPr>
              <w:spacing w:after="0"/>
              <w:rPr>
                <w:sz w:val="12"/>
                <w:szCs w:val="12"/>
                <w:color w:val="auto"/>
              </w:rPr>
            </w:pPr>
          </w:p>
        </w:tc>
        <w:tc>
          <w:tcPr>
            <w:tcW w:w="2180" w:type="dxa"/>
            <w:vAlign w:val="bottom"/>
            <w:gridSpan w:val="3"/>
          </w:tcPr>
          <w:p>
            <w:pPr>
              <w:ind w:left="580"/>
              <w:spacing w:after="0" w:line="144" w:lineRule="exact"/>
              <w:rPr>
                <w:sz w:val="20"/>
                <w:szCs w:val="20"/>
                <w:color w:val="auto"/>
              </w:rPr>
            </w:pPr>
            <w:r>
              <w:rPr>
                <w:rFonts w:ascii="Arial" w:cs="Arial" w:eastAsia="Arial" w:hAnsi="Arial"/>
                <w:sz w:val="13"/>
                <w:szCs w:val="13"/>
                <w:b w:val="1"/>
                <w:bCs w:val="1"/>
                <w:color w:val="auto"/>
              </w:rPr>
              <w:t>Hourly</w:t>
            </w:r>
          </w:p>
        </w:tc>
        <w:tc>
          <w:tcPr>
            <w:tcW w:w="1400" w:type="dxa"/>
            <w:vAlign w:val="bottom"/>
          </w:tcPr>
          <w:p>
            <w:pPr>
              <w:jc w:val="right"/>
              <w:ind w:right="685"/>
              <w:spacing w:after="0" w:line="144" w:lineRule="exact"/>
              <w:rPr>
                <w:sz w:val="20"/>
                <w:szCs w:val="20"/>
                <w:color w:val="auto"/>
              </w:rPr>
            </w:pPr>
            <w:r>
              <w:rPr>
                <w:rFonts w:ascii="Arial" w:cs="Arial" w:eastAsia="Arial" w:hAnsi="Arial"/>
                <w:sz w:val="13"/>
                <w:szCs w:val="13"/>
                <w:b w:val="1"/>
                <w:bCs w:val="1"/>
                <w:color w:val="auto"/>
              </w:rPr>
              <w:t>Salary</w:t>
            </w:r>
          </w:p>
        </w:tc>
        <w:tc>
          <w:tcPr>
            <w:tcW w:w="0" w:type="dxa"/>
            <w:vAlign w:val="bottom"/>
          </w:tcPr>
          <w:p>
            <w:pPr>
              <w:spacing w:after="0"/>
              <w:rPr>
                <w:sz w:val="1"/>
                <w:szCs w:val="1"/>
                <w:color w:val="auto"/>
              </w:rPr>
            </w:pPr>
          </w:p>
        </w:tc>
      </w:tr>
      <w:tr>
        <w:trPr>
          <w:trHeight w:val="180"/>
        </w:trPr>
        <w:tc>
          <w:tcPr>
            <w:tcW w:w="7520" w:type="dxa"/>
            <w:vAlign w:val="bottom"/>
            <w:tcBorders>
              <w:top w:val="single" w:sz="8" w:color="auto"/>
            </w:tcBorders>
            <w:shd w:val="clear" w:color="auto" w:fill="CFF0FC"/>
          </w:tcPr>
          <w:p>
            <w:pPr>
              <w:spacing w:after="0" w:line="180" w:lineRule="exact"/>
              <w:rPr>
                <w:sz w:val="20"/>
                <w:szCs w:val="20"/>
                <w:color w:val="auto"/>
              </w:rPr>
            </w:pPr>
            <w:r>
              <w:rPr>
                <w:rFonts w:ascii="Arial" w:cs="Arial" w:eastAsia="Arial" w:hAnsi="Arial"/>
                <w:sz w:val="16"/>
                <w:szCs w:val="16"/>
                <w:color w:val="auto"/>
              </w:rPr>
              <w:t>Cash equivalents</w:t>
            </w:r>
          </w:p>
        </w:tc>
        <w:tc>
          <w:tcPr>
            <w:tcW w:w="160" w:type="dxa"/>
            <w:vAlign w:val="bottom"/>
            <w:tcBorders>
              <w:top w:val="single" w:sz="8" w:color="CFF0FC"/>
            </w:tcBorders>
            <w:shd w:val="clear" w:color="auto" w:fill="CFF0FC"/>
          </w:tcPr>
          <w:p>
            <w:pPr>
              <w:spacing w:after="0"/>
              <w:rPr>
                <w:sz w:val="15"/>
                <w:szCs w:val="15"/>
                <w:color w:val="auto"/>
              </w:rPr>
            </w:pPr>
          </w:p>
        </w:tc>
        <w:tc>
          <w:tcPr>
            <w:tcW w:w="17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w:t>
            </w:r>
          </w:p>
        </w:tc>
        <w:tc>
          <w:tcPr>
            <w:tcW w:w="18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4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7680" w:type="dxa"/>
            <w:vAlign w:val="bottom"/>
            <w:gridSpan w:val="2"/>
          </w:tcPr>
          <w:p>
            <w:pPr>
              <w:spacing w:after="0"/>
              <w:rPr>
                <w:sz w:val="20"/>
                <w:szCs w:val="20"/>
                <w:color w:val="auto"/>
              </w:rPr>
            </w:pPr>
            <w:r>
              <w:rPr>
                <w:rFonts w:ascii="Arial" w:cs="Arial" w:eastAsia="Arial" w:hAnsi="Arial"/>
                <w:sz w:val="16"/>
                <w:szCs w:val="16"/>
                <w:color w:val="auto"/>
              </w:rPr>
              <w:t>Diversified equity securities</w:t>
            </w:r>
          </w:p>
        </w:tc>
        <w:tc>
          <w:tcPr>
            <w:tcW w:w="1700" w:type="dxa"/>
            <w:vAlign w:val="bottom"/>
          </w:tcPr>
          <w:p>
            <w:pPr>
              <w:jc w:val="right"/>
              <w:ind w:right="87"/>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ind w:right="105"/>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8"/>
        </w:trPr>
        <w:tc>
          <w:tcPr>
            <w:tcW w:w="7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Diversified debt securities</w:t>
            </w:r>
          </w:p>
        </w:tc>
        <w:tc>
          <w:tcPr>
            <w:tcW w:w="170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6"/>
                <w:szCs w:val="16"/>
                <w:color w:val="auto"/>
              </w:rPr>
              <w:t>83</w:t>
            </w:r>
          </w:p>
        </w:tc>
        <w:tc>
          <w:tcPr>
            <w:tcW w:w="18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0"/>
        </w:trPr>
        <w:tc>
          <w:tcPr>
            <w:tcW w:w="7680" w:type="dxa"/>
            <w:vAlign w:val="bottom"/>
            <w:gridSpan w:val="2"/>
          </w:tcPr>
          <w:p>
            <w:pPr>
              <w:ind w:left="200"/>
              <w:spacing w:after="0" w:line="180" w:lineRule="exact"/>
              <w:rPr>
                <w:sz w:val="20"/>
                <w:szCs w:val="20"/>
                <w:color w:val="auto"/>
              </w:rPr>
            </w:pPr>
            <w:r>
              <w:rPr>
                <w:rFonts w:ascii="Arial" w:cs="Arial" w:eastAsia="Arial" w:hAnsi="Arial"/>
                <w:sz w:val="16"/>
                <w:szCs w:val="16"/>
                <w:color w:val="auto"/>
              </w:rPr>
              <w:t>Total</w:t>
            </w:r>
          </w:p>
        </w:tc>
        <w:tc>
          <w:tcPr>
            <w:tcW w:w="17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100%</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Through 2020, the Company’s investment committee has continued to evaluate the investments and take steps toward the established targets.</w:t>
      </w:r>
    </w:p>
    <w:p>
      <w:pPr>
        <w:spacing w:after="0" w:line="133" w:lineRule="exact"/>
        <w:rPr>
          <w:sz w:val="20"/>
          <w:szCs w:val="20"/>
          <w:color w:val="auto"/>
        </w:rPr>
      </w:pPr>
    </w:p>
    <w:p>
      <w:pPr>
        <w:ind w:right="320" w:firstLine="522"/>
        <w:spacing w:after="0" w:line="265" w:lineRule="auto"/>
        <w:rPr>
          <w:sz w:val="20"/>
          <w:szCs w:val="20"/>
          <w:color w:val="auto"/>
        </w:rPr>
      </w:pPr>
      <w:r>
        <w:rPr>
          <w:rFonts w:ascii="Arial" w:cs="Arial" w:eastAsia="Arial" w:hAnsi="Arial"/>
          <w:sz w:val="16"/>
          <w:szCs w:val="16"/>
          <w:color w:val="auto"/>
        </w:rPr>
        <w:t>The following table discloses the amounts recognized in the balance sheet and in AOCL at December 31, 2020 and 2019, on a pre-tax basis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Pension Plans</w:t>
            </w: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3"/>
                <w:szCs w:val="13"/>
                <w:b w:val="1"/>
                <w:bCs w:val="1"/>
                <w:color w:val="auto"/>
              </w:rPr>
              <w:t>Post-retirement Benefits</w:t>
            </w: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5"/>
          </w:tcPr>
          <w:p>
            <w:pPr>
              <w:ind w:left="320"/>
              <w:spacing w:after="0" w:line="144" w:lineRule="exact"/>
              <w:rPr>
                <w:sz w:val="20"/>
                <w:szCs w:val="20"/>
                <w:color w:val="auto"/>
              </w:rPr>
            </w:pPr>
            <w:r>
              <w:rPr>
                <w:rFonts w:ascii="Arial" w:cs="Arial" w:eastAsia="Arial" w:hAnsi="Arial"/>
                <w:sz w:val="13"/>
                <w:szCs w:val="13"/>
                <w:b w:val="1"/>
                <w:bCs w:val="1"/>
                <w:color w:val="auto"/>
              </w:rPr>
              <w:t>As of December 31,</w:t>
            </w: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80" w:type="dxa"/>
            <w:vAlign w:val="bottom"/>
            <w:tcBorders>
              <w:bottom w:val="single" w:sz="8" w:color="CFF0FC"/>
            </w:tcBorders>
          </w:tcPr>
          <w:p>
            <w:pPr>
              <w:spacing w:after="0"/>
              <w:rPr>
                <w:sz w:val="12"/>
                <w:szCs w:val="12"/>
                <w:color w:val="auto"/>
              </w:rPr>
            </w:pPr>
          </w:p>
        </w:tc>
        <w:tc>
          <w:tcPr>
            <w:tcW w:w="15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45"/>
              <w:spacing w:after="0" w:line="144"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65"/>
              <w:spacing w:after="0" w:line="144"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5"/>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4"/>
              <w:spacing w:after="0" w:line="144" w:lineRule="exact"/>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Amounts Recognized in Balance Sheet:</w:t>
            </w:r>
          </w:p>
        </w:tc>
        <w:tc>
          <w:tcPr>
            <w:tcW w:w="1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80" w:type="dxa"/>
            <w:vAlign w:val="bottom"/>
          </w:tcPr>
          <w:p>
            <w:pPr>
              <w:spacing w:after="0"/>
              <w:rPr>
                <w:sz w:val="20"/>
                <w:szCs w:val="20"/>
                <w:color w:val="auto"/>
              </w:rPr>
            </w:pPr>
            <w:r>
              <w:rPr>
                <w:rFonts w:ascii="Arial" w:cs="Arial" w:eastAsia="Arial" w:hAnsi="Arial"/>
                <w:sz w:val="16"/>
                <w:szCs w:val="16"/>
                <w:color w:val="auto"/>
              </w:rPr>
              <w:t>Noncurrent assets</w:t>
            </w:r>
          </w:p>
        </w:tc>
        <w:tc>
          <w:tcPr>
            <w:tcW w:w="1740" w:type="dxa"/>
            <w:vAlign w:val="bottom"/>
            <w:gridSpan w:val="2"/>
          </w:tcPr>
          <w:p>
            <w:pPr>
              <w:jc w:val="right"/>
              <w:ind w:right="87"/>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5"/>
              <w:spacing w:after="0"/>
              <w:rPr>
                <w:sz w:val="20"/>
                <w:szCs w:val="20"/>
                <w:color w:val="auto"/>
              </w:rPr>
            </w:pPr>
            <w:r>
              <w:rPr>
                <w:rFonts w:ascii="Arial" w:cs="Arial" w:eastAsia="Arial" w:hAnsi="Arial"/>
                <w:sz w:val="16"/>
                <w:szCs w:val="16"/>
                <w:b w:val="1"/>
                <w:bCs w:val="1"/>
                <w:color w:val="auto"/>
              </w:rPr>
              <w:t>—</w:t>
            </w:r>
          </w:p>
        </w:tc>
        <w:tc>
          <w:tcPr>
            <w:tcW w:w="500" w:type="dxa"/>
            <w:vAlign w:val="bottom"/>
            <w:gridSpan w:val="2"/>
          </w:tcPr>
          <w:p>
            <w:pPr>
              <w:jc w:val="right"/>
              <w:ind w:right="207"/>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5"/>
              <w:spacing w:after="0"/>
              <w:rPr>
                <w:sz w:val="20"/>
                <w:szCs w:val="20"/>
                <w:color w:val="auto"/>
              </w:rPr>
            </w:pPr>
            <w:r>
              <w:rPr>
                <w:rFonts w:ascii="Arial" w:cs="Arial" w:eastAsia="Arial" w:hAnsi="Arial"/>
                <w:sz w:val="16"/>
                <w:szCs w:val="16"/>
                <w:color w:val="auto"/>
              </w:rPr>
              <w:t>13</w:t>
            </w:r>
          </w:p>
        </w:tc>
        <w:tc>
          <w:tcPr>
            <w:tcW w:w="380" w:type="dxa"/>
            <w:vAlign w:val="bottom"/>
            <w:gridSpan w:val="2"/>
          </w:tcPr>
          <w:p>
            <w:pPr>
              <w:jc w:val="right"/>
              <w:ind w:right="87"/>
              <w:spacing w:after="0"/>
              <w:rPr>
                <w:sz w:val="20"/>
                <w:szCs w:val="20"/>
                <w:color w:val="auto"/>
              </w:rPr>
            </w:pPr>
            <w:r>
              <w:rPr>
                <w:rFonts w:ascii="Arial" w:cs="Arial" w:eastAsia="Arial" w:hAnsi="Arial"/>
                <w:sz w:val="16"/>
                <w:szCs w:val="16"/>
                <w:b w:val="1"/>
                <w:bCs w:val="1"/>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8"/>
        </w:trPr>
        <w:tc>
          <w:tcPr>
            <w:tcW w:w="4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Noncurrent liabilities</w:t>
            </w:r>
          </w:p>
        </w:tc>
        <w:tc>
          <w:tcPr>
            <w:tcW w:w="15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1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80"/>
        </w:trPr>
        <w:tc>
          <w:tcPr>
            <w:tcW w:w="43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(liability) asset</w:t>
            </w:r>
          </w:p>
        </w:tc>
        <w:tc>
          <w:tcPr>
            <w:tcW w:w="15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(7)</w:t>
            </w:r>
          </w:p>
        </w:tc>
        <w:tc>
          <w:tcPr>
            <w:tcW w:w="1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13</w:t>
            </w:r>
          </w:p>
        </w:tc>
        <w:tc>
          <w:tcPr>
            <w:tcW w:w="1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(107)</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4"/>
              <w:spacing w:after="0" w:line="180"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6"/>
                <w:szCs w:val="16"/>
                <w:color w:val="auto"/>
              </w:rPr>
              <w:t>Accumulated Other Comprehensive Loss:</w:t>
            </w: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8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Prior service credit</w:t>
            </w:r>
          </w:p>
        </w:tc>
        <w:tc>
          <w:tcPr>
            <w:tcW w:w="1740" w:type="dxa"/>
            <w:vAlign w:val="bottom"/>
            <w:gridSpan w:val="2"/>
            <w:shd w:val="clear" w:color="auto" w:fill="CFF0FC"/>
          </w:tcPr>
          <w:p>
            <w:pPr>
              <w:jc w:val="right"/>
              <w:ind w:right="87"/>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2</w:t>
            </w:r>
          </w:p>
        </w:tc>
        <w:tc>
          <w:tcPr>
            <w:tcW w:w="500" w:type="dxa"/>
            <w:vAlign w:val="bottom"/>
            <w:gridSpan w:val="2"/>
            <w:shd w:val="clear" w:color="auto" w:fill="CFF0FC"/>
          </w:tcPr>
          <w:p>
            <w:pPr>
              <w:jc w:val="right"/>
              <w:ind w:right="207"/>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3</w:t>
            </w:r>
          </w:p>
        </w:tc>
        <w:tc>
          <w:tcPr>
            <w:tcW w:w="380" w:type="dxa"/>
            <w:vAlign w:val="bottom"/>
            <w:gridSpan w:val="2"/>
            <w:shd w:val="clear" w:color="auto" w:fill="CFF0FC"/>
          </w:tcPr>
          <w:p>
            <w:pPr>
              <w:jc w:val="right"/>
              <w:ind w:right="87"/>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44</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88"/>
        </w:trPr>
        <w:tc>
          <w:tcPr>
            <w:tcW w:w="4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Actuarial (loss) gain</w:t>
            </w:r>
          </w:p>
        </w:tc>
        <w:tc>
          <w:tcPr>
            <w:tcW w:w="15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0"/>
        </w:trPr>
        <w:tc>
          <w:tcPr>
            <w:tcW w:w="438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15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(14)</w:t>
            </w:r>
          </w:p>
        </w:tc>
        <w:tc>
          <w:tcPr>
            <w:tcW w:w="1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w:t>
            </w:r>
          </w:p>
        </w:tc>
        <w:tc>
          <w:tcPr>
            <w:tcW w:w="1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36</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accumulated benefit obligation for the Company’s pension plans as of December 31, 2020 and 2019 was $235 million and $199 million, respectively.</w:t>
      </w:r>
    </w:p>
    <w:p>
      <w:pPr>
        <w:spacing w:after="0" w:line="145" w:lineRule="exact"/>
        <w:rPr>
          <w:sz w:val="20"/>
          <w:szCs w:val="20"/>
          <w:color w:val="auto"/>
        </w:rPr>
      </w:pPr>
    </w:p>
    <w:p>
      <w:pPr>
        <w:ind w:right="60" w:firstLine="522"/>
        <w:spacing w:after="0" w:line="247" w:lineRule="auto"/>
        <w:rPr>
          <w:sz w:val="20"/>
          <w:szCs w:val="20"/>
          <w:color w:val="auto"/>
        </w:rPr>
      </w:pPr>
      <w:r>
        <w:rPr>
          <w:rFonts w:ascii="Arial" w:cs="Arial" w:eastAsia="Arial" w:hAnsi="Arial"/>
          <w:sz w:val="16"/>
          <w:szCs w:val="16"/>
          <w:color w:val="auto"/>
        </w:rPr>
        <w:t>As of December 31, 2020 and 2019, the projected benefit obligation, the accumulated benefit obligation, and the fair value of plan assets for pension plans with a projected benefit obligation in excess of plan assets and for pension plans with an accumulated benefit obligation in excess of plan assets were as follows (dollars in millions):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80" w:type="dxa"/>
            <w:vAlign w:val="bottom"/>
          </w:tcPr>
          <w:p>
            <w:pPr>
              <w:spacing w:after="0"/>
              <w:rPr>
                <w:sz w:val="13"/>
                <w:szCs w:val="13"/>
                <w:color w:val="auto"/>
              </w:rPr>
            </w:pPr>
          </w:p>
        </w:tc>
        <w:tc>
          <w:tcPr>
            <w:tcW w:w="1260" w:type="dxa"/>
            <w:vAlign w:val="bottom"/>
            <w:tcBorders>
              <w:bottom w:val="single" w:sz="8" w:color="auto"/>
            </w:tcBorders>
            <w:gridSpan w:val="3"/>
          </w:tcPr>
          <w:p>
            <w:pPr>
              <w:ind w:left="620"/>
              <w:spacing w:after="0"/>
              <w:rPr>
                <w:sz w:val="20"/>
                <w:szCs w:val="20"/>
                <w:color w:val="auto"/>
              </w:rPr>
            </w:pPr>
            <w:r>
              <w:rPr>
                <w:rFonts w:ascii="Arial" w:cs="Arial" w:eastAsia="Arial" w:hAnsi="Arial"/>
                <w:sz w:val="13"/>
                <w:szCs w:val="13"/>
                <w:color w:val="auto"/>
                <w:w w:val="92"/>
              </w:rPr>
              <w:t>Hourly Plan</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ind w:left="480"/>
              <w:spacing w:after="0"/>
              <w:rPr>
                <w:sz w:val="20"/>
                <w:szCs w:val="20"/>
                <w:color w:val="auto"/>
              </w:rPr>
            </w:pPr>
            <w:r>
              <w:rPr>
                <w:rFonts w:ascii="Arial" w:cs="Arial" w:eastAsia="Arial" w:hAnsi="Arial"/>
                <w:sz w:val="13"/>
                <w:szCs w:val="13"/>
                <w:color w:val="auto"/>
                <w:w w:val="93"/>
              </w:rPr>
              <w:t>Salary Plan</w:t>
            </w:r>
          </w:p>
        </w:tc>
        <w:tc>
          <w:tcPr>
            <w:tcW w:w="640" w:type="dxa"/>
            <w:vAlign w:val="bottom"/>
            <w:tcBorders>
              <w:bottom w:val="single" w:sz="8" w:color="auto"/>
            </w:tcBorders>
          </w:tcPr>
          <w:p>
            <w:pPr>
              <w:spacing w:after="0"/>
              <w:rPr>
                <w:sz w:val="13"/>
                <w:szCs w:val="13"/>
                <w:color w:val="auto"/>
              </w:rPr>
            </w:pPr>
          </w:p>
        </w:tc>
      </w:tr>
      <w:tr>
        <w:trPr>
          <w:trHeight w:val="144"/>
        </w:trPr>
        <w:tc>
          <w:tcPr>
            <w:tcW w:w="72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6"/>
          </w:tcPr>
          <w:p>
            <w:pPr>
              <w:ind w:left="140"/>
              <w:spacing w:after="0" w:line="144" w:lineRule="exact"/>
              <w:rPr>
                <w:sz w:val="20"/>
                <w:szCs w:val="20"/>
                <w:color w:val="auto"/>
              </w:rPr>
            </w:pPr>
            <w:r>
              <w:rPr>
                <w:rFonts w:ascii="Arial" w:cs="Arial" w:eastAsia="Arial" w:hAnsi="Arial"/>
                <w:sz w:val="13"/>
                <w:szCs w:val="13"/>
                <w:b w:val="1"/>
                <w:bCs w:val="1"/>
                <w:color w:val="auto"/>
              </w:rPr>
              <w:t>As of December 31,</w:t>
            </w:r>
          </w:p>
        </w:tc>
        <w:tc>
          <w:tcPr>
            <w:tcW w:w="640" w:type="dxa"/>
            <w:vAlign w:val="bottom"/>
            <w:tcBorders>
              <w:bottom w:val="single" w:sz="8" w:color="auto"/>
            </w:tcBorders>
          </w:tcPr>
          <w:p>
            <w:pPr>
              <w:spacing w:after="0"/>
              <w:rPr>
                <w:sz w:val="12"/>
                <w:szCs w:val="12"/>
                <w:color w:val="auto"/>
              </w:rPr>
            </w:pPr>
          </w:p>
        </w:tc>
      </w:tr>
      <w:tr>
        <w:trPr>
          <w:trHeight w:val="144"/>
        </w:trPr>
        <w:tc>
          <w:tcPr>
            <w:tcW w:w="728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6"/>
              </w:rPr>
              <w:t>2020</w:t>
            </w:r>
          </w:p>
        </w:tc>
        <w:tc>
          <w:tcPr>
            <w:tcW w:w="1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67"/>
              <w:spacing w:after="0" w:line="144" w:lineRule="exact"/>
              <w:rPr>
                <w:sz w:val="20"/>
                <w:szCs w:val="20"/>
                <w:color w:val="auto"/>
              </w:rPr>
            </w:pPr>
            <w:r>
              <w:rPr>
                <w:rFonts w:ascii="Arial" w:cs="Arial" w:eastAsia="Arial" w:hAnsi="Arial"/>
                <w:sz w:val="13"/>
                <w:szCs w:val="13"/>
                <w:b w:val="1"/>
                <w:bCs w:val="1"/>
                <w:color w:val="auto"/>
                <w:w w:val="96"/>
              </w:rPr>
              <w:t>2019</w:t>
            </w:r>
          </w:p>
        </w:tc>
        <w:tc>
          <w:tcPr>
            <w:tcW w:w="16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7"/>
              <w:spacing w:after="0" w:line="144"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205"/>
              <w:spacing w:after="0" w:line="144" w:lineRule="exact"/>
              <w:rPr>
                <w:sz w:val="20"/>
                <w:szCs w:val="20"/>
                <w:color w:val="auto"/>
              </w:rPr>
            </w:pPr>
            <w:r>
              <w:rPr>
                <w:rFonts w:ascii="Arial" w:cs="Arial" w:eastAsia="Arial" w:hAnsi="Arial"/>
                <w:sz w:val="13"/>
                <w:szCs w:val="13"/>
                <w:b w:val="1"/>
                <w:bCs w:val="1"/>
                <w:color w:val="auto"/>
                <w:w w:val="96"/>
              </w:rPr>
              <w:t>2019</w:t>
            </w:r>
          </w:p>
        </w:tc>
      </w:tr>
      <w:tr>
        <w:trPr>
          <w:trHeight w:val="180"/>
        </w:trPr>
        <w:tc>
          <w:tcPr>
            <w:tcW w:w="72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Plans with projected benefit obligation in excess of plan assets:</w:t>
            </w: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r>
      <w:tr>
        <w:trPr>
          <w:trHeight w:val="188"/>
        </w:trPr>
        <w:tc>
          <w:tcPr>
            <w:tcW w:w="7280" w:type="dxa"/>
            <w:vAlign w:val="bottom"/>
          </w:tcPr>
          <w:p>
            <w:pPr>
              <w:spacing w:after="0"/>
              <w:rPr>
                <w:sz w:val="20"/>
                <w:szCs w:val="20"/>
                <w:color w:val="auto"/>
              </w:rPr>
            </w:pPr>
            <w:r>
              <w:rPr>
                <w:rFonts w:ascii="Arial" w:cs="Arial" w:eastAsia="Arial" w:hAnsi="Arial"/>
                <w:sz w:val="16"/>
                <w:szCs w:val="16"/>
                <w:color w:val="auto"/>
              </w:rPr>
              <w:t>Projected benefit obligation - salary</w:t>
            </w:r>
          </w:p>
        </w:tc>
        <w:tc>
          <w:tcPr>
            <w:tcW w:w="12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6"/>
              </w:rPr>
              <w:t xml:space="preserve">N/A </w:t>
            </w:r>
            <w:r>
              <w:rPr>
                <w:rFonts w:ascii="Arial" w:cs="Arial" w:eastAsia="Arial" w:hAnsi="Arial"/>
                <w:sz w:val="13"/>
                <w:szCs w:val="13"/>
                <w:b w:val="1"/>
                <w:bCs w:val="1"/>
                <w:color w:val="auto"/>
                <w:w w:val="96"/>
              </w:rPr>
              <w:t>1</w:t>
            </w:r>
          </w:p>
        </w:tc>
        <w:tc>
          <w:tcPr>
            <w:tcW w:w="800" w:type="dxa"/>
            <w:vAlign w:val="bottom"/>
            <w:gridSpan w:val="2"/>
          </w:tcPr>
          <w:p>
            <w:pPr>
              <w:jc w:val="center"/>
              <w:ind w:right="420"/>
              <w:spacing w:after="0"/>
              <w:rPr>
                <w:sz w:val="20"/>
                <w:szCs w:val="20"/>
                <w:color w:val="auto"/>
              </w:rPr>
            </w:pPr>
            <w:r>
              <w:rPr>
                <w:rFonts w:ascii="Arial" w:cs="Arial" w:eastAsia="Arial" w:hAnsi="Arial"/>
                <w:sz w:val="16"/>
                <w:szCs w:val="16"/>
                <w:color w:val="auto"/>
                <w:w w:val="98"/>
              </w:rPr>
              <w:t xml:space="preserve">N/A </w:t>
            </w:r>
            <w:r>
              <w:rPr>
                <w:rFonts w:ascii="Arial" w:cs="Arial" w:eastAsia="Arial" w:hAnsi="Arial"/>
                <w:sz w:val="13"/>
                <w:szCs w:val="13"/>
                <w:color w:val="auto"/>
                <w:w w:val="98"/>
              </w:rPr>
              <w:t>1</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ind w:right="27"/>
              <w:spacing w:after="0"/>
              <w:rPr>
                <w:sz w:val="20"/>
                <w:szCs w:val="20"/>
                <w:color w:val="auto"/>
              </w:rPr>
            </w:pPr>
            <w:r>
              <w:rPr>
                <w:rFonts w:ascii="Arial" w:cs="Arial" w:eastAsia="Arial" w:hAnsi="Arial"/>
                <w:sz w:val="16"/>
                <w:szCs w:val="16"/>
                <w:b w:val="1"/>
                <w:bCs w:val="1"/>
                <w:color w:val="auto"/>
              </w:rPr>
              <w:t>119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center"/>
              <w:ind w:right="185"/>
              <w:spacing w:after="0"/>
              <w:rPr>
                <w:sz w:val="20"/>
                <w:szCs w:val="20"/>
                <w:color w:val="auto"/>
              </w:rPr>
            </w:pPr>
            <w:r>
              <w:rPr>
                <w:rFonts w:ascii="Arial" w:cs="Arial" w:eastAsia="Arial" w:hAnsi="Arial"/>
                <w:sz w:val="16"/>
                <w:szCs w:val="16"/>
                <w:color w:val="auto"/>
                <w:w w:val="98"/>
              </w:rPr>
              <w:t xml:space="preserve">N/A </w:t>
            </w:r>
            <w:r>
              <w:rPr>
                <w:rFonts w:ascii="Arial" w:cs="Arial" w:eastAsia="Arial" w:hAnsi="Arial"/>
                <w:sz w:val="13"/>
                <w:szCs w:val="13"/>
                <w:color w:val="auto"/>
                <w:w w:val="98"/>
              </w:rPr>
              <w:t>2</w:t>
            </w:r>
          </w:p>
        </w:tc>
      </w:tr>
      <w:tr>
        <w:trPr>
          <w:trHeight w:val="188"/>
        </w:trPr>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Fair value of plan assets - salary</w:t>
            </w:r>
          </w:p>
        </w:tc>
        <w:tc>
          <w:tcPr>
            <w:tcW w:w="1260" w:type="dxa"/>
            <w:vAlign w:val="bottom"/>
            <w:gridSpan w:val="3"/>
            <w:shd w:val="clear" w:color="auto" w:fill="CFF0FC"/>
          </w:tcPr>
          <w:p>
            <w:pPr>
              <w:jc w:val="center"/>
              <w:ind w:right="400"/>
              <w:spacing w:after="0"/>
              <w:rPr>
                <w:sz w:val="20"/>
                <w:szCs w:val="20"/>
                <w:color w:val="auto"/>
              </w:rPr>
            </w:pPr>
            <w:r>
              <w:rPr>
                <w:rFonts w:ascii="Arial" w:cs="Arial" w:eastAsia="Arial" w:hAnsi="Arial"/>
                <w:sz w:val="16"/>
                <w:szCs w:val="16"/>
                <w:b w:val="1"/>
                <w:bCs w:val="1"/>
                <w:color w:val="auto"/>
                <w:w w:val="96"/>
              </w:rPr>
              <w:t xml:space="preserve">N/A </w:t>
            </w:r>
            <w:r>
              <w:rPr>
                <w:rFonts w:ascii="Arial" w:cs="Arial" w:eastAsia="Arial" w:hAnsi="Arial"/>
                <w:sz w:val="13"/>
                <w:szCs w:val="13"/>
                <w:b w:val="1"/>
                <w:bCs w:val="1"/>
                <w:color w:val="auto"/>
                <w:w w:val="96"/>
              </w:rPr>
              <w:t>1</w:t>
            </w:r>
          </w:p>
        </w:tc>
        <w:tc>
          <w:tcPr>
            <w:tcW w:w="800" w:type="dxa"/>
            <w:vAlign w:val="bottom"/>
            <w:gridSpan w:val="2"/>
            <w:shd w:val="clear" w:color="auto" w:fill="CFF0FC"/>
          </w:tcPr>
          <w:p>
            <w:pPr>
              <w:jc w:val="center"/>
              <w:ind w:right="420"/>
              <w:spacing w:after="0"/>
              <w:rPr>
                <w:sz w:val="20"/>
                <w:szCs w:val="20"/>
                <w:color w:val="auto"/>
              </w:rPr>
            </w:pPr>
            <w:r>
              <w:rPr>
                <w:rFonts w:ascii="Arial" w:cs="Arial" w:eastAsia="Arial" w:hAnsi="Arial"/>
                <w:sz w:val="16"/>
                <w:szCs w:val="16"/>
                <w:color w:val="auto"/>
                <w:w w:val="98"/>
              </w:rPr>
              <w:t xml:space="preserve">N/A </w:t>
            </w:r>
            <w:r>
              <w:rPr>
                <w:rFonts w:ascii="Arial" w:cs="Arial" w:eastAsia="Arial" w:hAnsi="Arial"/>
                <w:sz w:val="13"/>
                <w:szCs w:val="13"/>
                <w:color w:val="auto"/>
                <w:w w:val="98"/>
              </w:rPr>
              <w:t>1</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ind w:right="27"/>
              <w:spacing w:after="0"/>
              <w:rPr>
                <w:sz w:val="20"/>
                <w:szCs w:val="20"/>
                <w:color w:val="auto"/>
              </w:rPr>
            </w:pPr>
            <w:r>
              <w:rPr>
                <w:rFonts w:ascii="Arial" w:cs="Arial" w:eastAsia="Arial" w:hAnsi="Arial"/>
                <w:sz w:val="16"/>
                <w:szCs w:val="16"/>
                <w:b w:val="1"/>
                <w:bCs w:val="1"/>
                <w:color w:val="auto"/>
              </w:rPr>
              <w:t>112</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jc w:val="center"/>
              <w:ind w:right="185"/>
              <w:spacing w:after="0"/>
              <w:rPr>
                <w:sz w:val="20"/>
                <w:szCs w:val="20"/>
                <w:color w:val="auto"/>
              </w:rPr>
            </w:pPr>
            <w:r>
              <w:rPr>
                <w:rFonts w:ascii="Arial" w:cs="Arial" w:eastAsia="Arial" w:hAnsi="Arial"/>
                <w:sz w:val="16"/>
                <w:szCs w:val="16"/>
                <w:color w:val="auto"/>
                <w:w w:val="98"/>
              </w:rPr>
              <w:t xml:space="preserve">N/A </w:t>
            </w:r>
            <w:r>
              <w:rPr>
                <w:rFonts w:ascii="Arial" w:cs="Arial" w:eastAsia="Arial" w:hAnsi="Arial"/>
                <w:sz w:val="13"/>
                <w:szCs w:val="13"/>
                <w:color w:val="auto"/>
                <w:w w:val="98"/>
              </w:rPr>
              <w:t>2</w:t>
            </w:r>
          </w:p>
        </w:tc>
      </w:tr>
      <w:tr>
        <w:trPr>
          <w:trHeight w:val="188"/>
        </w:trPr>
        <w:tc>
          <w:tcPr>
            <w:tcW w:w="7280" w:type="dxa"/>
            <w:vAlign w:val="bottom"/>
          </w:tcPr>
          <w:p>
            <w:pPr>
              <w:spacing w:after="0"/>
              <w:rPr>
                <w:sz w:val="20"/>
                <w:szCs w:val="20"/>
                <w:color w:val="auto"/>
              </w:rPr>
            </w:pPr>
            <w:r>
              <w:rPr>
                <w:rFonts w:ascii="Arial" w:cs="Arial" w:eastAsia="Arial" w:hAnsi="Arial"/>
                <w:sz w:val="16"/>
                <w:szCs w:val="16"/>
                <w:color w:val="auto"/>
              </w:rPr>
              <w:t>Plans with accumulated benefit obligation in excess of plan assets:</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8"/>
        </w:trPr>
        <w:tc>
          <w:tcPr>
            <w:tcW w:w="7280" w:type="dxa"/>
            <w:vAlign w:val="bottom"/>
            <w:shd w:val="clear" w:color="auto" w:fill="CFF0FC"/>
          </w:tcPr>
          <w:p>
            <w:pPr>
              <w:spacing w:after="0"/>
              <w:rPr>
                <w:sz w:val="20"/>
                <w:szCs w:val="20"/>
                <w:color w:val="auto"/>
              </w:rPr>
            </w:pPr>
            <w:r>
              <w:rPr>
                <w:rFonts w:ascii="Arial" w:cs="Arial" w:eastAsia="Arial" w:hAnsi="Arial"/>
                <w:sz w:val="16"/>
                <w:szCs w:val="16"/>
                <w:color w:val="auto"/>
              </w:rPr>
              <w:t>Accumulated benefit obligation - salary</w:t>
            </w:r>
          </w:p>
        </w:tc>
        <w:tc>
          <w:tcPr>
            <w:tcW w:w="1260" w:type="dxa"/>
            <w:vAlign w:val="bottom"/>
            <w:gridSpan w:val="3"/>
            <w:shd w:val="clear" w:color="auto" w:fill="CFF0FC"/>
          </w:tcPr>
          <w:p>
            <w:pPr>
              <w:jc w:val="center"/>
              <w:ind w:right="400"/>
              <w:spacing w:after="0"/>
              <w:rPr>
                <w:sz w:val="20"/>
                <w:szCs w:val="20"/>
                <w:color w:val="auto"/>
              </w:rPr>
            </w:pPr>
            <w:r>
              <w:rPr>
                <w:rFonts w:ascii="Arial" w:cs="Arial" w:eastAsia="Arial" w:hAnsi="Arial"/>
                <w:sz w:val="16"/>
                <w:szCs w:val="16"/>
                <w:b w:val="1"/>
                <w:bCs w:val="1"/>
                <w:color w:val="auto"/>
                <w:w w:val="96"/>
              </w:rPr>
              <w:t xml:space="preserve">N/A </w:t>
            </w:r>
            <w:r>
              <w:rPr>
                <w:rFonts w:ascii="Arial" w:cs="Arial" w:eastAsia="Arial" w:hAnsi="Arial"/>
                <w:sz w:val="13"/>
                <w:szCs w:val="13"/>
                <w:b w:val="1"/>
                <w:bCs w:val="1"/>
                <w:color w:val="auto"/>
                <w:w w:val="96"/>
              </w:rPr>
              <w:t>1</w:t>
            </w:r>
          </w:p>
        </w:tc>
        <w:tc>
          <w:tcPr>
            <w:tcW w:w="800" w:type="dxa"/>
            <w:vAlign w:val="bottom"/>
            <w:gridSpan w:val="2"/>
            <w:shd w:val="clear" w:color="auto" w:fill="CFF0FC"/>
          </w:tcPr>
          <w:p>
            <w:pPr>
              <w:jc w:val="center"/>
              <w:ind w:right="420"/>
              <w:spacing w:after="0"/>
              <w:rPr>
                <w:sz w:val="20"/>
                <w:szCs w:val="20"/>
                <w:color w:val="auto"/>
              </w:rPr>
            </w:pPr>
            <w:r>
              <w:rPr>
                <w:rFonts w:ascii="Arial" w:cs="Arial" w:eastAsia="Arial" w:hAnsi="Arial"/>
                <w:sz w:val="16"/>
                <w:szCs w:val="16"/>
                <w:color w:val="auto"/>
                <w:w w:val="98"/>
              </w:rPr>
              <w:t xml:space="preserve">N/A </w:t>
            </w:r>
            <w:r>
              <w:rPr>
                <w:rFonts w:ascii="Arial" w:cs="Arial" w:eastAsia="Arial" w:hAnsi="Arial"/>
                <w:sz w:val="13"/>
                <w:szCs w:val="13"/>
                <w:color w:val="auto"/>
                <w:w w:val="98"/>
              </w:rPr>
              <w:t>1</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ind w:right="27"/>
              <w:spacing w:after="0"/>
              <w:rPr>
                <w:sz w:val="20"/>
                <w:szCs w:val="20"/>
                <w:color w:val="auto"/>
              </w:rPr>
            </w:pPr>
            <w:r>
              <w:rPr>
                <w:rFonts w:ascii="Arial" w:cs="Arial" w:eastAsia="Arial" w:hAnsi="Arial"/>
                <w:sz w:val="16"/>
                <w:szCs w:val="16"/>
                <w:b w:val="1"/>
                <w:bCs w:val="1"/>
                <w:color w:val="auto"/>
              </w:rPr>
              <w:t>119</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jc w:val="center"/>
              <w:ind w:right="185"/>
              <w:spacing w:after="0"/>
              <w:rPr>
                <w:sz w:val="20"/>
                <w:szCs w:val="20"/>
                <w:color w:val="auto"/>
              </w:rPr>
            </w:pPr>
            <w:r>
              <w:rPr>
                <w:rFonts w:ascii="Arial" w:cs="Arial" w:eastAsia="Arial" w:hAnsi="Arial"/>
                <w:sz w:val="16"/>
                <w:szCs w:val="16"/>
                <w:color w:val="auto"/>
                <w:w w:val="98"/>
              </w:rPr>
              <w:t xml:space="preserve">N/A </w:t>
            </w:r>
            <w:r>
              <w:rPr>
                <w:rFonts w:ascii="Arial" w:cs="Arial" w:eastAsia="Arial" w:hAnsi="Arial"/>
                <w:sz w:val="13"/>
                <w:szCs w:val="13"/>
                <w:color w:val="auto"/>
                <w:w w:val="98"/>
              </w:rPr>
              <w:t>2</w:t>
            </w:r>
          </w:p>
        </w:tc>
      </w:tr>
      <w:tr>
        <w:trPr>
          <w:trHeight w:val="222"/>
        </w:trPr>
        <w:tc>
          <w:tcPr>
            <w:tcW w:w="7280" w:type="dxa"/>
            <w:vAlign w:val="bottom"/>
          </w:tcPr>
          <w:p>
            <w:pPr>
              <w:spacing w:after="0"/>
              <w:rPr>
                <w:sz w:val="20"/>
                <w:szCs w:val="20"/>
                <w:color w:val="auto"/>
              </w:rPr>
            </w:pPr>
            <w:r>
              <w:rPr>
                <w:rFonts w:ascii="Arial" w:cs="Arial" w:eastAsia="Arial" w:hAnsi="Arial"/>
                <w:sz w:val="16"/>
                <w:szCs w:val="16"/>
                <w:color w:val="auto"/>
              </w:rPr>
              <w:t>Fair value of plan assets - salary</w:t>
            </w:r>
          </w:p>
        </w:tc>
        <w:tc>
          <w:tcPr>
            <w:tcW w:w="12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6"/>
              </w:rPr>
              <w:t xml:space="preserve">N/A </w:t>
            </w:r>
            <w:r>
              <w:rPr>
                <w:rFonts w:ascii="Arial" w:cs="Arial" w:eastAsia="Arial" w:hAnsi="Arial"/>
                <w:sz w:val="13"/>
                <w:szCs w:val="13"/>
                <w:b w:val="1"/>
                <w:bCs w:val="1"/>
                <w:color w:val="auto"/>
                <w:w w:val="96"/>
              </w:rPr>
              <w:t>1</w:t>
            </w:r>
          </w:p>
        </w:tc>
        <w:tc>
          <w:tcPr>
            <w:tcW w:w="800" w:type="dxa"/>
            <w:vAlign w:val="bottom"/>
            <w:gridSpan w:val="2"/>
          </w:tcPr>
          <w:p>
            <w:pPr>
              <w:jc w:val="center"/>
              <w:ind w:right="420"/>
              <w:spacing w:after="0"/>
              <w:rPr>
                <w:sz w:val="20"/>
                <w:szCs w:val="20"/>
                <w:color w:val="auto"/>
              </w:rPr>
            </w:pPr>
            <w:r>
              <w:rPr>
                <w:rFonts w:ascii="Arial" w:cs="Arial" w:eastAsia="Arial" w:hAnsi="Arial"/>
                <w:sz w:val="16"/>
                <w:szCs w:val="16"/>
                <w:color w:val="auto"/>
                <w:w w:val="98"/>
              </w:rPr>
              <w:t xml:space="preserve">N/A </w:t>
            </w:r>
            <w:r>
              <w:rPr>
                <w:rFonts w:ascii="Arial" w:cs="Arial" w:eastAsia="Arial" w:hAnsi="Arial"/>
                <w:sz w:val="13"/>
                <w:szCs w:val="13"/>
                <w:color w:val="auto"/>
                <w:w w:val="98"/>
              </w:rPr>
              <w:t>1</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ind w:right="27"/>
              <w:spacing w:after="0"/>
              <w:rPr>
                <w:sz w:val="20"/>
                <w:szCs w:val="20"/>
                <w:color w:val="auto"/>
              </w:rPr>
            </w:pPr>
            <w:r>
              <w:rPr>
                <w:rFonts w:ascii="Arial" w:cs="Arial" w:eastAsia="Arial" w:hAnsi="Arial"/>
                <w:sz w:val="16"/>
                <w:szCs w:val="16"/>
                <w:b w:val="1"/>
                <w:bCs w:val="1"/>
                <w:color w:val="auto"/>
              </w:rPr>
              <w:t>112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center"/>
              <w:ind w:right="185"/>
              <w:spacing w:after="0"/>
              <w:rPr>
                <w:sz w:val="20"/>
                <w:szCs w:val="20"/>
                <w:color w:val="auto"/>
              </w:rPr>
            </w:pPr>
            <w:r>
              <w:rPr>
                <w:rFonts w:ascii="Arial" w:cs="Arial" w:eastAsia="Arial" w:hAnsi="Arial"/>
                <w:sz w:val="16"/>
                <w:szCs w:val="16"/>
                <w:color w:val="auto"/>
                <w:w w:val="98"/>
              </w:rPr>
              <w:t xml:space="preserve">N/A </w:t>
            </w:r>
            <w:r>
              <w:rPr>
                <w:rFonts w:ascii="Arial" w:cs="Arial" w:eastAsia="Arial" w:hAnsi="Arial"/>
                <w:sz w:val="13"/>
                <w:szCs w:val="13"/>
                <w:color w:val="auto"/>
                <w:w w:val="98"/>
              </w:rPr>
              <w:t>2</w:t>
            </w:r>
          </w:p>
        </w:tc>
      </w:tr>
    </w:tbl>
    <w:p>
      <w:pPr>
        <w:spacing w:after="0" w:line="157" w:lineRule="exact"/>
        <w:rPr>
          <w:sz w:val="20"/>
          <w:szCs w:val="20"/>
          <w:color w:val="auto"/>
        </w:rPr>
      </w:pPr>
    </w:p>
    <w:p>
      <w:pPr>
        <w:ind w:left="300" w:right="20" w:hanging="189"/>
        <w:spacing w:after="0" w:line="242" w:lineRule="auto"/>
        <w:tabs>
          <w:tab w:leader="none" w:pos="300" w:val="left"/>
        </w:tabs>
        <w:numPr>
          <w:ilvl w:val="0"/>
          <w:numId w:val="13"/>
        </w:numPr>
        <w:rPr>
          <w:rFonts w:ascii="Arial" w:cs="Arial" w:eastAsia="Arial" w:hAnsi="Arial"/>
          <w:sz w:val="13"/>
          <w:szCs w:val="13"/>
          <w:color w:val="auto"/>
        </w:rPr>
      </w:pPr>
      <w:r>
        <w:rPr>
          <w:rFonts w:ascii="Arial" w:cs="Arial" w:eastAsia="Arial" w:hAnsi="Arial"/>
          <w:sz w:val="16"/>
          <w:szCs w:val="16"/>
          <w:color w:val="auto"/>
        </w:rPr>
        <w:t>As of December 31, 2020 and 2019, the hourly defined pension plan had plan assets greater than the projected benefit obligation and the accumulated benefit obligation.</w:t>
      </w:r>
    </w:p>
    <w:p>
      <w:pPr>
        <w:spacing w:after="0" w:line="1" w:lineRule="exact"/>
        <w:rPr>
          <w:rFonts w:ascii="Arial" w:cs="Arial" w:eastAsia="Arial" w:hAnsi="Arial"/>
          <w:sz w:val="13"/>
          <w:szCs w:val="13"/>
          <w:color w:val="auto"/>
        </w:rPr>
      </w:pPr>
    </w:p>
    <w:p>
      <w:pPr>
        <w:ind w:left="300" w:right="720" w:hanging="189"/>
        <w:spacing w:after="0" w:line="239" w:lineRule="auto"/>
        <w:tabs>
          <w:tab w:leader="none" w:pos="300" w:val="left"/>
        </w:tabs>
        <w:numPr>
          <w:ilvl w:val="0"/>
          <w:numId w:val="13"/>
        </w:numPr>
        <w:rPr>
          <w:rFonts w:ascii="Arial" w:cs="Arial" w:eastAsia="Arial" w:hAnsi="Arial"/>
          <w:sz w:val="13"/>
          <w:szCs w:val="13"/>
          <w:color w:val="auto"/>
        </w:rPr>
      </w:pPr>
      <w:r>
        <w:rPr>
          <w:rFonts w:ascii="Arial" w:cs="Arial" w:eastAsia="Arial" w:hAnsi="Arial"/>
          <w:sz w:val="16"/>
          <w:szCs w:val="16"/>
          <w:color w:val="auto"/>
        </w:rPr>
        <w:t>As of December 31, 2019, the salary defined pension plan had plan assets greater than the projected benefit obligation and the accumulated benefit obligation.</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Information about expected cash flows for the Company’s pension and post-retirement benefit plans is as follows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00" w:type="dxa"/>
            <w:vAlign w:val="bottom"/>
          </w:tcPr>
          <w:p>
            <w:pPr>
              <w:jc w:val="center"/>
              <w:ind w:left="277"/>
              <w:spacing w:after="0"/>
              <w:rPr>
                <w:sz w:val="20"/>
                <w:szCs w:val="20"/>
                <w:color w:val="auto"/>
              </w:rPr>
            </w:pPr>
            <w:r>
              <w:rPr>
                <w:rFonts w:ascii="Arial" w:cs="Arial" w:eastAsia="Arial" w:hAnsi="Arial"/>
                <w:sz w:val="13"/>
                <w:szCs w:val="13"/>
                <w:b w:val="1"/>
                <w:bCs w:val="1"/>
                <w:color w:val="auto"/>
                <w:w w:val="98"/>
              </w:rPr>
              <w:t>Pension</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right"/>
              <w:ind w:right="365"/>
              <w:spacing w:after="0"/>
              <w:rPr>
                <w:sz w:val="20"/>
                <w:szCs w:val="20"/>
                <w:color w:val="auto"/>
              </w:rPr>
            </w:pPr>
            <w:r>
              <w:rPr>
                <w:rFonts w:ascii="Arial" w:cs="Arial" w:eastAsia="Arial" w:hAnsi="Arial"/>
                <w:sz w:val="13"/>
                <w:szCs w:val="13"/>
                <w:b w:val="1"/>
                <w:bCs w:val="1"/>
                <w:color w:val="auto"/>
              </w:rPr>
              <w:t>Post-retirement</w:t>
            </w:r>
          </w:p>
        </w:tc>
      </w:tr>
      <w:tr>
        <w:trPr>
          <w:trHeight w:val="153"/>
        </w:trPr>
        <w:tc>
          <w:tcPr>
            <w:tcW w:w="3740" w:type="dxa"/>
            <w:vAlign w:val="bottom"/>
            <w:tcBorders>
              <w:bottom w:val="single" w:sz="8" w:color="CFF0FC"/>
            </w:tcBorders>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center"/>
              <w:ind w:left="277"/>
              <w:spacing w:after="0"/>
              <w:rPr>
                <w:sz w:val="20"/>
                <w:szCs w:val="20"/>
                <w:color w:val="auto"/>
              </w:rPr>
            </w:pPr>
            <w:r>
              <w:rPr>
                <w:rFonts w:ascii="Arial" w:cs="Arial" w:eastAsia="Arial" w:hAnsi="Arial"/>
                <w:sz w:val="13"/>
                <w:szCs w:val="13"/>
                <w:b w:val="1"/>
                <w:bCs w:val="1"/>
                <w:color w:val="auto"/>
                <w:w w:val="97"/>
              </w:rPr>
              <w:t>Plans</w:t>
            </w: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585"/>
              <w:spacing w:after="0"/>
              <w:rPr>
                <w:sz w:val="20"/>
                <w:szCs w:val="20"/>
                <w:color w:val="auto"/>
              </w:rPr>
            </w:pPr>
            <w:r>
              <w:rPr>
                <w:rFonts w:ascii="Arial" w:cs="Arial" w:eastAsia="Arial" w:hAnsi="Arial"/>
                <w:sz w:val="13"/>
                <w:szCs w:val="13"/>
                <w:b w:val="1"/>
                <w:bCs w:val="1"/>
                <w:color w:val="auto"/>
              </w:rPr>
              <w:t>Benefits</w:t>
            </w:r>
          </w:p>
        </w:tc>
      </w:tr>
      <w:tr>
        <w:trPr>
          <w:trHeight w:val="180"/>
        </w:trPr>
        <w:tc>
          <w:tcPr>
            <w:tcW w:w="3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Employer Contributions:</w:t>
            </w:r>
          </w:p>
        </w:tc>
        <w:tc>
          <w:tcPr>
            <w:tcW w:w="40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188"/>
        </w:trPr>
        <w:tc>
          <w:tcPr>
            <w:tcW w:w="3740" w:type="dxa"/>
            <w:vAlign w:val="bottom"/>
          </w:tcPr>
          <w:p>
            <w:pPr>
              <w:spacing w:after="0"/>
              <w:rPr>
                <w:sz w:val="20"/>
                <w:szCs w:val="20"/>
                <w:color w:val="auto"/>
              </w:rPr>
            </w:pPr>
            <w:r>
              <w:rPr>
                <w:rFonts w:ascii="Arial" w:cs="Arial" w:eastAsia="Arial" w:hAnsi="Arial"/>
                <w:sz w:val="16"/>
                <w:szCs w:val="16"/>
                <w:color w:val="auto"/>
              </w:rPr>
              <w:t>2021 expected contributions</w:t>
            </w:r>
          </w:p>
        </w:tc>
        <w:tc>
          <w:tcPr>
            <w:tcW w:w="5200" w:type="dxa"/>
            <w:vAlign w:val="bottom"/>
            <w:gridSpan w:val="2"/>
          </w:tcPr>
          <w:p>
            <w:pPr>
              <w:jc w:val="right"/>
              <w:ind w:right="1037"/>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5"/>
              <w:spacing w:after="0"/>
              <w:rPr>
                <w:sz w:val="20"/>
                <w:szCs w:val="20"/>
                <w:color w:val="auto"/>
              </w:rPr>
            </w:pPr>
            <w:r>
              <w:rPr>
                <w:rFonts w:ascii="Arial" w:cs="Arial" w:eastAsia="Arial" w:hAnsi="Arial"/>
                <w:sz w:val="16"/>
                <w:szCs w:val="16"/>
                <w:color w:val="auto"/>
              </w:rPr>
              <w:t>3</w:t>
            </w:r>
          </w:p>
        </w:tc>
      </w:tr>
      <w:tr>
        <w:trPr>
          <w:trHeight w:val="188"/>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Expected Benefit Payments:</w:t>
            </w:r>
          </w:p>
        </w:tc>
        <w:tc>
          <w:tcPr>
            <w:tcW w:w="40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r>
      <w:tr>
        <w:trPr>
          <w:trHeight w:val="188"/>
        </w:trPr>
        <w:tc>
          <w:tcPr>
            <w:tcW w:w="3740" w:type="dxa"/>
            <w:vAlign w:val="bottom"/>
          </w:tcPr>
          <w:p>
            <w:pPr>
              <w:spacing w:after="0"/>
              <w:rPr>
                <w:sz w:val="20"/>
                <w:szCs w:val="20"/>
                <w:color w:val="auto"/>
              </w:rPr>
            </w:pPr>
            <w:r>
              <w:rPr>
                <w:rFonts w:ascii="Arial" w:cs="Arial" w:eastAsia="Arial" w:hAnsi="Arial"/>
                <w:sz w:val="16"/>
                <w:szCs w:val="16"/>
                <w:color w:val="auto"/>
              </w:rPr>
              <w:t>2021</w:t>
            </w:r>
          </w:p>
        </w:tc>
        <w:tc>
          <w:tcPr>
            <w:tcW w:w="4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65"/>
              <w:spacing w:after="0"/>
              <w:rPr>
                <w:sz w:val="20"/>
                <w:szCs w:val="20"/>
                <w:color w:val="auto"/>
              </w:rPr>
            </w:pPr>
            <w:r>
              <w:rPr>
                <w:rFonts w:ascii="Arial" w:cs="Arial" w:eastAsia="Arial" w:hAnsi="Arial"/>
                <w:sz w:val="16"/>
                <w:szCs w:val="16"/>
                <w:color w:val="auto"/>
              </w:rPr>
              <w:t>3</w:t>
            </w:r>
          </w:p>
        </w:tc>
      </w:tr>
      <w:tr>
        <w:trPr>
          <w:trHeight w:val="188"/>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40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4</w:t>
            </w:r>
          </w:p>
        </w:tc>
      </w:tr>
      <w:tr>
        <w:trPr>
          <w:trHeight w:val="188"/>
        </w:trPr>
        <w:tc>
          <w:tcPr>
            <w:tcW w:w="3740" w:type="dxa"/>
            <w:vAlign w:val="bottom"/>
          </w:tcPr>
          <w:p>
            <w:pPr>
              <w:spacing w:after="0"/>
              <w:rPr>
                <w:sz w:val="20"/>
                <w:szCs w:val="20"/>
                <w:color w:val="auto"/>
              </w:rPr>
            </w:pPr>
            <w:r>
              <w:rPr>
                <w:rFonts w:ascii="Arial" w:cs="Arial" w:eastAsia="Arial" w:hAnsi="Arial"/>
                <w:sz w:val="16"/>
                <w:szCs w:val="16"/>
                <w:color w:val="auto"/>
              </w:rPr>
              <w:t>2023</w:t>
            </w:r>
          </w:p>
        </w:tc>
        <w:tc>
          <w:tcPr>
            <w:tcW w:w="4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65"/>
              <w:spacing w:after="0"/>
              <w:rPr>
                <w:sz w:val="20"/>
                <w:szCs w:val="20"/>
                <w:color w:val="auto"/>
              </w:rPr>
            </w:pPr>
            <w:r>
              <w:rPr>
                <w:rFonts w:ascii="Arial" w:cs="Arial" w:eastAsia="Arial" w:hAnsi="Arial"/>
                <w:sz w:val="16"/>
                <w:szCs w:val="16"/>
                <w:color w:val="auto"/>
              </w:rPr>
              <w:t>4</w:t>
            </w:r>
          </w:p>
        </w:tc>
      </w:tr>
      <w:tr>
        <w:trPr>
          <w:trHeight w:val="188"/>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40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4</w:t>
            </w:r>
          </w:p>
        </w:tc>
      </w:tr>
      <w:tr>
        <w:trPr>
          <w:trHeight w:val="188"/>
        </w:trPr>
        <w:tc>
          <w:tcPr>
            <w:tcW w:w="3740" w:type="dxa"/>
            <w:vAlign w:val="bottom"/>
          </w:tcPr>
          <w:p>
            <w:pPr>
              <w:spacing w:after="0"/>
              <w:rPr>
                <w:sz w:val="20"/>
                <w:szCs w:val="20"/>
                <w:color w:val="auto"/>
              </w:rPr>
            </w:pPr>
            <w:r>
              <w:rPr>
                <w:rFonts w:ascii="Arial" w:cs="Arial" w:eastAsia="Arial" w:hAnsi="Arial"/>
                <w:sz w:val="16"/>
                <w:szCs w:val="16"/>
                <w:color w:val="auto"/>
              </w:rPr>
              <w:t>2025</w:t>
            </w:r>
          </w:p>
        </w:tc>
        <w:tc>
          <w:tcPr>
            <w:tcW w:w="4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65"/>
              <w:spacing w:after="0"/>
              <w:rPr>
                <w:sz w:val="20"/>
                <w:szCs w:val="20"/>
                <w:color w:val="auto"/>
              </w:rPr>
            </w:pPr>
            <w:r>
              <w:rPr>
                <w:rFonts w:ascii="Arial" w:cs="Arial" w:eastAsia="Arial" w:hAnsi="Arial"/>
                <w:sz w:val="16"/>
                <w:szCs w:val="16"/>
                <w:color w:val="auto"/>
              </w:rPr>
              <w:t>4</w:t>
            </w:r>
          </w:p>
        </w:tc>
      </w:tr>
      <w:tr>
        <w:trPr>
          <w:trHeight w:val="188"/>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2026-2030</w:t>
            </w:r>
          </w:p>
        </w:tc>
        <w:tc>
          <w:tcPr>
            <w:tcW w:w="40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68</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23</w:t>
            </w:r>
          </w:p>
        </w:tc>
      </w:tr>
      <w:tr>
        <w:trPr>
          <w:trHeight w:val="731"/>
        </w:trPr>
        <w:tc>
          <w:tcPr>
            <w:tcW w:w="3740" w:type="dxa"/>
            <w:vAlign w:val="bottom"/>
          </w:tcPr>
          <w:p>
            <w:pPr>
              <w:spacing w:after="0"/>
              <w:rPr>
                <w:sz w:val="24"/>
                <w:szCs w:val="24"/>
                <w:color w:val="auto"/>
              </w:rPr>
            </w:pPr>
          </w:p>
        </w:tc>
        <w:tc>
          <w:tcPr>
            <w:tcW w:w="4000" w:type="dxa"/>
            <w:vAlign w:val="bottom"/>
          </w:tcPr>
          <w:p>
            <w:pPr>
              <w:jc w:val="right"/>
              <w:ind w:right="1942"/>
              <w:spacing w:after="0"/>
              <w:rPr>
                <w:sz w:val="20"/>
                <w:szCs w:val="20"/>
                <w:color w:val="auto"/>
              </w:rPr>
            </w:pPr>
            <w:r>
              <w:rPr>
                <w:rFonts w:ascii="Arial" w:cs="Arial" w:eastAsia="Arial" w:hAnsi="Arial"/>
                <w:sz w:val="16"/>
                <w:szCs w:val="16"/>
                <w:color w:val="auto"/>
              </w:rPr>
              <w:t>83</w:t>
            </w: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3"/>
        </w:trPr>
        <w:tc>
          <w:tcPr>
            <w:tcW w:w="3740" w:type="dxa"/>
            <w:vAlign w:val="bottom"/>
            <w:tcBorders>
              <w:bottom w:val="single" w:sz="8" w:color="9A9A9A"/>
            </w:tcBorders>
          </w:tcPr>
          <w:p>
            <w:pPr>
              <w:spacing w:after="0"/>
              <w:rPr>
                <w:sz w:val="7"/>
                <w:szCs w:val="7"/>
                <w:color w:val="auto"/>
              </w:rPr>
            </w:pPr>
          </w:p>
        </w:tc>
        <w:tc>
          <w:tcPr>
            <w:tcW w:w="4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jc w:val="both"/>
        <w:ind w:right="220" w:firstLine="522"/>
        <w:spacing w:after="0" w:line="247" w:lineRule="auto"/>
        <w:rPr>
          <w:sz w:val="20"/>
          <w:szCs w:val="20"/>
          <w:color w:val="auto"/>
        </w:rPr>
      </w:pPr>
      <w:r>
        <w:rPr>
          <w:rFonts w:ascii="Arial" w:cs="Arial" w:eastAsia="Arial" w:hAnsi="Arial"/>
          <w:sz w:val="16"/>
          <w:szCs w:val="16"/>
          <w:color w:val="auto"/>
        </w:rPr>
        <w:t>Expected benefit payments for pension and post-retirement benefits will be paid from plan trusts or corporate assets. The Company’s funding policy is to contribute amounts annually that are at least equal to the amounts required by applicable laws and regulations or to directly fund payments to plan participants. Additional discretionary contributions will be made when deemed appropriate to meet the Company’s long-term obligation to the plans.</w:t>
      </w:r>
    </w:p>
    <w:p>
      <w:pPr>
        <w:spacing w:after="0" w:line="101" w:lineRule="exact"/>
        <w:rPr>
          <w:sz w:val="20"/>
          <w:szCs w:val="20"/>
          <w:color w:val="auto"/>
        </w:rPr>
      </w:pPr>
    </w:p>
    <w:p>
      <w:pPr>
        <w:ind w:right="60" w:firstLine="522"/>
        <w:spacing w:after="0" w:line="235" w:lineRule="auto"/>
        <w:rPr>
          <w:sz w:val="20"/>
          <w:szCs w:val="20"/>
          <w:color w:val="auto"/>
        </w:rPr>
      </w:pPr>
      <w:r>
        <w:rPr>
          <w:rFonts w:ascii="Arial" w:cs="Arial" w:eastAsia="Arial" w:hAnsi="Arial"/>
          <w:sz w:val="16"/>
          <w:szCs w:val="16"/>
          <w:color w:val="auto"/>
        </w:rPr>
        <w:t>The Company maintains a non-qualified deferred compensation plan (“Deferred Compensation Plan”) for a select group of management. Under the terms of the plan, the Company has utilized a rabbi trust to accumulate assets to fund its promise to pay benefits under the Deferred Compensation Plan. The rabbi trust is an irrevocable trust, which restricts any use of funds (operational or otherwise) by the Company other than to pay benefits under the Deferred Compensation Plan, and prevents immediate taxation of contributed amounts. Funds are accumulated through both employee deferrals and a Company match. Funds can be invested by the employee into a diversified group of investment options, which have been selected by the Company’s investment committee, that are all categorized as Level 1 in the fair value hierarchy. The Company match resulted in no charge to the Consolidated Statements of Comprehensive Income for any of the years ended December 31, 2020, 2019 and 2018, and the fair value of the rabbi trust plan assets and deferred compensation obligation was $17 million and $12 million as of December 31, 2020 and 2019,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INCOME TAXES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Income before income taxes included the following (dollars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6"/>
              </w:rPr>
              <w:t>Years ended December 31,</w:t>
            </w: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6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47"/>
              <w:spacing w:after="0" w:line="144" w:lineRule="exact"/>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324"/>
              <w:spacing w:after="0" w:line="144" w:lineRule="exact"/>
              <w:rPr>
                <w:sz w:val="20"/>
                <w:szCs w:val="20"/>
                <w:color w:val="auto"/>
              </w:rPr>
            </w:pPr>
            <w:r>
              <w:rPr>
                <w:rFonts w:ascii="Arial" w:cs="Arial" w:eastAsia="Arial" w:hAnsi="Arial"/>
                <w:sz w:val="13"/>
                <w:szCs w:val="13"/>
                <w:b w:val="1"/>
                <w:bCs w:val="1"/>
                <w:color w:val="auto"/>
                <w:w w:val="96"/>
              </w:rPr>
              <w:t>2019</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4"/>
              <w:spacing w:after="0" w:line="144"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80"/>
        </w:trPr>
        <w:tc>
          <w:tcPr>
            <w:tcW w:w="66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U.S. income</w:t>
            </w:r>
          </w:p>
        </w:tc>
        <w:tc>
          <w:tcPr>
            <w:tcW w:w="920" w:type="dxa"/>
            <w:vAlign w:val="bottom"/>
            <w:shd w:val="clear" w:color="auto" w:fill="CFF0FC"/>
          </w:tcPr>
          <w:p>
            <w:pPr>
              <w:jc w:val="right"/>
              <w:ind w:right="747"/>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364</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24"/>
              <w:spacing w:after="0" w:line="180" w:lineRule="exact"/>
              <w:rPr>
                <w:sz w:val="20"/>
                <w:szCs w:val="20"/>
                <w:color w:val="auto"/>
              </w:rPr>
            </w:pPr>
            <w:r>
              <w:rPr>
                <w:rFonts w:ascii="Arial" w:cs="Arial" w:eastAsia="Arial" w:hAnsi="Arial"/>
                <w:sz w:val="16"/>
                <w:szCs w:val="16"/>
                <w:color w:val="auto"/>
              </w:rPr>
              <w:t>712</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188"/>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Foreign income</w:t>
            </w: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29</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56</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0"/>
        </w:trPr>
        <w:tc>
          <w:tcPr>
            <w:tcW w:w="666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FF0FC"/>
          </w:tcPr>
          <w:p>
            <w:pPr>
              <w:jc w:val="right"/>
              <w:ind w:right="747"/>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393</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24"/>
              <w:spacing w:after="0" w:line="180" w:lineRule="exact"/>
              <w:rPr>
                <w:sz w:val="20"/>
                <w:szCs w:val="20"/>
                <w:color w:val="auto"/>
              </w:rPr>
            </w:pPr>
            <w:r>
              <w:rPr>
                <w:rFonts w:ascii="Arial" w:cs="Arial" w:eastAsia="Arial" w:hAnsi="Arial"/>
                <w:sz w:val="16"/>
                <w:szCs w:val="16"/>
                <w:color w:val="auto"/>
              </w:rPr>
              <w:t>768</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520"/>
              <w:spacing w:after="0"/>
              <w:rPr>
                <w:sz w:val="20"/>
                <w:szCs w:val="20"/>
                <w:color w:val="auto"/>
              </w:rPr>
            </w:pPr>
            <w:r>
              <w:rPr>
                <w:rFonts w:ascii="Arial" w:cs="Arial" w:eastAsia="Arial" w:hAnsi="Arial"/>
                <w:sz w:val="16"/>
                <w:szCs w:val="16"/>
                <w:color w:val="auto"/>
              </w:rPr>
              <w:t>The provision for income tax expense was estimated as follows (dollars in millions):</w:t>
            </w: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66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6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6"/>
              </w:rPr>
              <w:t>Years ended December 31,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6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47"/>
              <w:spacing w:after="0" w:line="144" w:lineRule="exact"/>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324"/>
              <w:spacing w:after="0" w:line="144" w:lineRule="exact"/>
              <w:rPr>
                <w:sz w:val="20"/>
                <w:szCs w:val="20"/>
                <w:color w:val="auto"/>
              </w:rPr>
            </w:pPr>
            <w:r>
              <w:rPr>
                <w:rFonts w:ascii="Arial" w:cs="Arial" w:eastAsia="Arial" w:hAnsi="Arial"/>
                <w:sz w:val="13"/>
                <w:szCs w:val="13"/>
                <w:b w:val="1"/>
                <w:bCs w:val="1"/>
                <w:color w:val="auto"/>
                <w:w w:val="96"/>
              </w:rPr>
              <w:t>2019</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4"/>
              <w:spacing w:after="0" w:line="144"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80"/>
        </w:trPr>
        <w:tc>
          <w:tcPr>
            <w:tcW w:w="66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Estimated current income taxes:</w:t>
            </w:r>
          </w:p>
        </w:tc>
        <w:tc>
          <w:tcPr>
            <w:tcW w:w="9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660" w:type="dxa"/>
            <w:vAlign w:val="bottom"/>
          </w:tcPr>
          <w:p>
            <w:pPr>
              <w:ind w:left="200"/>
              <w:spacing w:after="0"/>
              <w:rPr>
                <w:sz w:val="20"/>
                <w:szCs w:val="20"/>
                <w:color w:val="auto"/>
              </w:rPr>
            </w:pPr>
            <w:r>
              <w:rPr>
                <w:rFonts w:ascii="Arial" w:cs="Arial" w:eastAsia="Arial" w:hAnsi="Arial"/>
                <w:sz w:val="16"/>
                <w:szCs w:val="16"/>
                <w:color w:val="auto"/>
              </w:rPr>
              <w:t>U.S. federal</w:t>
            </w:r>
          </w:p>
        </w:tc>
        <w:tc>
          <w:tcPr>
            <w:tcW w:w="920" w:type="dxa"/>
            <w:vAlign w:val="bottom"/>
          </w:tcPr>
          <w:p>
            <w:pPr>
              <w:jc w:val="right"/>
              <w:ind w:right="747"/>
              <w:spacing w:after="0"/>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ind w:right="42"/>
              <w:spacing w:after="0"/>
              <w:rPr>
                <w:sz w:val="20"/>
                <w:szCs w:val="20"/>
                <w:color w:val="auto"/>
              </w:rPr>
            </w:pPr>
            <w:r>
              <w:rPr>
                <w:rFonts w:ascii="Arial" w:cs="Arial" w:eastAsia="Arial" w:hAnsi="Arial"/>
                <w:sz w:val="16"/>
                <w:szCs w:val="16"/>
                <w:b w:val="1"/>
                <w:bCs w:val="1"/>
                <w:color w:val="auto"/>
              </w:rPr>
              <w:t>18</w:t>
            </w:r>
          </w:p>
        </w:tc>
        <w:tc>
          <w:tcPr>
            <w:tcW w:w="46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75</w:t>
            </w:r>
          </w:p>
        </w:tc>
        <w:tc>
          <w:tcPr>
            <w:tcW w:w="1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w:t>
            </w: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6</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8"/>
        </w:trPr>
        <w:tc>
          <w:tcPr>
            <w:tcW w:w="66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U.S. state and local</w:t>
            </w: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11</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0"/>
        </w:trPr>
        <w:tc>
          <w:tcPr>
            <w:tcW w:w="666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Total Current</w:t>
            </w:r>
          </w:p>
        </w:tc>
        <w:tc>
          <w:tcPr>
            <w:tcW w:w="92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25</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4"/>
              <w:spacing w:after="0" w:line="180" w:lineRule="exact"/>
              <w:rPr>
                <w:sz w:val="20"/>
                <w:szCs w:val="20"/>
                <w:color w:val="auto"/>
              </w:rPr>
            </w:pPr>
            <w:r>
              <w:rPr>
                <w:rFonts w:ascii="Arial" w:cs="Arial" w:eastAsia="Arial" w:hAnsi="Arial"/>
                <w:sz w:val="16"/>
                <w:szCs w:val="16"/>
                <w:color w:val="auto"/>
              </w:rPr>
              <w:t>99</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88"/>
        </w:trPr>
        <w:tc>
          <w:tcPr>
            <w:tcW w:w="6660" w:type="dxa"/>
            <w:vAlign w:val="bottom"/>
          </w:tcPr>
          <w:p>
            <w:pPr>
              <w:spacing w:after="0"/>
              <w:rPr>
                <w:sz w:val="20"/>
                <w:szCs w:val="20"/>
                <w:color w:val="auto"/>
              </w:rPr>
            </w:pPr>
            <w:r>
              <w:rPr>
                <w:rFonts w:ascii="Arial" w:cs="Arial" w:eastAsia="Arial" w:hAnsi="Arial"/>
                <w:sz w:val="16"/>
                <w:szCs w:val="16"/>
                <w:color w:val="auto"/>
              </w:rPr>
              <w:t>Deferred income tax expense, net:</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federal</w:t>
            </w: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61</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58</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8"/>
        </w:trPr>
        <w:tc>
          <w:tcPr>
            <w:tcW w:w="6660" w:type="dxa"/>
            <w:vAlign w:val="bottom"/>
          </w:tcPr>
          <w:p>
            <w:pPr>
              <w:ind w:left="200"/>
              <w:spacing w:after="0"/>
              <w:rPr>
                <w:sz w:val="20"/>
                <w:szCs w:val="20"/>
                <w:color w:val="auto"/>
              </w:rPr>
            </w:pPr>
            <w:r>
              <w:rPr>
                <w:rFonts w:ascii="Arial" w:cs="Arial" w:eastAsia="Arial" w:hAnsi="Arial"/>
                <w:sz w:val="16"/>
                <w:szCs w:val="16"/>
                <w:color w:val="auto"/>
              </w:rPr>
              <w:t>Foreign</w:t>
            </w:r>
          </w:p>
        </w:tc>
        <w:tc>
          <w:tcPr>
            <w:tcW w:w="920" w:type="dxa"/>
            <w:vAlign w:val="bottom"/>
          </w:tcPr>
          <w:p>
            <w:pPr>
              <w:spacing w:after="0"/>
              <w:rPr>
                <w:sz w:val="16"/>
                <w:szCs w:val="16"/>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state and local</w:t>
            </w:r>
          </w:p>
        </w:tc>
        <w:tc>
          <w:tcPr>
            <w:tcW w:w="92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7</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rPr>
              <w:t>7</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0"/>
        </w:trPr>
        <w:tc>
          <w:tcPr>
            <w:tcW w:w="6660" w:type="dxa"/>
            <w:vAlign w:val="bottom"/>
            <w:tcBorders>
              <w:bottom w:val="single" w:sz="8" w:color="CFF0FC"/>
            </w:tcBorders>
          </w:tcPr>
          <w:p>
            <w:pPr>
              <w:ind w:left="420"/>
              <w:spacing w:after="0" w:line="180" w:lineRule="exact"/>
              <w:rPr>
                <w:sz w:val="20"/>
                <w:szCs w:val="20"/>
                <w:color w:val="auto"/>
              </w:rPr>
            </w:pPr>
            <w:r>
              <w:rPr>
                <w:rFonts w:ascii="Arial" w:cs="Arial" w:eastAsia="Arial" w:hAnsi="Arial"/>
                <w:sz w:val="16"/>
                <w:szCs w:val="16"/>
                <w:color w:val="auto"/>
              </w:rPr>
              <w:t>Total Deferred</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69</w:t>
            </w: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4"/>
              <w:spacing w:after="0" w:line="180" w:lineRule="exact"/>
              <w:rPr>
                <w:sz w:val="20"/>
                <w:szCs w:val="20"/>
                <w:color w:val="auto"/>
              </w:rPr>
            </w:pPr>
            <w:r>
              <w:rPr>
                <w:rFonts w:ascii="Arial" w:cs="Arial" w:eastAsia="Arial" w:hAnsi="Arial"/>
                <w:sz w:val="16"/>
                <w:szCs w:val="16"/>
                <w:color w:val="auto"/>
              </w:rPr>
              <w:t>65</w:t>
            </w: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
              <w:spacing w:after="0" w:line="180"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0"/>
        </w:trPr>
        <w:tc>
          <w:tcPr>
            <w:tcW w:w="66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income tax expense</w:t>
            </w:r>
          </w:p>
        </w:tc>
        <w:tc>
          <w:tcPr>
            <w:tcW w:w="920" w:type="dxa"/>
            <w:vAlign w:val="bottom"/>
            <w:tcBorders>
              <w:bottom w:val="single" w:sz="8" w:color="auto"/>
            </w:tcBorders>
            <w:shd w:val="clear" w:color="auto" w:fill="CFF0FC"/>
          </w:tcPr>
          <w:p>
            <w:pPr>
              <w:jc w:val="right"/>
              <w:ind w:right="747"/>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94</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24"/>
              <w:spacing w:after="0" w:line="180" w:lineRule="exact"/>
              <w:rPr>
                <w:sz w:val="20"/>
                <w:szCs w:val="20"/>
                <w:color w:val="auto"/>
              </w:rPr>
            </w:pPr>
            <w:r>
              <w:rPr>
                <w:rFonts w:ascii="Arial" w:cs="Arial" w:eastAsia="Arial" w:hAnsi="Arial"/>
                <w:sz w:val="16"/>
                <w:szCs w:val="16"/>
                <w:color w:val="auto"/>
              </w:rPr>
              <w:t>164</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right="160" w:firstLine="522"/>
        <w:spacing w:after="0" w:line="241" w:lineRule="auto"/>
        <w:rPr>
          <w:sz w:val="20"/>
          <w:szCs w:val="20"/>
          <w:color w:val="auto"/>
        </w:rPr>
      </w:pPr>
      <w:r>
        <w:rPr>
          <w:rFonts w:ascii="Arial" w:cs="Arial" w:eastAsia="Arial" w:hAnsi="Arial"/>
          <w:sz w:val="16"/>
          <w:szCs w:val="16"/>
          <w:color w:val="auto"/>
        </w:rPr>
        <w:t>On December 22, 2017, the United States Securities and Exchange Commission (“SEC”) issued Staff Accounting Bulletin No. 118 (“SAB 118”), which provided guidance on accounting for the tax effects of the U.S. Tax Cuts and Jobs Act. The Company recognized the income tax effects of the U.S. Tax Cuts and Jobs Act for the year ended December 31, 2017, the reporting period in which it was signed into law, in accordance with SAB 118. As of December 31, 2018, the Company has completed its accounting for the tax effects of the U.S. Tax Cuts and Jobs Act.</w:t>
      </w:r>
    </w:p>
    <w:p>
      <w:pPr>
        <w:spacing w:after="0" w:line="106" w:lineRule="exact"/>
        <w:rPr>
          <w:sz w:val="20"/>
          <w:szCs w:val="20"/>
          <w:color w:val="auto"/>
        </w:rPr>
      </w:pPr>
    </w:p>
    <w:p>
      <w:pPr>
        <w:jc w:val="both"/>
        <w:ind w:right="100" w:firstLine="522"/>
        <w:spacing w:after="0" w:line="247" w:lineRule="auto"/>
        <w:rPr>
          <w:sz w:val="20"/>
          <w:szCs w:val="20"/>
          <w:color w:val="auto"/>
        </w:rPr>
      </w:pPr>
      <w:r>
        <w:rPr>
          <w:rFonts w:ascii="Arial" w:cs="Arial" w:eastAsia="Arial" w:hAnsi="Arial"/>
          <w:sz w:val="16"/>
          <w:szCs w:val="16"/>
          <w:color w:val="auto"/>
        </w:rPr>
        <w:t>During the year ended December 31, 2018, the Company finalized its accounting for the enactment of the U.S. Tax Cuts and Jobs Act which resulted in a deferred tax benefit of $160 million related to the re-measurement of certain deferred tax assets and liabilities and $6 million of tax expense in connection with the transition tax on the mandatory deemed repatriation of foreign earnings and profits for a total net benefit of $154 million. The change in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total net benefit of $2 million was incorporated into the Company’s income tax expense for the year ended December 31, 2018. The Company concluded that no material adjustments were required from the previous reasonable estimate related to the U.S. Tax Cuts and Jobs Act.</w:t>
      </w:r>
    </w:p>
    <w:p>
      <w:pPr>
        <w:spacing w:after="0" w:line="87" w:lineRule="exact"/>
        <w:rPr>
          <w:sz w:val="20"/>
          <w:szCs w:val="20"/>
          <w:color w:val="auto"/>
        </w:rPr>
      </w:pPr>
    </w:p>
    <w:p>
      <w:pPr>
        <w:ind w:right="20" w:firstLine="522"/>
        <w:spacing w:after="0" w:line="237" w:lineRule="auto"/>
        <w:rPr>
          <w:sz w:val="20"/>
          <w:szCs w:val="20"/>
          <w:color w:val="auto"/>
        </w:rPr>
      </w:pPr>
      <w:r>
        <w:rPr>
          <w:rFonts w:ascii="Arial" w:cs="Arial" w:eastAsia="Arial" w:hAnsi="Arial"/>
          <w:sz w:val="16"/>
          <w:szCs w:val="16"/>
          <w:color w:val="auto"/>
        </w:rPr>
        <w:t>On March 27, 2020, the Coronavirus Aid, Relief, and Economic Security Act (the “CARES Act”) was signed into law making several changes to the U.S. tax code. The changes include, but are not limited to, increasing the threshold on the amount of deductible interest expense, allowing companies to carryback certain net operating losses, increasing the amount of net operating loss carryforwards that corporations can use to offset taxable income, and making technical changes related to the accounting of qualified improvement property. Some of the tax law changes included in the CARES Act are retroactive. The Company has reviewed and incorporated the applicable changes related to its provision for income taxes for the year ended December 31, 2020 and the effects, both individually and in the aggregate, are not material at this time.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reconciliation of the provision for income tax expense compared with the amounts at the U.S. federal statutory rate is as follows (dollars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7"/>
              </w:rPr>
              <w:t>Years ended December 31,</w:t>
            </w: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44"/>
        </w:trPr>
        <w:tc>
          <w:tcPr>
            <w:tcW w:w="666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ind w:right="107"/>
              <w:spacing w:after="0" w:line="144" w:lineRule="exact"/>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3"/>
              <w:spacing w:after="0" w:line="14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3"/>
              <w:spacing w:after="0" w:line="144" w:lineRule="exact"/>
              <w:rPr>
                <w:sz w:val="20"/>
                <w:szCs w:val="20"/>
                <w:color w:val="auto"/>
              </w:rPr>
            </w:pPr>
            <w:r>
              <w:rPr>
                <w:rFonts w:ascii="Arial" w:cs="Arial" w:eastAsia="Arial" w:hAnsi="Arial"/>
                <w:sz w:val="13"/>
                <w:szCs w:val="13"/>
                <w:b w:val="1"/>
                <w:bCs w:val="1"/>
                <w:color w:val="auto"/>
              </w:rPr>
              <w:t>2018</w:t>
            </w:r>
          </w:p>
        </w:tc>
      </w:tr>
      <w:tr>
        <w:trPr>
          <w:trHeight w:val="180"/>
        </w:trPr>
        <w:tc>
          <w:tcPr>
            <w:tcW w:w="66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Tax at U.S. statutory income tax rate</w:t>
            </w:r>
          </w:p>
        </w:tc>
        <w:tc>
          <w:tcPr>
            <w:tcW w:w="980" w:type="dxa"/>
            <w:vAlign w:val="bottom"/>
            <w:shd w:val="clear" w:color="auto" w:fill="CFF0FC"/>
          </w:tcPr>
          <w:p>
            <w:pPr>
              <w:jc w:val="right"/>
              <w:ind w:right="807"/>
              <w:spacing w:after="0" w:line="180" w:lineRule="exact"/>
              <w:rPr>
                <w:sz w:val="20"/>
                <w:szCs w:val="20"/>
                <w:color w:val="auto"/>
              </w:rPr>
            </w:pPr>
            <w:r>
              <w:rPr>
                <w:rFonts w:ascii="Arial" w:cs="Arial" w:eastAsia="Arial" w:hAnsi="Arial"/>
                <w:sz w:val="16"/>
                <w:szCs w:val="16"/>
                <w:b w:val="1"/>
                <w:bCs w:val="1"/>
                <w:color w:val="auto"/>
                <w:w w:val="89"/>
              </w:rPr>
              <w:t>$</w:t>
            </w:r>
          </w:p>
        </w:tc>
        <w:tc>
          <w:tcPr>
            <w:tcW w:w="4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82</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161</w:t>
            </w: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42"/>
              <w:spacing w:after="0" w:line="180" w:lineRule="exact"/>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63"/>
              <w:spacing w:after="0" w:line="180" w:lineRule="exact"/>
              <w:rPr>
                <w:sz w:val="20"/>
                <w:szCs w:val="20"/>
                <w:color w:val="auto"/>
              </w:rPr>
            </w:pPr>
            <w:r>
              <w:rPr>
                <w:rFonts w:ascii="Arial" w:cs="Arial" w:eastAsia="Arial" w:hAnsi="Arial"/>
                <w:sz w:val="16"/>
                <w:szCs w:val="16"/>
                <w:color w:val="auto"/>
              </w:rPr>
              <w:t>169</w:t>
            </w:r>
          </w:p>
        </w:tc>
      </w:tr>
      <w:tr>
        <w:trPr>
          <w:trHeight w:val="188"/>
        </w:trPr>
        <w:tc>
          <w:tcPr>
            <w:tcW w:w="6660" w:type="dxa"/>
            <w:vAlign w:val="bottom"/>
          </w:tcPr>
          <w:p>
            <w:pPr>
              <w:spacing w:after="0"/>
              <w:rPr>
                <w:sz w:val="20"/>
                <w:szCs w:val="20"/>
                <w:color w:val="auto"/>
              </w:rPr>
            </w:pPr>
            <w:r>
              <w:rPr>
                <w:rFonts w:ascii="Arial" w:cs="Arial" w:eastAsia="Arial" w:hAnsi="Arial"/>
                <w:sz w:val="16"/>
                <w:szCs w:val="16"/>
                <w:color w:val="auto"/>
              </w:rPr>
              <w:t>State tax expense</w:t>
            </w:r>
          </w:p>
        </w:tc>
        <w:tc>
          <w:tcPr>
            <w:tcW w:w="98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10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15</w:t>
            </w: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Effect of tax rate changes</w:t>
            </w:r>
          </w:p>
        </w:tc>
        <w:tc>
          <w:tcPr>
            <w:tcW w:w="98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5</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(4)</w:t>
            </w:r>
          </w:p>
        </w:tc>
      </w:tr>
      <w:tr>
        <w:trPr>
          <w:trHeight w:val="188"/>
        </w:trPr>
        <w:tc>
          <w:tcPr>
            <w:tcW w:w="6660" w:type="dxa"/>
            <w:vAlign w:val="bottom"/>
          </w:tcPr>
          <w:p>
            <w:pPr>
              <w:spacing w:after="0"/>
              <w:rPr>
                <w:sz w:val="20"/>
                <w:szCs w:val="20"/>
                <w:color w:val="auto"/>
              </w:rPr>
            </w:pPr>
            <w:r>
              <w:rPr>
                <w:rFonts w:ascii="Arial" w:cs="Arial" w:eastAsia="Arial" w:hAnsi="Arial"/>
                <w:sz w:val="16"/>
                <w:szCs w:val="16"/>
                <w:color w:val="auto"/>
              </w:rPr>
              <w:t>Tax credits</w:t>
            </w:r>
          </w:p>
        </w:tc>
        <w:tc>
          <w:tcPr>
            <w:tcW w:w="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(3)</w:t>
            </w: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Non-deductible expenses</w:t>
            </w:r>
          </w:p>
        </w:tc>
        <w:tc>
          <w:tcPr>
            <w:tcW w:w="98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(9)</w:t>
            </w:r>
          </w:p>
        </w:tc>
      </w:tr>
      <w:tr>
        <w:trPr>
          <w:trHeight w:val="188"/>
        </w:trPr>
        <w:tc>
          <w:tcPr>
            <w:tcW w:w="6660" w:type="dxa"/>
            <w:vAlign w:val="bottom"/>
          </w:tcPr>
          <w:p>
            <w:pPr>
              <w:spacing w:after="0"/>
              <w:rPr>
                <w:sz w:val="20"/>
                <w:szCs w:val="20"/>
                <w:color w:val="auto"/>
              </w:rPr>
            </w:pPr>
            <w:r>
              <w:rPr>
                <w:rFonts w:ascii="Arial" w:cs="Arial" w:eastAsia="Arial" w:hAnsi="Arial"/>
                <w:sz w:val="16"/>
                <w:szCs w:val="16"/>
                <w:color w:val="auto"/>
              </w:rPr>
              <w:t>Valuation allowance</w:t>
            </w:r>
          </w:p>
        </w:tc>
        <w:tc>
          <w:tcPr>
            <w:tcW w:w="98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2</w:t>
            </w: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Foreign rate differential</w:t>
            </w:r>
          </w:p>
        </w:tc>
        <w:tc>
          <w:tcPr>
            <w:tcW w:w="98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(4)</w:t>
            </w:r>
          </w:p>
        </w:tc>
      </w:tr>
      <w:tr>
        <w:trPr>
          <w:trHeight w:val="188"/>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adjustments</w:t>
            </w: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r>
      <w:tr>
        <w:trPr>
          <w:trHeight w:val="180"/>
        </w:trPr>
        <w:tc>
          <w:tcPr>
            <w:tcW w:w="666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income tax expense</w:t>
            </w:r>
          </w:p>
        </w:tc>
        <w:tc>
          <w:tcPr>
            <w:tcW w:w="980" w:type="dxa"/>
            <w:vAlign w:val="bottom"/>
            <w:tcBorders>
              <w:bottom w:val="single" w:sz="8" w:color="auto"/>
            </w:tcBorders>
            <w:shd w:val="clear" w:color="auto" w:fill="CFF0FC"/>
          </w:tcPr>
          <w:p>
            <w:pPr>
              <w:jc w:val="right"/>
              <w:ind w:right="807"/>
              <w:spacing w:after="0" w:line="180" w:lineRule="exact"/>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94</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164</w:t>
            </w:r>
          </w:p>
        </w:tc>
        <w:tc>
          <w:tcPr>
            <w:tcW w:w="8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42"/>
              <w:spacing w:after="0" w:line="180"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ind w:right="63"/>
              <w:spacing w:after="0" w:line="180" w:lineRule="exact"/>
              <w:rPr>
                <w:sz w:val="20"/>
                <w:szCs w:val="20"/>
                <w:color w:val="auto"/>
              </w:rPr>
            </w:pPr>
            <w:r>
              <w:rPr>
                <w:rFonts w:ascii="Arial" w:cs="Arial" w:eastAsia="Arial" w:hAnsi="Arial"/>
                <w:sz w:val="16"/>
                <w:szCs w:val="16"/>
                <w:color w:val="auto"/>
              </w:rPr>
              <w:t>166</w:t>
            </w:r>
          </w:p>
        </w:tc>
      </w:tr>
      <w:tr>
        <w:trPr>
          <w:trHeight w:val="20"/>
        </w:trPr>
        <w:tc>
          <w:tcPr>
            <w:tcW w:w="6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effective tax rate for the years ended December 31, 2020 and 2019 was 24% and 21%.</w:t>
      </w:r>
    </w:p>
    <w:p>
      <w:pPr>
        <w:spacing w:after="0" w:line="133" w:lineRule="exact"/>
        <w:rPr>
          <w:sz w:val="20"/>
          <w:szCs w:val="20"/>
          <w:color w:val="auto"/>
        </w:rPr>
      </w:pPr>
    </w:p>
    <w:p>
      <w:pPr>
        <w:ind w:right="100" w:firstLine="522"/>
        <w:spacing w:after="0" w:line="239" w:lineRule="auto"/>
        <w:rPr>
          <w:sz w:val="20"/>
          <w:szCs w:val="20"/>
          <w:color w:val="auto"/>
        </w:rPr>
      </w:pPr>
      <w:r>
        <w:rPr>
          <w:rFonts w:ascii="Arial" w:cs="Arial" w:eastAsia="Arial" w:hAnsi="Arial"/>
          <w:sz w:val="16"/>
          <w:szCs w:val="16"/>
          <w:color w:val="auto"/>
        </w:rPr>
        <w:t>Deferred income tax assets and liabilities as of December 31, 2020 and 2019 reflect the effect of temporary differences between amounts of assets, liabilities and equity for financial reporting purposes and the bases of such assets, liabilities and equity as measured by tax laws, as well as tax loss and tax credit carry forwards. Net deferred tax assets and liabilities are classified as non-current in the Consolidated Balance Sheets. As described above, the deferred tax assets and liabilities are measured based on the enacted tax rates that will apply in the years in which the temporary differences are expected to be recovered or paid.</w:t>
      </w:r>
    </w:p>
    <w:p>
      <w:pPr>
        <w:spacing w:after="0" w:line="105" w:lineRule="exact"/>
        <w:rPr>
          <w:sz w:val="20"/>
          <w:szCs w:val="20"/>
          <w:color w:val="auto"/>
        </w:rPr>
      </w:pPr>
    </w:p>
    <w:p>
      <w:pPr>
        <w:ind w:right="140" w:firstLine="522"/>
        <w:spacing w:after="0" w:line="241" w:lineRule="auto"/>
        <w:rPr>
          <w:sz w:val="20"/>
          <w:szCs w:val="20"/>
          <w:color w:val="auto"/>
        </w:rPr>
      </w:pPr>
      <w:r>
        <w:rPr>
          <w:rFonts w:ascii="Arial" w:cs="Arial" w:eastAsia="Arial" w:hAnsi="Arial"/>
          <w:sz w:val="16"/>
          <w:szCs w:val="16"/>
          <w:color w:val="auto"/>
        </w:rPr>
        <w:t>The Company has not recognized any deferred tax liabilities associated with earnings in foreign subsidiaries, except for its subsidiary located in China, as they are intended to be permanently reinvested and used to support foreign operations or have no associated tax requirements. As of December 31, 2020, the Company has recorded a deferred tax liability of $3 million for the tax liability associated with the remittance of previously taxed income and unremitted earnings for its subsidiary located in China.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Temporary differences and carryforwards that gave rise to deferred tax assets and liabilities included the following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As of December 31</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jc w:val="right"/>
              <w:ind w:right="423"/>
              <w:spacing w:after="0"/>
              <w:rPr>
                <w:sz w:val="20"/>
                <w:szCs w:val="20"/>
                <w:color w:val="auto"/>
              </w:rPr>
            </w:pPr>
            <w:r>
              <w:rPr>
                <w:rFonts w:ascii="Arial" w:cs="Arial" w:eastAsia="Arial" w:hAnsi="Arial"/>
                <w:sz w:val="13"/>
                <w:szCs w:val="13"/>
                <w:b w:val="1"/>
                <w:bCs w:val="1"/>
                <w:color w:val="auto"/>
              </w:rPr>
              <w:t>As of December 31</w:t>
            </w:r>
          </w:p>
        </w:tc>
      </w:tr>
      <w:tr>
        <w:trPr>
          <w:trHeight w:val="153"/>
        </w:trPr>
        <w:tc>
          <w:tcPr>
            <w:tcW w:w="7140" w:type="dxa"/>
            <w:vAlign w:val="bottom"/>
            <w:tcBorders>
              <w:bottom w:val="single" w:sz="8" w:color="CFF0FC"/>
            </w:tcBorders>
          </w:tcPr>
          <w:p>
            <w:pPr>
              <w:spacing w:after="0"/>
              <w:rPr>
                <w:sz w:val="13"/>
                <w:szCs w:val="13"/>
                <w:color w:val="auto"/>
              </w:rPr>
            </w:pPr>
          </w:p>
        </w:tc>
        <w:tc>
          <w:tcPr>
            <w:tcW w:w="1500" w:type="dxa"/>
            <w:vAlign w:val="bottom"/>
            <w:tcBorders>
              <w:bottom w:val="single" w:sz="8" w:color="auto"/>
            </w:tcBorders>
          </w:tcPr>
          <w:p>
            <w:pPr>
              <w:jc w:val="right"/>
              <w:ind w:right="372"/>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843"/>
              <w:spacing w:after="0"/>
              <w:rPr>
                <w:sz w:val="20"/>
                <w:szCs w:val="20"/>
                <w:color w:val="auto"/>
              </w:rPr>
            </w:pPr>
            <w:r>
              <w:rPr>
                <w:rFonts w:ascii="Arial" w:cs="Arial" w:eastAsia="Arial" w:hAnsi="Arial"/>
                <w:sz w:val="13"/>
                <w:szCs w:val="13"/>
                <w:b w:val="1"/>
                <w:bCs w:val="1"/>
                <w:color w:val="auto"/>
              </w:rPr>
              <w:t>2019</w:t>
            </w:r>
          </w:p>
        </w:tc>
      </w:tr>
      <w:tr>
        <w:trPr>
          <w:trHeight w:val="180"/>
        </w:trPr>
        <w:tc>
          <w:tcPr>
            <w:tcW w:w="71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Deferred tax assets:</w:t>
            </w:r>
          </w:p>
        </w:tc>
        <w:tc>
          <w:tcPr>
            <w:tcW w:w="15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r>
      <w:tr>
        <w:trPr>
          <w:trHeight w:val="188"/>
        </w:trPr>
        <w:tc>
          <w:tcPr>
            <w:tcW w:w="714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1500" w:type="dxa"/>
            <w:vAlign w:val="bottom"/>
          </w:tcPr>
          <w:p>
            <w:pPr>
              <w:jc w:val="right"/>
              <w:ind w:right="1352"/>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33</w:t>
            </w:r>
          </w:p>
        </w:tc>
        <w:tc>
          <w:tcPr>
            <w:tcW w:w="160" w:type="dxa"/>
            <w:vAlign w:val="bottom"/>
          </w:tcPr>
          <w:p>
            <w:pPr>
              <w:spacing w:after="0"/>
              <w:rPr>
                <w:sz w:val="16"/>
                <w:szCs w:val="16"/>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63"/>
              <w:spacing w:after="0"/>
              <w:rPr>
                <w:sz w:val="20"/>
                <w:szCs w:val="20"/>
                <w:color w:val="auto"/>
              </w:rPr>
            </w:pPr>
            <w:r>
              <w:rPr>
                <w:rFonts w:ascii="Arial" w:cs="Arial" w:eastAsia="Arial" w:hAnsi="Arial"/>
                <w:sz w:val="16"/>
                <w:szCs w:val="16"/>
                <w:color w:val="auto"/>
              </w:rPr>
              <w:t>28</w:t>
            </w:r>
          </w:p>
        </w:tc>
      </w:tr>
      <w:tr>
        <w:trPr>
          <w:trHeight w:val="188"/>
        </w:trPr>
        <w:tc>
          <w:tcPr>
            <w:tcW w:w="7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accrued liabilities</w:t>
            </w:r>
          </w:p>
        </w:tc>
        <w:tc>
          <w:tcPr>
            <w:tcW w:w="15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26</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23</w:t>
            </w:r>
          </w:p>
        </w:tc>
      </w:tr>
      <w:tr>
        <w:trPr>
          <w:trHeight w:val="188"/>
        </w:trPr>
        <w:tc>
          <w:tcPr>
            <w:tcW w:w="7140" w:type="dxa"/>
            <w:vAlign w:val="bottom"/>
          </w:tcPr>
          <w:p>
            <w:pPr>
              <w:ind w:left="200"/>
              <w:spacing w:after="0"/>
              <w:rPr>
                <w:sz w:val="20"/>
                <w:szCs w:val="20"/>
                <w:color w:val="auto"/>
              </w:rPr>
            </w:pPr>
            <w:r>
              <w:rPr>
                <w:rFonts w:ascii="Arial" w:cs="Arial" w:eastAsia="Arial" w:hAnsi="Arial"/>
                <w:sz w:val="16"/>
                <w:szCs w:val="16"/>
                <w:color w:val="auto"/>
              </w:rPr>
              <w:t>Interest rate hedges</w:t>
            </w:r>
          </w:p>
        </w:tc>
        <w:tc>
          <w:tcPr>
            <w:tcW w:w="150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14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jc w:val="right"/>
              <w:ind w:right="63"/>
              <w:spacing w:after="0"/>
              <w:rPr>
                <w:sz w:val="20"/>
                <w:szCs w:val="20"/>
                <w:color w:val="auto"/>
              </w:rPr>
            </w:pPr>
            <w:r>
              <w:rPr>
                <w:rFonts w:ascii="Arial" w:cs="Arial" w:eastAsia="Arial" w:hAnsi="Arial"/>
                <w:sz w:val="16"/>
                <w:szCs w:val="16"/>
                <w:color w:val="auto"/>
              </w:rPr>
              <w:t>8</w:t>
            </w:r>
          </w:p>
        </w:tc>
      </w:tr>
      <w:tr>
        <w:trPr>
          <w:trHeight w:val="188"/>
        </w:trPr>
        <w:tc>
          <w:tcPr>
            <w:tcW w:w="7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Warranty accrual</w:t>
            </w:r>
          </w:p>
        </w:tc>
        <w:tc>
          <w:tcPr>
            <w:tcW w:w="15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14</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11</w:t>
            </w:r>
          </w:p>
        </w:tc>
      </w:tr>
      <w:tr>
        <w:trPr>
          <w:trHeight w:val="188"/>
        </w:trPr>
        <w:tc>
          <w:tcPr>
            <w:tcW w:w="7140" w:type="dxa"/>
            <w:vAlign w:val="bottom"/>
          </w:tcPr>
          <w:p>
            <w:pPr>
              <w:ind w:left="200"/>
              <w:spacing w:after="0"/>
              <w:rPr>
                <w:sz w:val="20"/>
                <w:szCs w:val="20"/>
                <w:color w:val="auto"/>
              </w:rPr>
            </w:pPr>
            <w:r>
              <w:rPr>
                <w:rFonts w:ascii="Arial" w:cs="Arial" w:eastAsia="Arial" w:hAnsi="Arial"/>
                <w:sz w:val="16"/>
                <w:szCs w:val="16"/>
                <w:color w:val="auto"/>
              </w:rPr>
              <w:t>Intangibles</w:t>
            </w:r>
          </w:p>
        </w:tc>
        <w:tc>
          <w:tcPr>
            <w:tcW w:w="150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9</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jc w:val="right"/>
              <w:ind w:right="63"/>
              <w:spacing w:after="0"/>
              <w:rPr>
                <w:sz w:val="20"/>
                <w:szCs w:val="20"/>
                <w:color w:val="auto"/>
              </w:rPr>
            </w:pPr>
            <w:r>
              <w:rPr>
                <w:rFonts w:ascii="Arial" w:cs="Arial" w:eastAsia="Arial" w:hAnsi="Arial"/>
                <w:sz w:val="16"/>
                <w:szCs w:val="16"/>
                <w:color w:val="auto"/>
              </w:rPr>
              <w:t>23</w:t>
            </w:r>
          </w:p>
        </w:tc>
      </w:tr>
      <w:tr>
        <w:trPr>
          <w:trHeight w:val="188"/>
        </w:trPr>
        <w:tc>
          <w:tcPr>
            <w:tcW w:w="7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15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9</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7</w:t>
            </w:r>
          </w:p>
        </w:tc>
      </w:tr>
      <w:tr>
        <w:trPr>
          <w:trHeight w:val="188"/>
        </w:trPr>
        <w:tc>
          <w:tcPr>
            <w:tcW w:w="714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150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jc w:val="right"/>
              <w:ind w:right="63"/>
              <w:spacing w:after="0"/>
              <w:rPr>
                <w:sz w:val="20"/>
                <w:szCs w:val="20"/>
                <w:color w:val="auto"/>
              </w:rPr>
            </w:pPr>
            <w:r>
              <w:rPr>
                <w:rFonts w:ascii="Arial" w:cs="Arial" w:eastAsia="Arial" w:hAnsi="Arial"/>
                <w:sz w:val="16"/>
                <w:szCs w:val="16"/>
                <w:color w:val="auto"/>
              </w:rPr>
              <w:t>6</w:t>
            </w:r>
          </w:p>
        </w:tc>
      </w:tr>
      <w:tr>
        <w:trPr>
          <w:trHeight w:val="188"/>
        </w:trPr>
        <w:tc>
          <w:tcPr>
            <w:tcW w:w="7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loss carryforwards</w:t>
            </w:r>
          </w:p>
        </w:tc>
        <w:tc>
          <w:tcPr>
            <w:tcW w:w="15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6</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8</w:t>
            </w:r>
          </w:p>
        </w:tc>
      </w:tr>
      <w:tr>
        <w:trPr>
          <w:trHeight w:val="188"/>
        </w:trPr>
        <w:tc>
          <w:tcPr>
            <w:tcW w:w="7140" w:type="dxa"/>
            <w:vAlign w:val="bottom"/>
          </w:tcPr>
          <w:p>
            <w:pPr>
              <w:ind w:left="200"/>
              <w:spacing w:after="0"/>
              <w:rPr>
                <w:sz w:val="20"/>
                <w:szCs w:val="20"/>
                <w:color w:val="auto"/>
              </w:rPr>
            </w:pPr>
            <w:r>
              <w:rPr>
                <w:rFonts w:ascii="Arial" w:cs="Arial" w:eastAsia="Arial" w:hAnsi="Arial"/>
                <w:sz w:val="16"/>
                <w:szCs w:val="16"/>
                <w:color w:val="auto"/>
              </w:rPr>
              <w:t>Technology-related investments</w:t>
            </w:r>
          </w:p>
        </w:tc>
        <w:tc>
          <w:tcPr>
            <w:tcW w:w="150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jc w:val="right"/>
              <w:ind w:right="63"/>
              <w:spacing w:after="0"/>
              <w:rPr>
                <w:sz w:val="20"/>
                <w:szCs w:val="20"/>
                <w:color w:val="auto"/>
              </w:rPr>
            </w:pPr>
            <w:r>
              <w:rPr>
                <w:rFonts w:ascii="Arial" w:cs="Arial" w:eastAsia="Arial" w:hAnsi="Arial"/>
                <w:sz w:val="16"/>
                <w:szCs w:val="16"/>
                <w:color w:val="auto"/>
              </w:rPr>
              <w:t>5</w:t>
            </w:r>
          </w:p>
        </w:tc>
      </w:tr>
      <w:tr>
        <w:trPr>
          <w:trHeight w:val="188"/>
        </w:trPr>
        <w:tc>
          <w:tcPr>
            <w:tcW w:w="7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Tax credits</w:t>
            </w:r>
          </w:p>
        </w:tc>
        <w:tc>
          <w:tcPr>
            <w:tcW w:w="15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w:t>
            </w:r>
          </w:p>
        </w:tc>
      </w:tr>
      <w:tr>
        <w:trPr>
          <w:trHeight w:val="188"/>
        </w:trPr>
        <w:tc>
          <w:tcPr>
            <w:tcW w:w="7140" w:type="dxa"/>
            <w:vAlign w:val="bottom"/>
          </w:tcPr>
          <w:p>
            <w:pPr>
              <w:ind w:left="200"/>
              <w:spacing w:after="0"/>
              <w:rPr>
                <w:sz w:val="20"/>
                <w:szCs w:val="20"/>
                <w:color w:val="auto"/>
              </w:rPr>
            </w:pPr>
            <w:r>
              <w:rPr>
                <w:rFonts w:ascii="Arial" w:cs="Arial" w:eastAsia="Arial" w:hAnsi="Arial"/>
                <w:sz w:val="16"/>
                <w:szCs w:val="16"/>
                <w:color w:val="auto"/>
              </w:rPr>
              <w:t>Sales allowances and rebates</w:t>
            </w:r>
          </w:p>
        </w:tc>
        <w:tc>
          <w:tcPr>
            <w:tcW w:w="150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jc w:val="right"/>
              <w:ind w:right="63"/>
              <w:spacing w:after="0"/>
              <w:rPr>
                <w:sz w:val="20"/>
                <w:szCs w:val="20"/>
                <w:color w:val="auto"/>
              </w:rPr>
            </w:pPr>
            <w:r>
              <w:rPr>
                <w:rFonts w:ascii="Arial" w:cs="Arial" w:eastAsia="Arial" w:hAnsi="Arial"/>
                <w:sz w:val="16"/>
                <w:szCs w:val="16"/>
                <w:color w:val="auto"/>
              </w:rPr>
              <w:t>6</w:t>
            </w:r>
          </w:p>
        </w:tc>
      </w:tr>
      <w:tr>
        <w:trPr>
          <w:trHeight w:val="188"/>
        </w:trPr>
        <w:tc>
          <w:tcPr>
            <w:tcW w:w="7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150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13</w:t>
            </w:r>
          </w:p>
        </w:tc>
        <w:tc>
          <w:tcPr>
            <w:tcW w:w="16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7</w:t>
            </w:r>
          </w:p>
        </w:tc>
      </w:tr>
      <w:tr>
        <w:trPr>
          <w:trHeight w:val="180"/>
        </w:trPr>
        <w:tc>
          <w:tcPr>
            <w:tcW w:w="714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Total Deferred tax assets</w:t>
            </w:r>
          </w:p>
        </w:tc>
        <w:tc>
          <w:tcPr>
            <w:tcW w:w="1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142</w:t>
            </w:r>
          </w:p>
        </w:tc>
        <w:tc>
          <w:tcPr>
            <w:tcW w:w="1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63"/>
              <w:spacing w:after="0" w:line="180" w:lineRule="exact"/>
              <w:rPr>
                <w:sz w:val="20"/>
                <w:szCs w:val="20"/>
                <w:color w:val="auto"/>
              </w:rPr>
            </w:pPr>
            <w:r>
              <w:rPr>
                <w:rFonts w:ascii="Arial" w:cs="Arial" w:eastAsia="Arial" w:hAnsi="Arial"/>
                <w:sz w:val="16"/>
                <w:szCs w:val="16"/>
                <w:color w:val="auto"/>
              </w:rPr>
              <w:t>132</w:t>
            </w:r>
          </w:p>
        </w:tc>
      </w:tr>
      <w:tr>
        <w:trPr>
          <w:trHeight w:val="180"/>
        </w:trPr>
        <w:tc>
          <w:tcPr>
            <w:tcW w:w="71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Valuation allowances</w:t>
            </w:r>
          </w:p>
        </w:tc>
        <w:tc>
          <w:tcPr>
            <w:tcW w:w="15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(12)</w:t>
            </w:r>
          </w:p>
        </w:tc>
        <w:tc>
          <w:tcPr>
            <w:tcW w:w="16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760" w:type="dxa"/>
            <w:vAlign w:val="bottom"/>
            <w:tcBorders>
              <w:bottom w:val="single" w:sz="8" w:color="auto"/>
            </w:tcBorders>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(10)</w:t>
            </w:r>
          </w:p>
        </w:tc>
      </w:tr>
      <w:tr>
        <w:trPr>
          <w:trHeight w:val="180"/>
        </w:trPr>
        <w:tc>
          <w:tcPr>
            <w:tcW w:w="7140" w:type="dxa"/>
            <w:vAlign w:val="bottom"/>
          </w:tcPr>
          <w:p>
            <w:pPr>
              <w:spacing w:after="0" w:line="180" w:lineRule="exact"/>
              <w:rPr>
                <w:sz w:val="20"/>
                <w:szCs w:val="20"/>
                <w:color w:val="auto"/>
              </w:rPr>
            </w:pPr>
            <w:r>
              <w:rPr>
                <w:rFonts w:ascii="Arial" w:cs="Arial" w:eastAsia="Arial" w:hAnsi="Arial"/>
                <w:sz w:val="16"/>
                <w:szCs w:val="16"/>
                <w:color w:val="auto"/>
              </w:rPr>
              <w:t>Deferred tax liabilities:</w:t>
            </w:r>
          </w:p>
        </w:tc>
        <w:tc>
          <w:tcPr>
            <w:tcW w:w="1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8"/>
        </w:trPr>
        <w:tc>
          <w:tcPr>
            <w:tcW w:w="7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Goodwill</w:t>
            </w:r>
          </w:p>
        </w:tc>
        <w:tc>
          <w:tcPr>
            <w:tcW w:w="15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(373)</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(337)</w:t>
            </w:r>
          </w:p>
        </w:tc>
      </w:tr>
      <w:tr>
        <w:trPr>
          <w:trHeight w:val="188"/>
        </w:trPr>
        <w:tc>
          <w:tcPr>
            <w:tcW w:w="7140" w:type="dxa"/>
            <w:vAlign w:val="bottom"/>
          </w:tcPr>
          <w:p>
            <w:pPr>
              <w:ind w:left="200"/>
              <w:spacing w:after="0"/>
              <w:rPr>
                <w:sz w:val="20"/>
                <w:szCs w:val="20"/>
                <w:color w:val="auto"/>
              </w:rPr>
            </w:pPr>
            <w:r>
              <w:rPr>
                <w:rFonts w:ascii="Arial" w:cs="Arial" w:eastAsia="Arial" w:hAnsi="Arial"/>
                <w:sz w:val="16"/>
                <w:szCs w:val="16"/>
                <w:color w:val="auto"/>
              </w:rPr>
              <w:t>Trade name</w:t>
            </w:r>
          </w:p>
        </w:tc>
        <w:tc>
          <w:tcPr>
            <w:tcW w:w="15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(153)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jc w:val="right"/>
              <w:ind w:right="3"/>
              <w:spacing w:after="0"/>
              <w:rPr>
                <w:sz w:val="20"/>
                <w:szCs w:val="20"/>
                <w:color w:val="auto"/>
              </w:rPr>
            </w:pPr>
            <w:r>
              <w:rPr>
                <w:rFonts w:ascii="Arial" w:cs="Arial" w:eastAsia="Arial" w:hAnsi="Arial"/>
                <w:sz w:val="16"/>
                <w:szCs w:val="16"/>
                <w:color w:val="auto"/>
              </w:rPr>
              <w:t>(132)</w:t>
            </w:r>
          </w:p>
        </w:tc>
      </w:tr>
      <w:tr>
        <w:trPr>
          <w:trHeight w:val="188"/>
        </w:trPr>
        <w:tc>
          <w:tcPr>
            <w:tcW w:w="7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plant and equipment</w:t>
            </w:r>
          </w:p>
        </w:tc>
        <w:tc>
          <w:tcPr>
            <w:tcW w:w="15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(28)</w:t>
            </w:r>
          </w:p>
        </w:tc>
      </w:tr>
      <w:tr>
        <w:trPr>
          <w:trHeight w:val="188"/>
        </w:trPr>
        <w:tc>
          <w:tcPr>
            <w:tcW w:w="7140" w:type="dxa"/>
            <w:vAlign w:val="bottom"/>
          </w:tcPr>
          <w:p>
            <w:pPr>
              <w:ind w:left="200"/>
              <w:spacing w:after="0"/>
              <w:rPr>
                <w:sz w:val="20"/>
                <w:szCs w:val="20"/>
                <w:color w:val="auto"/>
              </w:rPr>
            </w:pPr>
            <w:r>
              <w:rPr>
                <w:rFonts w:ascii="Arial" w:cs="Arial" w:eastAsia="Arial" w:hAnsi="Arial"/>
                <w:sz w:val="16"/>
                <w:szCs w:val="16"/>
                <w:color w:val="auto"/>
              </w:rPr>
              <w:t>Post-retirement</w:t>
            </w:r>
          </w:p>
        </w:tc>
        <w:tc>
          <w:tcPr>
            <w:tcW w:w="1500" w:type="dxa"/>
            <w:vAlign w:val="bottom"/>
          </w:tcPr>
          <w:p>
            <w:pPr>
              <w:spacing w:after="0"/>
              <w:rPr>
                <w:sz w:val="16"/>
                <w:szCs w:val="16"/>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760" w:type="dxa"/>
            <w:vAlign w:val="bottom"/>
          </w:tcPr>
          <w:p>
            <w:pPr>
              <w:jc w:val="right"/>
              <w:ind w:right="3"/>
              <w:spacing w:after="0"/>
              <w:rPr>
                <w:sz w:val="20"/>
                <w:szCs w:val="20"/>
                <w:color w:val="auto"/>
              </w:rPr>
            </w:pPr>
            <w:r>
              <w:rPr>
                <w:rFonts w:ascii="Arial" w:cs="Arial" w:eastAsia="Arial" w:hAnsi="Arial"/>
                <w:sz w:val="16"/>
                <w:szCs w:val="16"/>
                <w:color w:val="auto"/>
              </w:rPr>
              <w:t>(6)</w:t>
            </w:r>
          </w:p>
        </w:tc>
      </w:tr>
      <w:tr>
        <w:trPr>
          <w:trHeight w:val="188"/>
        </w:trPr>
        <w:tc>
          <w:tcPr>
            <w:tcW w:w="7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150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(2)</w:t>
            </w:r>
          </w:p>
        </w:tc>
      </w:tr>
      <w:tr>
        <w:trPr>
          <w:trHeight w:val="180"/>
        </w:trPr>
        <w:tc>
          <w:tcPr>
            <w:tcW w:w="714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Total Deferred tax liabilities</w:t>
            </w:r>
          </w:p>
        </w:tc>
        <w:tc>
          <w:tcPr>
            <w:tcW w:w="1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(568)</w:t>
            </w:r>
          </w:p>
        </w:tc>
        <w:tc>
          <w:tcPr>
            <w:tcW w:w="1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(505)</w:t>
            </w:r>
          </w:p>
        </w:tc>
      </w:tr>
      <w:tr>
        <w:trPr>
          <w:trHeight w:val="180"/>
        </w:trPr>
        <w:tc>
          <w:tcPr>
            <w:tcW w:w="714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Deferred tax liability</w:t>
            </w:r>
          </w:p>
        </w:tc>
        <w:tc>
          <w:tcPr>
            <w:tcW w:w="1500" w:type="dxa"/>
            <w:vAlign w:val="bottom"/>
            <w:tcBorders>
              <w:bottom w:val="single" w:sz="8" w:color="auto"/>
            </w:tcBorders>
            <w:shd w:val="clear" w:color="auto" w:fill="CFF0FC"/>
          </w:tcPr>
          <w:p>
            <w:pPr>
              <w:jc w:val="right"/>
              <w:ind w:right="1352"/>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(438)</w:t>
            </w:r>
          </w:p>
        </w:tc>
        <w:tc>
          <w:tcPr>
            <w:tcW w:w="1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(383)</w:t>
            </w:r>
          </w:p>
        </w:tc>
      </w:tr>
      <w:tr>
        <w:trPr>
          <w:trHeight w:val="20"/>
        </w:trPr>
        <w:tc>
          <w:tcPr>
            <w:tcW w:w="7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right="80" w:firstLine="522"/>
        <w:spacing w:after="0" w:line="265" w:lineRule="auto"/>
        <w:rPr>
          <w:sz w:val="20"/>
          <w:szCs w:val="20"/>
          <w:color w:val="auto"/>
        </w:rPr>
      </w:pPr>
      <w:r>
        <w:rPr>
          <w:rFonts w:ascii="Arial" w:cs="Arial" w:eastAsia="Arial" w:hAnsi="Arial"/>
          <w:sz w:val="16"/>
          <w:szCs w:val="16"/>
          <w:color w:val="auto"/>
        </w:rPr>
        <w:t>The estimated net operating loss carryforwards as of December 31, 2020 relate solely to U.S. state net operating loss carryforwards. Substantially all state operating loss carryforwards will not expire until 2028-2031.</w:t>
      </w:r>
    </w:p>
    <w:p>
      <w:pPr>
        <w:spacing w:after="0" w:line="87" w:lineRule="exact"/>
        <w:rPr>
          <w:sz w:val="20"/>
          <w:szCs w:val="20"/>
          <w:color w:val="auto"/>
        </w:rPr>
      </w:pPr>
    </w:p>
    <w:p>
      <w:pPr>
        <w:ind w:right="300" w:firstLine="522"/>
        <w:spacing w:after="0" w:line="247" w:lineRule="auto"/>
        <w:rPr>
          <w:sz w:val="20"/>
          <w:szCs w:val="20"/>
          <w:color w:val="auto"/>
        </w:rPr>
      </w:pPr>
      <w:r>
        <w:rPr>
          <w:rFonts w:ascii="Arial" w:cs="Arial" w:eastAsia="Arial" w:hAnsi="Arial"/>
          <w:sz w:val="16"/>
          <w:szCs w:val="16"/>
          <w:color w:val="auto"/>
        </w:rPr>
        <w:t>Management has determined, based on an evaluation of available objective and subjective evidence, that it is more likely than not that certain foreign deferred tax assets and an anticipated capital loss carryforward will not be realized; therefore these deferred tax assets are offset with a valuation allowance of $12 million as of December 31, 2020 and $10 million as of December 31, 2019.</w:t>
      </w:r>
    </w:p>
    <w:p>
      <w:pPr>
        <w:spacing w:after="0" w:line="101" w:lineRule="exact"/>
        <w:rPr>
          <w:sz w:val="20"/>
          <w:szCs w:val="20"/>
          <w:color w:val="auto"/>
        </w:rPr>
      </w:pPr>
    </w:p>
    <w:p>
      <w:pPr>
        <w:ind w:right="20" w:firstLine="522"/>
        <w:spacing w:after="0" w:line="258" w:lineRule="auto"/>
        <w:rPr>
          <w:sz w:val="20"/>
          <w:szCs w:val="20"/>
          <w:color w:val="auto"/>
        </w:rPr>
      </w:pPr>
      <w:r>
        <w:rPr>
          <w:rFonts w:ascii="Arial" w:cs="Arial" w:eastAsia="Arial" w:hAnsi="Arial"/>
          <w:sz w:val="15"/>
          <w:szCs w:val="15"/>
          <w:color w:val="auto"/>
        </w:rPr>
        <w:t>In accordance with the FASB’s authoritative accounting guidance on accounting for income taxes, the Company records uncertain tax positions on the basis of a two-step process whereby (1) it is determined whether it is more likely than not that the tax position will be sustained based on the technical merits of the position and (2) for those tax positions that meet the more-likely-than-not recognition threshold, the Company recognizes the largest amount of tax benefit that is greater than 50% likely to be realized upon ultimate settlement with the related tax authority. Based upon this process, the Company has recognized a $3 million liability for uncertain tax benefits as of December 31, 2020 and 2019. Management does not anticipate any material changes in the balance in 2021.</w:t>
      </w:r>
    </w:p>
    <w:p>
      <w:pPr>
        <w:spacing w:after="0" w:line="141" w:lineRule="exact"/>
        <w:rPr>
          <w:sz w:val="20"/>
          <w:szCs w:val="20"/>
          <w:color w:val="auto"/>
        </w:rPr>
      </w:pPr>
    </w:p>
    <w:p>
      <w:pPr>
        <w:ind w:right="480" w:firstLine="522"/>
        <w:spacing w:after="0" w:line="247" w:lineRule="auto"/>
        <w:rPr>
          <w:sz w:val="20"/>
          <w:szCs w:val="20"/>
          <w:color w:val="auto"/>
        </w:rPr>
      </w:pPr>
      <w:r>
        <w:rPr>
          <w:rFonts w:ascii="Arial" w:cs="Arial" w:eastAsia="Arial" w:hAnsi="Arial"/>
          <w:sz w:val="16"/>
          <w:szCs w:val="16"/>
          <w:color w:val="auto"/>
        </w:rPr>
        <w:t>For the years ended December 31, 2020, 2019 and 2018, the Company recognized no interest and penalties in the Consolidated Statements of Comprehensive Income because either no uncertain tax positions were identified or the penalties and interest anticipated were not material in all the periods presented. The Company follows a policy of recording any interest or penalties in Income tax expense.</w:t>
      </w:r>
    </w:p>
    <w:p>
      <w:pPr>
        <w:spacing w:after="0" w:line="101" w:lineRule="exact"/>
        <w:rPr>
          <w:sz w:val="20"/>
          <w:szCs w:val="20"/>
          <w:color w:val="auto"/>
        </w:rPr>
      </w:pPr>
    </w:p>
    <w:p>
      <w:pPr>
        <w:ind w:right="140" w:firstLine="522"/>
        <w:spacing w:after="0" w:line="265" w:lineRule="auto"/>
        <w:rPr>
          <w:sz w:val="20"/>
          <w:szCs w:val="20"/>
          <w:color w:val="auto"/>
        </w:rPr>
      </w:pPr>
      <w:r>
        <w:rPr>
          <w:rFonts w:ascii="Arial" w:cs="Arial" w:eastAsia="Arial" w:hAnsi="Arial"/>
          <w:sz w:val="16"/>
          <w:szCs w:val="16"/>
          <w:color w:val="auto"/>
        </w:rPr>
        <w:t>All of the Company's tax returns, once filed, will remain subject to examination by the various taxing authorities for the duration of the applicable statute of limitations (generally three years from the earlier of the date of filing or the due date of the return).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ACCUMULATED OTHER COMPREHENSIVE LOSS</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changes in components of AOCL consisted of the following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Tax (Expense)</w:t>
            </w:r>
          </w:p>
        </w:tc>
        <w:tc>
          <w:tcPr>
            <w:tcW w:w="8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Reclassification of</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5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Before Tax</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5"/>
              </w:rPr>
              <w:t>Benefit</w:t>
            </w:r>
          </w:p>
        </w:tc>
        <w:tc>
          <w:tcPr>
            <w:tcW w:w="15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6"/>
              </w:rPr>
              <w:t>stranded tax effects</w:t>
            </w:r>
          </w:p>
        </w:tc>
        <w:tc>
          <w:tcPr>
            <w:tcW w:w="240" w:type="dxa"/>
            <w:vAlign w:val="bottom"/>
          </w:tcPr>
          <w:p>
            <w:pPr>
              <w:spacing w:after="0"/>
              <w:rPr>
                <w:sz w:val="13"/>
                <w:szCs w:val="13"/>
                <w:color w:val="auto"/>
              </w:rPr>
            </w:pPr>
          </w:p>
        </w:tc>
        <w:tc>
          <w:tcPr>
            <w:tcW w:w="1200" w:type="dxa"/>
            <w:vAlign w:val="bottom"/>
          </w:tcPr>
          <w:p>
            <w:pPr>
              <w:jc w:val="right"/>
              <w:ind w:right="443"/>
              <w:spacing w:after="0"/>
              <w:rPr>
                <w:sz w:val="20"/>
                <w:szCs w:val="20"/>
                <w:color w:val="auto"/>
              </w:rPr>
            </w:pPr>
            <w:r>
              <w:rPr>
                <w:rFonts w:ascii="Arial" w:cs="Arial" w:eastAsia="Arial" w:hAnsi="Arial"/>
                <w:sz w:val="13"/>
                <w:szCs w:val="13"/>
                <w:b w:val="1"/>
                <w:bCs w:val="1"/>
                <w:color w:val="auto"/>
              </w:rPr>
              <w:t>After Tax</w:t>
            </w:r>
          </w:p>
        </w:tc>
      </w:tr>
      <w:tr>
        <w:trPr>
          <w:trHeight w:val="180"/>
        </w:trPr>
        <w:tc>
          <w:tcPr>
            <w:tcW w:w="520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Balance at December 31, 2017</w:t>
            </w:r>
          </w:p>
        </w:tc>
        <w:tc>
          <w:tcPr>
            <w:tcW w:w="1000" w:type="dxa"/>
            <w:vAlign w:val="bottom"/>
            <w:tcBorders>
              <w:top w:val="single" w:sz="8" w:color="auto"/>
            </w:tcBorders>
            <w:shd w:val="clear" w:color="auto" w:fill="CFF0FC"/>
          </w:tcPr>
          <w:p>
            <w:pPr>
              <w:jc w:val="right"/>
              <w:ind w:right="849"/>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40</w:t>
            </w:r>
          </w:p>
        </w:tc>
        <w:tc>
          <w:tcPr>
            <w:tcW w:w="1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(55)</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(15)</w:t>
            </w:r>
          </w:p>
        </w:tc>
      </w:tr>
      <w:tr>
        <w:trPr>
          <w:trHeight w:val="188"/>
        </w:trPr>
        <w:tc>
          <w:tcPr>
            <w:tcW w:w="5200" w:type="dxa"/>
            <w:vAlign w:val="bottom"/>
          </w:tcPr>
          <w:p>
            <w:pPr>
              <w:ind w:left="200"/>
              <w:spacing w:after="0"/>
              <w:rPr>
                <w:sz w:val="20"/>
                <w:szCs w:val="20"/>
                <w:color w:val="auto"/>
              </w:rPr>
            </w:pPr>
            <w:r>
              <w:rPr>
                <w:rFonts w:ascii="Arial" w:cs="Arial" w:eastAsia="Arial" w:hAnsi="Arial"/>
                <w:sz w:val="16"/>
                <w:szCs w:val="16"/>
                <w:color w:val="auto"/>
              </w:rPr>
              <w:t>Foreign currency translation</w:t>
            </w:r>
          </w:p>
        </w:tc>
        <w:tc>
          <w:tcPr>
            <w:tcW w:w="10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(9)</w:t>
            </w:r>
          </w:p>
        </w:tc>
      </w:tr>
      <w:tr>
        <w:trPr>
          <w:trHeight w:val="188"/>
        </w:trPr>
        <w:tc>
          <w:tcPr>
            <w:tcW w:w="5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Pension and OPEB liability adjustment</w:t>
            </w:r>
          </w:p>
        </w:tc>
        <w:tc>
          <w:tcPr>
            <w:tcW w:w="100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w:t>
            </w:r>
          </w:p>
        </w:tc>
      </w:tr>
      <w:tr>
        <w:trPr>
          <w:trHeight w:val="188"/>
        </w:trPr>
        <w:tc>
          <w:tcPr>
            <w:tcW w:w="5200" w:type="dxa"/>
            <w:vAlign w:val="bottom"/>
          </w:tcPr>
          <w:p>
            <w:pPr>
              <w:ind w:left="200"/>
              <w:spacing w:after="0"/>
              <w:rPr>
                <w:sz w:val="20"/>
                <w:szCs w:val="20"/>
                <w:color w:val="auto"/>
              </w:rPr>
            </w:pPr>
            <w:r>
              <w:rPr>
                <w:rFonts w:ascii="Arial" w:cs="Arial" w:eastAsia="Arial" w:hAnsi="Arial"/>
                <w:sz w:val="16"/>
                <w:szCs w:val="16"/>
                <w:color w:val="auto"/>
              </w:rPr>
              <w:t>Available-for-sale securities</w:t>
            </w:r>
          </w:p>
        </w:tc>
        <w:tc>
          <w:tcPr>
            <w:tcW w:w="10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(7)</w:t>
            </w:r>
          </w:p>
        </w:tc>
      </w:tr>
      <w:tr>
        <w:trPr>
          <w:trHeight w:val="180"/>
        </w:trPr>
        <w:tc>
          <w:tcPr>
            <w:tcW w:w="520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 income</w:t>
            </w:r>
          </w:p>
        </w:tc>
        <w:tc>
          <w:tcPr>
            <w:tcW w:w="1000" w:type="dxa"/>
            <w:vAlign w:val="bottom"/>
            <w:tcBorders>
              <w:top w:val="single" w:sz="8" w:color="auto"/>
              <w:bottom w:val="single" w:sz="8" w:color="auto"/>
            </w:tcBorders>
            <w:shd w:val="clear" w:color="auto" w:fill="CFF0FC"/>
          </w:tcPr>
          <w:p>
            <w:pPr>
              <w:jc w:val="right"/>
              <w:ind w:right="849"/>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(17)</w:t>
            </w:r>
          </w:p>
        </w:tc>
        <w:tc>
          <w:tcPr>
            <w:tcW w:w="1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2</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(15)</w:t>
            </w:r>
          </w:p>
        </w:tc>
      </w:tr>
      <w:tr>
        <w:trPr>
          <w:trHeight w:val="180"/>
        </w:trPr>
        <w:tc>
          <w:tcPr>
            <w:tcW w:w="5200" w:type="dxa"/>
            <w:vAlign w:val="bottom"/>
          </w:tcPr>
          <w:p>
            <w:pPr>
              <w:spacing w:after="0" w:line="180" w:lineRule="exact"/>
              <w:rPr>
                <w:sz w:val="20"/>
                <w:szCs w:val="20"/>
                <w:color w:val="auto"/>
              </w:rPr>
            </w:pPr>
            <w:r>
              <w:rPr>
                <w:rFonts w:ascii="Arial" w:cs="Arial" w:eastAsia="Arial" w:hAnsi="Arial"/>
                <w:sz w:val="16"/>
                <w:szCs w:val="16"/>
                <w:color w:val="auto"/>
              </w:rPr>
              <w:t>Balance at December 31, 2018</w:t>
            </w:r>
          </w:p>
        </w:tc>
        <w:tc>
          <w:tcPr>
            <w:tcW w:w="1000" w:type="dxa"/>
            <w:vAlign w:val="bottom"/>
          </w:tcPr>
          <w:p>
            <w:pPr>
              <w:jc w:val="right"/>
              <w:ind w:right="849"/>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ind w:right="42"/>
              <w:spacing w:after="0" w:line="180" w:lineRule="exact"/>
              <w:rPr>
                <w:sz w:val="20"/>
                <w:szCs w:val="20"/>
                <w:color w:val="auto"/>
              </w:rPr>
            </w:pPr>
            <w:r>
              <w:rPr>
                <w:rFonts w:ascii="Arial" w:cs="Arial" w:eastAsia="Arial" w:hAnsi="Arial"/>
                <w:sz w:val="16"/>
                <w:szCs w:val="16"/>
                <w:color w:val="auto"/>
              </w:rPr>
              <w:t>23</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80" w:lineRule="exact"/>
              <w:rPr>
                <w:sz w:val="20"/>
                <w:szCs w:val="20"/>
                <w:color w:val="auto"/>
              </w:rPr>
            </w:pPr>
            <w:r>
              <w:rPr>
                <w:rFonts w:ascii="Arial" w:cs="Arial" w:eastAsia="Arial" w:hAnsi="Arial"/>
                <w:sz w:val="16"/>
                <w:szCs w:val="16"/>
                <w:color w:val="auto"/>
              </w:rPr>
              <w:t>(53)</w:t>
            </w: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43"/>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3"/>
              <w:spacing w:after="0" w:line="180" w:lineRule="exact"/>
              <w:rPr>
                <w:sz w:val="20"/>
                <w:szCs w:val="20"/>
                <w:color w:val="auto"/>
              </w:rPr>
            </w:pPr>
            <w:r>
              <w:rPr>
                <w:rFonts w:ascii="Arial" w:cs="Arial" w:eastAsia="Arial" w:hAnsi="Arial"/>
                <w:sz w:val="16"/>
                <w:szCs w:val="16"/>
                <w:color w:val="auto"/>
              </w:rPr>
              <w:t>(30)</w:t>
            </w:r>
          </w:p>
        </w:tc>
      </w:tr>
      <w:tr>
        <w:trPr>
          <w:trHeight w:val="188"/>
        </w:trPr>
        <w:tc>
          <w:tcPr>
            <w:tcW w:w="5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translation</w:t>
            </w:r>
          </w:p>
        </w:tc>
        <w:tc>
          <w:tcPr>
            <w:tcW w:w="100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(3)</w:t>
            </w:r>
          </w:p>
        </w:tc>
      </w:tr>
      <w:tr>
        <w:trPr>
          <w:trHeight w:val="188"/>
        </w:trPr>
        <w:tc>
          <w:tcPr>
            <w:tcW w:w="5200" w:type="dxa"/>
            <w:vAlign w:val="bottom"/>
          </w:tcPr>
          <w:p>
            <w:pPr>
              <w:ind w:left="200"/>
              <w:spacing w:after="0"/>
              <w:rPr>
                <w:sz w:val="20"/>
                <w:szCs w:val="20"/>
                <w:color w:val="auto"/>
              </w:rPr>
            </w:pPr>
            <w:r>
              <w:rPr>
                <w:rFonts w:ascii="Arial" w:cs="Arial" w:eastAsia="Arial" w:hAnsi="Arial"/>
                <w:sz w:val="16"/>
                <w:szCs w:val="16"/>
                <w:color w:val="auto"/>
              </w:rPr>
              <w:t>Pension and OPEB liability adjustment</w:t>
            </w:r>
          </w:p>
        </w:tc>
        <w:tc>
          <w:tcPr>
            <w:tcW w:w="10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63"/>
              <w:spacing w:after="0"/>
              <w:rPr>
                <w:sz w:val="20"/>
                <w:szCs w:val="20"/>
                <w:color w:val="auto"/>
              </w:rPr>
            </w:pPr>
            <w:r>
              <w:rPr>
                <w:rFonts w:ascii="Arial" w:cs="Arial" w:eastAsia="Arial" w:hAnsi="Arial"/>
                <w:sz w:val="16"/>
                <w:szCs w:val="16"/>
                <w:color w:val="auto"/>
              </w:rPr>
              <w:t>—</w:t>
            </w:r>
          </w:p>
        </w:tc>
      </w:tr>
      <w:tr>
        <w:trPr>
          <w:trHeight w:val="188"/>
        </w:trPr>
        <w:tc>
          <w:tcPr>
            <w:tcW w:w="5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Available-for-sale securities</w:t>
            </w:r>
          </w:p>
        </w:tc>
        <w:tc>
          <w:tcPr>
            <w:tcW w:w="100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(19)</w:t>
            </w:r>
          </w:p>
        </w:tc>
      </w:tr>
      <w:tr>
        <w:trPr>
          <w:trHeight w:val="180"/>
        </w:trPr>
        <w:tc>
          <w:tcPr>
            <w:tcW w:w="520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Net current period other comprehensive (loss) income</w:t>
            </w:r>
          </w:p>
        </w:tc>
        <w:tc>
          <w:tcPr>
            <w:tcW w:w="1000" w:type="dxa"/>
            <w:vAlign w:val="bottom"/>
            <w:tcBorders>
              <w:bottom w:val="single" w:sz="8" w:color="auto"/>
            </w:tcBorders>
          </w:tcPr>
          <w:p>
            <w:pPr>
              <w:jc w:val="right"/>
              <w:ind w:right="849"/>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(38)</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8</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8</w:t>
            </w:r>
          </w:p>
        </w:tc>
        <w:tc>
          <w:tcPr>
            <w:tcW w:w="1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(22)</w:t>
            </w:r>
          </w:p>
        </w:tc>
      </w:tr>
      <w:tr>
        <w:trPr>
          <w:trHeight w:val="180"/>
        </w:trPr>
        <w:tc>
          <w:tcPr>
            <w:tcW w:w="52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Balance at December 31, 2019</w:t>
            </w:r>
          </w:p>
        </w:tc>
        <w:tc>
          <w:tcPr>
            <w:tcW w:w="1000" w:type="dxa"/>
            <w:vAlign w:val="bottom"/>
            <w:shd w:val="clear" w:color="auto" w:fill="CFF0FC"/>
          </w:tcPr>
          <w:p>
            <w:pPr>
              <w:jc w:val="right"/>
              <w:ind w:right="849"/>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(52)</w:t>
            </w:r>
          </w:p>
        </w:tc>
      </w:tr>
      <w:tr>
        <w:trPr>
          <w:trHeight w:val="188"/>
        </w:trPr>
        <w:tc>
          <w:tcPr>
            <w:tcW w:w="5200" w:type="dxa"/>
            <w:vAlign w:val="bottom"/>
          </w:tcPr>
          <w:p>
            <w:pPr>
              <w:ind w:left="200"/>
              <w:spacing w:after="0"/>
              <w:rPr>
                <w:sz w:val="20"/>
                <w:szCs w:val="20"/>
                <w:color w:val="auto"/>
              </w:rPr>
            </w:pPr>
            <w:r>
              <w:rPr>
                <w:rFonts w:ascii="Arial" w:cs="Arial" w:eastAsia="Arial" w:hAnsi="Arial"/>
                <w:sz w:val="16"/>
                <w:szCs w:val="16"/>
                <w:color w:val="auto"/>
              </w:rPr>
              <w:t>Foreign currency translation</w:t>
            </w:r>
          </w:p>
        </w:tc>
        <w:tc>
          <w:tcPr>
            <w:tcW w:w="1000" w:type="dxa"/>
            <w:vAlign w:val="bottom"/>
          </w:tcPr>
          <w:p>
            <w:pPr>
              <w:spacing w:after="0"/>
              <w:rPr>
                <w:sz w:val="16"/>
                <w:szCs w:val="16"/>
                <w:color w:val="auto"/>
              </w:rPr>
            </w:pPr>
          </w:p>
        </w:tc>
        <w:tc>
          <w:tcPr>
            <w:tcW w:w="400" w:type="dxa"/>
            <w:vAlign w:val="bottom"/>
          </w:tcPr>
          <w:p>
            <w:pPr>
              <w:jc w:val="right"/>
              <w:ind w:right="42"/>
              <w:spacing w:after="0"/>
              <w:rPr>
                <w:sz w:val="20"/>
                <w:szCs w:val="20"/>
                <w:color w:val="auto"/>
              </w:rPr>
            </w:pPr>
            <w:r>
              <w:rPr>
                <w:rFonts w:ascii="Arial" w:cs="Arial" w:eastAsia="Arial" w:hAnsi="Arial"/>
                <w:sz w:val="16"/>
                <w:szCs w:val="16"/>
                <w:b w:val="1"/>
                <w:bCs w:val="1"/>
                <w:color w:val="auto"/>
              </w:rPr>
              <w:t>10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c>
          <w:tcPr>
            <w:tcW w:w="1200" w:type="dxa"/>
            <w:vAlign w:val="bottom"/>
          </w:tcPr>
          <w:p>
            <w:pPr>
              <w:jc w:val="right"/>
              <w:ind w:right="63"/>
              <w:spacing w:after="0"/>
              <w:rPr>
                <w:sz w:val="20"/>
                <w:szCs w:val="20"/>
                <w:color w:val="auto"/>
              </w:rPr>
            </w:pPr>
            <w:r>
              <w:rPr>
                <w:rFonts w:ascii="Arial" w:cs="Arial" w:eastAsia="Arial" w:hAnsi="Arial"/>
                <w:sz w:val="16"/>
                <w:szCs w:val="16"/>
                <w:b w:val="1"/>
                <w:bCs w:val="1"/>
                <w:color w:val="auto"/>
              </w:rPr>
              <w:t>10</w:t>
            </w:r>
          </w:p>
        </w:tc>
      </w:tr>
      <w:tr>
        <w:trPr>
          <w:trHeight w:val="188"/>
        </w:trPr>
        <w:tc>
          <w:tcPr>
            <w:tcW w:w="5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Pension and OPEB liability adjustment</w:t>
            </w:r>
          </w:p>
        </w:tc>
        <w:tc>
          <w:tcPr>
            <w:tcW w:w="100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
              <w:spacing w:after="0"/>
              <w:rPr>
                <w:sz w:val="20"/>
                <w:szCs w:val="20"/>
                <w:color w:val="auto"/>
              </w:rPr>
            </w:pPr>
            <w:r>
              <w:rPr>
                <w:rFonts w:ascii="Arial" w:cs="Arial" w:eastAsia="Arial" w:hAnsi="Arial"/>
                <w:sz w:val="16"/>
                <w:szCs w:val="16"/>
                <w:b w:val="1"/>
                <w:bCs w:val="1"/>
                <w:color w:val="auto"/>
              </w:rPr>
              <w:t>(27)</w:t>
            </w:r>
          </w:p>
        </w:tc>
      </w:tr>
      <w:tr>
        <w:trPr>
          <w:trHeight w:val="188"/>
        </w:trPr>
        <w:tc>
          <w:tcPr>
            <w:tcW w:w="520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10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b w:val="1"/>
                <w:bCs w:val="1"/>
                <w:color w:val="auto"/>
              </w:rPr>
              <w:t>(20)</w:t>
            </w:r>
          </w:p>
        </w:tc>
      </w:tr>
      <w:tr>
        <w:trPr>
          <w:trHeight w:val="180"/>
        </w:trPr>
        <w:tc>
          <w:tcPr>
            <w:tcW w:w="520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 income</w:t>
            </w:r>
          </w:p>
        </w:tc>
        <w:tc>
          <w:tcPr>
            <w:tcW w:w="1000" w:type="dxa"/>
            <w:vAlign w:val="bottom"/>
            <w:tcBorders>
              <w:top w:val="single" w:sz="8" w:color="auto"/>
              <w:bottom w:val="single" w:sz="8" w:color="auto"/>
            </w:tcBorders>
            <w:shd w:val="clear" w:color="auto" w:fill="CFF0FC"/>
          </w:tcPr>
          <w:p>
            <w:pPr>
              <w:jc w:val="right"/>
              <w:ind w:right="849"/>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(52)</w:t>
            </w:r>
          </w:p>
        </w:tc>
        <w:tc>
          <w:tcPr>
            <w:tcW w:w="1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15</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FF0FC"/>
          </w:tcPr>
          <w:p>
            <w:pPr>
              <w:jc w:val="right"/>
              <w:ind w:right="3"/>
              <w:spacing w:after="0" w:line="180" w:lineRule="exact"/>
              <w:rPr>
                <w:sz w:val="20"/>
                <w:szCs w:val="20"/>
                <w:color w:val="auto"/>
              </w:rPr>
            </w:pPr>
            <w:r>
              <w:rPr>
                <w:rFonts w:ascii="Arial" w:cs="Arial" w:eastAsia="Arial" w:hAnsi="Arial"/>
                <w:sz w:val="16"/>
                <w:szCs w:val="16"/>
                <w:b w:val="1"/>
                <w:bCs w:val="1"/>
                <w:color w:val="auto"/>
              </w:rPr>
              <w:t>(37)</w:t>
            </w: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Balance at December 31, 2020</w:t>
            </w:r>
          </w:p>
        </w:tc>
        <w:tc>
          <w:tcPr>
            <w:tcW w:w="1000" w:type="dxa"/>
            <w:vAlign w:val="bottom"/>
          </w:tcPr>
          <w:p>
            <w:pPr>
              <w:jc w:val="right"/>
              <w:ind w:right="849"/>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Pr>
          <w:p>
            <w:pPr>
              <w:jc w:val="right"/>
              <w:ind w:right="43"/>
              <w:spacing w:after="0"/>
              <w:rPr>
                <w:sz w:val="20"/>
                <w:szCs w:val="20"/>
                <w:color w:val="auto"/>
              </w:rPr>
            </w:pPr>
            <w:r>
              <w:rPr>
                <w:rFonts w:ascii="Arial" w:cs="Arial" w:eastAsia="Arial" w:hAnsi="Arial"/>
                <w:sz w:val="16"/>
                <w:szCs w:val="16"/>
                <w:b w:val="1"/>
                <w:bCs w:val="1"/>
                <w:color w:val="auto"/>
              </w:rPr>
              <w:t>8</w:t>
            </w:r>
          </w:p>
        </w:tc>
        <w:tc>
          <w:tcPr>
            <w:tcW w:w="1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ind w:right="3"/>
              <w:spacing w:after="0"/>
              <w:rPr>
                <w:sz w:val="20"/>
                <w:szCs w:val="20"/>
                <w:color w:val="auto"/>
              </w:rPr>
            </w:pPr>
            <w:r>
              <w:rPr>
                <w:rFonts w:ascii="Arial" w:cs="Arial" w:eastAsia="Arial" w:hAnsi="Arial"/>
                <w:sz w:val="16"/>
                <w:szCs w:val="16"/>
                <w:b w:val="1"/>
                <w:bCs w:val="1"/>
                <w:color w:val="auto"/>
              </w:rPr>
              <w:t>(89)</w:t>
            </w:r>
          </w:p>
        </w:tc>
      </w:tr>
    </w:tbl>
    <w:p>
      <w:pPr>
        <w:spacing w:after="0" w:line="122" w:lineRule="exact"/>
        <w:rPr>
          <w:sz w:val="20"/>
          <w:szCs w:val="20"/>
          <w:color w:val="auto"/>
        </w:rPr>
      </w:pPr>
    </w:p>
    <w:p>
      <w:pPr>
        <w:ind w:right="520" w:firstLine="522"/>
        <w:spacing w:after="0" w:line="265" w:lineRule="auto"/>
        <w:rPr>
          <w:sz w:val="20"/>
          <w:szCs w:val="20"/>
          <w:color w:val="auto"/>
        </w:rPr>
      </w:pPr>
      <w:r>
        <w:rPr>
          <w:rFonts w:ascii="Arial" w:cs="Arial" w:eastAsia="Arial" w:hAnsi="Arial"/>
          <w:sz w:val="16"/>
          <w:szCs w:val="16"/>
          <w:color w:val="auto"/>
        </w:rPr>
        <w:t>The following table shows the location in the Consolidated Statements of Comprehensive Income affected by reclassifications from AOCL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40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For the year ended December 31, 2018</w:t>
            </w:r>
          </w:p>
        </w:tc>
      </w:tr>
      <w:tr>
        <w:trPr>
          <w:trHeight w:val="133"/>
        </w:trPr>
        <w:tc>
          <w:tcPr>
            <w:tcW w:w="4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3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5"/>
              </w:rPr>
              <w:t>Affected line item</w:t>
            </w:r>
          </w:p>
        </w:tc>
      </w:tr>
      <w:tr>
        <w:trPr>
          <w:trHeight w:val="141"/>
        </w:trPr>
        <w:tc>
          <w:tcPr>
            <w:tcW w:w="4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in the consolidated</w:t>
            </w:r>
          </w:p>
        </w:tc>
      </w:tr>
      <w:tr>
        <w:trPr>
          <w:trHeight w:val="141"/>
        </w:trPr>
        <w:tc>
          <w:tcPr>
            <w:tcW w:w="4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20" w:type="dxa"/>
            <w:vAlign w:val="bottom"/>
          </w:tcPr>
          <w:p>
            <w:pPr>
              <w:jc w:val="center"/>
              <w:ind w:left="393"/>
              <w:spacing w:after="0" w:line="141" w:lineRule="exact"/>
              <w:rPr>
                <w:sz w:val="20"/>
                <w:szCs w:val="20"/>
                <w:color w:val="auto"/>
              </w:rPr>
            </w:pPr>
            <w:r>
              <w:rPr>
                <w:rFonts w:ascii="Arial" w:cs="Arial" w:eastAsia="Arial" w:hAnsi="Arial"/>
                <w:sz w:val="13"/>
                <w:szCs w:val="13"/>
                <w:b w:val="1"/>
                <w:bCs w:val="1"/>
                <w:color w:val="auto"/>
                <w:w w:val="97"/>
              </w:rPr>
              <w:t>Amount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statements of</w:t>
            </w:r>
          </w:p>
        </w:tc>
      </w:tr>
      <w:tr>
        <w:trPr>
          <w:trHeight w:val="141"/>
        </w:trPr>
        <w:tc>
          <w:tcPr>
            <w:tcW w:w="4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20" w:type="dxa"/>
            <w:vAlign w:val="bottom"/>
          </w:tcPr>
          <w:p>
            <w:pPr>
              <w:jc w:val="center"/>
              <w:ind w:left="393"/>
              <w:spacing w:after="0" w:line="141" w:lineRule="exact"/>
              <w:rPr>
                <w:sz w:val="20"/>
                <w:szCs w:val="20"/>
                <w:color w:val="auto"/>
              </w:rPr>
            </w:pPr>
            <w:r>
              <w:rPr>
                <w:rFonts w:ascii="Arial" w:cs="Arial" w:eastAsia="Arial" w:hAnsi="Arial"/>
                <w:sz w:val="13"/>
                <w:szCs w:val="13"/>
                <w:b w:val="1"/>
                <w:bCs w:val="1"/>
                <w:color w:val="auto"/>
                <w:w w:val="96"/>
              </w:rPr>
              <w:t>reclassified from</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comprehensive</w:t>
            </w:r>
          </w:p>
        </w:tc>
      </w:tr>
      <w:tr>
        <w:trPr>
          <w:trHeight w:val="153"/>
        </w:trPr>
        <w:tc>
          <w:tcPr>
            <w:tcW w:w="4420" w:type="dxa"/>
            <w:vAlign w:val="bottom"/>
            <w:tcBorders>
              <w:bottom w:val="single" w:sz="8" w:color="CFF0FC"/>
            </w:tcBorders>
          </w:tcPr>
          <w:p>
            <w:pPr>
              <w:ind w:left="2120"/>
              <w:spacing w:after="0"/>
              <w:rPr>
                <w:sz w:val="20"/>
                <w:szCs w:val="20"/>
                <w:color w:val="auto"/>
              </w:rPr>
            </w:pPr>
            <w:r>
              <w:rPr>
                <w:rFonts w:ascii="Arial" w:cs="Arial" w:eastAsia="Arial" w:hAnsi="Arial"/>
                <w:sz w:val="13"/>
                <w:szCs w:val="13"/>
                <w:b w:val="1"/>
                <w:bCs w:val="1"/>
                <w:color w:val="auto"/>
              </w:rPr>
              <w:t>AOCL Components</w:t>
            </w:r>
          </w:p>
        </w:tc>
        <w:tc>
          <w:tcPr>
            <w:tcW w:w="1180" w:type="dxa"/>
            <w:vAlign w:val="bottom"/>
            <w:tcBorders>
              <w:bottom w:val="single" w:sz="8" w:color="CFF0FC"/>
            </w:tcBorders>
          </w:tcPr>
          <w:p>
            <w:pPr>
              <w:spacing w:after="0"/>
              <w:rPr>
                <w:sz w:val="13"/>
                <w:szCs w:val="13"/>
                <w:color w:val="auto"/>
              </w:rPr>
            </w:pPr>
          </w:p>
        </w:tc>
        <w:tc>
          <w:tcPr>
            <w:tcW w:w="1620" w:type="dxa"/>
            <w:vAlign w:val="bottom"/>
            <w:tcBorders>
              <w:bottom w:val="single" w:sz="8" w:color="auto"/>
            </w:tcBorders>
          </w:tcPr>
          <w:p>
            <w:pPr>
              <w:jc w:val="center"/>
              <w:ind w:left="393"/>
              <w:spacing w:after="0"/>
              <w:rPr>
                <w:sz w:val="20"/>
                <w:szCs w:val="20"/>
                <w:color w:val="auto"/>
              </w:rPr>
            </w:pPr>
            <w:r>
              <w:rPr>
                <w:rFonts w:ascii="Arial" w:cs="Arial" w:eastAsia="Arial" w:hAnsi="Arial"/>
                <w:sz w:val="13"/>
                <w:szCs w:val="13"/>
                <w:b w:val="1"/>
                <w:bCs w:val="1"/>
                <w:color w:val="auto"/>
                <w:w w:val="97"/>
              </w:rPr>
              <w:t>AOCL</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income</w:t>
            </w:r>
          </w:p>
        </w:tc>
      </w:tr>
      <w:tr>
        <w:trPr>
          <w:trHeight w:val="180"/>
        </w:trPr>
        <w:tc>
          <w:tcPr>
            <w:tcW w:w="44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of OPEB items:</w:t>
            </w:r>
          </w:p>
        </w:tc>
        <w:tc>
          <w:tcPr>
            <w:tcW w:w="118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300" w:type="dxa"/>
            <w:vAlign w:val="bottom"/>
            <w:shd w:val="clear" w:color="auto" w:fill="CFF0FC"/>
          </w:tcPr>
          <w:p>
            <w:pPr>
              <w:spacing w:after="0"/>
              <w:rPr>
                <w:sz w:val="15"/>
                <w:szCs w:val="15"/>
                <w:color w:val="auto"/>
              </w:rPr>
            </w:pPr>
          </w:p>
        </w:tc>
      </w:tr>
      <w:tr>
        <w:trPr>
          <w:trHeight w:val="188"/>
        </w:trPr>
        <w:tc>
          <w:tcPr>
            <w:tcW w:w="4420" w:type="dxa"/>
            <w:vAlign w:val="bottom"/>
          </w:tcPr>
          <w:p>
            <w:pPr>
              <w:ind w:left="200"/>
              <w:spacing w:after="0"/>
              <w:rPr>
                <w:sz w:val="20"/>
                <w:szCs w:val="20"/>
                <w:color w:val="auto"/>
              </w:rPr>
            </w:pPr>
            <w:r>
              <w:rPr>
                <w:rFonts w:ascii="Arial" w:cs="Arial" w:eastAsia="Arial" w:hAnsi="Arial"/>
                <w:sz w:val="16"/>
                <w:szCs w:val="16"/>
                <w:color w:val="auto"/>
              </w:rPr>
              <w:t>Prior service credit</w:t>
            </w:r>
          </w:p>
        </w:tc>
        <w:tc>
          <w:tcPr>
            <w:tcW w:w="2800" w:type="dxa"/>
            <w:vAlign w:val="bottom"/>
            <w:gridSpan w:val="2"/>
          </w:tcPr>
          <w:p>
            <w:pPr>
              <w:jc w:val="right"/>
              <w:ind w:right="1453"/>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5"/>
              <w:spacing w:after="0"/>
              <w:rPr>
                <w:sz w:val="20"/>
                <w:szCs w:val="20"/>
                <w:color w:val="auto"/>
              </w:rPr>
            </w:pPr>
            <w:r>
              <w:rPr>
                <w:rFonts w:ascii="Arial" w:cs="Arial" w:eastAsia="Arial" w:hAnsi="Arial"/>
                <w:sz w:val="16"/>
                <w:szCs w:val="16"/>
                <w:color w:val="auto"/>
              </w:rPr>
              <w:t>13</w:t>
            </w:r>
          </w:p>
        </w:tc>
        <w:tc>
          <w:tcPr>
            <w:tcW w:w="3460" w:type="dxa"/>
            <w:vAlign w:val="bottom"/>
            <w:gridSpan w:val="2"/>
          </w:tcPr>
          <w:p>
            <w:pPr>
              <w:ind w:left="160"/>
              <w:spacing w:after="0"/>
              <w:rPr>
                <w:sz w:val="20"/>
                <w:szCs w:val="20"/>
                <w:color w:val="auto"/>
              </w:rPr>
            </w:pPr>
            <w:r>
              <w:rPr>
                <w:rFonts w:ascii="Arial" w:cs="Arial" w:eastAsia="Arial" w:hAnsi="Arial"/>
                <w:sz w:val="16"/>
                <w:szCs w:val="16"/>
                <w:color w:val="auto"/>
              </w:rPr>
              <w:t>Other (expense) income, net</w:t>
            </w:r>
          </w:p>
        </w:tc>
      </w:tr>
      <w:tr>
        <w:trPr>
          <w:trHeight w:val="180"/>
        </w:trPr>
        <w:tc>
          <w:tcPr>
            <w:tcW w:w="44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before tax</w:t>
            </w:r>
          </w:p>
        </w:tc>
        <w:tc>
          <w:tcPr>
            <w:tcW w:w="1180" w:type="dxa"/>
            <w:vAlign w:val="bottom"/>
            <w:tcBorders>
              <w:top w:val="single" w:sz="8" w:color="CFF0FC"/>
            </w:tcBorders>
            <w:shd w:val="clear" w:color="auto" w:fill="CFF0FC"/>
          </w:tcPr>
          <w:p>
            <w:pPr>
              <w:spacing w:after="0"/>
              <w:rPr>
                <w:sz w:val="15"/>
                <w:szCs w:val="15"/>
                <w:color w:val="auto"/>
              </w:rPr>
            </w:pPr>
          </w:p>
        </w:tc>
        <w:tc>
          <w:tcPr>
            <w:tcW w:w="162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13</w:t>
            </w:r>
          </w:p>
        </w:tc>
        <w:tc>
          <w:tcPr>
            <w:tcW w:w="3460" w:type="dxa"/>
            <w:vAlign w:val="bottom"/>
            <w:tcBorders>
              <w:top w:val="single" w:sz="8" w:color="CFF0FC"/>
            </w:tcBorders>
            <w:gridSpan w:val="2"/>
            <w:shd w:val="clear" w:color="auto" w:fill="CFF0FC"/>
          </w:tcPr>
          <w:p>
            <w:pPr>
              <w:ind w:left="160"/>
              <w:spacing w:after="0" w:line="180" w:lineRule="exact"/>
              <w:rPr>
                <w:sz w:val="20"/>
                <w:szCs w:val="20"/>
                <w:color w:val="auto"/>
              </w:rPr>
            </w:pPr>
            <w:r>
              <w:rPr>
                <w:rFonts w:ascii="Arial" w:cs="Arial" w:eastAsia="Arial" w:hAnsi="Arial"/>
                <w:sz w:val="16"/>
                <w:szCs w:val="16"/>
                <w:color w:val="auto"/>
              </w:rPr>
              <w:t>Income before income taxes</w:t>
            </w:r>
          </w:p>
        </w:tc>
      </w:tr>
      <w:tr>
        <w:trPr>
          <w:trHeight w:val="188"/>
        </w:trPr>
        <w:tc>
          <w:tcPr>
            <w:tcW w:w="4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180" w:type="dxa"/>
            <w:vAlign w:val="bottom"/>
            <w:tcBorders>
              <w:bottom w:val="single" w:sz="8" w:color="CFF0FC"/>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460" w:type="dxa"/>
            <w:vAlign w:val="bottom"/>
            <w:tcBorders>
              <w:bottom w:val="single" w:sz="8" w:color="CFF0FC"/>
            </w:tcBorders>
            <w:gridSpan w:val="2"/>
          </w:tcPr>
          <w:p>
            <w:pPr>
              <w:ind w:left="160"/>
              <w:spacing w:after="0"/>
              <w:rPr>
                <w:sz w:val="20"/>
                <w:szCs w:val="20"/>
                <w:color w:val="auto"/>
              </w:rPr>
            </w:pPr>
            <w:r>
              <w:rPr>
                <w:rFonts w:ascii="Arial" w:cs="Arial" w:eastAsia="Arial" w:hAnsi="Arial"/>
                <w:sz w:val="16"/>
                <w:szCs w:val="16"/>
                <w:color w:val="auto"/>
              </w:rPr>
              <w:t>Income tax expense</w:t>
            </w:r>
          </w:p>
        </w:tc>
      </w:tr>
      <w:tr>
        <w:trPr>
          <w:trHeight w:val="180"/>
        </w:trPr>
        <w:tc>
          <w:tcPr>
            <w:tcW w:w="442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w:t>
            </w:r>
          </w:p>
        </w:tc>
        <w:tc>
          <w:tcPr>
            <w:tcW w:w="1180" w:type="dxa"/>
            <w:vAlign w:val="bottom"/>
            <w:tcBorders>
              <w:bottom w:val="single" w:sz="8" w:color="CFF0FC"/>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1453"/>
              <w:spacing w:after="0" w:line="180"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10</w:t>
            </w:r>
          </w:p>
        </w:tc>
        <w:tc>
          <w:tcPr>
            <w:tcW w:w="160" w:type="dxa"/>
            <w:vAlign w:val="bottom"/>
            <w:tcBorders>
              <w:bottom w:val="single" w:sz="8" w:color="CFF0FC"/>
            </w:tcBorders>
            <w:shd w:val="clear" w:color="auto" w:fill="CFF0FC"/>
          </w:tcPr>
          <w:p>
            <w:pPr>
              <w:spacing w:after="0"/>
              <w:rPr>
                <w:sz w:val="15"/>
                <w:szCs w:val="15"/>
                <w:color w:val="auto"/>
              </w:rPr>
            </w:pPr>
          </w:p>
        </w:tc>
        <w:tc>
          <w:tcPr>
            <w:tcW w:w="3300" w:type="dxa"/>
            <w:vAlign w:val="bottom"/>
            <w:tcBorders>
              <w:bottom w:val="single" w:sz="8" w:color="CFF0FC"/>
            </w:tcBorders>
            <w:shd w:val="clear" w:color="auto" w:fill="CFF0FC"/>
          </w:tcPr>
          <w:p>
            <w:pPr>
              <w:spacing w:after="0"/>
              <w:rPr>
                <w:sz w:val="15"/>
                <w:szCs w:val="15"/>
                <w:color w:val="auto"/>
              </w:rPr>
            </w:pPr>
          </w:p>
        </w:tc>
      </w:tr>
      <w:tr>
        <w:trPr>
          <w:trHeight w:val="20"/>
        </w:trPr>
        <w:tc>
          <w:tcPr>
            <w:tcW w:w="4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51"/>
        </w:trPr>
        <w:tc>
          <w:tcPr>
            <w:tcW w:w="4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For the year ended December 31, 2019</w:t>
            </w:r>
          </w:p>
        </w:tc>
      </w:tr>
      <w:tr>
        <w:trPr>
          <w:trHeight w:val="133"/>
        </w:trPr>
        <w:tc>
          <w:tcPr>
            <w:tcW w:w="4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3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5"/>
              </w:rPr>
              <w:t>Affected line item</w:t>
            </w:r>
          </w:p>
        </w:tc>
      </w:tr>
      <w:tr>
        <w:trPr>
          <w:trHeight w:val="141"/>
        </w:trPr>
        <w:tc>
          <w:tcPr>
            <w:tcW w:w="4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in the consolidated</w:t>
            </w:r>
          </w:p>
        </w:tc>
      </w:tr>
      <w:tr>
        <w:trPr>
          <w:trHeight w:val="141"/>
        </w:trPr>
        <w:tc>
          <w:tcPr>
            <w:tcW w:w="4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20" w:type="dxa"/>
            <w:vAlign w:val="bottom"/>
          </w:tcPr>
          <w:p>
            <w:pPr>
              <w:jc w:val="center"/>
              <w:ind w:left="393"/>
              <w:spacing w:after="0" w:line="141" w:lineRule="exact"/>
              <w:rPr>
                <w:sz w:val="20"/>
                <w:szCs w:val="20"/>
                <w:color w:val="auto"/>
              </w:rPr>
            </w:pPr>
            <w:r>
              <w:rPr>
                <w:rFonts w:ascii="Arial" w:cs="Arial" w:eastAsia="Arial" w:hAnsi="Arial"/>
                <w:sz w:val="13"/>
                <w:szCs w:val="13"/>
                <w:b w:val="1"/>
                <w:bCs w:val="1"/>
                <w:color w:val="auto"/>
                <w:w w:val="97"/>
              </w:rPr>
              <w:t>Amount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statements of</w:t>
            </w:r>
          </w:p>
        </w:tc>
      </w:tr>
      <w:tr>
        <w:trPr>
          <w:trHeight w:val="141"/>
        </w:trPr>
        <w:tc>
          <w:tcPr>
            <w:tcW w:w="4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20" w:type="dxa"/>
            <w:vAlign w:val="bottom"/>
          </w:tcPr>
          <w:p>
            <w:pPr>
              <w:jc w:val="center"/>
              <w:ind w:left="393"/>
              <w:spacing w:after="0" w:line="141" w:lineRule="exact"/>
              <w:rPr>
                <w:sz w:val="20"/>
                <w:szCs w:val="20"/>
                <w:color w:val="auto"/>
              </w:rPr>
            </w:pPr>
            <w:r>
              <w:rPr>
                <w:rFonts w:ascii="Arial" w:cs="Arial" w:eastAsia="Arial" w:hAnsi="Arial"/>
                <w:sz w:val="13"/>
                <w:szCs w:val="13"/>
                <w:b w:val="1"/>
                <w:bCs w:val="1"/>
                <w:color w:val="auto"/>
                <w:w w:val="96"/>
              </w:rPr>
              <w:t>reclassified from</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comprehensive</w:t>
            </w:r>
          </w:p>
        </w:tc>
      </w:tr>
      <w:tr>
        <w:trPr>
          <w:trHeight w:val="153"/>
        </w:trPr>
        <w:tc>
          <w:tcPr>
            <w:tcW w:w="4420" w:type="dxa"/>
            <w:vAlign w:val="bottom"/>
            <w:tcBorders>
              <w:bottom w:val="single" w:sz="8" w:color="CFF0FC"/>
            </w:tcBorders>
          </w:tcPr>
          <w:p>
            <w:pPr>
              <w:ind w:left="2120"/>
              <w:spacing w:after="0"/>
              <w:rPr>
                <w:sz w:val="20"/>
                <w:szCs w:val="20"/>
                <w:color w:val="auto"/>
              </w:rPr>
            </w:pPr>
            <w:r>
              <w:rPr>
                <w:rFonts w:ascii="Arial" w:cs="Arial" w:eastAsia="Arial" w:hAnsi="Arial"/>
                <w:sz w:val="13"/>
                <w:szCs w:val="13"/>
                <w:b w:val="1"/>
                <w:bCs w:val="1"/>
                <w:color w:val="auto"/>
              </w:rPr>
              <w:t>AOCL Components</w:t>
            </w:r>
          </w:p>
        </w:tc>
        <w:tc>
          <w:tcPr>
            <w:tcW w:w="1180" w:type="dxa"/>
            <w:vAlign w:val="bottom"/>
            <w:tcBorders>
              <w:bottom w:val="single" w:sz="8" w:color="CFF0FC"/>
            </w:tcBorders>
          </w:tcPr>
          <w:p>
            <w:pPr>
              <w:spacing w:after="0"/>
              <w:rPr>
                <w:sz w:val="13"/>
                <w:szCs w:val="13"/>
                <w:color w:val="auto"/>
              </w:rPr>
            </w:pPr>
          </w:p>
        </w:tc>
        <w:tc>
          <w:tcPr>
            <w:tcW w:w="1620" w:type="dxa"/>
            <w:vAlign w:val="bottom"/>
            <w:tcBorders>
              <w:bottom w:val="single" w:sz="8" w:color="auto"/>
            </w:tcBorders>
          </w:tcPr>
          <w:p>
            <w:pPr>
              <w:jc w:val="center"/>
              <w:ind w:left="393"/>
              <w:spacing w:after="0"/>
              <w:rPr>
                <w:sz w:val="20"/>
                <w:szCs w:val="20"/>
                <w:color w:val="auto"/>
              </w:rPr>
            </w:pPr>
            <w:r>
              <w:rPr>
                <w:rFonts w:ascii="Arial" w:cs="Arial" w:eastAsia="Arial" w:hAnsi="Arial"/>
                <w:sz w:val="13"/>
                <w:szCs w:val="13"/>
                <w:b w:val="1"/>
                <w:bCs w:val="1"/>
                <w:color w:val="auto"/>
                <w:w w:val="97"/>
              </w:rPr>
              <w:t>AOCL</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income</w:t>
            </w:r>
          </w:p>
        </w:tc>
      </w:tr>
      <w:tr>
        <w:trPr>
          <w:trHeight w:val="180"/>
        </w:trPr>
        <w:tc>
          <w:tcPr>
            <w:tcW w:w="44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of OPEB items:</w:t>
            </w:r>
          </w:p>
        </w:tc>
        <w:tc>
          <w:tcPr>
            <w:tcW w:w="118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300" w:type="dxa"/>
            <w:vAlign w:val="bottom"/>
            <w:shd w:val="clear" w:color="auto" w:fill="CFF0FC"/>
          </w:tcPr>
          <w:p>
            <w:pPr>
              <w:spacing w:after="0"/>
              <w:rPr>
                <w:sz w:val="15"/>
                <w:szCs w:val="15"/>
                <w:color w:val="auto"/>
              </w:rPr>
            </w:pPr>
          </w:p>
        </w:tc>
      </w:tr>
      <w:tr>
        <w:trPr>
          <w:trHeight w:val="188"/>
        </w:trPr>
        <w:tc>
          <w:tcPr>
            <w:tcW w:w="4420" w:type="dxa"/>
            <w:vAlign w:val="bottom"/>
          </w:tcPr>
          <w:p>
            <w:pPr>
              <w:ind w:left="200"/>
              <w:spacing w:after="0"/>
              <w:rPr>
                <w:sz w:val="20"/>
                <w:szCs w:val="20"/>
                <w:color w:val="auto"/>
              </w:rPr>
            </w:pPr>
            <w:r>
              <w:rPr>
                <w:rFonts w:ascii="Arial" w:cs="Arial" w:eastAsia="Arial" w:hAnsi="Arial"/>
                <w:sz w:val="16"/>
                <w:szCs w:val="16"/>
                <w:color w:val="auto"/>
              </w:rPr>
              <w:t>Prior service credit</w:t>
            </w:r>
          </w:p>
        </w:tc>
        <w:tc>
          <w:tcPr>
            <w:tcW w:w="2800" w:type="dxa"/>
            <w:vAlign w:val="bottom"/>
            <w:gridSpan w:val="2"/>
          </w:tcPr>
          <w:p>
            <w:pPr>
              <w:jc w:val="right"/>
              <w:ind w:right="1453"/>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5"/>
              <w:spacing w:after="0"/>
              <w:rPr>
                <w:sz w:val="20"/>
                <w:szCs w:val="20"/>
                <w:color w:val="auto"/>
              </w:rPr>
            </w:pPr>
            <w:r>
              <w:rPr>
                <w:rFonts w:ascii="Arial" w:cs="Arial" w:eastAsia="Arial" w:hAnsi="Arial"/>
                <w:sz w:val="16"/>
                <w:szCs w:val="16"/>
                <w:color w:val="auto"/>
              </w:rPr>
              <w:t>13</w:t>
            </w:r>
          </w:p>
        </w:tc>
        <w:tc>
          <w:tcPr>
            <w:tcW w:w="3460" w:type="dxa"/>
            <w:vAlign w:val="bottom"/>
            <w:gridSpan w:val="2"/>
          </w:tcPr>
          <w:p>
            <w:pPr>
              <w:ind w:left="160"/>
              <w:spacing w:after="0"/>
              <w:rPr>
                <w:sz w:val="20"/>
                <w:szCs w:val="20"/>
                <w:color w:val="auto"/>
              </w:rPr>
            </w:pPr>
            <w:r>
              <w:rPr>
                <w:rFonts w:ascii="Arial" w:cs="Arial" w:eastAsia="Arial" w:hAnsi="Arial"/>
                <w:sz w:val="16"/>
                <w:szCs w:val="16"/>
                <w:color w:val="auto"/>
              </w:rPr>
              <w:t>Other (expense) income, net</w:t>
            </w:r>
          </w:p>
        </w:tc>
      </w:tr>
      <w:tr>
        <w:trPr>
          <w:trHeight w:val="180"/>
        </w:trPr>
        <w:tc>
          <w:tcPr>
            <w:tcW w:w="44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before tax</w:t>
            </w:r>
          </w:p>
        </w:tc>
        <w:tc>
          <w:tcPr>
            <w:tcW w:w="1180" w:type="dxa"/>
            <w:vAlign w:val="bottom"/>
            <w:tcBorders>
              <w:top w:val="single" w:sz="8" w:color="CFF0FC"/>
            </w:tcBorders>
            <w:shd w:val="clear" w:color="auto" w:fill="CFF0FC"/>
          </w:tcPr>
          <w:p>
            <w:pPr>
              <w:spacing w:after="0"/>
              <w:rPr>
                <w:sz w:val="15"/>
                <w:szCs w:val="15"/>
                <w:color w:val="auto"/>
              </w:rPr>
            </w:pPr>
          </w:p>
        </w:tc>
        <w:tc>
          <w:tcPr>
            <w:tcW w:w="162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13</w:t>
            </w:r>
          </w:p>
        </w:tc>
        <w:tc>
          <w:tcPr>
            <w:tcW w:w="3460" w:type="dxa"/>
            <w:vAlign w:val="bottom"/>
            <w:tcBorders>
              <w:top w:val="single" w:sz="8" w:color="CFF0FC"/>
            </w:tcBorders>
            <w:gridSpan w:val="2"/>
            <w:shd w:val="clear" w:color="auto" w:fill="CFF0FC"/>
          </w:tcPr>
          <w:p>
            <w:pPr>
              <w:ind w:left="160"/>
              <w:spacing w:after="0" w:line="180" w:lineRule="exact"/>
              <w:rPr>
                <w:sz w:val="20"/>
                <w:szCs w:val="20"/>
                <w:color w:val="auto"/>
              </w:rPr>
            </w:pPr>
            <w:r>
              <w:rPr>
                <w:rFonts w:ascii="Arial" w:cs="Arial" w:eastAsia="Arial" w:hAnsi="Arial"/>
                <w:sz w:val="16"/>
                <w:szCs w:val="16"/>
                <w:color w:val="auto"/>
              </w:rPr>
              <w:t>Income before income taxes</w:t>
            </w:r>
          </w:p>
        </w:tc>
      </w:tr>
      <w:tr>
        <w:trPr>
          <w:trHeight w:val="188"/>
        </w:trPr>
        <w:tc>
          <w:tcPr>
            <w:tcW w:w="4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180" w:type="dxa"/>
            <w:vAlign w:val="bottom"/>
            <w:tcBorders>
              <w:bottom w:val="single" w:sz="8" w:color="CFF0FC"/>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460" w:type="dxa"/>
            <w:vAlign w:val="bottom"/>
            <w:tcBorders>
              <w:bottom w:val="single" w:sz="8" w:color="CFF0FC"/>
            </w:tcBorders>
            <w:gridSpan w:val="2"/>
          </w:tcPr>
          <w:p>
            <w:pPr>
              <w:ind w:left="160"/>
              <w:spacing w:after="0"/>
              <w:rPr>
                <w:sz w:val="20"/>
                <w:szCs w:val="20"/>
                <w:color w:val="auto"/>
              </w:rPr>
            </w:pPr>
            <w:r>
              <w:rPr>
                <w:rFonts w:ascii="Arial" w:cs="Arial" w:eastAsia="Arial" w:hAnsi="Arial"/>
                <w:sz w:val="16"/>
                <w:szCs w:val="16"/>
                <w:color w:val="auto"/>
              </w:rPr>
              <w:t>Income tax expense</w:t>
            </w:r>
          </w:p>
        </w:tc>
      </w:tr>
      <w:tr>
        <w:trPr>
          <w:trHeight w:val="180"/>
        </w:trPr>
        <w:tc>
          <w:tcPr>
            <w:tcW w:w="442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w:t>
            </w:r>
          </w:p>
        </w:tc>
        <w:tc>
          <w:tcPr>
            <w:tcW w:w="1180" w:type="dxa"/>
            <w:vAlign w:val="bottom"/>
            <w:tcBorders>
              <w:bottom w:val="single" w:sz="8" w:color="CFF0FC"/>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1453"/>
              <w:spacing w:after="0" w:line="180"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10</w:t>
            </w:r>
          </w:p>
        </w:tc>
        <w:tc>
          <w:tcPr>
            <w:tcW w:w="160" w:type="dxa"/>
            <w:vAlign w:val="bottom"/>
            <w:tcBorders>
              <w:bottom w:val="single" w:sz="8" w:color="CFF0FC"/>
            </w:tcBorders>
            <w:shd w:val="clear" w:color="auto" w:fill="CFF0FC"/>
          </w:tcPr>
          <w:p>
            <w:pPr>
              <w:spacing w:after="0"/>
              <w:rPr>
                <w:sz w:val="15"/>
                <w:szCs w:val="15"/>
                <w:color w:val="auto"/>
              </w:rPr>
            </w:pPr>
          </w:p>
        </w:tc>
        <w:tc>
          <w:tcPr>
            <w:tcW w:w="3300" w:type="dxa"/>
            <w:vAlign w:val="bottom"/>
            <w:tcBorders>
              <w:bottom w:val="single" w:sz="8" w:color="CFF0FC"/>
            </w:tcBorders>
            <w:shd w:val="clear" w:color="auto" w:fill="CFF0FC"/>
          </w:tcPr>
          <w:p>
            <w:pPr>
              <w:spacing w:after="0"/>
              <w:rPr>
                <w:sz w:val="15"/>
                <w:szCs w:val="15"/>
                <w:color w:val="auto"/>
              </w:rPr>
            </w:pPr>
          </w:p>
        </w:tc>
      </w:tr>
      <w:tr>
        <w:trPr>
          <w:trHeight w:val="20"/>
        </w:trPr>
        <w:tc>
          <w:tcPr>
            <w:tcW w:w="4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54"/>
        </w:trPr>
        <w:tc>
          <w:tcPr>
            <w:tcW w:w="4420" w:type="dxa"/>
            <w:vAlign w:val="bottom"/>
          </w:tcPr>
          <w:p>
            <w:pPr>
              <w:spacing w:after="0"/>
              <w:rPr>
                <w:sz w:val="24"/>
                <w:szCs w:val="24"/>
                <w:color w:val="auto"/>
              </w:rPr>
            </w:pPr>
          </w:p>
        </w:tc>
        <w:tc>
          <w:tcPr>
            <w:tcW w:w="2800" w:type="dxa"/>
            <w:vAlign w:val="bottom"/>
            <w:gridSpan w:val="2"/>
          </w:tcPr>
          <w:p>
            <w:pPr>
              <w:jc w:val="right"/>
              <w:ind w:right="1433"/>
              <w:spacing w:after="0"/>
              <w:rPr>
                <w:sz w:val="20"/>
                <w:szCs w:val="20"/>
                <w:color w:val="auto"/>
              </w:rPr>
            </w:pPr>
            <w:r>
              <w:rPr>
                <w:rFonts w:ascii="Arial" w:cs="Arial" w:eastAsia="Arial" w:hAnsi="Arial"/>
                <w:sz w:val="16"/>
                <w:szCs w:val="16"/>
                <w:color w:val="auto"/>
              </w:rPr>
              <w:t>87</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83"/>
        </w:trPr>
        <w:tc>
          <w:tcPr>
            <w:tcW w:w="44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3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00" w:type="dxa"/>
            <w:vAlign w:val="bottom"/>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40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For the year ended December 31, 2020</w:t>
            </w:r>
          </w:p>
        </w:tc>
      </w:tr>
      <w:tr>
        <w:trPr>
          <w:trHeight w:val="133"/>
        </w:trPr>
        <w:tc>
          <w:tcPr>
            <w:tcW w:w="56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3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5"/>
              </w:rPr>
              <w:t>Affected line item</w:t>
            </w:r>
          </w:p>
        </w:tc>
      </w:tr>
      <w:tr>
        <w:trPr>
          <w:trHeight w:val="141"/>
        </w:trPr>
        <w:tc>
          <w:tcPr>
            <w:tcW w:w="5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in the consolidated</w:t>
            </w:r>
          </w:p>
        </w:tc>
      </w:tr>
      <w:tr>
        <w:trPr>
          <w:trHeight w:val="141"/>
        </w:trPr>
        <w:tc>
          <w:tcPr>
            <w:tcW w:w="5600" w:type="dxa"/>
            <w:vAlign w:val="bottom"/>
          </w:tcPr>
          <w:p>
            <w:pPr>
              <w:spacing w:after="0"/>
              <w:rPr>
                <w:sz w:val="12"/>
                <w:szCs w:val="12"/>
                <w:color w:val="auto"/>
              </w:rPr>
            </w:pPr>
          </w:p>
        </w:tc>
        <w:tc>
          <w:tcPr>
            <w:tcW w:w="1620" w:type="dxa"/>
            <w:vAlign w:val="bottom"/>
          </w:tcPr>
          <w:p>
            <w:pPr>
              <w:jc w:val="center"/>
              <w:ind w:left="391"/>
              <w:spacing w:after="0" w:line="141" w:lineRule="exact"/>
              <w:rPr>
                <w:sz w:val="20"/>
                <w:szCs w:val="20"/>
                <w:color w:val="auto"/>
              </w:rPr>
            </w:pPr>
            <w:r>
              <w:rPr>
                <w:rFonts w:ascii="Arial" w:cs="Arial" w:eastAsia="Arial" w:hAnsi="Arial"/>
                <w:sz w:val="13"/>
                <w:szCs w:val="13"/>
                <w:b w:val="1"/>
                <w:bCs w:val="1"/>
                <w:color w:val="auto"/>
                <w:w w:val="97"/>
              </w:rPr>
              <w:t>Amount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statements of</w:t>
            </w:r>
          </w:p>
        </w:tc>
      </w:tr>
      <w:tr>
        <w:trPr>
          <w:trHeight w:val="141"/>
        </w:trPr>
        <w:tc>
          <w:tcPr>
            <w:tcW w:w="5600" w:type="dxa"/>
            <w:vAlign w:val="bottom"/>
          </w:tcPr>
          <w:p>
            <w:pPr>
              <w:spacing w:after="0"/>
              <w:rPr>
                <w:sz w:val="12"/>
                <w:szCs w:val="12"/>
                <w:color w:val="auto"/>
              </w:rPr>
            </w:pPr>
          </w:p>
        </w:tc>
        <w:tc>
          <w:tcPr>
            <w:tcW w:w="1620" w:type="dxa"/>
            <w:vAlign w:val="bottom"/>
          </w:tcPr>
          <w:p>
            <w:pPr>
              <w:jc w:val="center"/>
              <w:ind w:left="391"/>
              <w:spacing w:after="0" w:line="141" w:lineRule="exact"/>
              <w:rPr>
                <w:sz w:val="20"/>
                <w:szCs w:val="20"/>
                <w:color w:val="auto"/>
              </w:rPr>
            </w:pPr>
            <w:r>
              <w:rPr>
                <w:rFonts w:ascii="Arial" w:cs="Arial" w:eastAsia="Arial" w:hAnsi="Arial"/>
                <w:sz w:val="13"/>
                <w:szCs w:val="13"/>
                <w:b w:val="1"/>
                <w:bCs w:val="1"/>
                <w:color w:val="auto"/>
                <w:w w:val="96"/>
              </w:rPr>
              <w:t>reclassified from</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comprehensive</w:t>
            </w:r>
          </w:p>
        </w:tc>
      </w:tr>
      <w:tr>
        <w:trPr>
          <w:trHeight w:val="153"/>
        </w:trPr>
        <w:tc>
          <w:tcPr>
            <w:tcW w:w="5600" w:type="dxa"/>
            <w:vAlign w:val="bottom"/>
            <w:tcBorders>
              <w:bottom w:val="single" w:sz="8" w:color="CFF0FC"/>
            </w:tcBorders>
          </w:tcPr>
          <w:p>
            <w:pPr>
              <w:ind w:left="2120"/>
              <w:spacing w:after="0"/>
              <w:rPr>
                <w:sz w:val="20"/>
                <w:szCs w:val="20"/>
                <w:color w:val="auto"/>
              </w:rPr>
            </w:pPr>
            <w:r>
              <w:rPr>
                <w:rFonts w:ascii="Arial" w:cs="Arial" w:eastAsia="Arial" w:hAnsi="Arial"/>
                <w:sz w:val="13"/>
                <w:szCs w:val="13"/>
                <w:b w:val="1"/>
                <w:bCs w:val="1"/>
                <w:color w:val="auto"/>
              </w:rPr>
              <w:t>AOCL Components</w:t>
            </w:r>
          </w:p>
        </w:tc>
        <w:tc>
          <w:tcPr>
            <w:tcW w:w="1620" w:type="dxa"/>
            <w:vAlign w:val="bottom"/>
            <w:tcBorders>
              <w:bottom w:val="single" w:sz="8" w:color="auto"/>
            </w:tcBorders>
          </w:tcPr>
          <w:p>
            <w:pPr>
              <w:jc w:val="center"/>
              <w:ind w:left="391"/>
              <w:spacing w:after="0"/>
              <w:rPr>
                <w:sz w:val="20"/>
                <w:szCs w:val="20"/>
                <w:color w:val="auto"/>
              </w:rPr>
            </w:pPr>
            <w:r>
              <w:rPr>
                <w:rFonts w:ascii="Arial" w:cs="Arial" w:eastAsia="Arial" w:hAnsi="Arial"/>
                <w:sz w:val="13"/>
                <w:szCs w:val="13"/>
                <w:b w:val="1"/>
                <w:bCs w:val="1"/>
                <w:color w:val="auto"/>
                <w:w w:val="97"/>
              </w:rPr>
              <w:t>AOCL</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income</w:t>
            </w:r>
          </w:p>
        </w:tc>
      </w:tr>
      <w:tr>
        <w:trPr>
          <w:trHeight w:val="180"/>
        </w:trPr>
        <w:tc>
          <w:tcPr>
            <w:tcW w:w="56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of OPEB items:</w:t>
            </w:r>
          </w:p>
        </w:tc>
        <w:tc>
          <w:tcPr>
            <w:tcW w:w="16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300" w:type="dxa"/>
            <w:vAlign w:val="bottom"/>
            <w:shd w:val="clear" w:color="auto" w:fill="CFF0FC"/>
          </w:tcPr>
          <w:p>
            <w:pPr>
              <w:spacing w:after="0"/>
              <w:rPr>
                <w:sz w:val="15"/>
                <w:szCs w:val="15"/>
                <w:color w:val="auto"/>
              </w:rPr>
            </w:pPr>
          </w:p>
        </w:tc>
      </w:tr>
      <w:tr>
        <w:trPr>
          <w:trHeight w:val="188"/>
        </w:trPr>
        <w:tc>
          <w:tcPr>
            <w:tcW w:w="560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Prior service credit</w:t>
            </w:r>
          </w:p>
        </w:tc>
        <w:tc>
          <w:tcPr>
            <w:tcW w:w="1620" w:type="dxa"/>
            <w:vAlign w:val="bottom"/>
            <w:tcBorders>
              <w:bottom w:val="single" w:sz="8" w:color="auto"/>
            </w:tcBorders>
          </w:tcPr>
          <w:p>
            <w:pPr>
              <w:jc w:val="right"/>
              <w:ind w:right="1451"/>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14</w:t>
            </w:r>
          </w:p>
        </w:tc>
        <w:tc>
          <w:tcPr>
            <w:tcW w:w="3460" w:type="dxa"/>
            <w:vAlign w:val="bottom"/>
            <w:tcBorders>
              <w:bottom w:val="single" w:sz="8" w:color="CFF0FC"/>
            </w:tcBorders>
            <w:gridSpan w:val="2"/>
          </w:tcPr>
          <w:p>
            <w:pPr>
              <w:ind w:left="160"/>
              <w:spacing w:after="0"/>
              <w:rPr>
                <w:sz w:val="20"/>
                <w:szCs w:val="20"/>
                <w:color w:val="auto"/>
              </w:rPr>
            </w:pPr>
            <w:r>
              <w:rPr>
                <w:rFonts w:ascii="Arial" w:cs="Arial" w:eastAsia="Arial" w:hAnsi="Arial"/>
                <w:sz w:val="16"/>
                <w:szCs w:val="16"/>
                <w:color w:val="auto"/>
              </w:rPr>
              <w:t>Other (expense) income, net</w:t>
            </w:r>
          </w:p>
        </w:tc>
      </w:tr>
      <w:tr>
        <w:trPr>
          <w:trHeight w:val="180"/>
        </w:trPr>
        <w:tc>
          <w:tcPr>
            <w:tcW w:w="56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before tax</w:t>
            </w:r>
          </w:p>
        </w:tc>
        <w:tc>
          <w:tcPr>
            <w:tcW w:w="162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14</w:t>
            </w:r>
          </w:p>
        </w:tc>
        <w:tc>
          <w:tcPr>
            <w:tcW w:w="3460" w:type="dxa"/>
            <w:vAlign w:val="bottom"/>
            <w:gridSpan w:val="2"/>
            <w:shd w:val="clear" w:color="auto" w:fill="CFF0FC"/>
          </w:tcPr>
          <w:p>
            <w:pPr>
              <w:ind w:left="160"/>
              <w:spacing w:after="0" w:line="180" w:lineRule="exact"/>
              <w:rPr>
                <w:sz w:val="20"/>
                <w:szCs w:val="20"/>
                <w:color w:val="auto"/>
              </w:rPr>
            </w:pPr>
            <w:r>
              <w:rPr>
                <w:rFonts w:ascii="Arial" w:cs="Arial" w:eastAsia="Arial" w:hAnsi="Arial"/>
                <w:sz w:val="16"/>
                <w:szCs w:val="16"/>
                <w:color w:val="auto"/>
              </w:rPr>
              <w:t>Income before income taxes</w:t>
            </w:r>
          </w:p>
        </w:tc>
      </w:tr>
      <w:tr>
        <w:trPr>
          <w:trHeight w:val="188"/>
        </w:trPr>
        <w:tc>
          <w:tcPr>
            <w:tcW w:w="5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6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3460" w:type="dxa"/>
            <w:vAlign w:val="bottom"/>
            <w:tcBorders>
              <w:bottom w:val="single" w:sz="8" w:color="CFF0FC"/>
            </w:tcBorders>
            <w:gridSpan w:val="2"/>
          </w:tcPr>
          <w:p>
            <w:pPr>
              <w:ind w:left="160"/>
              <w:spacing w:after="0"/>
              <w:rPr>
                <w:sz w:val="20"/>
                <w:szCs w:val="20"/>
                <w:color w:val="auto"/>
              </w:rPr>
            </w:pPr>
            <w:r>
              <w:rPr>
                <w:rFonts w:ascii="Arial" w:cs="Arial" w:eastAsia="Arial" w:hAnsi="Arial"/>
                <w:sz w:val="16"/>
                <w:szCs w:val="16"/>
                <w:color w:val="auto"/>
              </w:rPr>
              <w:t>Income tax expense</w:t>
            </w:r>
          </w:p>
        </w:tc>
      </w:tr>
      <w:tr>
        <w:trPr>
          <w:trHeight w:val="180"/>
        </w:trPr>
        <w:tc>
          <w:tcPr>
            <w:tcW w:w="560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w:t>
            </w:r>
          </w:p>
        </w:tc>
        <w:tc>
          <w:tcPr>
            <w:tcW w:w="1620" w:type="dxa"/>
            <w:vAlign w:val="bottom"/>
            <w:tcBorders>
              <w:bottom w:val="single" w:sz="8" w:color="auto"/>
            </w:tcBorders>
            <w:shd w:val="clear" w:color="auto" w:fill="CFF0FC"/>
          </w:tcPr>
          <w:p>
            <w:pPr>
              <w:jc w:val="right"/>
              <w:ind w:right="1451"/>
              <w:spacing w:after="0" w:line="180" w:lineRule="exact"/>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11</w:t>
            </w:r>
          </w:p>
        </w:tc>
        <w:tc>
          <w:tcPr>
            <w:tcW w:w="160" w:type="dxa"/>
            <w:vAlign w:val="bottom"/>
            <w:tcBorders>
              <w:bottom w:val="single" w:sz="8" w:color="CFF0FC"/>
            </w:tcBorders>
            <w:shd w:val="clear" w:color="auto" w:fill="CFF0FC"/>
          </w:tcPr>
          <w:p>
            <w:pPr>
              <w:spacing w:after="0"/>
              <w:rPr>
                <w:sz w:val="15"/>
                <w:szCs w:val="15"/>
                <w:color w:val="auto"/>
              </w:rPr>
            </w:pPr>
          </w:p>
        </w:tc>
        <w:tc>
          <w:tcPr>
            <w:tcW w:w="3300" w:type="dxa"/>
            <w:vAlign w:val="bottom"/>
            <w:tcBorders>
              <w:bottom w:val="single" w:sz="8" w:color="CFF0FC"/>
            </w:tcBorders>
            <w:shd w:val="clear" w:color="auto" w:fill="CFF0FC"/>
          </w:tcPr>
          <w:p>
            <w:pPr>
              <w:spacing w:after="0"/>
              <w:rPr>
                <w:sz w:val="15"/>
                <w:szCs w:val="15"/>
                <w:color w:val="auto"/>
              </w:rPr>
            </w:pPr>
          </w:p>
        </w:tc>
      </w:tr>
      <w:tr>
        <w:trPr>
          <w:trHeight w:val="20"/>
        </w:trPr>
        <w:tc>
          <w:tcPr>
            <w:tcW w:w="56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pacing w:after="0" w:line="155" w:lineRule="exact"/>
        <w:rPr>
          <w:sz w:val="20"/>
          <w:szCs w:val="20"/>
          <w:color w:val="auto"/>
        </w:rPr>
      </w:pPr>
    </w:p>
    <w:p>
      <w:pPr>
        <w:ind w:right="180" w:firstLine="522"/>
        <w:spacing w:after="0" w:line="265" w:lineRule="auto"/>
        <w:rPr>
          <w:sz w:val="20"/>
          <w:szCs w:val="20"/>
          <w:color w:val="auto"/>
        </w:rPr>
      </w:pPr>
      <w:r>
        <w:rPr>
          <w:rFonts w:ascii="Arial" w:cs="Arial" w:eastAsia="Arial" w:hAnsi="Arial"/>
          <w:sz w:val="16"/>
          <w:szCs w:val="16"/>
          <w:color w:val="auto"/>
        </w:rPr>
        <w:t>Prior service cost and actuarial loss are included in the computation of the Company’s net periodic benefit cost. Please see NOTE 15, “Employee Benefit Plans” for additional details.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COMMITMENTS AND CONTINGENCIES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Environmental Matters</w:t>
      </w:r>
    </w:p>
    <w:p>
      <w:pPr>
        <w:spacing w:after="0" w:line="131" w:lineRule="exact"/>
        <w:rPr>
          <w:sz w:val="20"/>
          <w:szCs w:val="20"/>
          <w:color w:val="auto"/>
        </w:rPr>
      </w:pPr>
    </w:p>
    <w:p>
      <w:pPr>
        <w:ind w:right="40" w:firstLine="522"/>
        <w:spacing w:after="0" w:line="239" w:lineRule="auto"/>
        <w:rPr>
          <w:sz w:val="20"/>
          <w:szCs w:val="20"/>
          <w:color w:val="auto"/>
        </w:rPr>
      </w:pPr>
      <w:r>
        <w:rPr>
          <w:rFonts w:ascii="Arial" w:cs="Arial" w:eastAsia="Arial" w:hAnsi="Arial"/>
          <w:sz w:val="16"/>
          <w:szCs w:val="16"/>
          <w:color w:val="auto"/>
        </w:rPr>
        <w:t>The Company has an agreement with the Environmental Protection Agency to perform remedial activities at the Company’s Indianapolis, Indiana manufacturing facilities related to historical soil and groundwater contamination. In the fourth quarter of 2019, the EPA accepted a proposal to reduce the Company’s ongoing responsibilities for operating, monitoring and maintaining the ongoing activities resulting in the Company reducing its associated undiscounted liability to $3 million to complete the future operating, monitoring and maintenance activities over the next 30 years. As of December 31, 2020, the Company had a liability recorded in the amount of $3 million.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Claims, Disputes, and Litigation</w:t>
      </w:r>
    </w:p>
    <w:p>
      <w:pPr>
        <w:spacing w:after="0" w:line="131" w:lineRule="exact"/>
        <w:rPr>
          <w:sz w:val="20"/>
          <w:szCs w:val="20"/>
          <w:color w:val="auto"/>
        </w:rPr>
      </w:pPr>
    </w:p>
    <w:p>
      <w:pPr>
        <w:ind w:right="120" w:firstLine="522"/>
        <w:spacing w:after="0" w:line="241" w:lineRule="auto"/>
        <w:rPr>
          <w:sz w:val="20"/>
          <w:szCs w:val="20"/>
          <w:color w:val="auto"/>
        </w:rPr>
      </w:pPr>
      <w:r>
        <w:rPr>
          <w:rFonts w:ascii="Arial" w:cs="Arial" w:eastAsia="Arial" w:hAnsi="Arial"/>
          <w:sz w:val="16"/>
          <w:szCs w:val="16"/>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consolidated financial statements or covered by insurance on the disposition of these matters will not have a material adverse effect on the financial position, results of operations or cash flows of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19.  CONCENTRATION OF RISK</w:t>
      </w:r>
    </w:p>
    <w:p>
      <w:pPr>
        <w:spacing w:after="0" w:line="135" w:lineRule="exact"/>
        <w:rPr>
          <w:sz w:val="20"/>
          <w:szCs w:val="20"/>
          <w:color w:val="auto"/>
        </w:rPr>
      </w:pPr>
    </w:p>
    <w:p>
      <w:pPr>
        <w:ind w:right="140" w:firstLine="522"/>
        <w:spacing w:after="0" w:line="263" w:lineRule="auto"/>
        <w:rPr>
          <w:sz w:val="20"/>
          <w:szCs w:val="20"/>
          <w:color w:val="auto"/>
        </w:rPr>
      </w:pPr>
      <w:r>
        <w:rPr>
          <w:rFonts w:ascii="Arial" w:cs="Arial" w:eastAsia="Arial" w:hAnsi="Arial"/>
          <w:sz w:val="15"/>
          <w:szCs w:val="15"/>
          <w:color w:val="auto"/>
        </w:rPr>
        <w:t>As of December 31, 2020 and 2019, the Company employed approximately 3,300 and 3,700 employees, respectively, with 89% and 91%, respectively, of those employees in the U.S. Approximately 47% and 45% of the Company’s U.S. employees were represented by unions and subject to a collective bargaining agreement as of December 31, 2020 and 2019, respectively. In addition, many of the hourly employees outside the U.S. are represented by various unions. The Company is currently operating under a collective bargaining agreement with UAW Local 933 that expires in November 2023.</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Three customers accounted for greater than 10% of net sales within the last three years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60" w:type="dxa"/>
            <w:vAlign w:val="bottom"/>
            <w:vMerge w:val="restart"/>
          </w:tcPr>
          <w:p>
            <w:pPr>
              <w:spacing w:after="0"/>
              <w:rPr>
                <w:sz w:val="20"/>
                <w:szCs w:val="20"/>
                <w:color w:val="auto"/>
              </w:rPr>
            </w:pPr>
            <w:r>
              <w:rPr>
                <w:rFonts w:ascii="Arial" w:cs="Arial" w:eastAsia="Arial" w:hAnsi="Arial"/>
                <w:sz w:val="13"/>
                <w:szCs w:val="13"/>
                <w:i w:val="1"/>
                <w:iCs w:val="1"/>
                <w:color w:val="auto"/>
              </w:rPr>
              <w:t>% of net sales</w:t>
            </w:r>
          </w:p>
        </w:tc>
        <w:tc>
          <w:tcPr>
            <w:tcW w:w="14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Years ended December 31,</w:t>
            </w: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560" w:type="dxa"/>
            <w:vAlign w:val="bottom"/>
            <w:vMerge w:val="continue"/>
          </w:tcPr>
          <w:p>
            <w:pPr>
              <w:spacing w:after="0"/>
              <w:rPr>
                <w:sz w:val="12"/>
                <w:szCs w:val="12"/>
                <w:color w:val="auto"/>
              </w:rPr>
            </w:pPr>
          </w:p>
        </w:tc>
        <w:tc>
          <w:tcPr>
            <w:tcW w:w="1480" w:type="dxa"/>
            <w:vAlign w:val="bottom"/>
          </w:tcPr>
          <w:p>
            <w:pPr>
              <w:jc w:val="right"/>
              <w:ind w:right="606"/>
              <w:spacing w:after="0" w:line="144" w:lineRule="exact"/>
              <w:rPr>
                <w:sz w:val="20"/>
                <w:szCs w:val="20"/>
                <w:color w:val="auto"/>
              </w:rPr>
            </w:pPr>
            <w:r>
              <w:rPr>
                <w:rFonts w:ascii="Arial" w:cs="Arial" w:eastAsia="Arial" w:hAnsi="Arial"/>
                <w:sz w:val="13"/>
                <w:szCs w:val="13"/>
                <w:b w:val="1"/>
                <w:bCs w:val="1"/>
                <w:color w:val="auto"/>
              </w:rPr>
              <w:t>2020</w:t>
            </w:r>
          </w:p>
        </w:tc>
        <w:tc>
          <w:tcPr>
            <w:tcW w:w="1600" w:type="dxa"/>
            <w:vAlign w:val="bottom"/>
            <w:gridSpan w:val="2"/>
          </w:tcPr>
          <w:p>
            <w:pPr>
              <w:jc w:val="right"/>
              <w:ind w:right="602"/>
              <w:spacing w:after="0" w:line="144"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2"/>
                <w:szCs w:val="12"/>
                <w:color w:val="auto"/>
              </w:rPr>
            </w:pPr>
          </w:p>
        </w:tc>
        <w:tc>
          <w:tcPr>
            <w:tcW w:w="1480" w:type="dxa"/>
            <w:vAlign w:val="bottom"/>
          </w:tcPr>
          <w:p>
            <w:pPr>
              <w:jc w:val="right"/>
              <w:ind w:right="606"/>
              <w:spacing w:after="0" w:line="144"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80"/>
        </w:trPr>
        <w:tc>
          <w:tcPr>
            <w:tcW w:w="65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Daimler AG</w:t>
            </w:r>
          </w:p>
        </w:tc>
        <w:tc>
          <w:tcPr>
            <w:tcW w:w="148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20%</w:t>
            </w:r>
          </w:p>
        </w:tc>
        <w:tc>
          <w:tcPr>
            <w:tcW w:w="140" w:type="dxa"/>
            <w:vAlign w:val="bottom"/>
            <w:tcBorders>
              <w:top w:val="single" w:sz="8" w:color="CFF0FC"/>
            </w:tcBorders>
            <w:shd w:val="clear" w:color="auto" w:fill="CFF0FC"/>
          </w:tcPr>
          <w:p>
            <w:pPr>
              <w:spacing w:after="0"/>
              <w:rPr>
                <w:sz w:val="15"/>
                <w:szCs w:val="15"/>
                <w:color w:val="auto"/>
              </w:rPr>
            </w:pPr>
          </w:p>
        </w:tc>
        <w:tc>
          <w:tcPr>
            <w:tcW w:w="146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20%</w:t>
            </w:r>
          </w:p>
        </w:tc>
        <w:tc>
          <w:tcPr>
            <w:tcW w:w="140" w:type="dxa"/>
            <w:vAlign w:val="bottom"/>
            <w:tcBorders>
              <w:top w:val="single" w:sz="8" w:color="CFF0FC"/>
            </w:tcBorders>
            <w:shd w:val="clear" w:color="auto" w:fill="CFF0FC"/>
          </w:tcPr>
          <w:p>
            <w:pPr>
              <w:spacing w:after="0"/>
              <w:rPr>
                <w:sz w:val="15"/>
                <w:szCs w:val="15"/>
                <w:color w:val="auto"/>
              </w:rPr>
            </w:pPr>
          </w:p>
        </w:tc>
        <w:tc>
          <w:tcPr>
            <w:tcW w:w="148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8"/>
        </w:trPr>
        <w:tc>
          <w:tcPr>
            <w:tcW w:w="6560" w:type="dxa"/>
            <w:vAlign w:val="bottom"/>
          </w:tcPr>
          <w:p>
            <w:pPr>
              <w:spacing w:after="0"/>
              <w:rPr>
                <w:sz w:val="20"/>
                <w:szCs w:val="20"/>
                <w:color w:val="auto"/>
              </w:rPr>
            </w:pPr>
            <w:r>
              <w:rPr>
                <w:rFonts w:ascii="Arial" w:cs="Arial" w:eastAsia="Arial" w:hAnsi="Arial"/>
                <w:sz w:val="16"/>
                <w:szCs w:val="16"/>
                <w:color w:val="auto"/>
              </w:rPr>
              <w:t>PACCAR Inc.</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8"/>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Navistar International Corporation</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 other customers accounted for more than 10% of net sales of the Company during the years ended December 31, 2020, 2019 or 2018.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Two customers accounted for greater than 10% of outstanding accounts receivable within the last two years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80" w:type="dxa"/>
            <w:vAlign w:val="bottom"/>
          </w:tcPr>
          <w:p>
            <w:pPr>
              <w:spacing w:after="0"/>
              <w:rPr>
                <w:sz w:val="13"/>
                <w:szCs w:val="13"/>
                <w:color w:val="auto"/>
              </w:rPr>
            </w:pPr>
          </w:p>
        </w:tc>
        <w:tc>
          <w:tcPr>
            <w:tcW w:w="1580" w:type="dxa"/>
            <w:vAlign w:val="bottom"/>
          </w:tcPr>
          <w:p>
            <w:pPr>
              <w:jc w:val="center"/>
              <w:ind w:left="197"/>
              <w:spacing w:after="0"/>
              <w:rPr>
                <w:sz w:val="20"/>
                <w:szCs w:val="20"/>
                <w:color w:val="auto"/>
              </w:rPr>
            </w:pPr>
            <w:r>
              <w:rPr>
                <w:rFonts w:ascii="Arial" w:cs="Arial" w:eastAsia="Arial" w:hAnsi="Arial"/>
                <w:sz w:val="13"/>
                <w:szCs w:val="13"/>
                <w:b w:val="1"/>
                <w:bCs w:val="1"/>
                <w:color w:val="auto"/>
                <w:w w:val="96"/>
              </w:rPr>
              <w:t>As of December 31,</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Pr>
          <w:p>
            <w:pPr>
              <w:jc w:val="right"/>
              <w:ind w:right="450"/>
              <w:spacing w:after="0"/>
              <w:rPr>
                <w:sz w:val="20"/>
                <w:szCs w:val="20"/>
                <w:color w:val="auto"/>
              </w:rPr>
            </w:pPr>
            <w:r>
              <w:rPr>
                <w:rFonts w:ascii="Arial" w:cs="Arial" w:eastAsia="Arial" w:hAnsi="Arial"/>
                <w:sz w:val="13"/>
                <w:szCs w:val="13"/>
                <w:b w:val="1"/>
                <w:bCs w:val="1"/>
                <w:color w:val="auto"/>
              </w:rPr>
              <w:t>As of December 31,</w:t>
            </w:r>
          </w:p>
        </w:tc>
      </w:tr>
      <w:tr>
        <w:trPr>
          <w:trHeight w:val="153"/>
        </w:trPr>
        <w:tc>
          <w:tcPr>
            <w:tcW w:w="7080" w:type="dxa"/>
            <w:vAlign w:val="bottom"/>
            <w:tcBorders>
              <w:bottom w:val="single" w:sz="8" w:color="CFF0FC"/>
            </w:tcBorders>
          </w:tcPr>
          <w:p>
            <w:pPr>
              <w:spacing w:after="0"/>
              <w:rPr>
                <w:sz w:val="20"/>
                <w:szCs w:val="20"/>
                <w:color w:val="auto"/>
              </w:rPr>
            </w:pPr>
            <w:r>
              <w:rPr>
                <w:rFonts w:ascii="Arial" w:cs="Arial" w:eastAsia="Arial" w:hAnsi="Arial"/>
                <w:sz w:val="13"/>
                <w:szCs w:val="13"/>
                <w:i w:val="1"/>
                <w:iCs w:val="1"/>
                <w:color w:val="auto"/>
              </w:rPr>
              <w:t>% of accounts receivable</w:t>
            </w:r>
          </w:p>
        </w:tc>
        <w:tc>
          <w:tcPr>
            <w:tcW w:w="158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20" w:type="dxa"/>
            <w:vAlign w:val="bottom"/>
            <w:tcBorders>
              <w:bottom w:val="single" w:sz="8" w:color="auto"/>
            </w:tcBorders>
          </w:tcPr>
          <w:p>
            <w:pPr>
              <w:jc w:val="right"/>
              <w:ind w:right="890"/>
              <w:spacing w:after="0"/>
              <w:rPr>
                <w:sz w:val="20"/>
                <w:szCs w:val="20"/>
                <w:color w:val="auto"/>
              </w:rPr>
            </w:pPr>
            <w:r>
              <w:rPr>
                <w:rFonts w:ascii="Arial" w:cs="Arial" w:eastAsia="Arial" w:hAnsi="Arial"/>
                <w:sz w:val="13"/>
                <w:szCs w:val="13"/>
                <w:b w:val="1"/>
                <w:bCs w:val="1"/>
                <w:color w:val="auto"/>
              </w:rPr>
              <w:t>2019</w:t>
            </w:r>
          </w:p>
        </w:tc>
      </w:tr>
      <w:tr>
        <w:trPr>
          <w:trHeight w:val="180"/>
        </w:trPr>
        <w:tc>
          <w:tcPr>
            <w:tcW w:w="70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Daimler AG</w:t>
            </w:r>
          </w:p>
        </w:tc>
        <w:tc>
          <w:tcPr>
            <w:tcW w:w="158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21%</w:t>
            </w:r>
          </w:p>
        </w:tc>
        <w:tc>
          <w:tcPr>
            <w:tcW w:w="160" w:type="dxa"/>
            <w:vAlign w:val="bottom"/>
            <w:shd w:val="clear" w:color="auto" w:fill="CFF0FC"/>
          </w:tcPr>
          <w:p>
            <w:pPr>
              <w:spacing w:after="0"/>
              <w:rPr>
                <w:sz w:val="15"/>
                <w:szCs w:val="15"/>
                <w:color w:val="auto"/>
              </w:rPr>
            </w:pPr>
          </w:p>
        </w:tc>
        <w:tc>
          <w:tcPr>
            <w:tcW w:w="20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19%</w:t>
            </w:r>
          </w:p>
        </w:tc>
      </w:tr>
      <w:tr>
        <w:trPr>
          <w:trHeight w:val="222"/>
        </w:trPr>
        <w:tc>
          <w:tcPr>
            <w:tcW w:w="7080" w:type="dxa"/>
            <w:vAlign w:val="bottom"/>
          </w:tcPr>
          <w:p>
            <w:pPr>
              <w:spacing w:after="0"/>
              <w:rPr>
                <w:sz w:val="20"/>
                <w:szCs w:val="20"/>
                <w:color w:val="auto"/>
              </w:rPr>
            </w:pPr>
            <w:r>
              <w:rPr>
                <w:rFonts w:ascii="Arial" w:cs="Arial" w:eastAsia="Arial" w:hAnsi="Arial"/>
                <w:sz w:val="16"/>
                <w:szCs w:val="16"/>
                <w:color w:val="auto"/>
              </w:rPr>
              <w:t>Navistar International Corporation</w:t>
            </w:r>
          </w:p>
        </w:tc>
        <w:tc>
          <w:tcPr>
            <w:tcW w:w="15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12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 other customers accounted for more than 10% of the outstanding accounts receivable as of December 31, 2020 or December 31, 2019.</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 supplier accounted for greater than 10% of materials purchased during the years ended December 31, 2020, 2019 or 2018.</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20.  CERTAIN RELATIONSHIPS AND RELATED PARTY TRANSACTIONS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Repurchase of Common Stock held by Ashe Capital Management LP</w:t>
      </w:r>
    </w:p>
    <w:p>
      <w:pPr>
        <w:spacing w:after="0" w:line="131" w:lineRule="exact"/>
        <w:rPr>
          <w:sz w:val="20"/>
          <w:szCs w:val="20"/>
          <w:color w:val="auto"/>
        </w:rPr>
      </w:pPr>
    </w:p>
    <w:p>
      <w:pPr>
        <w:ind w:right="160" w:firstLine="601"/>
        <w:spacing w:after="0" w:line="239" w:lineRule="auto"/>
        <w:rPr>
          <w:sz w:val="20"/>
          <w:szCs w:val="20"/>
          <w:color w:val="auto"/>
        </w:rPr>
      </w:pPr>
      <w:r>
        <w:rPr>
          <w:rFonts w:ascii="Arial" w:cs="Arial" w:eastAsia="Arial" w:hAnsi="Arial"/>
          <w:sz w:val="16"/>
          <w:szCs w:val="16"/>
          <w:color w:val="auto"/>
        </w:rPr>
        <w:t>On May 7, 2019, the Company entered into a stock repurchase agreement with Ashe Capital Management, LP to repurchase 4,977,043 shares of the Company's common stock for approximately $ 232 million. William Harker, a member of the Company's Board of Directors until May 9, 2019, is the President and Co-Founder of Ashe Capital Management, LP. The shares were repurchased under the stock repurchase plan approved by the Board of Directors in November 2016 (“Repurchase Program”). The purchase was funded with cash on hand and borrowings under the New Revolving Credit Facility. The shares were subsequently retired.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21.  COMMON STOCK</w:t>
      </w:r>
    </w:p>
    <w:p>
      <w:pPr>
        <w:spacing w:after="0" w:line="135" w:lineRule="exact"/>
        <w:rPr>
          <w:sz w:val="20"/>
          <w:szCs w:val="20"/>
          <w:color w:val="auto"/>
        </w:rPr>
      </w:pPr>
    </w:p>
    <w:p>
      <w:pPr>
        <w:ind w:right="120" w:firstLine="522"/>
        <w:spacing w:after="0" w:line="237" w:lineRule="auto"/>
        <w:rPr>
          <w:sz w:val="20"/>
          <w:szCs w:val="20"/>
          <w:color w:val="auto"/>
        </w:rPr>
      </w:pPr>
      <w:r>
        <w:rPr>
          <w:rFonts w:ascii="Arial" w:cs="Arial" w:eastAsia="Arial" w:hAnsi="Arial"/>
          <w:sz w:val="16"/>
          <w:szCs w:val="16"/>
          <w:color w:val="auto"/>
        </w:rPr>
        <w:t>The Company’s Repurchase Program was announced on November 14, 2016 when the Board of Directors authorized the Company to repurchase up to $1,000 million of its common stock on the open market or through privately negotiated transactions. On November 8, 2017, July 30, 2018 and May 9, 2019 the Board of Directors authorized the Company to repurchase an additional $500 million, $500 million and $1,000 million, respectively, of its common stock, bringing the total amount authorized under the Repurchase Program to $3,000 million. The Repurchase Program has no termination date. The timing and amount of stock purchases are subject to market conditions and corporate needs. The Repurchase Program may be modified, suspended or discontinued at any time at the Company’s discretion.</w:t>
      </w:r>
    </w:p>
    <w:p>
      <w:pPr>
        <w:spacing w:after="0" w:line="108" w:lineRule="exact"/>
        <w:rPr>
          <w:sz w:val="20"/>
          <w:szCs w:val="20"/>
          <w:color w:val="auto"/>
        </w:rPr>
      </w:pPr>
    </w:p>
    <w:p>
      <w:pPr>
        <w:ind w:right="760" w:firstLine="522"/>
        <w:spacing w:after="0" w:line="265" w:lineRule="auto"/>
        <w:rPr>
          <w:sz w:val="20"/>
          <w:szCs w:val="20"/>
          <w:color w:val="auto"/>
        </w:rPr>
      </w:pPr>
      <w:r>
        <w:rPr>
          <w:rFonts w:ascii="Arial" w:cs="Arial" w:eastAsia="Arial" w:hAnsi="Arial"/>
          <w:sz w:val="16"/>
          <w:szCs w:val="16"/>
          <w:color w:val="auto"/>
        </w:rPr>
        <w:t>During 2020, the Company repurchased approximately $225 million of its common stock under the Repurchase Program, leaving $827 million of authorized repurchases remaining under the Repurchase Program as of December 31, 2020.</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22.  EARNINGS PER SHARE</w:t>
      </w:r>
    </w:p>
    <w:p>
      <w:pPr>
        <w:spacing w:after="0" w:line="135" w:lineRule="exact"/>
        <w:rPr>
          <w:sz w:val="20"/>
          <w:szCs w:val="20"/>
          <w:color w:val="auto"/>
        </w:rPr>
      </w:pPr>
    </w:p>
    <w:p>
      <w:pPr>
        <w:ind w:right="80" w:firstLine="522"/>
        <w:spacing w:after="0" w:line="234"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During the year ended December 31, 2020, 1 million outstanding stock options were excluded from the diluted EPS calculation because they were anti-dilutive, and during the years ended December 31, 2019 and 2018, there were no outstanding stock options excluded from the diluted EPS calculation because they were anti-dilutive. Basic and diluted EPS for the full-year is calculated using the weighted average shares of common stock outstanding during the year while quarterly basic and diluted EPS is calculated using the weighted average shares of common stock outstanding during the quarter; therefore, the sum of the four quarters’ EPS may not equal full-year EPS.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6"/>
              </w:rPr>
              <w:t>Years ended December 31,</w:t>
            </w: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66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323"/>
              <w:spacing w:after="0" w:line="144" w:lineRule="exact"/>
              <w:rPr>
                <w:sz w:val="20"/>
                <w:szCs w:val="20"/>
                <w:color w:val="auto"/>
              </w:rPr>
            </w:pPr>
            <w:r>
              <w:rPr>
                <w:rFonts w:ascii="Arial" w:cs="Arial" w:eastAsia="Arial" w:hAnsi="Arial"/>
                <w:sz w:val="13"/>
                <w:szCs w:val="13"/>
                <w:b w:val="1"/>
                <w:bCs w:val="1"/>
                <w:color w:val="auto"/>
                <w:w w:val="96"/>
              </w:rPr>
              <w:t>2019</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3"/>
              <w:spacing w:after="0" w:line="144"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80"/>
        </w:trPr>
        <w:tc>
          <w:tcPr>
            <w:tcW w:w="66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860" w:type="dxa"/>
            <w:vAlign w:val="bottom"/>
            <w:tcBorders>
              <w:bottom w:val="single" w:sz="8" w:color="auto"/>
            </w:tcBorders>
            <w:shd w:val="clear" w:color="auto" w:fill="CFF0FC"/>
          </w:tcPr>
          <w:p>
            <w:pPr>
              <w:jc w:val="right"/>
              <w:ind w:right="686"/>
              <w:spacing w:after="0" w:line="180" w:lineRule="exact"/>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299</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604</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6"/>
                <w:szCs w:val="16"/>
                <w:color w:val="auto"/>
              </w:rPr>
              <w:t>Weighted average shares of common stock outstanding</w:t>
            </w: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6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ind w:right="42"/>
              <w:spacing w:after="0" w:line="163" w:lineRule="exact"/>
              <w:rPr>
                <w:sz w:val="20"/>
                <w:szCs w:val="20"/>
                <w:color w:val="auto"/>
              </w:rPr>
            </w:pPr>
            <w:r>
              <w:rPr>
                <w:rFonts w:ascii="Arial" w:cs="Arial" w:eastAsia="Arial" w:hAnsi="Arial"/>
                <w:sz w:val="16"/>
                <w:szCs w:val="16"/>
                <w:b w:val="1"/>
                <w:bCs w:val="1"/>
                <w:color w:val="auto"/>
              </w:rPr>
              <w:t>114</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23"/>
              <w:spacing w:after="0" w:line="163" w:lineRule="exact"/>
              <w:rPr>
                <w:sz w:val="20"/>
                <w:szCs w:val="20"/>
                <w:color w:val="auto"/>
              </w:rPr>
            </w:pPr>
            <w:r>
              <w:rPr>
                <w:rFonts w:ascii="Arial" w:cs="Arial" w:eastAsia="Arial" w:hAnsi="Arial"/>
                <w:sz w:val="16"/>
                <w:szCs w:val="16"/>
                <w:color w:val="auto"/>
              </w:rPr>
              <w:t>122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3"/>
              <w:spacing w:after="0" w:line="163" w:lineRule="exact"/>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Dilutive effect stock-based awards</w:t>
            </w:r>
          </w:p>
        </w:tc>
        <w:tc>
          <w:tcPr>
            <w:tcW w:w="86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6660" w:type="dxa"/>
            <w:vAlign w:val="bottom"/>
            <w:tcBorders>
              <w:bottom w:val="single" w:sz="8" w:color="CFF0FC"/>
            </w:tcBorders>
          </w:tcPr>
          <w:p>
            <w:pPr>
              <w:ind w:left="200"/>
              <w:spacing w:after="0" w:line="180" w:lineRule="exact"/>
              <w:rPr>
                <w:sz w:val="20"/>
                <w:szCs w:val="20"/>
                <w:color w:val="auto"/>
              </w:rPr>
            </w:pPr>
            <w:r>
              <w:rPr>
                <w:rFonts w:ascii="Arial" w:cs="Arial" w:eastAsia="Arial" w:hAnsi="Arial"/>
                <w:sz w:val="16"/>
                <w:szCs w:val="16"/>
                <w:color w:val="auto"/>
              </w:rPr>
              <w:t>Diluted weighted average shares of common stock outstanding</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114</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
              <w:spacing w:after="0" w:line="180" w:lineRule="exact"/>
              <w:rPr>
                <w:sz w:val="20"/>
                <w:szCs w:val="20"/>
                <w:color w:val="auto"/>
              </w:rPr>
            </w:pPr>
            <w:r>
              <w:rPr>
                <w:rFonts w:ascii="Arial" w:cs="Arial" w:eastAsia="Arial" w:hAnsi="Arial"/>
                <w:sz w:val="16"/>
                <w:szCs w:val="16"/>
                <w:color w:val="auto"/>
              </w:rPr>
              <w:t>123</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163"/>
        </w:trPr>
        <w:tc>
          <w:tcPr>
            <w:tcW w:w="6660" w:type="dxa"/>
            <w:vAlign w:val="bottom"/>
            <w:tcBorders>
              <w:bottom w:val="single" w:sz="8" w:color="CFF0FC"/>
            </w:tcBorders>
            <w:shd w:val="clear" w:color="auto" w:fill="CFF0FC"/>
          </w:tcPr>
          <w:p>
            <w:pPr>
              <w:spacing w:after="0" w:line="163" w:lineRule="exact"/>
              <w:rPr>
                <w:sz w:val="20"/>
                <w:szCs w:val="20"/>
                <w:color w:val="auto"/>
              </w:rPr>
            </w:pPr>
            <w:r>
              <w:rPr>
                <w:rFonts w:ascii="Arial" w:cs="Arial" w:eastAsia="Arial" w:hAnsi="Arial"/>
                <w:sz w:val="16"/>
                <w:szCs w:val="16"/>
                <w:color w:val="auto"/>
              </w:rPr>
              <w:t>Basic earnings per share attributable to common stockholders</w:t>
            </w:r>
          </w:p>
        </w:tc>
        <w:tc>
          <w:tcPr>
            <w:tcW w:w="860" w:type="dxa"/>
            <w:vAlign w:val="bottom"/>
            <w:tcBorders>
              <w:bottom w:val="single" w:sz="8" w:color="auto"/>
            </w:tcBorders>
            <w:shd w:val="clear" w:color="auto" w:fill="CFF0FC"/>
          </w:tcPr>
          <w:p>
            <w:pPr>
              <w:jc w:val="right"/>
              <w:ind w:right="686"/>
              <w:spacing w:after="0" w:line="163" w:lineRule="exact"/>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shd w:val="clear" w:color="auto" w:fill="CFF0FC"/>
          </w:tcPr>
          <w:p>
            <w:pPr>
              <w:jc w:val="right"/>
              <w:ind w:right="42"/>
              <w:spacing w:after="0" w:line="163" w:lineRule="exact"/>
              <w:rPr>
                <w:sz w:val="20"/>
                <w:szCs w:val="20"/>
                <w:color w:val="auto"/>
              </w:rPr>
            </w:pPr>
            <w:r>
              <w:rPr>
                <w:rFonts w:ascii="Arial" w:cs="Arial" w:eastAsia="Arial" w:hAnsi="Arial"/>
                <w:sz w:val="16"/>
                <w:szCs w:val="16"/>
                <w:b w:val="1"/>
                <w:bCs w:val="1"/>
                <w:color w:val="auto"/>
              </w:rPr>
              <w:t>2.62</w:t>
            </w: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47"/>
              <w:spacing w:after="0" w:line="163"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23"/>
              <w:spacing w:after="0" w:line="163" w:lineRule="exact"/>
              <w:rPr>
                <w:sz w:val="20"/>
                <w:szCs w:val="20"/>
                <w:color w:val="auto"/>
              </w:rPr>
            </w:pPr>
            <w:r>
              <w:rPr>
                <w:rFonts w:ascii="Arial" w:cs="Arial" w:eastAsia="Arial" w:hAnsi="Arial"/>
                <w:sz w:val="16"/>
                <w:szCs w:val="16"/>
                <w:color w:val="auto"/>
              </w:rPr>
              <w:t>4.95</w:t>
            </w: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47"/>
              <w:spacing w:after="0" w:line="163"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43"/>
              <w:spacing w:after="0" w:line="163" w:lineRule="exact"/>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200"/>
              <w:spacing w:after="0" w:line="182" w:lineRule="exact"/>
              <w:rPr>
                <w:sz w:val="20"/>
                <w:szCs w:val="20"/>
                <w:color w:val="auto"/>
              </w:rPr>
            </w:pPr>
            <w:r>
              <w:rPr>
                <w:rFonts w:ascii="Arial" w:cs="Arial" w:eastAsia="Arial" w:hAnsi="Arial"/>
                <w:sz w:val="16"/>
                <w:szCs w:val="16"/>
                <w:color w:val="auto"/>
              </w:rPr>
              <w:t>Diluted earnings per share attributable to common</w:t>
            </w: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60" w:type="dxa"/>
            <w:vAlign w:val="bottom"/>
            <w:vMerge w:val="continue"/>
          </w:tcPr>
          <w:p>
            <w:pPr>
              <w:spacing w:after="0"/>
              <w:rPr>
                <w:sz w:val="12"/>
                <w:szCs w:val="12"/>
                <w:color w:val="auto"/>
              </w:rPr>
            </w:pPr>
          </w:p>
        </w:tc>
        <w:tc>
          <w:tcPr>
            <w:tcW w:w="860" w:type="dxa"/>
            <w:vAlign w:val="bottom"/>
            <w:vMerge w:val="restart"/>
          </w:tcPr>
          <w:p>
            <w:pPr>
              <w:jc w:val="right"/>
              <w:ind w:right="686"/>
              <w:spacing w:after="0"/>
              <w:rPr>
                <w:sz w:val="20"/>
                <w:szCs w:val="20"/>
                <w:color w:val="auto"/>
              </w:rPr>
            </w:pPr>
            <w:r>
              <w:rPr>
                <w:rFonts w:ascii="Arial" w:cs="Arial" w:eastAsia="Arial" w:hAnsi="Arial"/>
                <w:sz w:val="16"/>
                <w:szCs w:val="16"/>
                <w:b w:val="1"/>
                <w:bCs w:val="1"/>
                <w:color w:val="auto"/>
                <w:w w:val="89"/>
              </w:rPr>
              <w:t>$</w:t>
            </w:r>
          </w:p>
        </w:tc>
        <w:tc>
          <w:tcPr>
            <w:tcW w:w="56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2.62</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660" w:type="dxa"/>
            <w:vAlign w:val="bottom"/>
          </w:tcPr>
          <w:p>
            <w:pPr>
              <w:ind w:left="340"/>
              <w:spacing w:after="0"/>
              <w:rPr>
                <w:sz w:val="20"/>
                <w:szCs w:val="20"/>
                <w:color w:val="auto"/>
              </w:rPr>
            </w:pPr>
            <w:r>
              <w:rPr>
                <w:rFonts w:ascii="Arial" w:cs="Arial" w:eastAsia="Arial" w:hAnsi="Arial"/>
                <w:sz w:val="16"/>
                <w:szCs w:val="16"/>
                <w:color w:val="auto"/>
              </w:rPr>
              <w:t>stockholders</w:t>
            </w:r>
          </w:p>
        </w:tc>
        <w:tc>
          <w:tcPr>
            <w:tcW w:w="8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46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4.91</w:t>
            </w:r>
          </w:p>
        </w:tc>
        <w:tc>
          <w:tcPr>
            <w:tcW w:w="16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6"/>
                <w:szCs w:val="16"/>
                <w:b w:val="1"/>
                <w:bCs w:val="1"/>
                <w:color w:val="auto"/>
              </w:rPr>
              <w:t>NOTE 23.  GEOGRAPHIC INFORMATION</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6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660" w:type="dxa"/>
            <w:vAlign w:val="bottom"/>
          </w:tcPr>
          <w:p>
            <w:pPr>
              <w:ind w:left="580"/>
              <w:spacing w:after="0"/>
              <w:rPr>
                <w:sz w:val="20"/>
                <w:szCs w:val="20"/>
                <w:color w:val="auto"/>
              </w:rPr>
            </w:pPr>
            <w:r>
              <w:rPr>
                <w:rFonts w:ascii="Arial" w:cs="Arial" w:eastAsia="Arial" w:hAnsi="Arial"/>
                <w:sz w:val="16"/>
                <w:szCs w:val="16"/>
                <w:color w:val="auto"/>
              </w:rPr>
              <w:t>The Company had the following net sales by country (dollars in millions):</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6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6"/>
              </w:rPr>
              <w:t>Years ended December 31,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66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323"/>
              <w:spacing w:after="0" w:line="144" w:lineRule="exact"/>
              <w:rPr>
                <w:sz w:val="20"/>
                <w:szCs w:val="20"/>
                <w:color w:val="auto"/>
              </w:rPr>
            </w:pPr>
            <w:r>
              <w:rPr>
                <w:rFonts w:ascii="Arial" w:cs="Arial" w:eastAsia="Arial" w:hAnsi="Arial"/>
                <w:sz w:val="13"/>
                <w:szCs w:val="13"/>
                <w:b w:val="1"/>
                <w:bCs w:val="1"/>
                <w:color w:val="auto"/>
                <w:w w:val="96"/>
              </w:rPr>
              <w:t>2019</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3"/>
              <w:spacing w:after="0" w:line="144"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80"/>
        </w:trPr>
        <w:tc>
          <w:tcPr>
            <w:tcW w:w="66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States</w:t>
            </w:r>
          </w:p>
        </w:tc>
        <w:tc>
          <w:tcPr>
            <w:tcW w:w="860" w:type="dxa"/>
            <w:vAlign w:val="bottom"/>
            <w:shd w:val="clear" w:color="auto" w:fill="CFF0FC"/>
          </w:tcPr>
          <w:p>
            <w:pPr>
              <w:jc w:val="right"/>
              <w:ind w:right="686"/>
              <w:spacing w:after="0" w:line="180" w:lineRule="exact"/>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1,521</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1,915</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1,922</w:t>
            </w:r>
          </w:p>
        </w:tc>
        <w:tc>
          <w:tcPr>
            <w:tcW w:w="0" w:type="dxa"/>
            <w:vAlign w:val="bottom"/>
          </w:tcPr>
          <w:p>
            <w:pPr>
              <w:spacing w:after="0"/>
              <w:rPr>
                <w:sz w:val="1"/>
                <w:szCs w:val="1"/>
                <w:color w:val="auto"/>
              </w:rPr>
            </w:pPr>
          </w:p>
        </w:tc>
      </w:tr>
      <w:tr>
        <w:trPr>
          <w:trHeight w:val="188"/>
        </w:trPr>
        <w:tc>
          <w:tcPr>
            <w:tcW w:w="6660" w:type="dxa"/>
            <w:vAlign w:val="bottom"/>
          </w:tcPr>
          <w:p>
            <w:pPr>
              <w:spacing w:after="0"/>
              <w:rPr>
                <w:sz w:val="20"/>
                <w:szCs w:val="20"/>
                <w:color w:val="auto"/>
              </w:rPr>
            </w:pPr>
            <w:r>
              <w:rPr>
                <w:rFonts w:ascii="Arial" w:cs="Arial" w:eastAsia="Arial" w:hAnsi="Arial"/>
                <w:sz w:val="16"/>
                <w:szCs w:val="16"/>
                <w:color w:val="auto"/>
              </w:rPr>
              <w:t>China</w:t>
            </w:r>
          </w:p>
        </w:tc>
        <w:tc>
          <w:tcPr>
            <w:tcW w:w="860" w:type="dxa"/>
            <w:vAlign w:val="bottom"/>
          </w:tcPr>
          <w:p>
            <w:pPr>
              <w:spacing w:after="0"/>
              <w:rPr>
                <w:sz w:val="16"/>
                <w:szCs w:val="16"/>
                <w:color w:val="auto"/>
              </w:rPr>
            </w:pPr>
          </w:p>
        </w:tc>
        <w:tc>
          <w:tcPr>
            <w:tcW w:w="560" w:type="dxa"/>
            <w:vAlign w:val="bottom"/>
          </w:tcPr>
          <w:p>
            <w:pPr>
              <w:jc w:val="right"/>
              <w:ind w:right="42"/>
              <w:spacing w:after="0"/>
              <w:rPr>
                <w:sz w:val="20"/>
                <w:szCs w:val="20"/>
                <w:color w:val="auto"/>
              </w:rPr>
            </w:pPr>
            <w:r>
              <w:rPr>
                <w:rFonts w:ascii="Arial" w:cs="Arial" w:eastAsia="Arial" w:hAnsi="Arial"/>
                <w:sz w:val="16"/>
                <w:szCs w:val="16"/>
                <w:b w:val="1"/>
                <w:bCs w:val="1"/>
                <w:color w:val="auto"/>
              </w:rPr>
              <w:t>87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136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Canada</w:t>
            </w:r>
          </w:p>
        </w:tc>
        <w:tc>
          <w:tcPr>
            <w:tcW w:w="8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70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104</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88"/>
        </w:trPr>
        <w:tc>
          <w:tcPr>
            <w:tcW w:w="6660" w:type="dxa"/>
            <w:vAlign w:val="bottom"/>
          </w:tcPr>
          <w:p>
            <w:pPr>
              <w:spacing w:after="0"/>
              <w:rPr>
                <w:sz w:val="20"/>
                <w:szCs w:val="20"/>
                <w:color w:val="auto"/>
              </w:rPr>
            </w:pPr>
            <w:r>
              <w:rPr>
                <w:rFonts w:ascii="Arial" w:cs="Arial" w:eastAsia="Arial" w:hAnsi="Arial"/>
                <w:sz w:val="16"/>
                <w:szCs w:val="16"/>
                <w:color w:val="auto"/>
              </w:rPr>
              <w:t>Japan</w:t>
            </w:r>
          </w:p>
        </w:tc>
        <w:tc>
          <w:tcPr>
            <w:tcW w:w="860" w:type="dxa"/>
            <w:vAlign w:val="bottom"/>
          </w:tcPr>
          <w:p>
            <w:pPr>
              <w:spacing w:after="0"/>
              <w:rPr>
                <w:sz w:val="16"/>
                <w:szCs w:val="16"/>
                <w:color w:val="auto"/>
              </w:rPr>
            </w:pPr>
          </w:p>
        </w:tc>
        <w:tc>
          <w:tcPr>
            <w:tcW w:w="560" w:type="dxa"/>
            <w:vAlign w:val="bottom"/>
          </w:tcPr>
          <w:p>
            <w:pPr>
              <w:jc w:val="right"/>
              <w:ind w:right="42"/>
              <w:spacing w:after="0"/>
              <w:rPr>
                <w:sz w:val="20"/>
                <w:szCs w:val="20"/>
                <w:color w:val="auto"/>
              </w:rPr>
            </w:pPr>
            <w:r>
              <w:rPr>
                <w:rFonts w:ascii="Arial" w:cs="Arial" w:eastAsia="Arial" w:hAnsi="Arial"/>
                <w:sz w:val="16"/>
                <w:szCs w:val="16"/>
                <w:b w:val="1"/>
                <w:bCs w:val="1"/>
                <w:color w:val="auto"/>
              </w:rPr>
              <w:t>66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79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Mexico</w:t>
            </w:r>
          </w:p>
        </w:tc>
        <w:tc>
          <w:tcPr>
            <w:tcW w:w="8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61</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71</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88"/>
        </w:trPr>
        <w:tc>
          <w:tcPr>
            <w:tcW w:w="6660" w:type="dxa"/>
            <w:vAlign w:val="bottom"/>
          </w:tcPr>
          <w:p>
            <w:pPr>
              <w:spacing w:after="0"/>
              <w:rPr>
                <w:sz w:val="20"/>
                <w:szCs w:val="20"/>
                <w:color w:val="auto"/>
              </w:rPr>
            </w:pPr>
            <w:r>
              <w:rPr>
                <w:rFonts w:ascii="Arial" w:cs="Arial" w:eastAsia="Arial" w:hAnsi="Arial"/>
                <w:sz w:val="16"/>
                <w:szCs w:val="16"/>
                <w:color w:val="auto"/>
              </w:rPr>
              <w:t>Germany</w:t>
            </w:r>
          </w:p>
        </w:tc>
        <w:tc>
          <w:tcPr>
            <w:tcW w:w="860" w:type="dxa"/>
            <w:vAlign w:val="bottom"/>
          </w:tcPr>
          <w:p>
            <w:pPr>
              <w:spacing w:after="0"/>
              <w:rPr>
                <w:sz w:val="16"/>
                <w:szCs w:val="16"/>
                <w:color w:val="auto"/>
              </w:rPr>
            </w:pPr>
          </w:p>
        </w:tc>
        <w:tc>
          <w:tcPr>
            <w:tcW w:w="560" w:type="dxa"/>
            <w:vAlign w:val="bottom"/>
          </w:tcPr>
          <w:p>
            <w:pPr>
              <w:jc w:val="right"/>
              <w:ind w:right="42"/>
              <w:spacing w:after="0"/>
              <w:rPr>
                <w:sz w:val="20"/>
                <w:szCs w:val="20"/>
                <w:color w:val="auto"/>
              </w:rPr>
            </w:pPr>
            <w:r>
              <w:rPr>
                <w:rFonts w:ascii="Arial" w:cs="Arial" w:eastAsia="Arial" w:hAnsi="Arial"/>
                <w:sz w:val="16"/>
                <w:szCs w:val="16"/>
                <w:b w:val="1"/>
                <w:bCs w:val="1"/>
                <w:color w:val="auto"/>
              </w:rPr>
              <w:t>36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59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United Kingdom</w:t>
            </w:r>
          </w:p>
        </w:tc>
        <w:tc>
          <w:tcPr>
            <w:tcW w:w="8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25</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8"/>
        </w:trPr>
        <w:tc>
          <w:tcPr>
            <w:tcW w:w="6660" w:type="dxa"/>
            <w:vAlign w:val="bottom"/>
          </w:tcPr>
          <w:p>
            <w:pPr>
              <w:spacing w:after="0"/>
              <w:rPr>
                <w:sz w:val="20"/>
                <w:szCs w:val="20"/>
                <w:color w:val="auto"/>
              </w:rPr>
            </w:pPr>
            <w:r>
              <w:rPr>
                <w:rFonts w:ascii="Arial" w:cs="Arial" w:eastAsia="Arial" w:hAnsi="Arial"/>
                <w:sz w:val="16"/>
                <w:szCs w:val="16"/>
                <w:color w:val="auto"/>
              </w:rPr>
              <w:t>South Korea</w:t>
            </w:r>
          </w:p>
        </w:tc>
        <w:tc>
          <w:tcPr>
            <w:tcW w:w="860" w:type="dxa"/>
            <w:vAlign w:val="bottom"/>
          </w:tcPr>
          <w:p>
            <w:pPr>
              <w:spacing w:after="0"/>
              <w:rPr>
                <w:sz w:val="16"/>
                <w:szCs w:val="16"/>
                <w:color w:val="auto"/>
              </w:rPr>
            </w:pPr>
          </w:p>
        </w:tc>
        <w:tc>
          <w:tcPr>
            <w:tcW w:w="560" w:type="dxa"/>
            <w:vAlign w:val="bottom"/>
          </w:tcPr>
          <w:p>
            <w:pPr>
              <w:jc w:val="right"/>
              <w:ind w:right="42"/>
              <w:spacing w:after="0"/>
              <w:rPr>
                <w:sz w:val="20"/>
                <w:szCs w:val="20"/>
                <w:color w:val="auto"/>
              </w:rPr>
            </w:pPr>
            <w:r>
              <w:rPr>
                <w:rFonts w:ascii="Arial" w:cs="Arial" w:eastAsia="Arial" w:hAnsi="Arial"/>
                <w:sz w:val="16"/>
                <w:szCs w:val="16"/>
                <w:b w:val="1"/>
                <w:bCs w:val="1"/>
                <w:color w:val="auto"/>
              </w:rPr>
              <w:t>22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France</w:t>
            </w:r>
          </w:p>
        </w:tc>
        <w:tc>
          <w:tcPr>
            <w:tcW w:w="8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21</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37</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8"/>
        </w:trPr>
        <w:tc>
          <w:tcPr>
            <w:tcW w:w="6660" w:type="dxa"/>
            <w:vAlign w:val="bottom"/>
          </w:tcPr>
          <w:p>
            <w:pPr>
              <w:spacing w:after="0"/>
              <w:rPr>
                <w:sz w:val="20"/>
                <w:szCs w:val="20"/>
                <w:color w:val="auto"/>
              </w:rPr>
            </w:pPr>
            <w:r>
              <w:rPr>
                <w:rFonts w:ascii="Arial" w:cs="Arial" w:eastAsia="Arial" w:hAnsi="Arial"/>
                <w:sz w:val="16"/>
                <w:szCs w:val="16"/>
                <w:color w:val="auto"/>
              </w:rPr>
              <w:t>Netherlands</w:t>
            </w:r>
          </w:p>
        </w:tc>
        <w:tc>
          <w:tcPr>
            <w:tcW w:w="860" w:type="dxa"/>
            <w:vAlign w:val="bottom"/>
          </w:tcPr>
          <w:p>
            <w:pPr>
              <w:spacing w:after="0"/>
              <w:rPr>
                <w:sz w:val="16"/>
                <w:szCs w:val="16"/>
                <w:color w:val="auto"/>
              </w:rPr>
            </w:pPr>
          </w:p>
        </w:tc>
        <w:tc>
          <w:tcPr>
            <w:tcW w:w="560" w:type="dxa"/>
            <w:vAlign w:val="bottom"/>
          </w:tcPr>
          <w:p>
            <w:pPr>
              <w:jc w:val="right"/>
              <w:ind w:right="42"/>
              <w:spacing w:after="0"/>
              <w:rPr>
                <w:sz w:val="20"/>
                <w:szCs w:val="20"/>
                <w:color w:val="auto"/>
              </w:rPr>
            </w:pPr>
            <w:r>
              <w:rPr>
                <w:rFonts w:ascii="Arial" w:cs="Arial" w:eastAsia="Arial" w:hAnsi="Arial"/>
                <w:sz w:val="16"/>
                <w:szCs w:val="16"/>
                <w:b w:val="1"/>
                <w:bCs w:val="1"/>
                <w:color w:val="auto"/>
              </w:rPr>
              <w:t>21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151</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color w:val="auto"/>
              </w:rPr>
              <w:t>212</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180"/>
        </w:trPr>
        <w:tc>
          <w:tcPr>
            <w:tcW w:w="666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tcPr>
          <w:p>
            <w:pPr>
              <w:jc w:val="right"/>
              <w:ind w:right="686"/>
              <w:spacing w:after="0" w:line="180" w:lineRule="exact"/>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2,081</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23"/>
              <w:spacing w:after="0" w:line="180" w:lineRule="exact"/>
              <w:rPr>
                <w:sz w:val="20"/>
                <w:szCs w:val="20"/>
                <w:color w:val="auto"/>
              </w:rPr>
            </w:pPr>
            <w:r>
              <w:rPr>
                <w:rFonts w:ascii="Arial" w:cs="Arial" w:eastAsia="Arial" w:hAnsi="Arial"/>
                <w:sz w:val="16"/>
                <w:szCs w:val="16"/>
                <w:color w:val="auto"/>
              </w:rPr>
              <w:t>2,698</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2,713</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5540"/>
              <w:spacing w:after="0"/>
              <w:rPr>
                <w:sz w:val="20"/>
                <w:szCs w:val="20"/>
                <w:color w:val="auto"/>
              </w:rPr>
            </w:pPr>
            <w:r>
              <w:rPr>
                <w:rFonts w:ascii="Arial" w:cs="Arial" w:eastAsia="Arial" w:hAnsi="Arial"/>
                <w:sz w:val="16"/>
                <w:szCs w:val="16"/>
                <w:color w:val="auto"/>
              </w:rPr>
              <w:t>90</w:t>
            </w: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66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66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had the following net long-lived assets by country (dollars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44"/>
        </w:trPr>
        <w:tc>
          <w:tcPr>
            <w:tcW w:w="66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47"/>
              <w:spacing w:after="0" w:line="144" w:lineRule="exact"/>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4"/>
              <w:spacing w:after="0" w:line="144"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4"/>
              <w:spacing w:after="0" w:line="144" w:lineRule="exact"/>
              <w:rPr>
                <w:sz w:val="20"/>
                <w:szCs w:val="20"/>
                <w:color w:val="auto"/>
              </w:rPr>
            </w:pPr>
            <w:r>
              <w:rPr>
                <w:rFonts w:ascii="Arial" w:cs="Arial" w:eastAsia="Arial" w:hAnsi="Arial"/>
                <w:sz w:val="13"/>
                <w:szCs w:val="13"/>
                <w:b w:val="1"/>
                <w:bCs w:val="1"/>
                <w:color w:val="auto"/>
              </w:rPr>
              <w:t>2018</w:t>
            </w:r>
          </w:p>
        </w:tc>
      </w:tr>
      <w:tr>
        <w:trPr>
          <w:trHeight w:val="180"/>
        </w:trPr>
        <w:tc>
          <w:tcPr>
            <w:tcW w:w="66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States</w:t>
            </w:r>
          </w:p>
        </w:tc>
        <w:tc>
          <w:tcPr>
            <w:tcW w:w="920" w:type="dxa"/>
            <w:vAlign w:val="bottom"/>
            <w:shd w:val="clear" w:color="auto" w:fill="CFF0FC"/>
          </w:tcPr>
          <w:p>
            <w:pPr>
              <w:jc w:val="right"/>
              <w:ind w:right="747"/>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611</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24"/>
              <w:spacing w:after="0" w:line="180" w:lineRule="exact"/>
              <w:rPr>
                <w:sz w:val="20"/>
                <w:szCs w:val="20"/>
                <w:color w:val="auto"/>
              </w:rPr>
            </w:pPr>
            <w:r>
              <w:rPr>
                <w:rFonts w:ascii="Arial" w:cs="Arial" w:eastAsia="Arial" w:hAnsi="Arial"/>
                <w:sz w:val="16"/>
                <w:szCs w:val="16"/>
                <w:color w:val="auto"/>
              </w:rPr>
              <w:t>583</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427</w:t>
            </w:r>
          </w:p>
        </w:tc>
      </w:tr>
      <w:tr>
        <w:trPr>
          <w:trHeight w:val="188"/>
        </w:trPr>
        <w:tc>
          <w:tcPr>
            <w:tcW w:w="6660" w:type="dxa"/>
            <w:vAlign w:val="bottom"/>
          </w:tcPr>
          <w:p>
            <w:pPr>
              <w:spacing w:after="0"/>
              <w:rPr>
                <w:sz w:val="20"/>
                <w:szCs w:val="20"/>
                <w:color w:val="auto"/>
              </w:rPr>
            </w:pPr>
            <w:r>
              <w:rPr>
                <w:rFonts w:ascii="Arial" w:cs="Arial" w:eastAsia="Arial" w:hAnsi="Arial"/>
                <w:sz w:val="16"/>
                <w:szCs w:val="16"/>
                <w:color w:val="auto"/>
              </w:rPr>
              <w:t>India</w:t>
            </w:r>
          </w:p>
        </w:tc>
        <w:tc>
          <w:tcPr>
            <w:tcW w:w="920" w:type="dxa"/>
            <w:vAlign w:val="bottom"/>
          </w:tcPr>
          <w:p>
            <w:pPr>
              <w:spacing w:after="0"/>
              <w:rPr>
                <w:sz w:val="16"/>
                <w:szCs w:val="16"/>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b w:val="1"/>
                <w:bCs w:val="1"/>
                <w:color w:val="auto"/>
              </w:rPr>
              <w:t>12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24</w:t>
            </w: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Hungary</w:t>
            </w: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11</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11</w:t>
            </w:r>
          </w:p>
        </w:tc>
      </w:tr>
      <w:tr>
        <w:trPr>
          <w:trHeight w:val="188"/>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w:t>
            </w:r>
          </w:p>
        </w:tc>
      </w:tr>
      <w:tr>
        <w:trPr>
          <w:trHeight w:val="180"/>
        </w:trPr>
        <w:tc>
          <w:tcPr>
            <w:tcW w:w="666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FF0FC"/>
          </w:tcPr>
          <w:p>
            <w:pPr>
              <w:jc w:val="right"/>
              <w:ind w:right="747"/>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638</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24"/>
              <w:spacing w:after="0" w:line="180" w:lineRule="exact"/>
              <w:rPr>
                <w:sz w:val="20"/>
                <w:szCs w:val="20"/>
                <w:color w:val="auto"/>
              </w:rPr>
            </w:pPr>
            <w:r>
              <w:rPr>
                <w:rFonts w:ascii="Arial" w:cs="Arial" w:eastAsia="Arial" w:hAnsi="Arial"/>
                <w:sz w:val="16"/>
                <w:szCs w:val="16"/>
                <w:color w:val="auto"/>
              </w:rPr>
              <w:t>616</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466</w:t>
            </w:r>
          </w:p>
        </w:tc>
      </w:tr>
      <w:tr>
        <w:trPr>
          <w:trHeight w:val="20"/>
        </w:trPr>
        <w:tc>
          <w:tcPr>
            <w:tcW w:w="6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24.  QUARTERLY FINANCIAL INFORMATION</w:t>
      </w:r>
    </w:p>
    <w:p>
      <w:pPr>
        <w:spacing w:after="0" w:line="135" w:lineRule="exact"/>
        <w:rPr>
          <w:sz w:val="20"/>
          <w:szCs w:val="20"/>
          <w:color w:val="auto"/>
        </w:rPr>
      </w:pPr>
    </w:p>
    <w:p>
      <w:pPr>
        <w:ind w:right="240" w:firstLine="593"/>
        <w:spacing w:after="0" w:line="265" w:lineRule="auto"/>
        <w:rPr>
          <w:sz w:val="20"/>
          <w:szCs w:val="20"/>
          <w:color w:val="auto"/>
        </w:rPr>
      </w:pPr>
      <w:r>
        <w:rPr>
          <w:rFonts w:ascii="Arial" w:cs="Arial" w:eastAsia="Arial" w:hAnsi="Arial"/>
          <w:sz w:val="16"/>
          <w:szCs w:val="16"/>
          <w:color w:val="auto"/>
        </w:rPr>
        <w:t>The following is a summary of the unaudited quarterly results of operations. The Company believes that all adjustments considered necessary for a fair presentation in accordance with GAAP have been included (unaudited, 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tcPr>
          <w:p>
            <w:pPr>
              <w:ind w:left="580"/>
              <w:spacing w:after="0"/>
              <w:rPr>
                <w:sz w:val="20"/>
                <w:szCs w:val="20"/>
                <w:color w:val="auto"/>
              </w:rPr>
            </w:pPr>
            <w:r>
              <w:rPr>
                <w:rFonts w:ascii="Arial" w:cs="Arial" w:eastAsia="Arial" w:hAnsi="Arial"/>
                <w:sz w:val="13"/>
                <w:szCs w:val="13"/>
                <w:b w:val="1"/>
                <w:bCs w:val="1"/>
                <w:color w:val="auto"/>
              </w:rPr>
              <w:t>Quarters ended,</w:t>
            </w: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44"/>
        </w:trPr>
        <w:tc>
          <w:tcPr>
            <w:tcW w:w="39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2"/>
                <w:szCs w:val="12"/>
                <w:color w:val="auto"/>
              </w:rPr>
            </w:pPr>
          </w:p>
        </w:tc>
        <w:tc>
          <w:tcPr>
            <w:tcW w:w="1060" w:type="dxa"/>
            <w:vAlign w:val="bottom"/>
          </w:tcPr>
          <w:p>
            <w:pPr>
              <w:jc w:val="right"/>
              <w:ind w:right="384"/>
              <w:spacing w:after="0" w:line="144"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2"/>
                <w:szCs w:val="12"/>
                <w:color w:val="auto"/>
              </w:rPr>
            </w:pPr>
          </w:p>
        </w:tc>
        <w:tc>
          <w:tcPr>
            <w:tcW w:w="1140" w:type="dxa"/>
            <w:vAlign w:val="bottom"/>
          </w:tcPr>
          <w:p>
            <w:pPr>
              <w:jc w:val="right"/>
              <w:ind w:right="243"/>
              <w:spacing w:after="0" w:line="144" w:lineRule="exact"/>
              <w:rPr>
                <w:sz w:val="20"/>
                <w:szCs w:val="20"/>
                <w:color w:val="auto"/>
              </w:rPr>
            </w:pPr>
            <w:r>
              <w:rPr>
                <w:rFonts w:ascii="Arial" w:cs="Arial" w:eastAsia="Arial" w:hAnsi="Arial"/>
                <w:sz w:val="13"/>
                <w:szCs w:val="13"/>
                <w:b w:val="1"/>
                <w:bCs w:val="1"/>
                <w:color w:val="auto"/>
                <w:w w:val="98"/>
              </w:rPr>
              <w:t>December 31</w:t>
            </w:r>
          </w:p>
        </w:tc>
      </w:tr>
      <w:tr>
        <w:trPr>
          <w:trHeight w:val="180"/>
        </w:trPr>
        <w:tc>
          <w:tcPr>
            <w:tcW w:w="390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b w:val="1"/>
                <w:bCs w:val="1"/>
                <w:i w:val="1"/>
                <w:iCs w:val="1"/>
                <w:color w:val="auto"/>
              </w:rPr>
              <w:t>2020</w:t>
            </w:r>
          </w:p>
        </w:tc>
        <w:tc>
          <w:tcPr>
            <w:tcW w:w="194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Net sales</w:t>
            </w:r>
          </w:p>
        </w:tc>
        <w:tc>
          <w:tcPr>
            <w:tcW w:w="21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b w:val="1"/>
                <w:bCs w:val="1"/>
                <w:color w:val="auto"/>
              </w:rPr>
              <w:t>637</w:t>
            </w:r>
          </w:p>
        </w:tc>
        <w:tc>
          <w:tcPr>
            <w:tcW w:w="14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377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532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63"/>
              <w:spacing w:after="0"/>
              <w:rPr>
                <w:sz w:val="20"/>
                <w:szCs w:val="20"/>
                <w:color w:val="auto"/>
              </w:rPr>
            </w:pPr>
            <w:r>
              <w:rPr>
                <w:rFonts w:ascii="Arial" w:cs="Arial" w:eastAsia="Arial" w:hAnsi="Arial"/>
                <w:sz w:val="16"/>
                <w:szCs w:val="16"/>
                <w:b w:val="1"/>
                <w:bCs w:val="1"/>
                <w:color w:val="auto"/>
              </w:rPr>
              <w:t>535</w:t>
            </w:r>
          </w:p>
        </w:tc>
      </w:tr>
      <w:tr>
        <w:trPr>
          <w:trHeight w:val="188"/>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326</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165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254</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3"/>
              <w:spacing w:after="0"/>
              <w:rPr>
                <w:sz w:val="20"/>
                <w:szCs w:val="20"/>
                <w:color w:val="auto"/>
              </w:rPr>
            </w:pPr>
            <w:r>
              <w:rPr>
                <w:rFonts w:ascii="Arial" w:cs="Arial" w:eastAsia="Arial" w:hAnsi="Arial"/>
                <w:sz w:val="16"/>
                <w:szCs w:val="16"/>
                <w:b w:val="1"/>
                <w:bCs w:val="1"/>
                <w:color w:val="auto"/>
              </w:rPr>
              <w:t>253</w:t>
            </w: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Operating income</w:t>
            </w: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b w:val="1"/>
                <w:bCs w:val="1"/>
                <w:color w:val="auto"/>
              </w:rPr>
              <w:t>215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128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b w:val="1"/>
                <w:bCs w:val="1"/>
                <w:color w:val="auto"/>
              </w:rPr>
              <w:t>133</w:t>
            </w:r>
          </w:p>
        </w:tc>
      </w:tr>
      <w:tr>
        <w:trPr>
          <w:trHeight w:val="188"/>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1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181</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30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98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3"/>
              <w:spacing w:after="0"/>
              <w:rPr>
                <w:sz w:val="20"/>
                <w:szCs w:val="20"/>
                <w:color w:val="auto"/>
              </w:rPr>
            </w:pPr>
            <w:r>
              <w:rPr>
                <w:rFonts w:ascii="Arial" w:cs="Arial" w:eastAsia="Arial" w:hAnsi="Arial"/>
                <w:sz w:val="16"/>
                <w:szCs w:val="16"/>
                <w:b w:val="1"/>
                <w:bCs w:val="1"/>
                <w:color w:val="auto"/>
              </w:rPr>
              <w:t>84</w:t>
            </w: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Net income</w:t>
            </w: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b w:val="1"/>
                <w:bCs w:val="1"/>
                <w:color w:val="auto"/>
              </w:rPr>
              <w:t>139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77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b w:val="1"/>
                <w:bCs w:val="1"/>
                <w:color w:val="auto"/>
              </w:rPr>
              <w:t>60</w:t>
            </w:r>
          </w:p>
        </w:tc>
      </w:tr>
      <w:tr>
        <w:trPr>
          <w:trHeight w:val="188"/>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Basic earnings per share</w:t>
            </w:r>
          </w:p>
        </w:tc>
        <w:tc>
          <w:tcPr>
            <w:tcW w:w="2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1.20</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0.20</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0.68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FF0FC"/>
          </w:tcPr>
          <w:p>
            <w:pPr>
              <w:jc w:val="right"/>
              <w:ind w:right="63"/>
              <w:spacing w:after="0"/>
              <w:rPr>
                <w:sz w:val="20"/>
                <w:szCs w:val="20"/>
                <w:color w:val="auto"/>
              </w:rPr>
            </w:pPr>
            <w:r>
              <w:rPr>
                <w:rFonts w:ascii="Arial" w:cs="Arial" w:eastAsia="Arial" w:hAnsi="Arial"/>
                <w:sz w:val="16"/>
                <w:szCs w:val="16"/>
                <w:b w:val="1"/>
                <w:bCs w:val="1"/>
                <w:color w:val="auto"/>
              </w:rPr>
              <w:t>0.54</w:t>
            </w: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Diluted earnings per share</w:t>
            </w:r>
          </w:p>
        </w:tc>
        <w:tc>
          <w:tcPr>
            <w:tcW w:w="21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b w:val="1"/>
                <w:bCs w:val="1"/>
                <w:color w:val="auto"/>
              </w:rPr>
              <w:t>1.20</w:t>
            </w:r>
          </w:p>
        </w:tc>
        <w:tc>
          <w:tcPr>
            <w:tcW w:w="14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0.20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0.68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63"/>
              <w:spacing w:after="0"/>
              <w:rPr>
                <w:sz w:val="20"/>
                <w:szCs w:val="20"/>
                <w:color w:val="auto"/>
              </w:rPr>
            </w:pPr>
            <w:r>
              <w:rPr>
                <w:rFonts w:ascii="Arial" w:cs="Arial" w:eastAsia="Arial" w:hAnsi="Arial"/>
                <w:sz w:val="16"/>
                <w:szCs w:val="16"/>
                <w:b w:val="1"/>
                <w:bCs w:val="1"/>
                <w:color w:val="auto"/>
              </w:rPr>
              <w:t>0.53</w:t>
            </w:r>
          </w:p>
        </w:tc>
      </w:tr>
      <w:tr>
        <w:trPr>
          <w:trHeight w:val="188"/>
        </w:trPr>
        <w:tc>
          <w:tcPr>
            <w:tcW w:w="3900" w:type="dxa"/>
            <w:vAlign w:val="bottom"/>
            <w:shd w:val="clear" w:color="auto" w:fill="CFF0FC"/>
          </w:tcPr>
          <w:p>
            <w:pPr>
              <w:spacing w:after="0"/>
              <w:rPr>
                <w:sz w:val="20"/>
                <w:szCs w:val="20"/>
                <w:color w:val="auto"/>
              </w:rPr>
            </w:pPr>
            <w:r>
              <w:rPr>
                <w:rFonts w:ascii="Arial" w:cs="Arial" w:eastAsia="Arial" w:hAnsi="Arial"/>
                <w:sz w:val="16"/>
                <w:szCs w:val="16"/>
                <w:b w:val="1"/>
                <w:bCs w:val="1"/>
                <w:i w:val="1"/>
                <w:iCs w:val="1"/>
                <w:color w:val="auto"/>
              </w:rPr>
              <w:t>2019</w:t>
            </w:r>
          </w:p>
        </w:tc>
        <w:tc>
          <w:tcPr>
            <w:tcW w:w="1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Net sales</w:t>
            </w:r>
          </w:p>
        </w:tc>
        <w:tc>
          <w:tcPr>
            <w:tcW w:w="2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675</w:t>
            </w:r>
          </w:p>
        </w:tc>
        <w:tc>
          <w:tcPr>
            <w:tcW w:w="14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737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617</w:t>
            </w:r>
          </w:p>
        </w:tc>
      </w:tr>
      <w:tr>
        <w:trPr>
          <w:trHeight w:val="188"/>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359</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389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298</w:t>
            </w: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Operating income</w:t>
            </w: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244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165</w:t>
            </w:r>
          </w:p>
        </w:tc>
      </w:tr>
      <w:tr>
        <w:trPr>
          <w:trHeight w:val="188"/>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1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211</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134</w:t>
            </w: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Net income</w:t>
            </w: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167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107</w:t>
            </w:r>
          </w:p>
        </w:tc>
      </w:tr>
      <w:tr>
        <w:trPr>
          <w:trHeight w:val="188"/>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Basic earnings per share</w:t>
            </w:r>
          </w:p>
        </w:tc>
        <w:tc>
          <w:tcPr>
            <w:tcW w:w="2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1.33</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1.47</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0.90</w:t>
            </w:r>
          </w:p>
        </w:tc>
      </w:tr>
      <w:tr>
        <w:trPr>
          <w:trHeight w:val="212"/>
        </w:trPr>
        <w:tc>
          <w:tcPr>
            <w:tcW w:w="3900" w:type="dxa"/>
            <w:vAlign w:val="bottom"/>
          </w:tcPr>
          <w:p>
            <w:pPr>
              <w:spacing w:after="0"/>
              <w:rPr>
                <w:sz w:val="20"/>
                <w:szCs w:val="20"/>
                <w:color w:val="auto"/>
              </w:rPr>
            </w:pPr>
            <w:r>
              <w:rPr>
                <w:rFonts w:ascii="Arial" w:cs="Arial" w:eastAsia="Arial" w:hAnsi="Arial"/>
                <w:sz w:val="16"/>
                <w:szCs w:val="16"/>
                <w:color w:val="auto"/>
              </w:rPr>
              <w:t>Diluted earnings per share</w:t>
            </w:r>
          </w:p>
        </w:tc>
        <w:tc>
          <w:tcPr>
            <w:tcW w:w="2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1.46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0.90</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25.  ACQUISITIONS</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Walker Die Casting Acquisition</w:t>
      </w:r>
    </w:p>
    <w:p>
      <w:pPr>
        <w:spacing w:after="0" w:line="131" w:lineRule="exact"/>
        <w:rPr>
          <w:sz w:val="20"/>
          <w:szCs w:val="20"/>
          <w:color w:val="auto"/>
        </w:rPr>
      </w:pPr>
    </w:p>
    <w:p>
      <w:pPr>
        <w:ind w:right="100" w:firstLine="522"/>
        <w:spacing w:after="0" w:line="237" w:lineRule="auto"/>
        <w:rPr>
          <w:sz w:val="20"/>
          <w:szCs w:val="20"/>
          <w:color w:val="auto"/>
        </w:rPr>
      </w:pPr>
      <w:r>
        <w:rPr>
          <w:rFonts w:ascii="Arial" w:cs="Arial" w:eastAsia="Arial" w:hAnsi="Arial"/>
          <w:sz w:val="16"/>
          <w:szCs w:val="16"/>
          <w:color w:val="auto"/>
        </w:rPr>
        <w:t>On September 9, 2019, the Company acquired the assets of Walker Die Casting, Inc. (“Walker Die Casting”), an aluminum castings company, and C&amp;R Tool and Engineering, Inc. (“C&amp;R Tool and Engineering”), a supplier of metal-working tools, for approximately $103 million in cash, which included the effective settlement of pre-existing accounts payable of approximately $4 million. Walker Die Casting is an essential component supplier for the Company’s core on-highway transmission products. The Company has accounted for this acquisition in accordance with authoritative accounting guidance on business combinations. Control was obtained as of the purchase date through the purchase agreement. The acquired business was integrated into the Company's single operating segment.</w:t>
      </w:r>
    </w:p>
    <w:p>
      <w:pPr>
        <w:spacing w:after="0" w:line="108" w:lineRule="exact"/>
        <w:rPr>
          <w:sz w:val="20"/>
          <w:szCs w:val="20"/>
          <w:color w:val="auto"/>
        </w:rPr>
      </w:pPr>
    </w:p>
    <w:p>
      <w:pPr>
        <w:ind w:right="120" w:firstLine="522"/>
        <w:spacing w:after="0" w:line="236" w:lineRule="auto"/>
        <w:rPr>
          <w:sz w:val="20"/>
          <w:szCs w:val="20"/>
          <w:color w:val="auto"/>
        </w:rPr>
      </w:pPr>
      <w:r>
        <w:rPr>
          <w:rFonts w:ascii="Arial" w:cs="Arial" w:eastAsia="Arial" w:hAnsi="Arial"/>
          <w:sz w:val="16"/>
          <w:szCs w:val="16"/>
          <w:color w:val="auto"/>
        </w:rPr>
        <w:t>The preliminary purchase price of $99 million resulted in the recognition of property, plant and equipment, goodwill, inventory, intangible assets and other net assets of $53 million, $21 million, $ 18 million, $4 million and $3 million, respectively. The intangible assets were valued using an income approach, which included certain sensitive assumptions including discount rate and royalty rate. The intangible assets consist of customer relationships and trade name of $3 million and $ 1 million, respectively, and have weighted average useful lives of approximately 7 years and 15 years, respectively. The amount allocated to goodwill is deductible for income tax purposes. Goodwill represents the excess of the consideration transferred over the preliminary estimate of fair values of the assets acquired and liabilities assumed and is primarily attributable to intangible assets, such as the assembled workforce, which are not separately recognizable. The carrying value of the goodwill associated with this business combination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was $21 million at December 31, 2019. In the second quarter of 2020, the Company received a $4 million net working capital settlement from Walker Die Casting, reducing the purchase price to $95 million. The measurement period has ended for this acquisition, and the purchase price allocation is complete. As of and for the fiscal years ended December 31, 2020 and 2019, the results of Walker Die Casting and C&amp;R Tool and Engineering as of and after the date of acquisition have been included in the Company’s consolidated financial statements, and net sales have been included in the Company’s Service Parts, Support Equipment and Other end market.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AxleTech Electric Vehicle Systems Division Acquisition</w:t>
      </w:r>
    </w:p>
    <w:p>
      <w:pPr>
        <w:spacing w:after="0" w:line="131" w:lineRule="exact"/>
        <w:rPr>
          <w:sz w:val="20"/>
          <w:szCs w:val="20"/>
          <w:color w:val="auto"/>
        </w:rPr>
      </w:pPr>
    </w:p>
    <w:p>
      <w:pPr>
        <w:ind w:firstLine="522"/>
        <w:spacing w:after="0" w:line="237" w:lineRule="auto"/>
        <w:rPr>
          <w:sz w:val="20"/>
          <w:szCs w:val="20"/>
          <w:color w:val="auto"/>
        </w:rPr>
      </w:pPr>
      <w:r>
        <w:rPr>
          <w:rFonts w:ascii="Arial" w:cs="Arial" w:eastAsia="Arial" w:hAnsi="Arial"/>
          <w:sz w:val="16"/>
          <w:szCs w:val="16"/>
          <w:color w:val="auto"/>
        </w:rPr>
        <w:t>On April 16, 2019, the Company acquired from AxleTech, a technology company that engineers, designs, manufactures, sells and services powertrain solutions for on-highway and off-highway heavy-duty vehicles, all of the assets related to its electric vehicle systems division, which designs and manufactures fully integrated electrified-axle propulsion solutions for medium- and heavy-duty trucks and transit buses, for approximately $124 million in cash. The acquisition aligns with the Company's strategy to advance its position in propulsion solutions. The Company has accounted for this acquisition in accordance with authoritative accounting guidance on business combinations. Control was obtained as of the purchase date through the purchase agreement. The acquired business was integrated into the Company's single operating segment.</w:t>
      </w:r>
    </w:p>
    <w:p>
      <w:pPr>
        <w:spacing w:after="0" w:line="108" w:lineRule="exact"/>
        <w:rPr>
          <w:sz w:val="20"/>
          <w:szCs w:val="20"/>
          <w:color w:val="auto"/>
        </w:rPr>
      </w:pPr>
    </w:p>
    <w:p>
      <w:pPr>
        <w:ind w:right="80" w:firstLine="522"/>
        <w:spacing w:after="0" w:line="233" w:lineRule="auto"/>
        <w:rPr>
          <w:sz w:val="20"/>
          <w:szCs w:val="20"/>
          <w:color w:val="auto"/>
        </w:rPr>
      </w:pPr>
      <w:r>
        <w:rPr>
          <w:rFonts w:ascii="Arial" w:cs="Arial" w:eastAsia="Arial" w:hAnsi="Arial"/>
          <w:sz w:val="16"/>
          <w:szCs w:val="16"/>
          <w:color w:val="auto"/>
        </w:rPr>
        <w:t>The final purchase price allocation for this transaction, including a measurement period adjustment in the second quarter of 2020, resulted in the recognition of goodwill, intangible assets, and property, plant and equipment of $92 million, $31 million, and $1 million, respectively. The measurement period adjustment reflects facts and circumstances that existed as of the date of acquisition. The intangible assets were valued using an income approach, which included certain sensitive assumptions including discount rate, royalty rate, asset life and future cash flows. The intangible assets consist of in-process research and development, customer relationships and developed technology of $25 million, $3 million and $3 million, respectively. Customer relationships and developed technology have weighted average remaining useful lives of approximately 6 years and 14 years, respectively. The amount allocated to goodwill is deductible for income tax purposes. Goodwill represents the excess of the consideration transferred over the estimate of fair values of the assets acquired and liabilities assumed and is primarily attributable to intangible assets, such as the assembled workforce, which are not separately recognizable. The measurement period has ended for this acquisition, and the purchase price allocation is complete. As of and for the years ended December 31, 2020 and 2019, the results of the electric vehicle systems division acquired from AxleTech as of and after the date of acquisition have been included in the Company’s consolidated financial statements, and net sales have been included in the Company’s global on-highway end markets.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Vantage Power Limited Acquisition</w:t>
      </w:r>
    </w:p>
    <w:p>
      <w:pPr>
        <w:spacing w:after="0" w:line="131" w:lineRule="exact"/>
        <w:rPr>
          <w:sz w:val="20"/>
          <w:szCs w:val="20"/>
          <w:color w:val="auto"/>
        </w:rPr>
      </w:pPr>
    </w:p>
    <w:p>
      <w:pPr>
        <w:ind w:right="80" w:firstLine="522"/>
        <w:spacing w:after="0" w:line="239" w:lineRule="auto"/>
        <w:rPr>
          <w:sz w:val="20"/>
          <w:szCs w:val="20"/>
          <w:color w:val="auto"/>
        </w:rPr>
      </w:pPr>
      <w:r>
        <w:rPr>
          <w:rFonts w:ascii="Arial" w:cs="Arial" w:eastAsia="Arial" w:hAnsi="Arial"/>
          <w:sz w:val="16"/>
          <w:szCs w:val="16"/>
          <w:color w:val="auto"/>
        </w:rPr>
        <w:t>On April 12, 2019, the Company acquired all of the outstanding shares of Vantage Power Limited, a privately owned company based in the United Kingdom which designs and manufactures powertrain electrification and connectivity technologies applicable to a broad range of commercial vehicle end markets. The Company paid approximately $9 million in cash on April 12, 2019 and may pay up to an additional $8 million through 2022 based on specified conditions being met. The Company has accounted for this acquisition in accordance with authoritative accounting guidance on business combinations. The acquired business was integrated into the Company's single operating segment as a wholly-owned subsidiary.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I—Parent Company only Balance Sheets</w:t>
      </w:r>
    </w:p>
    <w:p>
      <w:pPr>
        <w:jc w:val="center"/>
        <w:spacing w:after="0"/>
        <w:rPr>
          <w:sz w:val="20"/>
          <w:szCs w:val="20"/>
          <w:color w:val="auto"/>
        </w:rPr>
      </w:pPr>
      <w:r>
        <w:rPr>
          <w:rFonts w:ascii="Arial" w:cs="Arial" w:eastAsia="Arial" w:hAnsi="Arial"/>
          <w:sz w:val="16"/>
          <w:szCs w:val="16"/>
          <w:b w:val="1"/>
          <w:b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2020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right"/>
              <w:ind w:right="263"/>
              <w:spacing w:after="0"/>
              <w:rPr>
                <w:sz w:val="20"/>
                <w:szCs w:val="20"/>
                <w:color w:val="auto"/>
              </w:rPr>
            </w:pPr>
            <w:r>
              <w:rPr>
                <w:rFonts w:ascii="Arial" w:cs="Arial" w:eastAsia="Arial" w:hAnsi="Arial"/>
                <w:sz w:val="13"/>
                <w:szCs w:val="13"/>
                <w:b w:val="1"/>
                <w:bCs w:val="1"/>
                <w:color w:val="auto"/>
              </w:rPr>
              <w:t>December 31, 2019</w:t>
            </w:r>
          </w:p>
        </w:tc>
      </w:tr>
      <w:tr>
        <w:trPr>
          <w:trHeight w:val="180"/>
        </w:trPr>
        <w:tc>
          <w:tcPr>
            <w:tcW w:w="774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FF0FC"/>
          </w:tcPr>
          <w:p>
            <w:pPr>
              <w:spacing w:after="0"/>
              <w:rPr>
                <w:sz w:val="15"/>
                <w:szCs w:val="15"/>
                <w:color w:val="auto"/>
              </w:rPr>
            </w:pPr>
          </w:p>
        </w:tc>
        <w:tc>
          <w:tcPr>
            <w:tcW w:w="152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540" w:type="dxa"/>
            <w:vAlign w:val="bottom"/>
            <w:tcBorders>
              <w:top w:val="single" w:sz="8" w:color="auto"/>
            </w:tcBorders>
            <w:shd w:val="clear" w:color="auto" w:fill="CFF0FC"/>
          </w:tcPr>
          <w:p>
            <w:pPr>
              <w:spacing w:after="0"/>
              <w:rPr>
                <w:sz w:val="15"/>
                <w:szCs w:val="15"/>
                <w:color w:val="auto"/>
              </w:rPr>
            </w:pP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8"/>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w:t>
            </w:r>
          </w:p>
        </w:tc>
      </w:tr>
      <w:tr>
        <w:trPr>
          <w:trHeight w:val="180"/>
        </w:trPr>
        <w:tc>
          <w:tcPr>
            <w:tcW w:w="7740" w:type="dxa"/>
            <w:vAlign w:val="bottom"/>
          </w:tcPr>
          <w:p>
            <w:pPr>
              <w:spacing w:after="0" w:line="180" w:lineRule="exact"/>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63"/>
              <w:spacing w:after="0" w:line="180" w:lineRule="exact"/>
              <w:rPr>
                <w:sz w:val="20"/>
                <w:szCs w:val="20"/>
                <w:color w:val="auto"/>
              </w:rPr>
            </w:pPr>
            <w:r>
              <w:rPr>
                <w:rFonts w:ascii="Arial" w:cs="Arial" w:eastAsia="Arial" w:hAnsi="Arial"/>
                <w:sz w:val="16"/>
                <w:szCs w:val="16"/>
                <w:color w:val="auto"/>
              </w:rPr>
              <w:t>—</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Investments in and advances to subsidiaries</w:t>
            </w: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756</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781</w:t>
            </w:r>
          </w:p>
        </w:tc>
      </w:tr>
      <w:tr>
        <w:trPr>
          <w:trHeight w:val="220"/>
        </w:trPr>
        <w:tc>
          <w:tcPr>
            <w:tcW w:w="774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b w:val="1"/>
                <w:bCs w:val="1"/>
                <w:color w:val="auto"/>
              </w:rPr>
              <w:t>756</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ind w:right="63"/>
              <w:spacing w:after="0" w:line="180" w:lineRule="exact"/>
              <w:rPr>
                <w:sz w:val="20"/>
                <w:szCs w:val="20"/>
                <w:color w:val="auto"/>
              </w:rPr>
            </w:pPr>
            <w:r>
              <w:rPr>
                <w:rFonts w:ascii="Arial" w:cs="Arial" w:eastAsia="Arial" w:hAnsi="Arial"/>
                <w:sz w:val="16"/>
                <w:szCs w:val="16"/>
                <w:color w:val="auto"/>
              </w:rPr>
              <w:t>781</w:t>
            </w:r>
          </w:p>
        </w:tc>
      </w:tr>
      <w:tr>
        <w:trPr>
          <w:trHeight w:val="163"/>
        </w:trPr>
        <w:tc>
          <w:tcPr>
            <w:tcW w:w="7740" w:type="dxa"/>
            <w:vAlign w:val="bottom"/>
            <w:shd w:val="clear" w:color="auto" w:fill="CFF0FC"/>
          </w:tcPr>
          <w:p>
            <w:pPr>
              <w:spacing w:after="0" w:line="163" w:lineRule="exact"/>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8"/>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rPr>
              <w:t>—</w:t>
            </w: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w:t>
            </w:r>
          </w:p>
        </w:tc>
      </w:tr>
      <w:tr>
        <w:trPr>
          <w:trHeight w:val="180"/>
        </w:trPr>
        <w:tc>
          <w:tcPr>
            <w:tcW w:w="7740" w:type="dxa"/>
            <w:vAlign w:val="bottom"/>
          </w:tcPr>
          <w:p>
            <w:pPr>
              <w:spacing w:after="0" w:line="180" w:lineRule="exact"/>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43"/>
              <w:spacing w:after="0" w:line="180" w:lineRule="exact"/>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63"/>
              <w:spacing w:after="0" w:line="180" w:lineRule="exact"/>
              <w:rPr>
                <w:sz w:val="20"/>
                <w:szCs w:val="20"/>
                <w:color w:val="auto"/>
              </w:rPr>
            </w:pPr>
            <w:r>
              <w:rPr>
                <w:rFonts w:ascii="Arial" w:cs="Arial" w:eastAsia="Arial" w:hAnsi="Arial"/>
                <w:sz w:val="16"/>
                <w:szCs w:val="16"/>
                <w:color w:val="auto"/>
              </w:rPr>
              <w:t>—</w:t>
            </w:r>
          </w:p>
        </w:tc>
      </w:tr>
      <w:tr>
        <w:trPr>
          <w:trHeight w:val="188"/>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Capital stock</w:t>
            </w: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w:t>
            </w:r>
          </w:p>
        </w:tc>
      </w:tr>
      <w:tr>
        <w:trPr>
          <w:trHeight w:val="188"/>
        </w:trPr>
        <w:tc>
          <w:tcPr>
            <w:tcW w:w="7740" w:type="dxa"/>
            <w:vAlign w:val="bottom"/>
          </w:tcPr>
          <w:p>
            <w:pPr>
              <w:ind w:left="200"/>
              <w:spacing w:after="0"/>
              <w:rPr>
                <w:sz w:val="20"/>
                <w:szCs w:val="20"/>
                <w:color w:val="auto"/>
              </w:rPr>
            </w:pPr>
            <w:r>
              <w:rPr>
                <w:rFonts w:ascii="Arial" w:cs="Arial" w:eastAsia="Arial" w:hAnsi="Arial"/>
                <w:sz w:val="16"/>
                <w:szCs w:val="16"/>
                <w:color w:val="auto"/>
              </w:rPr>
              <w:t>Paid in capital</w:t>
            </w:r>
          </w:p>
        </w:tc>
        <w:tc>
          <w:tcPr>
            <w:tcW w:w="140" w:type="dxa"/>
            <w:vAlign w:val="bottom"/>
          </w:tcPr>
          <w:p>
            <w:pPr>
              <w:spacing w:after="0"/>
              <w:rPr>
                <w:sz w:val="16"/>
                <w:szCs w:val="16"/>
                <w:color w:val="auto"/>
              </w:rPr>
            </w:pPr>
          </w:p>
        </w:tc>
        <w:tc>
          <w:tcPr>
            <w:tcW w:w="1520" w:type="dxa"/>
            <w:vAlign w:val="bottom"/>
          </w:tcPr>
          <w:p>
            <w:pPr>
              <w:jc w:val="right"/>
              <w:ind w:right="43"/>
              <w:spacing w:after="0"/>
              <w:rPr>
                <w:sz w:val="20"/>
                <w:szCs w:val="20"/>
                <w:color w:val="auto"/>
              </w:rPr>
            </w:pPr>
            <w:r>
              <w:rPr>
                <w:rFonts w:ascii="Arial" w:cs="Arial" w:eastAsia="Arial" w:hAnsi="Arial"/>
                <w:sz w:val="16"/>
                <w:szCs w:val="16"/>
                <w:b w:val="1"/>
                <w:bCs w:val="1"/>
                <w:color w:val="auto"/>
              </w:rPr>
              <w:t>1,818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63"/>
              <w:spacing w:after="0"/>
              <w:rPr>
                <w:sz w:val="20"/>
                <w:szCs w:val="20"/>
                <w:color w:val="auto"/>
              </w:rPr>
            </w:pPr>
            <w:r>
              <w:rPr>
                <w:rFonts w:ascii="Arial" w:cs="Arial" w:eastAsia="Arial" w:hAnsi="Arial"/>
                <w:sz w:val="16"/>
                <w:szCs w:val="16"/>
                <w:color w:val="auto"/>
              </w:rPr>
              <w:t>1,802</w:t>
            </w:r>
          </w:p>
        </w:tc>
      </w:tr>
      <w:tr>
        <w:trPr>
          <w:trHeight w:val="188"/>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Treasury stock</w:t>
            </w:r>
          </w:p>
        </w:tc>
        <w:tc>
          <w:tcPr>
            <w:tcW w:w="140" w:type="dxa"/>
            <w:vAlign w:val="bottom"/>
            <w:shd w:val="clear" w:color="auto" w:fill="CFF0FC"/>
          </w:tcPr>
          <w:p>
            <w:pPr>
              <w:spacing w:after="0"/>
              <w:rPr>
                <w:sz w:val="16"/>
                <w:szCs w:val="16"/>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w:t>
            </w:r>
          </w:p>
        </w:tc>
      </w:tr>
      <w:tr>
        <w:trPr>
          <w:trHeight w:val="188"/>
        </w:trPr>
        <w:tc>
          <w:tcPr>
            <w:tcW w:w="774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(974)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(970)</w:t>
            </w:r>
          </w:p>
        </w:tc>
      </w:tr>
      <w:tr>
        <w:trPr>
          <w:trHeight w:val="188"/>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 net of tax</w:t>
            </w: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(89)</w:t>
            </w: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(52)</w:t>
            </w:r>
          </w:p>
        </w:tc>
      </w:tr>
      <w:tr>
        <w:trPr>
          <w:trHeight w:val="180"/>
        </w:trPr>
        <w:tc>
          <w:tcPr>
            <w:tcW w:w="7740" w:type="dxa"/>
            <w:vAlign w:val="bottom"/>
          </w:tcPr>
          <w:p>
            <w:pPr>
              <w:spacing w:after="0" w:line="180" w:lineRule="exact"/>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b w:val="1"/>
                <w:bCs w:val="1"/>
                <w:color w:val="auto"/>
              </w:rPr>
              <w:t>756</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ind w:right="63"/>
              <w:spacing w:after="0" w:line="180" w:lineRule="exact"/>
              <w:rPr>
                <w:sz w:val="20"/>
                <w:szCs w:val="20"/>
                <w:color w:val="auto"/>
              </w:rPr>
            </w:pPr>
            <w:r>
              <w:rPr>
                <w:rFonts w:ascii="Arial" w:cs="Arial" w:eastAsia="Arial" w:hAnsi="Arial"/>
                <w:sz w:val="16"/>
                <w:szCs w:val="16"/>
                <w:color w:val="auto"/>
              </w:rPr>
              <w:t>781</w:t>
            </w:r>
          </w:p>
        </w:tc>
      </w:tr>
      <w:tr>
        <w:trPr>
          <w:trHeight w:val="20"/>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 is an integral part of the Parent Company only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I—Parent Company only Statements of Comprehensive Income</w:t>
      </w:r>
    </w:p>
    <w:p>
      <w:pPr>
        <w:jc w:val="center"/>
        <w:spacing w:after="0"/>
        <w:rPr>
          <w:sz w:val="20"/>
          <w:szCs w:val="20"/>
          <w:color w:val="auto"/>
        </w:rPr>
      </w:pPr>
      <w:r>
        <w:rPr>
          <w:rFonts w:ascii="Arial" w:cs="Arial" w:eastAsia="Arial" w:hAnsi="Arial"/>
          <w:sz w:val="16"/>
          <w:szCs w:val="16"/>
          <w:b w:val="1"/>
          <w:b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44"/>
        </w:trPr>
        <w:tc>
          <w:tcPr>
            <w:tcW w:w="66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46"/>
              <w:spacing w:after="0" w:line="144" w:lineRule="exact"/>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3"/>
              <w:spacing w:after="0" w:line="144"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3"/>
              <w:spacing w:after="0" w:line="144" w:lineRule="exact"/>
              <w:rPr>
                <w:sz w:val="20"/>
                <w:szCs w:val="20"/>
                <w:color w:val="auto"/>
              </w:rPr>
            </w:pPr>
            <w:r>
              <w:rPr>
                <w:rFonts w:ascii="Arial" w:cs="Arial" w:eastAsia="Arial" w:hAnsi="Arial"/>
                <w:sz w:val="13"/>
                <w:szCs w:val="13"/>
                <w:b w:val="1"/>
                <w:bCs w:val="1"/>
                <w:color w:val="auto"/>
              </w:rPr>
              <w:t>2018</w:t>
            </w:r>
          </w:p>
        </w:tc>
      </w:tr>
      <w:tr>
        <w:trPr>
          <w:trHeight w:val="180"/>
        </w:trPr>
        <w:tc>
          <w:tcPr>
            <w:tcW w:w="66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920" w:type="dxa"/>
            <w:vAlign w:val="bottom"/>
            <w:shd w:val="clear" w:color="auto" w:fill="CFF0FC"/>
          </w:tcPr>
          <w:p>
            <w:pPr>
              <w:jc w:val="right"/>
              <w:ind w:right="746"/>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w:t>
            </w:r>
          </w:p>
        </w:tc>
      </w:tr>
      <w:tr>
        <w:trPr>
          <w:trHeight w:val="188"/>
        </w:trPr>
        <w:tc>
          <w:tcPr>
            <w:tcW w:w="6660" w:type="dxa"/>
            <w:vAlign w:val="bottom"/>
          </w:tcPr>
          <w:p>
            <w:pPr>
              <w:spacing w:after="0"/>
              <w:rPr>
                <w:sz w:val="20"/>
                <w:szCs w:val="20"/>
                <w:color w:val="auto"/>
              </w:rPr>
            </w:pPr>
            <w:r>
              <w:rPr>
                <w:rFonts w:ascii="Arial" w:cs="Arial" w:eastAsia="Arial" w:hAnsi="Arial"/>
                <w:sz w:val="16"/>
                <w:szCs w:val="16"/>
                <w:color w:val="auto"/>
              </w:rPr>
              <w:t>General and administrative fees</w:t>
            </w:r>
          </w:p>
        </w:tc>
        <w:tc>
          <w:tcPr>
            <w:tcW w:w="920" w:type="dxa"/>
            <w:vAlign w:val="bottom"/>
          </w:tcPr>
          <w:p>
            <w:pPr>
              <w:spacing w:after="0"/>
              <w:rPr>
                <w:sz w:val="16"/>
                <w:szCs w:val="16"/>
                <w:color w:val="auto"/>
              </w:rPr>
            </w:pPr>
          </w:p>
        </w:tc>
        <w:tc>
          <w:tcPr>
            <w:tcW w:w="50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180"/>
        </w:trPr>
        <w:tc>
          <w:tcPr>
            <w:tcW w:w="6660" w:type="dxa"/>
            <w:vAlign w:val="bottom"/>
            <w:tcBorders>
              <w:top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operating income</w:t>
            </w:r>
          </w:p>
        </w:tc>
        <w:tc>
          <w:tcPr>
            <w:tcW w:w="920" w:type="dxa"/>
            <w:vAlign w:val="bottom"/>
            <w:tcBorders>
              <w:top w:val="single" w:sz="8" w:color="auto"/>
              <w:bottom w:val="single" w:sz="8" w:color="auto"/>
            </w:tcBorders>
            <w:shd w:val="clear" w:color="auto" w:fill="CFF0FC"/>
          </w:tcPr>
          <w:p>
            <w:pPr>
              <w:spacing w:after="0"/>
              <w:rPr>
                <w:sz w:val="15"/>
                <w:szCs w:val="15"/>
                <w:color w:val="auto"/>
              </w:rPr>
            </w:pPr>
          </w:p>
        </w:tc>
        <w:tc>
          <w:tcPr>
            <w:tcW w:w="500" w:type="dxa"/>
            <w:vAlign w:val="bottom"/>
            <w:tcBorders>
              <w:top w:val="single" w:sz="8" w:color="auto"/>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w:t>
            </w:r>
          </w:p>
        </w:tc>
      </w:tr>
      <w:tr>
        <w:trPr>
          <w:trHeight w:val="180"/>
        </w:trPr>
        <w:tc>
          <w:tcPr>
            <w:tcW w:w="6660" w:type="dxa"/>
            <w:vAlign w:val="bottom"/>
          </w:tcPr>
          <w:p>
            <w:pPr>
              <w:spacing w:after="0" w:line="180" w:lineRule="exact"/>
              <w:rPr>
                <w:sz w:val="20"/>
                <w:szCs w:val="20"/>
                <w:color w:val="auto"/>
              </w:rPr>
            </w:pPr>
            <w:r>
              <w:rPr>
                <w:rFonts w:ascii="Arial" w:cs="Arial" w:eastAsia="Arial" w:hAnsi="Arial"/>
                <w:sz w:val="16"/>
                <w:szCs w:val="16"/>
                <w:color w:val="auto"/>
              </w:rPr>
              <w:t>Other income:</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8"/>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Equity earnings of consolidated subsidiary</w:t>
            </w:r>
          </w:p>
        </w:tc>
        <w:tc>
          <w:tcPr>
            <w:tcW w:w="92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299</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color w:val="auto"/>
              </w:rPr>
              <w:t>604</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639</w:t>
            </w:r>
          </w:p>
        </w:tc>
      </w:tr>
      <w:tr>
        <w:trPr>
          <w:trHeight w:val="180"/>
        </w:trPr>
        <w:tc>
          <w:tcPr>
            <w:tcW w:w="6660" w:type="dxa"/>
            <w:vAlign w:val="bottom"/>
          </w:tcPr>
          <w:p>
            <w:pPr>
              <w:spacing w:after="0" w:line="180" w:lineRule="exact"/>
              <w:rPr>
                <w:sz w:val="20"/>
                <w:szCs w:val="20"/>
                <w:color w:val="auto"/>
              </w:rPr>
            </w:pPr>
            <w:r>
              <w:rPr>
                <w:rFonts w:ascii="Arial" w:cs="Arial" w:eastAsia="Arial" w:hAnsi="Arial"/>
                <w:sz w:val="16"/>
                <w:szCs w:val="16"/>
                <w:color w:val="auto"/>
              </w:rPr>
              <w:t>Income before income taxes</w:t>
            </w:r>
          </w:p>
        </w:tc>
        <w:tc>
          <w:tcPr>
            <w:tcW w:w="920" w:type="dxa"/>
            <w:vAlign w:val="bottom"/>
          </w:tcPr>
          <w:p>
            <w:pPr>
              <w:spacing w:after="0"/>
              <w:rPr>
                <w:sz w:val="15"/>
                <w:szCs w:val="15"/>
                <w:color w:val="auto"/>
              </w:rPr>
            </w:pPr>
          </w:p>
        </w:tc>
        <w:tc>
          <w:tcPr>
            <w:tcW w:w="500" w:type="dxa"/>
            <w:vAlign w:val="bottom"/>
          </w:tcPr>
          <w:p>
            <w:pPr>
              <w:jc w:val="right"/>
              <w:ind w:right="42"/>
              <w:spacing w:after="0" w:line="180" w:lineRule="exact"/>
              <w:rPr>
                <w:sz w:val="20"/>
                <w:szCs w:val="20"/>
                <w:color w:val="auto"/>
              </w:rPr>
            </w:pPr>
            <w:r>
              <w:rPr>
                <w:rFonts w:ascii="Arial" w:cs="Arial" w:eastAsia="Arial" w:hAnsi="Arial"/>
                <w:sz w:val="16"/>
                <w:szCs w:val="16"/>
                <w:b w:val="1"/>
                <w:bCs w:val="1"/>
                <w:color w:val="auto"/>
              </w:rPr>
              <w:t>299</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23"/>
              <w:spacing w:after="0" w:line="180" w:lineRule="exact"/>
              <w:rPr>
                <w:sz w:val="20"/>
                <w:szCs w:val="20"/>
                <w:color w:val="auto"/>
              </w:rPr>
            </w:pPr>
            <w:r>
              <w:rPr>
                <w:rFonts w:ascii="Arial" w:cs="Arial" w:eastAsia="Arial" w:hAnsi="Arial"/>
                <w:sz w:val="16"/>
                <w:szCs w:val="16"/>
                <w:color w:val="auto"/>
              </w:rPr>
              <w:t>604</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3"/>
              <w:spacing w:after="0" w:line="180" w:lineRule="exact"/>
              <w:rPr>
                <w:sz w:val="20"/>
                <w:szCs w:val="20"/>
                <w:color w:val="auto"/>
              </w:rPr>
            </w:pPr>
            <w:r>
              <w:rPr>
                <w:rFonts w:ascii="Arial" w:cs="Arial" w:eastAsia="Arial" w:hAnsi="Arial"/>
                <w:sz w:val="16"/>
                <w:szCs w:val="16"/>
                <w:color w:val="auto"/>
              </w:rPr>
              <w:t>639</w:t>
            </w: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r>
      <w:tr>
        <w:trPr>
          <w:trHeight w:val="220"/>
        </w:trPr>
        <w:tc>
          <w:tcPr>
            <w:tcW w:w="666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Net income</w:t>
            </w:r>
          </w:p>
        </w:tc>
        <w:tc>
          <w:tcPr>
            <w:tcW w:w="920" w:type="dxa"/>
            <w:vAlign w:val="bottom"/>
            <w:tcBorders>
              <w:top w:val="single" w:sz="8" w:color="auto"/>
              <w:bottom w:val="single" w:sz="8" w:color="auto"/>
            </w:tcBorders>
          </w:tcPr>
          <w:p>
            <w:pPr>
              <w:jc w:val="right"/>
              <w:ind w:right="746"/>
              <w:spacing w:after="0" w:line="180" w:lineRule="exact"/>
              <w:rPr>
                <w:sz w:val="20"/>
                <w:szCs w:val="20"/>
                <w:color w:val="auto"/>
              </w:rPr>
            </w:pPr>
            <w:r>
              <w:rPr>
                <w:rFonts w:ascii="Arial" w:cs="Arial" w:eastAsia="Arial" w:hAnsi="Arial"/>
                <w:sz w:val="16"/>
                <w:szCs w:val="16"/>
                <w:b w:val="1"/>
                <w:bCs w:val="1"/>
                <w:color w:val="auto"/>
                <w:w w:val="89"/>
              </w:rPr>
              <w:t>$</w:t>
            </w:r>
          </w:p>
        </w:tc>
        <w:tc>
          <w:tcPr>
            <w:tcW w:w="50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299</w:t>
            </w: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ind w:right="23"/>
              <w:spacing w:after="0" w:line="180" w:lineRule="exact"/>
              <w:rPr>
                <w:sz w:val="20"/>
                <w:szCs w:val="20"/>
                <w:color w:val="auto"/>
              </w:rPr>
            </w:pPr>
            <w:r>
              <w:rPr>
                <w:rFonts w:ascii="Arial" w:cs="Arial" w:eastAsia="Arial" w:hAnsi="Arial"/>
                <w:sz w:val="16"/>
                <w:szCs w:val="16"/>
                <w:color w:val="auto"/>
              </w:rPr>
              <w:t>604</w:t>
            </w: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639</w:t>
            </w:r>
          </w:p>
        </w:tc>
      </w:tr>
      <w:tr>
        <w:trPr>
          <w:trHeight w:val="163"/>
        </w:trPr>
        <w:tc>
          <w:tcPr>
            <w:tcW w:w="6660" w:type="dxa"/>
            <w:vAlign w:val="bottom"/>
            <w:tcBorders>
              <w:bottom w:val="single" w:sz="8" w:color="CFF0FC"/>
            </w:tcBorders>
            <w:shd w:val="clear" w:color="auto" w:fill="CFF0FC"/>
          </w:tcPr>
          <w:p>
            <w:pPr>
              <w:spacing w:after="0" w:line="163" w:lineRule="exact"/>
              <w:rPr>
                <w:sz w:val="20"/>
                <w:szCs w:val="20"/>
                <w:color w:val="auto"/>
              </w:rPr>
            </w:pPr>
            <w:r>
              <w:rPr>
                <w:rFonts w:ascii="Arial" w:cs="Arial" w:eastAsia="Arial" w:hAnsi="Arial"/>
                <w:sz w:val="16"/>
                <w:szCs w:val="16"/>
                <w:color w:val="auto"/>
              </w:rPr>
              <w:t>Comprehensive income</w:t>
            </w:r>
          </w:p>
        </w:tc>
        <w:tc>
          <w:tcPr>
            <w:tcW w:w="920" w:type="dxa"/>
            <w:vAlign w:val="bottom"/>
            <w:tcBorders>
              <w:bottom w:val="single" w:sz="8" w:color="auto"/>
            </w:tcBorders>
            <w:shd w:val="clear" w:color="auto" w:fill="CFF0FC"/>
          </w:tcPr>
          <w:p>
            <w:pPr>
              <w:jc w:val="right"/>
              <w:ind w:right="746"/>
              <w:spacing w:after="0" w:line="163" w:lineRule="exact"/>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FF0FC"/>
          </w:tcPr>
          <w:p>
            <w:pPr>
              <w:jc w:val="right"/>
              <w:ind w:right="42"/>
              <w:spacing w:after="0" w:line="163" w:lineRule="exact"/>
              <w:rPr>
                <w:sz w:val="20"/>
                <w:szCs w:val="20"/>
                <w:color w:val="auto"/>
              </w:rPr>
            </w:pPr>
            <w:r>
              <w:rPr>
                <w:rFonts w:ascii="Arial" w:cs="Arial" w:eastAsia="Arial" w:hAnsi="Arial"/>
                <w:sz w:val="16"/>
                <w:szCs w:val="16"/>
                <w:b w:val="1"/>
                <w:bCs w:val="1"/>
                <w:color w:val="auto"/>
              </w:rPr>
              <w:t>262</w:t>
            </w: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47"/>
              <w:spacing w:after="0" w:line="163"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23"/>
              <w:spacing w:after="0" w:line="163" w:lineRule="exact"/>
              <w:rPr>
                <w:sz w:val="20"/>
                <w:szCs w:val="20"/>
                <w:color w:val="auto"/>
              </w:rPr>
            </w:pPr>
            <w:r>
              <w:rPr>
                <w:rFonts w:ascii="Arial" w:cs="Arial" w:eastAsia="Arial" w:hAnsi="Arial"/>
                <w:sz w:val="16"/>
                <w:szCs w:val="16"/>
                <w:color w:val="auto"/>
              </w:rPr>
              <w:t>582</w:t>
            </w: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47"/>
              <w:spacing w:after="0" w:line="163"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43"/>
              <w:spacing w:after="0" w:line="163" w:lineRule="exact"/>
              <w:rPr>
                <w:sz w:val="20"/>
                <w:szCs w:val="20"/>
                <w:color w:val="auto"/>
              </w:rPr>
            </w:pPr>
            <w:r>
              <w:rPr>
                <w:rFonts w:ascii="Arial" w:cs="Arial" w:eastAsia="Arial" w:hAnsi="Arial"/>
                <w:sz w:val="16"/>
                <w:szCs w:val="16"/>
                <w:color w:val="auto"/>
              </w:rPr>
              <w:t>624</w:t>
            </w:r>
          </w:p>
        </w:tc>
      </w:tr>
      <w:tr>
        <w:trPr>
          <w:trHeight w:val="20"/>
        </w:trPr>
        <w:tc>
          <w:tcPr>
            <w:tcW w:w="6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 is an integral part of the Parent Company only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I—Parent Company only Statements of Cash Flows</w:t>
      </w:r>
    </w:p>
    <w:p>
      <w:pPr>
        <w:jc w:val="center"/>
        <w:spacing w:after="0"/>
        <w:rPr>
          <w:sz w:val="20"/>
          <w:szCs w:val="20"/>
          <w:color w:val="auto"/>
        </w:rPr>
      </w:pPr>
      <w:r>
        <w:rPr>
          <w:rFonts w:ascii="Arial" w:cs="Arial" w:eastAsia="Arial" w:hAnsi="Arial"/>
          <w:sz w:val="16"/>
          <w:szCs w:val="16"/>
          <w:b w:val="1"/>
          <w:b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44"/>
        </w:trPr>
        <w:tc>
          <w:tcPr>
            <w:tcW w:w="666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ind w:right="27"/>
              <w:spacing w:after="0" w:line="144" w:lineRule="exact"/>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3"/>
              <w:spacing w:after="0" w:line="144"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3"/>
              <w:spacing w:after="0" w:line="144" w:lineRule="exact"/>
              <w:rPr>
                <w:sz w:val="20"/>
                <w:szCs w:val="20"/>
                <w:color w:val="auto"/>
              </w:rPr>
            </w:pPr>
            <w:r>
              <w:rPr>
                <w:rFonts w:ascii="Arial" w:cs="Arial" w:eastAsia="Arial" w:hAnsi="Arial"/>
                <w:sz w:val="13"/>
                <w:szCs w:val="13"/>
                <w:b w:val="1"/>
                <w:bCs w:val="1"/>
                <w:color w:val="auto"/>
              </w:rPr>
              <w:t>2018</w:t>
            </w:r>
          </w:p>
        </w:tc>
      </w:tr>
      <w:tr>
        <w:trPr>
          <w:trHeight w:val="180"/>
        </w:trPr>
        <w:tc>
          <w:tcPr>
            <w:tcW w:w="666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CASH FLOWS FROM OPERATING ACTIVITIES:</w:t>
            </w:r>
          </w:p>
        </w:tc>
        <w:tc>
          <w:tcPr>
            <w:tcW w:w="9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88"/>
        </w:trPr>
        <w:tc>
          <w:tcPr>
            <w:tcW w:w="6660" w:type="dxa"/>
            <w:vAlign w:val="bottom"/>
          </w:tcPr>
          <w:p>
            <w:pPr>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ind w:right="727"/>
              <w:spacing w:after="0"/>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ind w:right="42"/>
              <w:spacing w:after="0"/>
              <w:rPr>
                <w:sz w:val="20"/>
                <w:szCs w:val="20"/>
                <w:color w:val="auto"/>
              </w:rPr>
            </w:pPr>
            <w:r>
              <w:rPr>
                <w:rFonts w:ascii="Arial" w:cs="Arial" w:eastAsia="Arial" w:hAnsi="Arial"/>
                <w:sz w:val="16"/>
                <w:szCs w:val="16"/>
                <w:b w:val="1"/>
                <w:bCs w:val="1"/>
                <w:color w:val="auto"/>
              </w:rPr>
              <w:t>299</w:t>
            </w:r>
          </w:p>
        </w:tc>
        <w:tc>
          <w:tcPr>
            <w:tcW w:w="46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604</w:t>
            </w:r>
          </w:p>
        </w:tc>
        <w:tc>
          <w:tcPr>
            <w:tcW w:w="1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639</w:t>
            </w: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Deduct items included in net income not providing cash:</w:t>
            </w:r>
          </w:p>
        </w:tc>
        <w:tc>
          <w:tcPr>
            <w:tcW w:w="9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8"/>
        </w:trPr>
        <w:tc>
          <w:tcPr>
            <w:tcW w:w="66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Equity in earnings in consolidated subsidiary</w:t>
            </w: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r>
      <w:tr>
        <w:trPr>
          <w:trHeight w:val="180"/>
        </w:trPr>
        <w:tc>
          <w:tcPr>
            <w:tcW w:w="666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Net cash provided by operating activities</w:t>
            </w:r>
          </w:p>
        </w:tc>
        <w:tc>
          <w:tcPr>
            <w:tcW w:w="90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w:t>
            </w:r>
          </w:p>
        </w:tc>
      </w:tr>
      <w:tr>
        <w:trPr>
          <w:trHeight w:val="180"/>
        </w:trPr>
        <w:tc>
          <w:tcPr>
            <w:tcW w:w="6660" w:type="dxa"/>
            <w:vAlign w:val="bottom"/>
          </w:tcPr>
          <w:p>
            <w:pPr>
              <w:spacing w:after="0" w:line="180" w:lineRule="exact"/>
              <w:rPr>
                <w:sz w:val="20"/>
                <w:szCs w:val="20"/>
                <w:color w:val="auto"/>
              </w:rPr>
            </w:pPr>
            <w:r>
              <w:rPr>
                <w:rFonts w:ascii="Arial" w:cs="Arial" w:eastAsia="Arial" w:hAnsi="Arial"/>
                <w:sz w:val="16"/>
                <w:szCs w:val="16"/>
                <w:b w:val="1"/>
                <w:bCs w:val="1"/>
                <w:color w:val="auto"/>
              </w:rPr>
              <w:t>CASH FLOWS FROM INVESTING ACTIVITIES:</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8"/>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Investments in subsidiaries</w:t>
            </w:r>
          </w:p>
        </w:tc>
        <w:tc>
          <w:tcPr>
            <w:tcW w:w="9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r>
      <w:tr>
        <w:trPr>
          <w:trHeight w:val="188"/>
        </w:trPr>
        <w:tc>
          <w:tcPr>
            <w:tcW w:w="66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Dividends</w:t>
            </w: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78</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73</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80</w:t>
            </w:r>
          </w:p>
        </w:tc>
      </w:tr>
      <w:tr>
        <w:trPr>
          <w:trHeight w:val="180"/>
        </w:trPr>
        <w:tc>
          <w:tcPr>
            <w:tcW w:w="666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Net cash provided by investing activities</w:t>
            </w:r>
          </w:p>
        </w:tc>
        <w:tc>
          <w:tcPr>
            <w:tcW w:w="90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76</w:t>
            </w:r>
          </w:p>
        </w:tc>
        <w:tc>
          <w:tcPr>
            <w:tcW w:w="1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Arial" w:cs="Arial" w:eastAsia="Arial" w:hAnsi="Arial"/>
                <w:sz w:val="16"/>
                <w:szCs w:val="16"/>
                <w:color w:val="auto"/>
              </w:rPr>
              <w:t>68</w:t>
            </w:r>
          </w:p>
        </w:tc>
        <w:tc>
          <w:tcPr>
            <w:tcW w:w="1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58</w:t>
            </w:r>
          </w:p>
        </w:tc>
      </w:tr>
      <w:tr>
        <w:trPr>
          <w:trHeight w:val="180"/>
        </w:trPr>
        <w:tc>
          <w:tcPr>
            <w:tcW w:w="6660" w:type="dxa"/>
            <w:vAlign w:val="bottom"/>
          </w:tcPr>
          <w:p>
            <w:pPr>
              <w:spacing w:after="0" w:line="180" w:lineRule="exact"/>
              <w:rPr>
                <w:sz w:val="20"/>
                <w:szCs w:val="20"/>
                <w:color w:val="auto"/>
              </w:rPr>
            </w:pPr>
            <w:r>
              <w:rPr>
                <w:rFonts w:ascii="Arial" w:cs="Arial" w:eastAsia="Arial" w:hAnsi="Arial"/>
                <w:sz w:val="16"/>
                <w:szCs w:val="16"/>
                <w:b w:val="1"/>
                <w:bCs w:val="1"/>
                <w:color w:val="auto"/>
              </w:rPr>
              <w:t>CASH FLOWS FROM FINANCING ACTIVITIES:</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8"/>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Capital contributions</w:t>
            </w:r>
          </w:p>
        </w:tc>
        <w:tc>
          <w:tcPr>
            <w:tcW w:w="90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5</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22</w:t>
            </w:r>
          </w:p>
        </w:tc>
      </w:tr>
      <w:tr>
        <w:trPr>
          <w:trHeight w:val="188"/>
        </w:trPr>
        <w:tc>
          <w:tcPr>
            <w:tcW w:w="66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Dividends</w:t>
            </w: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180"/>
        </w:trPr>
        <w:tc>
          <w:tcPr>
            <w:tcW w:w="666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Net cash used in financing activities</w:t>
            </w:r>
          </w:p>
        </w:tc>
        <w:tc>
          <w:tcPr>
            <w:tcW w:w="90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(76)</w:t>
            </w:r>
          </w:p>
        </w:tc>
        <w:tc>
          <w:tcPr>
            <w:tcW w:w="1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(68)</w:t>
            </w:r>
          </w:p>
        </w:tc>
        <w:tc>
          <w:tcPr>
            <w:tcW w:w="1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(58)</w:t>
            </w:r>
          </w:p>
        </w:tc>
      </w:tr>
      <w:tr>
        <w:trPr>
          <w:trHeight w:val="180"/>
        </w:trPr>
        <w:tc>
          <w:tcPr>
            <w:tcW w:w="6660" w:type="dxa"/>
            <w:vAlign w:val="bottom"/>
          </w:tcPr>
          <w:p>
            <w:pPr>
              <w:spacing w:after="0" w:line="180" w:lineRule="exact"/>
              <w:rPr>
                <w:sz w:val="20"/>
                <w:szCs w:val="20"/>
                <w:color w:val="auto"/>
              </w:rPr>
            </w:pPr>
            <w:r>
              <w:rPr>
                <w:rFonts w:ascii="Arial" w:cs="Arial" w:eastAsia="Arial" w:hAnsi="Arial"/>
                <w:sz w:val="16"/>
                <w:szCs w:val="16"/>
                <w:color w:val="auto"/>
              </w:rPr>
              <w:t>Net increase (decrease) during period</w:t>
            </w:r>
          </w:p>
        </w:tc>
        <w:tc>
          <w:tcPr>
            <w:tcW w:w="900" w:type="dxa"/>
            <w:vAlign w:val="bottom"/>
          </w:tcPr>
          <w:p>
            <w:pPr>
              <w:spacing w:after="0"/>
              <w:rPr>
                <w:sz w:val="15"/>
                <w:szCs w:val="15"/>
                <w:color w:val="auto"/>
              </w:rPr>
            </w:pPr>
          </w:p>
        </w:tc>
        <w:tc>
          <w:tcPr>
            <w:tcW w:w="520" w:type="dxa"/>
            <w:vAlign w:val="bottom"/>
          </w:tcPr>
          <w:p>
            <w:pPr>
              <w:jc w:val="right"/>
              <w:ind w:right="42"/>
              <w:spacing w:after="0" w:line="180"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3"/>
              <w:spacing w:after="0" w:line="180" w:lineRule="exact"/>
              <w:rPr>
                <w:sz w:val="20"/>
                <w:szCs w:val="20"/>
                <w:color w:val="auto"/>
              </w:rPr>
            </w:pPr>
            <w:r>
              <w:rPr>
                <w:rFonts w:ascii="Arial" w:cs="Arial" w:eastAsia="Arial" w:hAnsi="Arial"/>
                <w:sz w:val="16"/>
                <w:szCs w:val="16"/>
                <w:color w:val="auto"/>
              </w:rPr>
              <w:t>—</w:t>
            </w: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90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r>
      <w:tr>
        <w:trPr>
          <w:trHeight w:val="180"/>
        </w:trPr>
        <w:tc>
          <w:tcPr>
            <w:tcW w:w="6660" w:type="dxa"/>
            <w:vAlign w:val="bottom"/>
          </w:tcPr>
          <w:p>
            <w:pPr>
              <w:spacing w:after="0" w:line="180" w:lineRule="exact"/>
              <w:rPr>
                <w:sz w:val="20"/>
                <w:szCs w:val="20"/>
                <w:color w:val="auto"/>
              </w:rPr>
            </w:pPr>
            <w:r>
              <w:rPr>
                <w:rFonts w:ascii="Arial" w:cs="Arial" w:eastAsia="Arial" w:hAnsi="Arial"/>
                <w:sz w:val="16"/>
                <w:szCs w:val="16"/>
                <w:color w:val="auto"/>
              </w:rPr>
              <w:t>Cash and cash equivalents at end of period</w:t>
            </w:r>
          </w:p>
        </w:tc>
        <w:tc>
          <w:tcPr>
            <w:tcW w:w="900" w:type="dxa"/>
            <w:vAlign w:val="bottom"/>
            <w:tcBorders>
              <w:top w:val="single" w:sz="8" w:color="auto"/>
              <w:bottom w:val="single" w:sz="8" w:color="auto"/>
            </w:tcBorders>
          </w:tcPr>
          <w:p>
            <w:pPr>
              <w:jc w:val="right"/>
              <w:ind w:right="727"/>
              <w:spacing w:after="0" w:line="180" w:lineRule="exact"/>
              <w:rPr>
                <w:sz w:val="20"/>
                <w:szCs w:val="20"/>
                <w:color w:val="auto"/>
              </w:rPr>
            </w:pPr>
            <w:r>
              <w:rPr>
                <w:rFonts w:ascii="Arial" w:cs="Arial" w:eastAsia="Arial" w:hAnsi="Arial"/>
                <w:sz w:val="16"/>
                <w:szCs w:val="16"/>
                <w:b w:val="1"/>
                <w:bCs w:val="1"/>
                <w:color w:val="auto"/>
                <w:w w:val="89"/>
              </w:rPr>
              <w:t>$</w:t>
            </w:r>
          </w:p>
        </w:tc>
        <w:tc>
          <w:tcPr>
            <w:tcW w:w="52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ind w:right="23"/>
              <w:spacing w:after="0" w:line="180"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w:t>
            </w:r>
          </w:p>
        </w:tc>
      </w:tr>
      <w:tr>
        <w:trPr>
          <w:trHeight w:val="20"/>
        </w:trPr>
        <w:tc>
          <w:tcPr>
            <w:tcW w:w="6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 is an integral part of the Parent Company only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Allison Transmission Holdings, Inc.</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Schedule I—Parent Company only Footnote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1—BASIS OF PRESENTATION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Allison Transmission Holdings, Inc. (the “Parent Company”) is a holding company that conducts all of its business operations through its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There are restrictions on the Parent Company’s ability to obtain funds from its subsidiaries through dividends (refer to NOTE 8 “Debt” of Notes to Consolidated</w:t>
      </w:r>
    </w:p>
    <w:p>
      <w:pPr>
        <w:spacing w:after="0" w:line="234" w:lineRule="auto"/>
        <w:rPr>
          <w:sz w:val="20"/>
          <w:szCs w:val="20"/>
          <w:color w:val="auto"/>
        </w:rPr>
      </w:pPr>
      <w:r>
        <w:rPr>
          <w:rFonts w:ascii="Arial" w:cs="Arial" w:eastAsia="Arial" w:hAnsi="Arial"/>
          <w:sz w:val="16"/>
          <w:szCs w:val="16"/>
          <w:color w:val="auto"/>
        </w:rPr>
        <w:t>Financial Statements). The entire amount of the Parent Company’s consolidated net assets was subject to restrictions on payment of dividends as of</w:t>
      </w:r>
    </w:p>
    <w:p>
      <w:pPr>
        <w:spacing w:after="0"/>
        <w:rPr>
          <w:sz w:val="20"/>
          <w:szCs w:val="20"/>
          <w:color w:val="auto"/>
        </w:rPr>
      </w:pPr>
      <w:r>
        <w:rPr>
          <w:rFonts w:ascii="Arial" w:cs="Arial" w:eastAsia="Arial" w:hAnsi="Arial"/>
          <w:sz w:val="15"/>
          <w:szCs w:val="15"/>
          <w:color w:val="auto"/>
        </w:rPr>
        <w:t>December 31, 2020, 2019 and 2018. Accordingly, these financial statements have been presented on a “parent-only” basis. Under a parent-only presentation, the</w:t>
      </w:r>
    </w:p>
    <w:p>
      <w:pPr>
        <w:spacing w:after="0" w:line="234" w:lineRule="auto"/>
        <w:rPr>
          <w:sz w:val="20"/>
          <w:szCs w:val="20"/>
          <w:color w:val="auto"/>
        </w:rPr>
      </w:pPr>
      <w:r>
        <w:rPr>
          <w:rFonts w:ascii="Arial" w:cs="Arial" w:eastAsia="Arial" w:hAnsi="Arial"/>
          <w:sz w:val="16"/>
          <w:szCs w:val="16"/>
          <w:color w:val="auto"/>
        </w:rPr>
        <w:t>Parent Company’s investments in its consolidated subsidiaries are presented under the equity method of accounting. These parent-only financial statements</w:t>
      </w:r>
    </w:p>
    <w:p>
      <w:pPr>
        <w:spacing w:after="0"/>
        <w:rPr>
          <w:sz w:val="20"/>
          <w:szCs w:val="20"/>
          <w:color w:val="auto"/>
        </w:rPr>
      </w:pPr>
      <w:r>
        <w:rPr>
          <w:rFonts w:ascii="Arial" w:cs="Arial" w:eastAsia="Arial" w:hAnsi="Arial"/>
          <w:sz w:val="16"/>
          <w:szCs w:val="16"/>
          <w:color w:val="auto"/>
        </w:rPr>
        <w:t>should be read in conjunction with Allison Transmission Holdings, Inc.’s audited Consolidated Financial Statements included elsewhere herein.</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160"/>
          </w:cols>
          <w:pgMar w:left="320" w:top="120" w:right="41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35" w:lineRule="exact"/>
        <w:rPr>
          <w:sz w:val="20"/>
          <w:szCs w:val="20"/>
          <w:color w:val="auto"/>
        </w:rPr>
      </w:pPr>
    </w:p>
    <w:p>
      <w:pPr>
        <w:ind w:right="280" w:firstLine="522"/>
        <w:spacing w:after="0" w:line="258" w:lineRule="auto"/>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our disclosure controls and procedures (as defined in Rules 13a-15(e) and 15d-15(e) under the Exchange Act), as of December 31, 2020.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94" w:lineRule="exact"/>
        <w:rPr>
          <w:sz w:val="20"/>
          <w:szCs w:val="20"/>
          <w:color w:val="auto"/>
        </w:rPr>
      </w:pPr>
    </w:p>
    <w:p>
      <w:pPr>
        <w:ind w:firstLine="522"/>
        <w:spacing w:after="0" w:line="239" w:lineRule="auto"/>
        <w:rPr>
          <w:sz w:val="20"/>
          <w:szCs w:val="20"/>
          <w:color w:val="auto"/>
        </w:rPr>
      </w:pPr>
      <w:r>
        <w:rPr>
          <w:rFonts w:ascii="Arial" w:cs="Arial" w:eastAsia="Arial" w:hAnsi="Arial"/>
          <w:sz w:val="16"/>
          <w:szCs w:val="16"/>
          <w:color w:val="auto"/>
        </w:rPr>
        <w:t>Based on the evaluation, our Chief Executive Officer and Chief Financial Officer concluded that our disclosure controls and procedures as of December 31, 2020, the end of the period covered by this Annual Report on Form 10-K, were effective to provide reasonable assurance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35" w:lineRule="exact"/>
        <w:rPr>
          <w:sz w:val="20"/>
          <w:szCs w:val="20"/>
          <w:color w:val="auto"/>
        </w:rPr>
      </w:pPr>
    </w:p>
    <w:p>
      <w:pPr>
        <w:ind w:right="100" w:firstLine="522"/>
        <w:spacing w:after="0" w:line="24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01" w:lineRule="exact"/>
        <w:rPr>
          <w:sz w:val="20"/>
          <w:szCs w:val="20"/>
          <w:color w:val="auto"/>
        </w:rPr>
      </w:pPr>
    </w:p>
    <w:p>
      <w:pPr>
        <w:ind w:right="140" w:firstLine="522"/>
        <w:spacing w:after="0" w:line="24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1" w:lineRule="exact"/>
        <w:rPr>
          <w:sz w:val="20"/>
          <w:szCs w:val="20"/>
          <w:color w:val="auto"/>
        </w:rPr>
      </w:pPr>
    </w:p>
    <w:p>
      <w:pPr>
        <w:ind w:right="140" w:firstLine="522"/>
        <w:spacing w:after="0" w:line="237"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assessment of the effectiveness of our internal control over financial reporting as of December 31, 2020. In making this assessment, our management used the criteria set forth by the Committee of Sponsoring Organizations of the Treadway Commission in Internal Control—Integrated Framework (2013). Based on this assessment, management concluded that our internal control over financial reporting was effective as of December 31, 2020. PricewaterhouseCoopers LLP, our independent registered public accounting firm, has audited the effectiveness of our internal control over financial reporting as of December 31, 2020. Their report is included in Part II, Item 8, “Financial Statements and Supplementary Data” in this Annual Report on Form 10-K.</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35" w:lineRule="exact"/>
        <w:rPr>
          <w:sz w:val="20"/>
          <w:szCs w:val="20"/>
          <w:color w:val="auto"/>
        </w:rPr>
      </w:pPr>
    </w:p>
    <w:p>
      <w:pPr>
        <w:ind w:right="360" w:firstLine="522"/>
        <w:spacing w:after="0" w:line="299" w:lineRule="auto"/>
        <w:rPr>
          <w:sz w:val="20"/>
          <w:szCs w:val="20"/>
          <w:color w:val="auto"/>
        </w:rPr>
      </w:pPr>
      <w:r>
        <w:rPr>
          <w:rFonts w:ascii="Arial" w:cs="Arial" w:eastAsia="Arial" w:hAnsi="Arial"/>
          <w:sz w:val="15"/>
          <w:szCs w:val="15"/>
          <w:color w:val="auto"/>
        </w:rPr>
        <w:t>There were no changes in our internal control over financial reporting (as defined in Rules 13a-15(f) and 15d-15(f) under the Exchange Act) during the quarter ended December 31, 2020 that have materially affected, or are reasonably likely to materially affect, our internal control over financial reporting.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180"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139"/>
          </w:cols>
          <w:pgMar w:left="320" w:top="120" w:right="1440"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35" w:lineRule="exact"/>
        <w:rPr>
          <w:sz w:val="20"/>
          <w:szCs w:val="20"/>
          <w:color w:val="auto"/>
        </w:rPr>
      </w:pPr>
    </w:p>
    <w:p>
      <w:pPr>
        <w:jc w:val="both"/>
        <w:ind w:right="220" w:firstLine="522"/>
        <w:spacing w:after="0" w:line="272" w:lineRule="auto"/>
        <w:rPr>
          <w:sz w:val="20"/>
          <w:szCs w:val="20"/>
          <w:color w:val="auto"/>
        </w:rPr>
      </w:pPr>
      <w:r>
        <w:rPr>
          <w:rFonts w:ascii="Arial" w:cs="Arial" w:eastAsia="Arial" w:hAnsi="Arial"/>
          <w:sz w:val="15"/>
          <w:szCs w:val="15"/>
          <w:color w:val="auto"/>
        </w:rPr>
        <w:t>The information required by this Item concerning our executive officers, directors and nominees for director and Audit Committee members and financial expert(s) and disclosure of delinquent filers under Section 16(a) of the Exchange Act is incorporated herein by reference from our definitive Proxy Statement for our 2021 annual meeting of stockholders which will be filed with the SEC pursuant to Regulation 14A within 120 days after the end of our last fiscal year.</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w:t>
      </w:r>
    </w:p>
    <w:p>
      <w:pPr>
        <w:spacing w:after="0" w:line="135" w:lineRule="exact"/>
        <w:rPr>
          <w:sz w:val="20"/>
          <w:szCs w:val="20"/>
          <w:color w:val="auto"/>
        </w:rPr>
      </w:pPr>
    </w:p>
    <w:p>
      <w:pPr>
        <w:ind w:right="40" w:firstLine="522"/>
        <w:spacing w:after="0" w:line="241" w:lineRule="auto"/>
        <w:rPr>
          <w:sz w:val="20"/>
          <w:szCs w:val="20"/>
          <w:color w:val="auto"/>
        </w:rPr>
      </w:pPr>
      <w:r>
        <w:rPr>
          <w:rFonts w:ascii="Arial" w:cs="Arial" w:eastAsia="Arial" w:hAnsi="Arial"/>
          <w:sz w:val="16"/>
          <w:szCs w:val="16"/>
          <w:color w:val="auto"/>
        </w:rPr>
        <w:t>We have adopted the Allison Code of Business Conduct that applies to all of our directors and officers and other employees, including our principal executive officer, principal financial officer and principal accounting officer. This code is publicly available through the Investor Relations section of our website at www.allisontransmission.com. We will post on the Investor Relations section of our website any amendment to the Allison Code of Business Conduct, or any grant of a waiver from a provision of the Allison Code of Business Conduct.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35" w:lineRule="exact"/>
        <w:rPr>
          <w:sz w:val="20"/>
          <w:szCs w:val="20"/>
          <w:color w:val="auto"/>
        </w:rPr>
      </w:pPr>
    </w:p>
    <w:p>
      <w:pPr>
        <w:ind w:right="80" w:firstLine="522"/>
        <w:spacing w:after="0" w:line="241" w:lineRule="auto"/>
        <w:rPr>
          <w:sz w:val="20"/>
          <w:szCs w:val="20"/>
          <w:color w:val="auto"/>
        </w:rPr>
      </w:pPr>
      <w:r>
        <w:rPr>
          <w:rFonts w:ascii="Arial" w:cs="Arial" w:eastAsia="Arial" w:hAnsi="Arial"/>
          <w:sz w:val="16"/>
          <w:szCs w:val="16"/>
          <w:color w:val="auto"/>
        </w:rPr>
        <w:t>The information required by this Item concerning remuneration of our executive officers and directors, material transactions involving such executive officers and directors and Compensation Committee interlocks, as well as the Compensation Committee Report and pay ratio disclosure, are incorporated herein by reference to our definitive Proxy Statement for our 2021 annual meeting of stockholders which will be filed with the SEC pursuant to Regulation 14A within 120 days after the end of our last fiscal year.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35" w:lineRule="exact"/>
        <w:rPr>
          <w:sz w:val="20"/>
          <w:szCs w:val="20"/>
          <w:color w:val="auto"/>
        </w:rPr>
      </w:pPr>
    </w:p>
    <w:p>
      <w:pPr>
        <w:jc w:val="both"/>
        <w:ind w:right="380" w:firstLine="522"/>
        <w:spacing w:after="0" w:line="247" w:lineRule="auto"/>
        <w:rPr>
          <w:sz w:val="20"/>
          <w:szCs w:val="20"/>
          <w:color w:val="auto"/>
        </w:rPr>
      </w:pPr>
      <w:r>
        <w:rPr>
          <w:rFonts w:ascii="Arial" w:cs="Arial" w:eastAsia="Arial" w:hAnsi="Arial"/>
          <w:sz w:val="16"/>
          <w:szCs w:val="16"/>
          <w:color w:val="auto"/>
        </w:rPr>
        <w:t>The information required by this Item concerning the stock ownership of management and five percent beneficial owners and securities authorized for issuance under equity compensation plans is incorporated herein by reference to our definitive Proxy Statement for our 2021 annual meeting of stockholders which will be filed with the SEC pursuant to Regulation 14A within 120 days after the end of our last fiscal year.</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35" w:lineRule="exact"/>
        <w:rPr>
          <w:sz w:val="20"/>
          <w:szCs w:val="20"/>
          <w:color w:val="auto"/>
        </w:rPr>
      </w:pPr>
    </w:p>
    <w:p>
      <w:pPr>
        <w:ind w:firstLine="522"/>
        <w:spacing w:after="0" w:line="247" w:lineRule="auto"/>
        <w:rPr>
          <w:sz w:val="20"/>
          <w:szCs w:val="20"/>
          <w:color w:val="auto"/>
        </w:rPr>
      </w:pPr>
      <w:r>
        <w:rPr>
          <w:rFonts w:ascii="Arial" w:cs="Arial" w:eastAsia="Arial" w:hAnsi="Arial"/>
          <w:sz w:val="16"/>
          <w:szCs w:val="16"/>
          <w:color w:val="auto"/>
        </w:rPr>
        <w:t>The information required by this Item concerning certain relationships and related person transactions, and director independence is incorporated herein by reference to our definitive Proxy Statement for our 2021 annual meeting of stockholders which will be filed with the SEC pursuant to Regulation 14A within 120 days after the end of our last fiscal year.</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135" w:lineRule="exact"/>
        <w:rPr>
          <w:sz w:val="20"/>
          <w:szCs w:val="20"/>
          <w:color w:val="auto"/>
        </w:rPr>
      </w:pPr>
    </w:p>
    <w:p>
      <w:pPr>
        <w:ind w:right="220" w:firstLine="522"/>
        <w:spacing w:after="0" w:line="247" w:lineRule="auto"/>
        <w:rPr>
          <w:sz w:val="20"/>
          <w:szCs w:val="20"/>
          <w:color w:val="auto"/>
        </w:rPr>
      </w:pPr>
      <w:r>
        <w:rPr>
          <w:rFonts w:ascii="Arial" w:cs="Arial" w:eastAsia="Arial" w:hAnsi="Arial"/>
          <w:sz w:val="16"/>
          <w:szCs w:val="16"/>
          <w:color w:val="auto"/>
        </w:rPr>
        <w:t>The information required by this Item concerning the fees and services of our independent registered public accounting firm and our Audit Committee actions with respect thereto is incorporated herein by reference to our definitive Proxy Statement for our 2021 annual meeting of stockholders which will be filed with the SEC pursuant to Regulation 14A within 120 days after the end of our last fiscal year.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IV.</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(a)(1) Financial Statements.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response to this item is included in Part II, Item 8 of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(a)(2) Financial Statement Schedules.</w:t>
      </w:r>
    </w:p>
    <w:p>
      <w:pPr>
        <w:spacing w:after="0" w:line="135" w:lineRule="exact"/>
        <w:rPr>
          <w:sz w:val="20"/>
          <w:szCs w:val="20"/>
          <w:color w:val="auto"/>
        </w:rPr>
      </w:pPr>
    </w:p>
    <w:p>
      <w:pPr>
        <w:ind w:firstLine="522"/>
        <w:spacing w:after="0" w:line="239" w:lineRule="auto"/>
        <w:rPr>
          <w:sz w:val="20"/>
          <w:szCs w:val="20"/>
          <w:color w:val="auto"/>
        </w:rPr>
      </w:pPr>
      <w:r>
        <w:rPr>
          <w:rFonts w:ascii="Arial" w:cs="Arial" w:eastAsia="Arial" w:hAnsi="Arial"/>
          <w:sz w:val="16"/>
          <w:szCs w:val="16"/>
          <w:color w:val="auto"/>
        </w:rPr>
        <w:t>Schedule I – Parent Company only Balance Sheets as of the years ended December 31, 2020 and 2019, Schedule I – Parent Company only Statements of Comprehensive Income for the years ended December 31, 2020, 2019 and 2018, Schedule I – Parent Company only Statements of Cash Flows for the years ended December 31, 2020, 2019 and 2018 and Schedule I – Parent Company only Footnote are included in Part II, Item 8 of this Annual Report on Form 10-K. All other schedules have been omitted because they are not required or because the information required is included in the consolidated financial statements and notes thereto.</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(a)(3) Exhibits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the response to Item 15(b) below.</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Exhibits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exhibits are filed as part of, or are incorporated by reference into, this Annual Report on Form 10-K:</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Exhibit</w:t>
            </w:r>
          </w:p>
        </w:tc>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No.</w:t>
            </w:r>
          </w:p>
        </w:tc>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60" w:type="dxa"/>
            <w:vAlign w:val="bottom"/>
            <w:gridSpan w:val="13"/>
          </w:tcPr>
          <w:p>
            <w:pPr>
              <w:ind w:left="1300"/>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250"/>
        </w:trPr>
        <w:tc>
          <w:tcPr>
            <w:tcW w:w="800" w:type="dxa"/>
            <w:vAlign w:val="bottom"/>
            <w:tcBorders>
              <w:top w:val="single" w:sz="8" w:color="auto"/>
            </w:tcBorders>
          </w:tcPr>
          <w:p>
            <w:pPr>
              <w:jc w:val="right"/>
              <w:ind w:right="344"/>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1"/>
                <w:szCs w:val="21"/>
                <w:color w:val="auto"/>
              </w:rPr>
            </w:pPr>
          </w:p>
        </w:tc>
        <w:tc>
          <w:tcPr>
            <w:tcW w:w="10340" w:type="dxa"/>
            <w:vAlign w:val="bottom"/>
            <w:tcBorders>
              <w:top w:val="single" w:sz="8" w:color="auto"/>
            </w:tcBorders>
            <w:gridSpan w:val="16"/>
          </w:tcPr>
          <w:p>
            <w:pPr>
              <w:spacing w:after="0"/>
              <w:rPr>
                <w:rFonts w:ascii="Arial" w:cs="Arial" w:eastAsia="Arial" w:hAnsi="Arial"/>
                <w:sz w:val="16"/>
                <w:szCs w:val="16"/>
                <w:color w:val="0000EE"/>
              </w:rPr>
            </w:pPr>
            <w:hyperlink r:id="rId132">
              <w:r>
                <w:rPr>
                  <w:rFonts w:ascii="Arial" w:cs="Arial" w:eastAsia="Arial" w:hAnsi="Arial"/>
                  <w:sz w:val="16"/>
                  <w:szCs w:val="16"/>
                  <w:color w:val="0000EE"/>
                </w:rPr>
                <w:t>Second Amended and Restated Certificate of Incorporation of Allison Transmission Holdings, Inc. (incorporated by reference to Exhibit 3.1 to the</w:t>
              </w:r>
            </w:hyperlink>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top w:val="single" w:sz="8" w:color="0000EE"/>
            </w:tcBorders>
            <w:gridSpan w:val="11"/>
          </w:tcPr>
          <w:p>
            <w:pPr>
              <w:spacing w:after="0"/>
              <w:rPr>
                <w:rFonts w:ascii="Arial" w:cs="Arial" w:eastAsia="Arial" w:hAnsi="Arial"/>
                <w:sz w:val="16"/>
                <w:szCs w:val="16"/>
                <w:u w:val="single" w:color="auto"/>
                <w:color w:val="0000EE"/>
              </w:rPr>
            </w:pPr>
            <w:hyperlink r:id="rId132">
              <w:r>
                <w:rPr>
                  <w:rFonts w:ascii="Arial" w:cs="Arial" w:eastAsia="Arial" w:hAnsi="Arial"/>
                  <w:sz w:val="16"/>
                  <w:szCs w:val="16"/>
                  <w:u w:val="single" w:color="auto"/>
                  <w:color w:val="0000EE"/>
                </w:rPr>
                <w:t>Registrant’s Quarterly Report on Form 10-Q for the quarter ended March 31, 2012 filed April 26, 2012 (File No. 001-35456))</w:t>
              </w:r>
            </w:hyperlink>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00" w:type="dxa"/>
            <w:vAlign w:val="bottom"/>
          </w:tcPr>
          <w:p>
            <w:pPr>
              <w:jc w:val="right"/>
              <w:ind w:right="344"/>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0340" w:type="dxa"/>
            <w:vAlign w:val="bottom"/>
            <w:gridSpan w:val="16"/>
          </w:tcPr>
          <w:p>
            <w:pPr>
              <w:spacing w:after="0"/>
              <w:rPr>
                <w:rFonts w:ascii="Arial" w:cs="Arial" w:eastAsia="Arial" w:hAnsi="Arial"/>
                <w:sz w:val="16"/>
                <w:szCs w:val="16"/>
                <w:color w:val="0000EE"/>
              </w:rPr>
            </w:pPr>
            <w:hyperlink r:id="rId133">
              <w:r>
                <w:rPr>
                  <w:rFonts w:ascii="Arial" w:cs="Arial" w:eastAsia="Arial" w:hAnsi="Arial"/>
                  <w:sz w:val="16"/>
                  <w:szCs w:val="16"/>
                  <w:color w:val="0000EE"/>
                </w:rPr>
                <w:t>Amendment to Second Amended and Restated Certificate of Incorporation of Allison Transmission Holdings, Inc. (incorporated by reference to</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Borders>
              <w:top w:val="single" w:sz="8" w:color="0000EE"/>
            </w:tcBorders>
            <w:gridSpan w:val="6"/>
          </w:tcPr>
          <w:p>
            <w:pPr>
              <w:spacing w:after="0" w:line="156" w:lineRule="exact"/>
              <w:rPr>
                <w:rFonts w:ascii="Arial" w:cs="Arial" w:eastAsia="Arial" w:hAnsi="Arial"/>
                <w:sz w:val="16"/>
                <w:szCs w:val="16"/>
                <w:color w:val="0000EE"/>
              </w:rPr>
            </w:pPr>
            <w:hyperlink r:id="rId133">
              <w:r>
                <w:rPr>
                  <w:rFonts w:ascii="Arial" w:cs="Arial" w:eastAsia="Arial" w:hAnsi="Arial"/>
                  <w:sz w:val="16"/>
                  <w:szCs w:val="16"/>
                  <w:color w:val="0000EE"/>
                </w:rPr>
                <w:t>Exhibit 3.1 to the Registrant’s Current Report on Form 8-K filed May 18, 2016)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00" w:type="dxa"/>
            <w:vAlign w:val="bottom"/>
          </w:tcPr>
          <w:p>
            <w:pPr>
              <w:jc w:val="right"/>
              <w:ind w:right="344"/>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10340" w:type="dxa"/>
            <w:vAlign w:val="bottom"/>
            <w:gridSpan w:val="16"/>
          </w:tcPr>
          <w:p>
            <w:pPr>
              <w:spacing w:after="0"/>
              <w:rPr>
                <w:rFonts w:ascii="Arial" w:cs="Arial" w:eastAsia="Arial" w:hAnsi="Arial"/>
                <w:sz w:val="16"/>
                <w:szCs w:val="16"/>
                <w:color w:val="0000EE"/>
              </w:rPr>
            </w:pPr>
            <w:hyperlink r:id="rId134">
              <w:r>
                <w:rPr>
                  <w:rFonts w:ascii="Arial" w:cs="Arial" w:eastAsia="Arial" w:hAnsi="Arial"/>
                  <w:sz w:val="16"/>
                  <w:szCs w:val="16"/>
                  <w:color w:val="0000EE"/>
                </w:rPr>
                <w:t>Sixth Amended and Restated Bylaws of Allison Transmission Holdings, Inc. (incorporated by reference to Exhibit 3.1 to the Registrant’s Current</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20" w:type="dxa"/>
            <w:vAlign w:val="bottom"/>
            <w:tcBorders>
              <w:top w:val="single" w:sz="8" w:color="0000EE"/>
            </w:tcBorders>
            <w:gridSpan w:val="8"/>
          </w:tcPr>
          <w:p>
            <w:pPr>
              <w:spacing w:after="0" w:line="156" w:lineRule="exact"/>
              <w:rPr>
                <w:rFonts w:ascii="Arial" w:cs="Arial" w:eastAsia="Arial" w:hAnsi="Arial"/>
                <w:sz w:val="16"/>
                <w:szCs w:val="16"/>
                <w:color w:val="0000EE"/>
              </w:rPr>
            </w:pPr>
            <w:hyperlink r:id="rId134">
              <w:r>
                <w:rPr>
                  <w:rFonts w:ascii="Arial" w:cs="Arial" w:eastAsia="Arial" w:hAnsi="Arial"/>
                  <w:sz w:val="16"/>
                  <w:szCs w:val="16"/>
                  <w:color w:val="0000EE"/>
                </w:rPr>
                <w:t>Report on Form 8-K filed May 11,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00" w:type="dxa"/>
            <w:vAlign w:val="bottom"/>
          </w:tcPr>
          <w:p>
            <w:pPr>
              <w:jc w:val="right"/>
              <w:ind w:right="344"/>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2"/>
                <w:szCs w:val="22"/>
                <w:color w:val="auto"/>
              </w:rPr>
            </w:pPr>
          </w:p>
        </w:tc>
        <w:tc>
          <w:tcPr>
            <w:tcW w:w="10340" w:type="dxa"/>
            <w:vAlign w:val="bottom"/>
            <w:gridSpan w:val="16"/>
          </w:tcPr>
          <w:p>
            <w:pPr>
              <w:spacing w:after="0"/>
              <w:rPr>
                <w:rFonts w:ascii="Arial" w:cs="Arial" w:eastAsia="Arial" w:hAnsi="Arial"/>
                <w:sz w:val="16"/>
                <w:szCs w:val="16"/>
                <w:color w:val="0000EE"/>
                <w:w w:val="98"/>
              </w:rPr>
            </w:pPr>
            <w:hyperlink r:id="rId135">
              <w:r>
                <w:rPr>
                  <w:rFonts w:ascii="Arial" w:cs="Arial" w:eastAsia="Arial" w:hAnsi="Arial"/>
                  <w:sz w:val="16"/>
                  <w:szCs w:val="16"/>
                  <w:color w:val="0000EE"/>
                  <w:w w:val="98"/>
                </w:rPr>
                <w:t>Form of Stock Certificate (incorporated by reference to Exhibit 4.1 to Amendment No. 3 to the Registrant’s Registration Statement on Form S-1 filed</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Borders>
              <w:top w:val="single" w:sz="8" w:color="0000EE"/>
              <w:bottom w:val="single" w:sz="8" w:color="0000EE"/>
            </w:tcBorders>
          </w:tcPr>
          <w:p>
            <w:pPr>
              <w:spacing w:after="0" w:line="156" w:lineRule="exact"/>
              <w:rPr>
                <w:rFonts w:ascii="Arial" w:cs="Arial" w:eastAsia="Arial" w:hAnsi="Arial"/>
                <w:sz w:val="16"/>
                <w:szCs w:val="16"/>
                <w:color w:val="0000EE"/>
                <w:w w:val="96"/>
              </w:rPr>
            </w:pPr>
            <w:hyperlink r:id="rId135">
              <w:r>
                <w:rPr>
                  <w:rFonts w:ascii="Arial" w:cs="Arial" w:eastAsia="Arial" w:hAnsi="Arial"/>
                  <w:sz w:val="16"/>
                  <w:szCs w:val="16"/>
                  <w:color w:val="0000EE"/>
                  <w:w w:val="96"/>
                </w:rPr>
                <w:t>June 17, 2011 (File No. 333-172932))</w:t>
              </w:r>
            </w:hyperlink>
          </w:p>
        </w:tc>
        <w:tc>
          <w:tcPr>
            <w:tcW w:w="7620" w:type="dxa"/>
            <w:vAlign w:val="bottom"/>
            <w:tcBorders>
              <w:top w:val="single" w:sz="8" w:color="0000EE"/>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800" w:type="dxa"/>
            <w:vAlign w:val="bottom"/>
          </w:tcPr>
          <w:p>
            <w:pPr>
              <w:jc w:val="right"/>
              <w:ind w:right="344"/>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2"/>
                <w:szCs w:val="22"/>
                <w:color w:val="auto"/>
              </w:rPr>
            </w:pPr>
          </w:p>
        </w:tc>
        <w:tc>
          <w:tcPr>
            <w:tcW w:w="10340" w:type="dxa"/>
            <w:vAlign w:val="bottom"/>
            <w:gridSpan w:val="16"/>
          </w:tcPr>
          <w:p>
            <w:pPr>
              <w:spacing w:after="0"/>
              <w:rPr>
                <w:rFonts w:ascii="Arial" w:cs="Arial" w:eastAsia="Arial" w:hAnsi="Arial"/>
                <w:sz w:val="16"/>
                <w:szCs w:val="16"/>
                <w:color w:val="0000EE"/>
                <w:w w:val="99"/>
              </w:rPr>
            </w:pPr>
            <w:hyperlink r:id="rId136">
              <w:r>
                <w:rPr>
                  <w:rFonts w:ascii="Arial" w:cs="Arial" w:eastAsia="Arial" w:hAnsi="Arial"/>
                  <w:sz w:val="16"/>
                  <w:szCs w:val="16"/>
                  <w:color w:val="0000EE"/>
                  <w:w w:val="99"/>
                </w:rPr>
                <w:t>Indenture, dated as of September 23, 2016, between the Issuer and Wilmington Trust, National Association, as Trustee (including the form of 5.0%</w:t>
              </w:r>
            </w:hyperlink>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top w:val="single" w:sz="8" w:color="0000EE"/>
            </w:tcBorders>
            <w:gridSpan w:val="13"/>
          </w:tcPr>
          <w:p>
            <w:pPr>
              <w:spacing w:after="0"/>
              <w:rPr>
                <w:rFonts w:ascii="Arial" w:cs="Arial" w:eastAsia="Arial" w:hAnsi="Arial"/>
                <w:sz w:val="16"/>
                <w:szCs w:val="16"/>
                <w:u w:val="single" w:color="auto"/>
                <w:color w:val="0000EE"/>
              </w:rPr>
            </w:pPr>
            <w:hyperlink r:id="rId136">
              <w:r>
                <w:rPr>
                  <w:rFonts w:ascii="Arial" w:cs="Arial" w:eastAsia="Arial" w:hAnsi="Arial"/>
                  <w:sz w:val="16"/>
                  <w:szCs w:val="16"/>
                  <w:u w:val="single" w:color="auto"/>
                  <w:color w:val="0000EE"/>
                </w:rPr>
                <w:t>Senior Notes due 2024) (incorporated by reference to Exhibit 4.1 to the Registrant’s Current Report on Form 8-K filed September 23, 2016)</w:t>
              </w:r>
            </w:hyperlink>
          </w:p>
        </w:tc>
        <w:tc>
          <w:tcPr>
            <w:tcW w:w="1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00" w:type="dxa"/>
            <w:vAlign w:val="bottom"/>
          </w:tcPr>
          <w:p>
            <w:pPr>
              <w:jc w:val="right"/>
              <w:ind w:right="344"/>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0340" w:type="dxa"/>
            <w:vAlign w:val="bottom"/>
            <w:gridSpan w:val="16"/>
          </w:tcPr>
          <w:p>
            <w:pPr>
              <w:spacing w:after="0"/>
              <w:rPr>
                <w:rFonts w:ascii="Arial" w:cs="Arial" w:eastAsia="Arial" w:hAnsi="Arial"/>
                <w:sz w:val="16"/>
                <w:szCs w:val="16"/>
                <w:color w:val="0000EE"/>
              </w:rPr>
            </w:pPr>
            <w:hyperlink r:id="rId137">
              <w:r>
                <w:rPr>
                  <w:rFonts w:ascii="Arial" w:cs="Arial" w:eastAsia="Arial" w:hAnsi="Arial"/>
                  <w:sz w:val="16"/>
                  <w:szCs w:val="16"/>
                  <w:color w:val="0000EE"/>
                </w:rPr>
                <w:t>Indenture, dated as of September 26, 2017, between the Issuer and Wilmington Trust, National Association, as Trustee (including form of 4.75%</w:t>
              </w:r>
            </w:hyperlink>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top w:val="single" w:sz="8" w:color="0000EE"/>
            </w:tcBorders>
            <w:gridSpan w:val="10"/>
          </w:tcPr>
          <w:p>
            <w:pPr>
              <w:spacing w:after="0"/>
              <w:rPr>
                <w:rFonts w:ascii="Arial" w:cs="Arial" w:eastAsia="Arial" w:hAnsi="Arial"/>
                <w:sz w:val="16"/>
                <w:szCs w:val="16"/>
                <w:u w:val="single" w:color="auto"/>
                <w:color w:val="0000EE"/>
              </w:rPr>
            </w:pPr>
            <w:hyperlink r:id="rId137">
              <w:r>
                <w:rPr>
                  <w:rFonts w:ascii="Arial" w:cs="Arial" w:eastAsia="Arial" w:hAnsi="Arial"/>
                  <w:sz w:val="16"/>
                  <w:szCs w:val="16"/>
                  <w:u w:val="single" w:color="auto"/>
                  <w:color w:val="0000EE"/>
                </w:rPr>
                <w:t>Senior Notes due 2027) (incorporated by reference to Exhibit 4.1 to the Registrant’s Current Report on Form 8-K filed September 26, 2017)</w:t>
              </w:r>
            </w:hyperlink>
          </w:p>
        </w:tc>
        <w:tc>
          <w:tcPr>
            <w:tcW w:w="120" w:type="dxa"/>
            <w:vAlign w:val="bottom"/>
            <w:gridSpan w:val="2"/>
          </w:tcPr>
          <w:p>
            <w:pPr>
              <w:spacing w:after="0"/>
              <w:rPr>
                <w:sz w:val="17"/>
                <w:szCs w:val="17"/>
                <w:color w:val="auto"/>
              </w:rPr>
            </w:pPr>
          </w:p>
        </w:tc>
        <w:tc>
          <w:tcPr>
            <w:tcW w:w="16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00" w:type="dxa"/>
            <w:vAlign w:val="bottom"/>
          </w:tcPr>
          <w:p>
            <w:pPr>
              <w:jc w:val="right"/>
              <w:ind w:right="344"/>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0340" w:type="dxa"/>
            <w:vAlign w:val="bottom"/>
            <w:gridSpan w:val="16"/>
          </w:tcPr>
          <w:p>
            <w:pPr>
              <w:spacing w:after="0"/>
              <w:rPr>
                <w:rFonts w:ascii="Arial" w:cs="Arial" w:eastAsia="Arial" w:hAnsi="Arial"/>
                <w:sz w:val="16"/>
                <w:szCs w:val="16"/>
                <w:color w:val="0000EE"/>
                <w:w w:val="98"/>
              </w:rPr>
            </w:pPr>
            <w:hyperlink r:id="rId138">
              <w:r>
                <w:rPr>
                  <w:rFonts w:ascii="Arial" w:cs="Arial" w:eastAsia="Arial" w:hAnsi="Arial"/>
                  <w:sz w:val="16"/>
                  <w:szCs w:val="16"/>
                  <w:color w:val="0000EE"/>
                  <w:w w:val="98"/>
                </w:rPr>
                <w:t>Indenture, dated as of March 29, 2019, between the Issuer and Wilmington Trust, National Association, as Trustee (including form of 5.875% Senior</w:t>
              </w:r>
            </w:hyperlink>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40" w:type="dxa"/>
            <w:vAlign w:val="bottom"/>
            <w:tcBorders>
              <w:top w:val="single" w:sz="8" w:color="0000EE"/>
            </w:tcBorders>
            <w:gridSpan w:val="15"/>
          </w:tcPr>
          <w:p>
            <w:pPr>
              <w:spacing w:after="0"/>
              <w:rPr>
                <w:rFonts w:ascii="Arial" w:cs="Arial" w:eastAsia="Arial" w:hAnsi="Arial"/>
                <w:sz w:val="16"/>
                <w:szCs w:val="16"/>
                <w:u w:val="single" w:color="auto"/>
                <w:color w:val="0000EE"/>
              </w:rPr>
            </w:pPr>
            <w:hyperlink r:id="rId138">
              <w:r>
                <w:rPr>
                  <w:rFonts w:ascii="Arial" w:cs="Arial" w:eastAsia="Arial" w:hAnsi="Arial"/>
                  <w:sz w:val="16"/>
                  <w:szCs w:val="16"/>
                  <w:u w:val="single" w:color="auto"/>
                  <w:color w:val="0000EE"/>
                </w:rPr>
                <w:t>Notes due 2029) (incorporated by reference to Exhibit 4.1 to the Registrant’s Current Report on Form 8-K filed March 29, 2019)</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00" w:type="dxa"/>
            <w:vAlign w:val="bottom"/>
          </w:tcPr>
          <w:p>
            <w:pPr>
              <w:jc w:val="right"/>
              <w:ind w:right="344"/>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0340" w:type="dxa"/>
            <w:vAlign w:val="bottom"/>
            <w:gridSpan w:val="16"/>
          </w:tcPr>
          <w:p>
            <w:pPr>
              <w:spacing w:after="0"/>
              <w:rPr>
                <w:rFonts w:ascii="Arial" w:cs="Arial" w:eastAsia="Arial" w:hAnsi="Arial"/>
                <w:sz w:val="16"/>
                <w:szCs w:val="16"/>
                <w:color w:val="0000EE"/>
              </w:rPr>
            </w:pPr>
            <w:hyperlink r:id="rId139">
              <w:r>
                <w:rPr>
                  <w:rFonts w:ascii="Arial" w:cs="Arial" w:eastAsia="Arial" w:hAnsi="Arial"/>
                  <w:sz w:val="16"/>
                  <w:szCs w:val="16"/>
                  <w:color w:val="0000EE"/>
                </w:rPr>
                <w:t>Indenture, dated as of November 19, 2020, between the Issuer and Wilmington Trust, National Association, as Trustee (including form of 3.75%</w:t>
              </w:r>
            </w:hyperlink>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top w:val="single" w:sz="8" w:color="0000EE"/>
            </w:tcBorders>
            <w:gridSpan w:val="9"/>
          </w:tcPr>
          <w:p>
            <w:pPr>
              <w:spacing w:after="0"/>
              <w:rPr>
                <w:rFonts w:ascii="Arial" w:cs="Arial" w:eastAsia="Arial" w:hAnsi="Arial"/>
                <w:sz w:val="16"/>
                <w:szCs w:val="16"/>
                <w:u w:val="single" w:color="auto"/>
                <w:color w:val="0000EE"/>
              </w:rPr>
            </w:pPr>
            <w:hyperlink r:id="rId139">
              <w:r>
                <w:rPr>
                  <w:rFonts w:ascii="Arial" w:cs="Arial" w:eastAsia="Arial" w:hAnsi="Arial"/>
                  <w:sz w:val="16"/>
                  <w:szCs w:val="16"/>
                  <w:u w:val="single" w:color="auto"/>
                  <w:color w:val="0000EE"/>
                </w:rPr>
                <w:t>Senior Notes due 2031) (incorporated by reference to Exhibit 4.1 to the Registrant’s Current Report on Form 8-K filed November 19, 2020)</w:t>
              </w:r>
            </w:hyperlink>
          </w:p>
        </w:tc>
        <w:tc>
          <w:tcPr>
            <w:tcW w:w="140" w:type="dxa"/>
            <w:vAlign w:val="bottom"/>
            <w:gridSpan w:val="3"/>
          </w:tcPr>
          <w:p>
            <w:pPr>
              <w:spacing w:after="0"/>
              <w:rPr>
                <w:sz w:val="17"/>
                <w:szCs w:val="17"/>
                <w:color w:val="auto"/>
              </w:rPr>
            </w:pPr>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800" w:type="dxa"/>
            <w:vAlign w:val="bottom"/>
          </w:tcPr>
          <w:p>
            <w:pPr>
              <w:jc w:val="right"/>
              <w:ind w:right="344"/>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3"/>
                <w:szCs w:val="23"/>
                <w:color w:val="auto"/>
              </w:rPr>
            </w:pPr>
          </w:p>
        </w:tc>
        <w:tc>
          <w:tcPr>
            <w:tcW w:w="10340" w:type="dxa"/>
            <w:vAlign w:val="bottom"/>
            <w:gridSpan w:val="16"/>
            <w:vMerge w:val="restart"/>
          </w:tcPr>
          <w:p>
            <w:pPr>
              <w:spacing w:after="0"/>
              <w:rPr>
                <w:rFonts w:ascii="Arial" w:cs="Arial" w:eastAsia="Arial" w:hAnsi="Arial"/>
                <w:sz w:val="16"/>
                <w:szCs w:val="16"/>
                <w:color w:val="0000EE"/>
              </w:rPr>
            </w:pPr>
            <w:hyperlink r:id="rId140">
              <w:r>
                <w:rPr>
                  <w:rFonts w:ascii="Arial" w:cs="Arial" w:eastAsia="Arial" w:hAnsi="Arial"/>
                  <w:sz w:val="16"/>
                  <w:szCs w:val="16"/>
                  <w:color w:val="0000EE"/>
                </w:rPr>
                <w:t>Description of Securities (incorporated by reference to Exhibit 4.5 to the Registrant’s Annual Report on Form 10-K for the fiscal year ended</w:t>
              </w:r>
            </w:hyperlink>
          </w:p>
        </w:tc>
        <w:tc>
          <w:tcPr>
            <w:tcW w:w="0" w:type="dxa"/>
            <w:vAlign w:val="bottom"/>
          </w:tcPr>
          <w:p>
            <w:pPr>
              <w:spacing w:after="0"/>
              <w:rPr>
                <w:sz w:val="1"/>
                <w:szCs w:val="1"/>
                <w:color w:val="auto"/>
              </w:rPr>
            </w:pPr>
          </w:p>
        </w:tc>
      </w:tr>
      <w:tr>
        <w:trPr>
          <w:trHeight w:val="32"/>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340" w:type="dxa"/>
            <w:vAlign w:val="bottom"/>
            <w:gridSpan w:val="1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80" w:type="dxa"/>
            <w:vAlign w:val="bottom"/>
            <w:tcBorders>
              <w:top w:val="single" w:sz="8" w:color="0000EE"/>
            </w:tcBorders>
            <w:gridSpan w:val="5"/>
          </w:tcPr>
          <w:p>
            <w:pPr>
              <w:spacing w:after="0" w:line="156" w:lineRule="exact"/>
              <w:rPr>
                <w:rFonts w:ascii="Arial" w:cs="Arial" w:eastAsia="Arial" w:hAnsi="Arial"/>
                <w:sz w:val="16"/>
                <w:szCs w:val="16"/>
                <w:color w:val="0000EE"/>
              </w:rPr>
            </w:pPr>
            <w:hyperlink r:id="rId140">
              <w:r>
                <w:rPr>
                  <w:rFonts w:ascii="Arial" w:cs="Arial" w:eastAsia="Arial" w:hAnsi="Arial"/>
                  <w:sz w:val="16"/>
                  <w:szCs w:val="16"/>
                  <w:color w:val="0000EE"/>
                </w:rPr>
                <w:t>December 31, 2019 filed February 27, 2020)</w:t>
              </w:r>
            </w:hyperlink>
          </w:p>
        </w:tc>
        <w:tc>
          <w:tcPr>
            <w:tcW w:w="32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2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682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00" w:type="dxa"/>
            <w:vAlign w:val="bottom"/>
          </w:tcPr>
          <w:p>
            <w:pPr>
              <w:jc w:val="right"/>
              <w:ind w:right="344"/>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10340" w:type="dxa"/>
            <w:vAlign w:val="bottom"/>
            <w:gridSpan w:val="16"/>
          </w:tcPr>
          <w:p>
            <w:pPr>
              <w:spacing w:after="0"/>
              <w:rPr>
                <w:rFonts w:ascii="Arial" w:cs="Arial" w:eastAsia="Arial" w:hAnsi="Arial"/>
                <w:sz w:val="16"/>
                <w:szCs w:val="16"/>
                <w:color w:val="0000EE"/>
              </w:rPr>
            </w:pPr>
            <w:hyperlink r:id="rId141">
              <w:r>
                <w:rPr>
                  <w:rFonts w:ascii="Arial" w:cs="Arial" w:eastAsia="Arial" w:hAnsi="Arial"/>
                  <w:sz w:val="16"/>
                  <w:szCs w:val="16"/>
                  <w:color w:val="0000EE"/>
                </w:rPr>
                <w:t>Second Amended and Restated Credit Agreement, dated as of March 29, 2019, among Allison Transmission Holdings, Inc., Allison Transmission,</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80" w:type="dxa"/>
            <w:vAlign w:val="bottom"/>
            <w:tcBorders>
              <w:top w:val="single" w:sz="8" w:color="0000EE"/>
            </w:tcBorders>
            <w:gridSpan w:val="12"/>
          </w:tcPr>
          <w:p>
            <w:pPr>
              <w:spacing w:after="0" w:line="156" w:lineRule="exact"/>
              <w:rPr>
                <w:rFonts w:ascii="Arial" w:cs="Arial" w:eastAsia="Arial" w:hAnsi="Arial"/>
                <w:sz w:val="16"/>
                <w:szCs w:val="16"/>
                <w:color w:val="0000EE"/>
                <w:w w:val="99"/>
              </w:rPr>
            </w:pPr>
            <w:hyperlink r:id="rId141">
              <w:r>
                <w:rPr>
                  <w:rFonts w:ascii="Arial" w:cs="Arial" w:eastAsia="Arial" w:hAnsi="Arial"/>
                  <w:sz w:val="16"/>
                  <w:szCs w:val="16"/>
                  <w:color w:val="0000EE"/>
                  <w:w w:val="99"/>
                </w:rPr>
                <w:t>Inc., as Borrower, the several banks and other financial institutions or entities from time to time parties thereto as lenders and Citibank, N.A., as</w:t>
              </w:r>
            </w:hyperlink>
          </w:p>
        </w:tc>
        <w:tc>
          <w:tcPr>
            <w:tcW w:w="2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top w:val="single" w:sz="8" w:color="0000EE"/>
            </w:tcBorders>
            <w:gridSpan w:val="7"/>
          </w:tcPr>
          <w:p>
            <w:pPr>
              <w:spacing w:after="0"/>
              <w:rPr>
                <w:rFonts w:ascii="Arial" w:cs="Arial" w:eastAsia="Arial" w:hAnsi="Arial"/>
                <w:sz w:val="16"/>
                <w:szCs w:val="16"/>
                <w:u w:val="single" w:color="auto"/>
                <w:color w:val="0000EE"/>
              </w:rPr>
            </w:pPr>
            <w:hyperlink r:id="rId141">
              <w:r>
                <w:rPr>
                  <w:rFonts w:ascii="Arial" w:cs="Arial" w:eastAsia="Arial" w:hAnsi="Arial"/>
                  <w:sz w:val="16"/>
                  <w:szCs w:val="16"/>
                  <w:u w:val="single" w:color="auto"/>
                  <w:color w:val="0000EE"/>
                </w:rPr>
                <w:t>Administrative Agent (incorporated by reference to Exhibit 10.1 to the Registrant’s Current Report on Form 8-K filed March 29, 2019)</w:t>
              </w:r>
            </w:hyperlink>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4"/>
          </w:tcPr>
          <w:p>
            <w:pPr>
              <w:ind w:left="4580"/>
              <w:spacing w:after="0"/>
              <w:rPr>
                <w:sz w:val="20"/>
                <w:szCs w:val="20"/>
                <w:color w:val="auto"/>
              </w:rPr>
            </w:pPr>
            <w:r>
              <w:rPr>
                <w:rFonts w:ascii="Arial" w:cs="Arial" w:eastAsia="Arial" w:hAnsi="Arial"/>
                <w:sz w:val="16"/>
                <w:szCs w:val="16"/>
                <w:color w:val="auto"/>
              </w:rPr>
              <w:t>100</w:t>
            </w:r>
          </w:p>
        </w:tc>
        <w:tc>
          <w:tcPr>
            <w:tcW w:w="4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8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41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620"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8" w:lineRule="exact"/>
        <w:rPr>
          <w:sz w:val="20"/>
          <w:szCs w:val="20"/>
          <w:color w:val="auto"/>
        </w:rPr>
      </w:pPr>
    </w:p>
    <w:p>
      <w:pPr>
        <w:ind w:left="920" w:right="180" w:hanging="840"/>
        <w:spacing w:after="0" w:line="241"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10.2</w:t>
      </w:r>
      <w:r>
        <w:rPr>
          <w:sz w:val="20"/>
          <w:szCs w:val="20"/>
          <w:color w:val="auto"/>
        </w:rPr>
        <w:tab/>
      </w:r>
      <w:hyperlink r:id="rId144">
        <w:r>
          <w:rPr>
            <w:rFonts w:ascii="Arial" w:cs="Arial" w:eastAsia="Arial" w:hAnsi="Arial"/>
            <w:sz w:val="16"/>
            <w:szCs w:val="16"/>
            <w:u w:val="single" w:color="auto"/>
            <w:color w:val="0000EE"/>
          </w:rPr>
          <w:t>Amendment No. 1 dated October 11, 2019, to the Second Amended and Restated Credit Agreement, dated as of March 29, 2019, among Allison</w:t>
        </w:r>
      </w:hyperlink>
      <w:r>
        <w:rPr>
          <w:rFonts w:ascii="Arial" w:cs="Arial" w:eastAsia="Arial" w:hAnsi="Arial"/>
          <w:sz w:val="16"/>
          <w:szCs w:val="16"/>
          <w:u w:val="single" w:color="auto"/>
          <w:color w:val="0000EE"/>
        </w:rPr>
        <w:t xml:space="preserve"> </w:t>
      </w:r>
      <w:hyperlink r:id="rId144">
        <w:r>
          <w:rPr>
            <w:rFonts w:ascii="Arial" w:cs="Arial" w:eastAsia="Arial" w:hAnsi="Arial"/>
            <w:sz w:val="16"/>
            <w:szCs w:val="16"/>
            <w:u w:val="single" w:color="auto"/>
            <w:color w:val="0000EE"/>
          </w:rPr>
          <w:t>Transmission Holdings, Inc., Allison Transmission, Inc., as Borrower, the several banks and other financial institutions or entities from time to time</w:t>
        </w:r>
      </w:hyperlink>
      <w:r>
        <w:rPr>
          <w:rFonts w:ascii="Arial" w:cs="Arial" w:eastAsia="Arial" w:hAnsi="Arial"/>
          <w:sz w:val="16"/>
          <w:szCs w:val="16"/>
          <w:u w:val="single" w:color="auto"/>
          <w:color w:val="0000EE"/>
        </w:rPr>
        <w:t xml:space="preserve"> </w:t>
      </w:r>
      <w:hyperlink r:id="rId144">
        <w:r>
          <w:rPr>
            <w:rFonts w:ascii="Arial" w:cs="Arial" w:eastAsia="Arial" w:hAnsi="Arial"/>
            <w:sz w:val="16"/>
            <w:szCs w:val="16"/>
            <w:u w:val="single" w:color="auto"/>
            <w:color w:val="0000EE"/>
          </w:rPr>
          <w:t>parties thereto as lenders, Citibank, N.A as Administrative Agent and as the 2019 refinancing term lender and the other agents and arrangers party</w:t>
        </w:r>
      </w:hyperlink>
      <w:r>
        <w:rPr>
          <w:rFonts w:ascii="Arial" w:cs="Arial" w:eastAsia="Arial" w:hAnsi="Arial"/>
          <w:sz w:val="16"/>
          <w:szCs w:val="16"/>
          <w:u w:val="single" w:color="auto"/>
          <w:color w:val="0000EE"/>
        </w:rPr>
        <w:t xml:space="preserve"> </w:t>
      </w:r>
      <w:hyperlink r:id="rId144">
        <w:r>
          <w:rPr>
            <w:rFonts w:ascii="Arial" w:cs="Arial" w:eastAsia="Arial" w:hAnsi="Arial"/>
            <w:sz w:val="16"/>
            <w:szCs w:val="16"/>
            <w:u w:val="single" w:color="auto"/>
            <w:color w:val="0000EE"/>
          </w:rPr>
          <w:t>thereto (incorporated by reference to Exhibit 10.1 to the Registrant’s Current Report on Form 8-K filed October 15, 2019)</w:t>
        </w:r>
      </w:hyperlink>
    </w:p>
    <w:p>
      <w:pPr>
        <w:spacing w:after="0" w:line="177" w:lineRule="exact"/>
        <w:rPr>
          <w:rFonts w:ascii="Arial" w:cs="Arial" w:eastAsia="Arial" w:hAnsi="Arial"/>
          <w:sz w:val="16"/>
          <w:szCs w:val="16"/>
          <w:u w:val="single" w:color="auto"/>
          <w:color w:val="0000EE"/>
        </w:rPr>
      </w:pPr>
    </w:p>
    <w:p>
      <w:pPr>
        <w:ind w:left="920" w:hanging="840"/>
        <w:spacing w:after="0" w:line="237"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10.3</w:t>
      </w:r>
      <w:r>
        <w:rPr>
          <w:sz w:val="20"/>
          <w:szCs w:val="20"/>
          <w:color w:val="auto"/>
        </w:rPr>
        <w:tab/>
      </w:r>
      <w:hyperlink r:id="rId145">
        <w:r>
          <w:rPr>
            <w:rFonts w:ascii="Arial" w:cs="Arial" w:eastAsia="Arial" w:hAnsi="Arial"/>
            <w:sz w:val="16"/>
            <w:szCs w:val="16"/>
            <w:u w:val="single" w:color="auto"/>
            <w:color w:val="0000EE"/>
          </w:rPr>
          <w:t>Amendment No. 2 dated as of November 19, 2020, by and among Allison Transmission Holdings, Inc., Allison Transmission, Inc., as Borrower, the</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several banks and other financial institutions party thereto, as 2020 Revolving Credit Lenders and Citibank, N.A., as Administrative Agent amending</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the Second Amended and Restated Credit Agreement, dated as of March 29, 2019, among Allison Transmission Holdings, Inc., Allison Transmission,</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Inc., the several banks and other financial institutions or entities from time to time parties thereto as lenders, Citibank, N.A., as Administrative Agent</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and Citicorp North America, Inc., as Collateral Agent (incorporated by reference to Exhibit 10.1 to the Registrant’s Current Report on Form 8-K filed</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November 19, 2020)</w:t>
        </w:r>
      </w:hyperlink>
    </w:p>
    <w:p>
      <w:pPr>
        <w:spacing w:after="0" w:line="72" w:lineRule="exact"/>
        <w:rPr>
          <w:rFonts w:ascii="Arial" w:cs="Arial" w:eastAsia="Arial" w:hAnsi="Arial"/>
          <w:sz w:val="16"/>
          <w:szCs w:val="16"/>
          <w:u w:val="single" w:color="auto"/>
          <w:color w:val="0000EE"/>
        </w:rPr>
      </w:pPr>
    </w:p>
    <w:p>
      <w:pPr>
        <w:ind w:left="920" w:right="200" w:hanging="840"/>
        <w:spacing w:after="0" w:line="247"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10.4</w:t>
      </w:r>
      <w:r>
        <w:rPr>
          <w:sz w:val="20"/>
          <w:szCs w:val="20"/>
          <w:color w:val="auto"/>
        </w:rPr>
        <w:tab/>
      </w:r>
      <w:hyperlink r:id="rId146">
        <w:r>
          <w:rPr>
            <w:rFonts w:ascii="Arial" w:cs="Arial" w:eastAsia="Arial" w:hAnsi="Arial"/>
            <w:sz w:val="16"/>
            <w:szCs w:val="16"/>
            <w:u w:val="single" w:color="auto"/>
            <w:color w:val="0000EE"/>
          </w:rPr>
          <w:t>Guarantee And Collateral Agreement made by Allison Transmission Holdings, Inc., Allison Transmission, Inc., as Borrower, and the Subsidiary</w:t>
        </w:r>
      </w:hyperlink>
      <w:r>
        <w:rPr>
          <w:rFonts w:ascii="Arial" w:cs="Arial" w:eastAsia="Arial" w:hAnsi="Arial"/>
          <w:sz w:val="16"/>
          <w:szCs w:val="16"/>
          <w:u w:val="single" w:color="auto"/>
          <w:color w:val="0000EE"/>
        </w:rPr>
        <w:t xml:space="preserve"> </w:t>
      </w:r>
      <w:hyperlink r:id="rId146">
        <w:r>
          <w:rPr>
            <w:rFonts w:ascii="Arial" w:cs="Arial" w:eastAsia="Arial" w:hAnsi="Arial"/>
            <w:sz w:val="16"/>
            <w:szCs w:val="16"/>
            <w:u w:val="single" w:color="auto"/>
            <w:color w:val="0000EE"/>
          </w:rPr>
          <w:t>Guarantors party thereto in favor of Citicorp North America, Inc., as Administrative Agent, dated as of August 7, 2007 (incorporated by reference to</w:t>
        </w:r>
      </w:hyperlink>
      <w:r>
        <w:rPr>
          <w:rFonts w:ascii="Arial" w:cs="Arial" w:eastAsia="Arial" w:hAnsi="Arial"/>
          <w:sz w:val="16"/>
          <w:szCs w:val="16"/>
          <w:u w:val="single" w:color="auto"/>
          <w:color w:val="0000EE"/>
        </w:rPr>
        <w:t xml:space="preserve"> </w:t>
      </w:r>
      <w:hyperlink r:id="rId146">
        <w:r>
          <w:rPr>
            <w:rFonts w:ascii="Arial" w:cs="Arial" w:eastAsia="Arial" w:hAnsi="Arial"/>
            <w:sz w:val="16"/>
            <w:szCs w:val="16"/>
            <w:u w:val="single" w:color="auto"/>
            <w:color w:val="0000EE"/>
          </w:rPr>
          <w:t>Exhibit 10.3 to the Registrant’s Registration Statement on Form S-1 filed March 18, 2011 (File No. 333-172932))</w:t>
        </w:r>
      </w:hyperlink>
    </w:p>
    <w:p>
      <w:pPr>
        <w:spacing w:after="0" w:line="66" w:lineRule="exact"/>
        <w:rPr>
          <w:rFonts w:ascii="Arial" w:cs="Arial" w:eastAsia="Arial" w:hAnsi="Arial"/>
          <w:sz w:val="16"/>
          <w:szCs w:val="16"/>
          <w:u w:val="single" w:color="auto"/>
          <w:color w:val="0000EE"/>
        </w:rPr>
      </w:pPr>
    </w:p>
    <w:p>
      <w:pPr>
        <w:ind w:left="920" w:right="80" w:hanging="840"/>
        <w:spacing w:after="0" w:line="247"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10.5</w:t>
      </w:r>
      <w:r>
        <w:rPr>
          <w:sz w:val="20"/>
          <w:szCs w:val="20"/>
          <w:color w:val="auto"/>
        </w:rPr>
        <w:tab/>
      </w:r>
      <w:hyperlink r:id="rId147">
        <w:r>
          <w:rPr>
            <w:rFonts w:ascii="Arial" w:cs="Arial" w:eastAsia="Arial" w:hAnsi="Arial"/>
            <w:sz w:val="16"/>
            <w:szCs w:val="16"/>
            <w:u w:val="single" w:color="auto"/>
            <w:color w:val="0000EE"/>
          </w:rPr>
          <w:t>Trademark Security Agreement made by Allison Transmission, Inc. in favor of Citicorp North America, Inc., as Administrative Agent, dated as of</w:t>
        </w:r>
      </w:hyperlink>
      <w:r>
        <w:rPr>
          <w:rFonts w:ascii="Arial" w:cs="Arial" w:eastAsia="Arial" w:hAnsi="Arial"/>
          <w:sz w:val="16"/>
          <w:szCs w:val="16"/>
          <w:u w:val="single" w:color="auto"/>
          <w:color w:val="0000EE"/>
        </w:rPr>
        <w:t xml:space="preserve"> </w:t>
      </w:r>
      <w:hyperlink r:id="rId147">
        <w:r>
          <w:rPr>
            <w:rFonts w:ascii="Arial" w:cs="Arial" w:eastAsia="Arial" w:hAnsi="Arial"/>
            <w:sz w:val="16"/>
            <w:szCs w:val="16"/>
            <w:u w:val="single" w:color="auto"/>
            <w:color w:val="0000EE"/>
          </w:rPr>
          <w:t>August 7, 2007 (incorporated by reference to Exhibit 10.4 to the Registrant’s Registration Statement on Form S-1 filed March 18, 2011 (File No. 333-</w:t>
        </w:r>
      </w:hyperlink>
      <w:hyperlink r:id="rId147">
        <w:r>
          <w:rPr>
            <w:rFonts w:ascii="Arial" w:cs="Arial" w:eastAsia="Arial" w:hAnsi="Arial"/>
            <w:sz w:val="16"/>
            <w:szCs w:val="16"/>
            <w:u w:val="single" w:color="auto"/>
            <w:color w:val="0000EE"/>
          </w:rPr>
          <w:t>172932))</w:t>
        </w:r>
      </w:hyperlink>
    </w:p>
    <w:p>
      <w:pPr>
        <w:spacing w:after="0" w:line="66" w:lineRule="exact"/>
        <w:rPr>
          <w:rFonts w:ascii="Arial" w:cs="Arial" w:eastAsia="Arial" w:hAnsi="Arial"/>
          <w:sz w:val="16"/>
          <w:szCs w:val="16"/>
          <w:u w:val="single" w:color="auto"/>
          <w:color w:val="0000EE"/>
        </w:rPr>
      </w:pPr>
    </w:p>
    <w:p>
      <w:pPr>
        <w:ind w:left="920" w:right="120" w:hanging="840"/>
        <w:spacing w:after="0" w:line="247"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10.6</w:t>
      </w:r>
      <w:r>
        <w:rPr>
          <w:sz w:val="20"/>
          <w:szCs w:val="20"/>
          <w:color w:val="auto"/>
        </w:rPr>
        <w:tab/>
      </w:r>
      <w:hyperlink r:id="rId148">
        <w:r>
          <w:rPr>
            <w:rFonts w:ascii="Arial" w:cs="Arial" w:eastAsia="Arial" w:hAnsi="Arial"/>
            <w:sz w:val="16"/>
            <w:szCs w:val="16"/>
            <w:u w:val="single" w:color="auto"/>
            <w:color w:val="0000EE"/>
          </w:rPr>
          <w:t>Copyright Security Agreement made by Allison Transmission, Inc. in favor of Citicorp North America, Inc., as Administrative Agent, dated as of</w:t>
        </w:r>
      </w:hyperlink>
      <w:r>
        <w:rPr>
          <w:rFonts w:ascii="Arial" w:cs="Arial" w:eastAsia="Arial" w:hAnsi="Arial"/>
          <w:sz w:val="16"/>
          <w:szCs w:val="16"/>
          <w:u w:val="single" w:color="auto"/>
          <w:color w:val="0000EE"/>
        </w:rPr>
        <w:t xml:space="preserve"> </w:t>
      </w:r>
      <w:hyperlink r:id="rId148">
        <w:r>
          <w:rPr>
            <w:rFonts w:ascii="Arial" w:cs="Arial" w:eastAsia="Arial" w:hAnsi="Arial"/>
            <w:sz w:val="16"/>
            <w:szCs w:val="16"/>
            <w:u w:val="single" w:color="auto"/>
            <w:color w:val="0000EE"/>
          </w:rPr>
          <w:t>August 7, 2007 (incorporated by reference to Exhibit 10.5 to Amendment No. 2 to the Registrant’s Registration Statement on Form S-1 filed May 16,</w:t>
        </w:r>
      </w:hyperlink>
      <w:r>
        <w:rPr>
          <w:rFonts w:ascii="Arial" w:cs="Arial" w:eastAsia="Arial" w:hAnsi="Arial"/>
          <w:sz w:val="16"/>
          <w:szCs w:val="16"/>
          <w:u w:val="single" w:color="auto"/>
          <w:color w:val="0000EE"/>
        </w:rPr>
        <w:t xml:space="preserve"> </w:t>
      </w:r>
      <w:hyperlink r:id="rId148">
        <w:r>
          <w:rPr>
            <w:rFonts w:ascii="Arial" w:cs="Arial" w:eastAsia="Arial" w:hAnsi="Arial"/>
            <w:sz w:val="16"/>
            <w:szCs w:val="16"/>
            <w:u w:val="single" w:color="auto"/>
            <w:color w:val="0000EE"/>
          </w:rPr>
          <w:t>2011 (File No. 333-172932))</w:t>
        </w:r>
      </w:hyperlink>
    </w:p>
    <w:p>
      <w:pPr>
        <w:spacing w:after="0" w:line="66" w:lineRule="exact"/>
        <w:rPr>
          <w:rFonts w:ascii="Arial" w:cs="Arial" w:eastAsia="Arial" w:hAnsi="Arial"/>
          <w:sz w:val="16"/>
          <w:szCs w:val="16"/>
          <w:u w:val="single" w:color="auto"/>
          <w:color w:val="0000EE"/>
        </w:rPr>
      </w:pPr>
    </w:p>
    <w:p>
      <w:pPr>
        <w:ind w:left="920" w:right="200" w:hanging="840"/>
        <w:spacing w:after="0" w:line="265"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10.7*</w:t>
      </w:r>
      <w:r>
        <w:rPr>
          <w:sz w:val="20"/>
          <w:szCs w:val="20"/>
          <w:color w:val="auto"/>
        </w:rPr>
        <w:tab/>
      </w:r>
      <w:hyperlink r:id="rId149">
        <w:r>
          <w:rPr>
            <w:rFonts w:ascii="Arial" w:cs="Arial" w:eastAsia="Arial" w:hAnsi="Arial"/>
            <w:sz w:val="16"/>
            <w:szCs w:val="16"/>
            <w:u w:val="single" w:color="auto"/>
            <w:color w:val="0000EE"/>
          </w:rPr>
          <w:t>Allison Transmission Holdings, Inc. 2015 Equity Incentive Award Plan (incorporated by reference to Appendix A to the Registrant’s Definitive Proxy</w:t>
        </w:r>
      </w:hyperlink>
      <w:r>
        <w:rPr>
          <w:rFonts w:ascii="Arial" w:cs="Arial" w:eastAsia="Arial" w:hAnsi="Arial"/>
          <w:sz w:val="16"/>
          <w:szCs w:val="16"/>
          <w:u w:val="single" w:color="auto"/>
          <w:color w:val="0000EE"/>
        </w:rPr>
        <w:t xml:space="preserve"> </w:t>
      </w:r>
      <w:hyperlink r:id="rId149">
        <w:r>
          <w:rPr>
            <w:rFonts w:ascii="Arial" w:cs="Arial" w:eastAsia="Arial" w:hAnsi="Arial"/>
            <w:sz w:val="16"/>
            <w:szCs w:val="16"/>
            <w:u w:val="single" w:color="auto"/>
            <w:color w:val="0000EE"/>
          </w:rPr>
          <w:t>Statement on Schedule 14A filed April 2, 2015)</w:t>
        </w:r>
      </w:hyperlink>
    </w:p>
    <w:p>
      <w:pPr>
        <w:spacing w:after="0" w:line="52" w:lineRule="exact"/>
        <w:rPr>
          <w:sz w:val="20"/>
          <w:szCs w:val="20"/>
          <w:color w:val="auto"/>
        </w:rPr>
      </w:pPr>
    </w:p>
    <w:p>
      <w:pPr>
        <w:ind w:left="920" w:right="200" w:hanging="840"/>
        <w:spacing w:after="0" w:line="265"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10.8*</w:t>
      </w:r>
      <w:r>
        <w:rPr>
          <w:sz w:val="20"/>
          <w:szCs w:val="20"/>
          <w:color w:val="auto"/>
        </w:rPr>
        <w:tab/>
      </w:r>
      <w:hyperlink r:id="rId149">
        <w:r>
          <w:rPr>
            <w:rFonts w:ascii="Arial" w:cs="Arial" w:eastAsia="Arial" w:hAnsi="Arial"/>
            <w:sz w:val="16"/>
            <w:szCs w:val="16"/>
            <w:u w:val="single" w:color="auto"/>
            <w:color w:val="0000EE"/>
          </w:rPr>
          <w:t>Allison Transmission Holdings, Inc. 2016 Incentive Plan (incorporated by reference to Appendix B to the Registrant’s Definitive Proxy Statement on</w:t>
        </w:r>
      </w:hyperlink>
      <w:r>
        <w:rPr>
          <w:rFonts w:ascii="Arial" w:cs="Arial" w:eastAsia="Arial" w:hAnsi="Arial"/>
          <w:sz w:val="16"/>
          <w:szCs w:val="16"/>
          <w:u w:val="single" w:color="auto"/>
          <w:color w:val="0000EE"/>
        </w:rPr>
        <w:t xml:space="preserve"> </w:t>
      </w:r>
      <w:hyperlink r:id="rId149">
        <w:r>
          <w:rPr>
            <w:rFonts w:ascii="Arial" w:cs="Arial" w:eastAsia="Arial" w:hAnsi="Arial"/>
            <w:sz w:val="16"/>
            <w:szCs w:val="16"/>
            <w:u w:val="single" w:color="auto"/>
            <w:color w:val="0000EE"/>
          </w:rPr>
          <w:t>Schedule 14A filed April 2, 2015)</w:t>
        </w:r>
      </w:hyperlink>
    </w:p>
    <w:p>
      <w:pPr>
        <w:spacing w:after="0" w:line="52" w:lineRule="exact"/>
        <w:rPr>
          <w:sz w:val="20"/>
          <w:szCs w:val="20"/>
          <w:color w:val="auto"/>
        </w:rPr>
      </w:pPr>
    </w:p>
    <w:p>
      <w:pPr>
        <w:ind w:left="920" w:right="80" w:hanging="840"/>
        <w:spacing w:after="0" w:line="265"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10.9*</w:t>
      </w:r>
      <w:r>
        <w:rPr>
          <w:sz w:val="20"/>
          <w:szCs w:val="20"/>
          <w:color w:val="auto"/>
        </w:rPr>
        <w:tab/>
      </w:r>
      <w:hyperlink r:id="rId150">
        <w:r>
          <w:rPr>
            <w:rFonts w:ascii="Arial" w:cs="Arial" w:eastAsia="Arial" w:hAnsi="Arial"/>
            <w:sz w:val="16"/>
            <w:szCs w:val="16"/>
            <w:u w:val="single" w:color="auto"/>
            <w:color w:val="0000EE"/>
          </w:rPr>
          <w:t>Form of 2015 Equity Incentive Award Plan Restricted Stock Agreement (incorporated by reference to Exhibit 10.41 to the Registrant’s Annual Report</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on Form 10-K for the year ended December 31, 2015 filed February 19, 2016)</w:t>
        </w:r>
      </w:hyperlink>
    </w:p>
    <w:p>
      <w:pPr>
        <w:spacing w:after="0" w:line="52" w:lineRule="exact"/>
        <w:rPr>
          <w:sz w:val="20"/>
          <w:szCs w:val="20"/>
          <w:color w:val="auto"/>
        </w:rPr>
      </w:pPr>
    </w:p>
    <w:p>
      <w:pPr>
        <w:ind w:left="920" w:right="280" w:hanging="840"/>
        <w:spacing w:after="0" w:line="265"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10.10*</w:t>
      </w:r>
      <w:r>
        <w:rPr>
          <w:sz w:val="20"/>
          <w:szCs w:val="20"/>
          <w:color w:val="auto"/>
        </w:rPr>
        <w:tab/>
      </w:r>
      <w:hyperlink r:id="rId151">
        <w:r>
          <w:rPr>
            <w:rFonts w:ascii="Arial" w:cs="Arial" w:eastAsia="Arial" w:hAnsi="Arial"/>
            <w:sz w:val="16"/>
            <w:szCs w:val="16"/>
            <w:u w:val="single" w:color="auto"/>
            <w:color w:val="0000EE"/>
          </w:rPr>
          <w:t>Form of 2015 Equity Incentive Award Plan Restricted Stock Unit Agreement (incorporated by reference to Exhibit 10.42 to the Registrant’s Annual</w:t>
        </w:r>
      </w:hyperlink>
      <w:r>
        <w:rPr>
          <w:rFonts w:ascii="Arial" w:cs="Arial" w:eastAsia="Arial" w:hAnsi="Arial"/>
          <w:sz w:val="16"/>
          <w:szCs w:val="16"/>
          <w:u w:val="single" w:color="auto"/>
          <w:color w:val="0000EE"/>
        </w:rPr>
        <w:t xml:space="preserve"> </w:t>
      </w:r>
      <w:hyperlink r:id="rId151">
        <w:r>
          <w:rPr>
            <w:rFonts w:ascii="Arial" w:cs="Arial" w:eastAsia="Arial" w:hAnsi="Arial"/>
            <w:sz w:val="16"/>
            <w:szCs w:val="16"/>
            <w:u w:val="single" w:color="auto"/>
            <w:color w:val="0000EE"/>
          </w:rPr>
          <w:t>Report on Form 10-K for the year ended December 31, 2015 filed February 19, 2016)</w:t>
        </w:r>
      </w:hyperlink>
    </w:p>
    <w:p>
      <w:pPr>
        <w:spacing w:after="0" w:line="52" w:lineRule="exact"/>
        <w:rPr>
          <w:sz w:val="20"/>
          <w:szCs w:val="20"/>
          <w:color w:val="auto"/>
        </w:rPr>
      </w:pPr>
    </w:p>
    <w:p>
      <w:pPr>
        <w:ind w:left="920" w:right="100" w:hanging="840"/>
        <w:spacing w:after="0" w:line="265"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10.11*</w:t>
      </w:r>
      <w:r>
        <w:rPr>
          <w:sz w:val="20"/>
          <w:szCs w:val="20"/>
          <w:color w:val="auto"/>
        </w:rPr>
        <w:tab/>
      </w:r>
      <w:hyperlink r:id="rId152">
        <w:r>
          <w:rPr>
            <w:rFonts w:ascii="Arial" w:cs="Arial" w:eastAsia="Arial" w:hAnsi="Arial"/>
            <w:sz w:val="16"/>
            <w:szCs w:val="16"/>
            <w:u w:val="single" w:color="auto"/>
            <w:color w:val="0000EE"/>
          </w:rPr>
          <w:t>Form of 2015 Equity Incentive Award Plan Stock Option Agreement (incorporated by reference to Exhibit 10.43 to the Registrant’s Annual Report on</w:t>
        </w:r>
      </w:hyperlink>
      <w:r>
        <w:rPr>
          <w:rFonts w:ascii="Arial" w:cs="Arial" w:eastAsia="Arial" w:hAnsi="Arial"/>
          <w:sz w:val="16"/>
          <w:szCs w:val="16"/>
          <w:u w:val="single" w:color="auto"/>
          <w:color w:val="0000EE"/>
        </w:rPr>
        <w:t xml:space="preserve"> </w:t>
      </w:r>
      <w:hyperlink r:id="rId152">
        <w:r>
          <w:rPr>
            <w:rFonts w:ascii="Arial" w:cs="Arial" w:eastAsia="Arial" w:hAnsi="Arial"/>
            <w:sz w:val="16"/>
            <w:szCs w:val="16"/>
            <w:u w:val="single" w:color="auto"/>
            <w:color w:val="0000EE"/>
          </w:rPr>
          <w:t>Form 10-K for the year ended December 31, 2015 filed February 19, 2016)</w:t>
        </w:r>
      </w:hyperlink>
    </w:p>
    <w:p>
      <w:pPr>
        <w:spacing w:after="0" w:line="52" w:lineRule="exact"/>
        <w:rPr>
          <w:sz w:val="20"/>
          <w:szCs w:val="20"/>
          <w:color w:val="auto"/>
        </w:rPr>
      </w:pPr>
    </w:p>
    <w:p>
      <w:pPr>
        <w:ind w:left="920" w:right="80" w:hanging="840"/>
        <w:spacing w:after="0" w:line="265"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10.12*</w:t>
      </w:r>
      <w:r>
        <w:rPr>
          <w:sz w:val="20"/>
          <w:szCs w:val="20"/>
          <w:color w:val="auto"/>
        </w:rPr>
        <w:tab/>
      </w:r>
      <w:hyperlink r:id="rId153">
        <w:r>
          <w:rPr>
            <w:rFonts w:ascii="Arial" w:cs="Arial" w:eastAsia="Arial" w:hAnsi="Arial"/>
            <w:sz w:val="16"/>
            <w:szCs w:val="16"/>
            <w:u w:val="single" w:color="auto"/>
            <w:color w:val="0000EE"/>
          </w:rPr>
          <w:t>Form of 2015 Equity Incentive Award Plan Performance Stock Unit Agreement (incorporated by reference to Exhibit 10.25 to the Registrant’s Annual</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Report on Form 10-K for the year ended December 31, 2016 filed February 24, 2017)</w:t>
        </w:r>
      </w:hyperlink>
    </w:p>
    <w:p>
      <w:pPr>
        <w:spacing w:after="0" w:line="52" w:lineRule="exact"/>
        <w:rPr>
          <w:sz w:val="20"/>
          <w:szCs w:val="20"/>
          <w:color w:val="auto"/>
        </w:rPr>
      </w:pPr>
    </w:p>
    <w:p>
      <w:pPr>
        <w:ind w:left="920" w:right="640" w:hanging="840"/>
        <w:spacing w:after="0" w:line="265"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10.13*</w:t>
      </w:r>
      <w:r>
        <w:rPr>
          <w:sz w:val="20"/>
          <w:szCs w:val="20"/>
          <w:color w:val="auto"/>
        </w:rPr>
        <w:tab/>
      </w:r>
      <w:hyperlink r:id="rId154">
        <w:r>
          <w:rPr>
            <w:rFonts w:ascii="Arial" w:cs="Arial" w:eastAsia="Arial" w:hAnsi="Arial"/>
            <w:sz w:val="16"/>
            <w:szCs w:val="16"/>
            <w:u w:val="single" w:color="auto"/>
            <w:color w:val="0000EE"/>
          </w:rPr>
          <w:t>Allison Transmission Holdings, Inc. 2011 Equity Incentive Award Plan (incorporated by reference to Exhibit 10.10 to Amendment No. 3 to the</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Registrant’s Registration Statement on Form S-1 filed June 17, 2011 (File No. 333-172932))</w:t>
        </w:r>
      </w:hyperlink>
    </w:p>
    <w:p>
      <w:pPr>
        <w:spacing w:after="0" w:line="52" w:lineRule="exact"/>
        <w:rPr>
          <w:sz w:val="20"/>
          <w:szCs w:val="20"/>
          <w:color w:val="auto"/>
        </w:rPr>
      </w:pPr>
    </w:p>
    <w:p>
      <w:pPr>
        <w:ind w:left="920" w:right="200" w:hanging="840"/>
        <w:spacing w:after="0" w:line="265"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10.14*</w:t>
      </w:r>
      <w:r>
        <w:rPr>
          <w:sz w:val="20"/>
          <w:szCs w:val="20"/>
          <w:color w:val="auto"/>
        </w:rPr>
        <w:tab/>
      </w:r>
      <w:hyperlink r:id="rId155">
        <w:r>
          <w:rPr>
            <w:rFonts w:ascii="Arial" w:cs="Arial" w:eastAsia="Arial" w:hAnsi="Arial"/>
            <w:sz w:val="16"/>
            <w:szCs w:val="16"/>
            <w:u w:val="single" w:color="auto"/>
            <w:color w:val="0000EE"/>
          </w:rPr>
          <w:t>Form of 2011 Equity Incentive Award Plan Restricted Stock Unit Agreement (incorporated by reference to Exhibit 10.12 to Amendment No. 3 to the</w:t>
        </w:r>
      </w:hyperlink>
      <w:r>
        <w:rPr>
          <w:rFonts w:ascii="Arial" w:cs="Arial" w:eastAsia="Arial" w:hAnsi="Arial"/>
          <w:sz w:val="16"/>
          <w:szCs w:val="16"/>
          <w:u w:val="single" w:color="auto"/>
          <w:color w:val="0000EE"/>
        </w:rPr>
        <w:t xml:space="preserve"> </w:t>
      </w:r>
      <w:hyperlink r:id="rId155">
        <w:r>
          <w:rPr>
            <w:rFonts w:ascii="Arial" w:cs="Arial" w:eastAsia="Arial" w:hAnsi="Arial"/>
            <w:sz w:val="16"/>
            <w:szCs w:val="16"/>
            <w:u w:val="single" w:color="auto"/>
            <w:color w:val="0000EE"/>
          </w:rPr>
          <w:t>Registrant’s Registration Statement on Form S-1 filed June 17, 2011 (File No. 333-172932))</w:t>
        </w:r>
      </w:hyperlink>
    </w:p>
    <w:p>
      <w:pPr>
        <w:spacing w:after="0" w:line="52" w:lineRule="exact"/>
        <w:rPr>
          <w:sz w:val="20"/>
          <w:szCs w:val="20"/>
          <w:color w:val="auto"/>
        </w:rPr>
      </w:pPr>
    </w:p>
    <w:p>
      <w:pPr>
        <w:ind w:left="920" w:right="760" w:hanging="840"/>
        <w:spacing w:after="0" w:line="265"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10.15*</w:t>
      </w:r>
      <w:r>
        <w:rPr>
          <w:sz w:val="20"/>
          <w:szCs w:val="20"/>
          <w:color w:val="auto"/>
        </w:rPr>
        <w:tab/>
      </w:r>
      <w:hyperlink r:id="rId156">
        <w:r>
          <w:rPr>
            <w:rFonts w:ascii="Arial" w:cs="Arial" w:eastAsia="Arial" w:hAnsi="Arial"/>
            <w:sz w:val="16"/>
            <w:szCs w:val="16"/>
            <w:u w:val="single" w:color="auto"/>
            <w:color w:val="0000EE"/>
          </w:rPr>
          <w:t>Form of 2011 Equity Incentive Award Plan Stock Option Agreement (incorporated by reference to Exhibit 10.13 to Amendment No. 3 to the</w:t>
        </w:r>
      </w:hyperlink>
      <w:r>
        <w:rPr>
          <w:rFonts w:ascii="Arial" w:cs="Arial" w:eastAsia="Arial" w:hAnsi="Arial"/>
          <w:sz w:val="16"/>
          <w:szCs w:val="16"/>
          <w:u w:val="single" w:color="auto"/>
          <w:color w:val="0000EE"/>
        </w:rPr>
        <w:t xml:space="preserve"> </w:t>
      </w:r>
      <w:hyperlink r:id="rId156">
        <w:r>
          <w:rPr>
            <w:rFonts w:ascii="Arial" w:cs="Arial" w:eastAsia="Arial" w:hAnsi="Arial"/>
            <w:sz w:val="16"/>
            <w:szCs w:val="16"/>
            <w:u w:val="single" w:color="auto"/>
            <w:color w:val="0000EE"/>
          </w:rPr>
          <w:t>Registrant’s Registration Statement on Form S-1 filed June 17, 2011 (File No. 333-172932))</w:t>
        </w:r>
      </w:hyperlink>
    </w:p>
    <w:p>
      <w:pPr>
        <w:spacing w:after="0" w:line="52" w:lineRule="exact"/>
        <w:rPr>
          <w:sz w:val="20"/>
          <w:szCs w:val="20"/>
          <w:color w:val="auto"/>
        </w:rPr>
      </w:pPr>
    </w:p>
    <w:p>
      <w:pPr>
        <w:ind w:left="920" w:right="180" w:hanging="840"/>
        <w:spacing w:after="0" w:line="247"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10.16*</w:t>
      </w:r>
      <w:r>
        <w:rPr>
          <w:sz w:val="20"/>
          <w:szCs w:val="20"/>
          <w:color w:val="auto"/>
        </w:rPr>
        <w:tab/>
      </w:r>
      <w:hyperlink r:id="rId157">
        <w:r>
          <w:rPr>
            <w:rFonts w:ascii="Arial" w:cs="Arial" w:eastAsia="Arial" w:hAnsi="Arial"/>
            <w:sz w:val="16"/>
            <w:szCs w:val="16"/>
            <w:u w:val="single" w:color="auto"/>
            <w:color w:val="0000EE"/>
          </w:rPr>
          <w:t>Form Amendment to Stock Option Agreement under the Allison Transmission Holdings, Inc. 2011 Equity Incentive Award Plan and Equity Incentive</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Plan of Allison Transmission Holdings, Inc. (incorporated by reference to Exhibit 10.27 to the Registrant’s Quarterly Report on Form 10-Q for the</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quarter ended June 30, 2013 filed July 30, 2013 (File No. 001-35456))</w:t>
        </w:r>
      </w:hyperlink>
    </w:p>
    <w:p>
      <w:pPr>
        <w:spacing w:after="0" w:line="254" w:lineRule="exact"/>
        <w:rPr>
          <w:rFonts w:ascii="Arial" w:cs="Arial" w:eastAsia="Arial" w:hAnsi="Arial"/>
          <w:sz w:val="16"/>
          <w:szCs w:val="16"/>
          <w:u w:val="single" w:color="auto"/>
          <w:color w:val="0000EE"/>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02" w:name="page103"/>
    <w:bookmarkEnd w:id="102"/>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3" w:lineRule="exact"/>
        <w:rPr>
          <w:sz w:val="20"/>
          <w:szCs w:val="20"/>
          <w:color w:val="auto"/>
        </w:rPr>
      </w:pPr>
    </w:p>
    <w:p>
      <w:pPr>
        <w:ind w:left="926" w:right="120" w:hanging="840"/>
        <w:spacing w:after="0" w:line="265" w:lineRule="auto"/>
        <w:tabs>
          <w:tab w:leader="none" w:pos="906" w:val="left"/>
        </w:tabs>
        <w:rPr>
          <w:rFonts w:ascii="Arial" w:cs="Arial" w:eastAsia="Arial" w:hAnsi="Arial"/>
          <w:sz w:val="16"/>
          <w:szCs w:val="16"/>
          <w:u w:val="single" w:color="auto"/>
          <w:color w:val="0000EE"/>
        </w:rPr>
      </w:pPr>
      <w:r>
        <w:rPr>
          <w:rFonts w:ascii="Arial" w:cs="Arial" w:eastAsia="Arial" w:hAnsi="Arial"/>
          <w:sz w:val="16"/>
          <w:szCs w:val="16"/>
          <w:color w:val="auto"/>
        </w:rPr>
        <w:t>10.17*</w:t>
      </w:r>
      <w:r>
        <w:rPr>
          <w:sz w:val="20"/>
          <w:szCs w:val="20"/>
          <w:color w:val="auto"/>
        </w:rPr>
        <w:tab/>
      </w:r>
      <w:hyperlink r:id="rId159">
        <w:r>
          <w:rPr>
            <w:rFonts w:ascii="Arial" w:cs="Arial" w:eastAsia="Arial" w:hAnsi="Arial"/>
            <w:sz w:val="16"/>
            <w:szCs w:val="16"/>
            <w:u w:val="single" w:color="auto"/>
            <w:color w:val="0000EE"/>
          </w:rPr>
          <w:t>Form of 2011 Equity Incentive Award Plan Stock Option Agreement (incorporated by reference to Exhibit 10.29 to the Registrant’s Quarterly Report</w:t>
        </w:r>
      </w:hyperlink>
      <w:r>
        <w:rPr>
          <w:rFonts w:ascii="Arial" w:cs="Arial" w:eastAsia="Arial" w:hAnsi="Arial"/>
          <w:sz w:val="16"/>
          <w:szCs w:val="16"/>
          <w:u w:val="single" w:color="auto"/>
          <w:color w:val="0000EE"/>
        </w:rPr>
        <w:t xml:space="preserve"> </w:t>
      </w:r>
      <w:hyperlink r:id="rId159">
        <w:r>
          <w:rPr>
            <w:rFonts w:ascii="Arial" w:cs="Arial" w:eastAsia="Arial" w:hAnsi="Arial"/>
            <w:sz w:val="16"/>
            <w:szCs w:val="16"/>
            <w:u w:val="single" w:color="auto"/>
            <w:color w:val="0000EE"/>
          </w:rPr>
          <w:t>on Form 10-Q for the quarter ended September 30, 2013 filed October 29, 2013 (File No. 001-35456))</w:t>
        </w:r>
      </w:hyperlink>
    </w:p>
    <w:p>
      <w:pPr>
        <w:spacing w:after="0" w:line="52" w:lineRule="exact"/>
        <w:rPr>
          <w:sz w:val="20"/>
          <w:szCs w:val="20"/>
          <w:color w:val="auto"/>
        </w:rPr>
      </w:pPr>
    </w:p>
    <w:p>
      <w:pPr>
        <w:ind w:left="86"/>
        <w:spacing w:after="0"/>
        <w:tabs>
          <w:tab w:leader="none" w:pos="906" w:val="left"/>
        </w:tabs>
        <w:rPr>
          <w:rFonts w:ascii="Arial" w:cs="Arial" w:eastAsia="Arial" w:hAnsi="Arial"/>
          <w:sz w:val="15"/>
          <w:szCs w:val="15"/>
          <w:u w:val="single" w:color="auto"/>
          <w:color w:val="0000EE"/>
        </w:rPr>
      </w:pPr>
      <w:r>
        <w:rPr>
          <w:rFonts w:ascii="Arial" w:cs="Arial" w:eastAsia="Arial" w:hAnsi="Arial"/>
          <w:sz w:val="16"/>
          <w:szCs w:val="16"/>
          <w:color w:val="auto"/>
        </w:rPr>
        <w:t>10.18*</w:t>
      </w:r>
      <w:r>
        <w:rPr>
          <w:sz w:val="20"/>
          <w:szCs w:val="20"/>
          <w:color w:val="auto"/>
        </w:rPr>
        <w:tab/>
      </w:r>
      <w:hyperlink r:id="rId160">
        <w:r>
          <w:rPr>
            <w:rFonts w:ascii="Arial" w:cs="Arial" w:eastAsia="Arial" w:hAnsi="Arial"/>
            <w:sz w:val="15"/>
            <w:szCs w:val="15"/>
            <w:u w:val="single" w:color="auto"/>
            <w:color w:val="0000EE"/>
          </w:rPr>
          <w:t>Deferred Compensation Plan of Allison Transmission Inc. (incorporated by reference to Exhibit 10.21 to the Registrant’s Quarterly Report on Form</w:t>
        </w:r>
      </w:hyperlink>
    </w:p>
    <w:p>
      <w:pPr>
        <w:spacing w:after="0" w:line="12" w:lineRule="exact"/>
        <w:rPr>
          <w:sz w:val="20"/>
          <w:szCs w:val="20"/>
          <w:color w:val="auto"/>
        </w:rPr>
      </w:pPr>
    </w:p>
    <w:p>
      <w:pPr>
        <w:ind w:left="926"/>
        <w:spacing w:after="0"/>
        <w:rPr>
          <w:rFonts w:ascii="Arial" w:cs="Arial" w:eastAsia="Arial" w:hAnsi="Arial"/>
          <w:sz w:val="16"/>
          <w:szCs w:val="16"/>
          <w:u w:val="single" w:color="auto"/>
          <w:color w:val="0000EE"/>
        </w:rPr>
      </w:pPr>
      <w:hyperlink r:id="rId160">
        <w:r>
          <w:rPr>
            <w:rFonts w:ascii="Arial" w:cs="Arial" w:eastAsia="Arial" w:hAnsi="Arial"/>
            <w:sz w:val="16"/>
            <w:szCs w:val="16"/>
            <w:u w:val="single" w:color="auto"/>
            <w:color w:val="0000EE"/>
          </w:rPr>
          <w:t>10-Q for the quarter ended June 30, 2012 filed July 31, 2012)</w:t>
        </w:r>
      </w:hyperlink>
    </w:p>
    <w:p>
      <w:pPr>
        <w:spacing w:after="0" w:line="78" w:lineRule="exact"/>
        <w:rPr>
          <w:sz w:val="20"/>
          <w:szCs w:val="20"/>
          <w:color w:val="auto"/>
        </w:rPr>
      </w:pPr>
    </w:p>
    <w:p>
      <w:pPr>
        <w:ind w:left="926" w:right="260" w:hanging="840"/>
        <w:spacing w:after="0" w:line="265" w:lineRule="auto"/>
        <w:tabs>
          <w:tab w:leader="none" w:pos="906" w:val="left"/>
        </w:tabs>
        <w:rPr>
          <w:rFonts w:ascii="Arial" w:cs="Arial" w:eastAsia="Arial" w:hAnsi="Arial"/>
          <w:sz w:val="16"/>
          <w:szCs w:val="16"/>
          <w:u w:val="single" w:color="auto"/>
          <w:color w:val="0000EE"/>
        </w:rPr>
      </w:pPr>
      <w:r>
        <w:rPr>
          <w:rFonts w:ascii="Arial" w:cs="Arial" w:eastAsia="Arial" w:hAnsi="Arial"/>
          <w:sz w:val="16"/>
          <w:szCs w:val="16"/>
          <w:color w:val="auto"/>
        </w:rPr>
        <w:t>10.19*</w:t>
      </w:r>
      <w:r>
        <w:rPr>
          <w:sz w:val="20"/>
          <w:szCs w:val="20"/>
          <w:color w:val="auto"/>
        </w:rPr>
        <w:tab/>
      </w:r>
      <w:hyperlink r:id="rId161">
        <w:r>
          <w:rPr>
            <w:rFonts w:ascii="Arial" w:cs="Arial" w:eastAsia="Arial" w:hAnsi="Arial"/>
            <w:sz w:val="16"/>
            <w:szCs w:val="16"/>
            <w:u w:val="single" w:color="auto"/>
            <w:color w:val="0000EE"/>
          </w:rPr>
          <w:t>Fifth Amended and Restated Non-Employee Director Compensation Policy (incorporated by reference to Exhibit 10.21 to the Registrant’s Annual</w:t>
        </w:r>
      </w:hyperlink>
      <w:r>
        <w:rPr>
          <w:rFonts w:ascii="Arial" w:cs="Arial" w:eastAsia="Arial" w:hAnsi="Arial"/>
          <w:sz w:val="16"/>
          <w:szCs w:val="16"/>
          <w:u w:val="single" w:color="auto"/>
          <w:color w:val="0000EE"/>
        </w:rPr>
        <w:t xml:space="preserve"> </w:t>
      </w:r>
      <w:hyperlink r:id="rId161">
        <w:r>
          <w:rPr>
            <w:rFonts w:ascii="Arial" w:cs="Arial" w:eastAsia="Arial" w:hAnsi="Arial"/>
            <w:sz w:val="16"/>
            <w:szCs w:val="16"/>
            <w:u w:val="single" w:color="auto"/>
            <w:color w:val="0000EE"/>
          </w:rPr>
          <w:t>Report on Form 10-K for the fiscal year ended December 31, 2019 filed February 27, 2020)</w:t>
        </w:r>
      </w:hyperlink>
    </w:p>
    <w:p>
      <w:pPr>
        <w:spacing w:after="0" w:line="52" w:lineRule="exact"/>
        <w:rPr>
          <w:sz w:val="20"/>
          <w:szCs w:val="20"/>
          <w:color w:val="auto"/>
        </w:rPr>
      </w:pPr>
    </w:p>
    <w:p>
      <w:pPr>
        <w:ind w:left="926" w:right="220" w:hanging="840"/>
        <w:spacing w:after="0" w:line="265" w:lineRule="auto"/>
        <w:tabs>
          <w:tab w:leader="none" w:pos="906" w:val="left"/>
        </w:tabs>
        <w:rPr>
          <w:rFonts w:ascii="Arial" w:cs="Arial" w:eastAsia="Arial" w:hAnsi="Arial"/>
          <w:sz w:val="16"/>
          <w:szCs w:val="16"/>
          <w:u w:val="single" w:color="auto"/>
          <w:color w:val="0000EE"/>
        </w:rPr>
      </w:pPr>
      <w:r>
        <w:rPr>
          <w:rFonts w:ascii="Arial" w:cs="Arial" w:eastAsia="Arial" w:hAnsi="Arial"/>
          <w:sz w:val="16"/>
          <w:szCs w:val="16"/>
          <w:color w:val="auto"/>
        </w:rPr>
        <w:t>10.20*</w:t>
      </w:r>
      <w:r>
        <w:rPr>
          <w:sz w:val="20"/>
          <w:szCs w:val="20"/>
          <w:color w:val="auto"/>
        </w:rPr>
        <w:tab/>
      </w:r>
      <w:hyperlink r:id="rId162">
        <w:r>
          <w:rPr>
            <w:rFonts w:ascii="Arial" w:cs="Arial" w:eastAsia="Arial" w:hAnsi="Arial"/>
            <w:sz w:val="16"/>
            <w:szCs w:val="16"/>
            <w:u w:val="single" w:color="auto"/>
            <w:color w:val="0000EE"/>
          </w:rPr>
          <w:t>Amended and Restated Non-Employee Director Deferred Compensation Plan of Allison Transmission Holdings, Inc. (incorporated by reference to</w:t>
        </w:r>
      </w:hyperlink>
      <w:r>
        <w:rPr>
          <w:rFonts w:ascii="Arial" w:cs="Arial" w:eastAsia="Arial" w:hAnsi="Arial"/>
          <w:sz w:val="16"/>
          <w:szCs w:val="16"/>
          <w:u w:val="single" w:color="auto"/>
          <w:color w:val="0000EE"/>
        </w:rPr>
        <w:t xml:space="preserve"> </w:t>
      </w:r>
      <w:hyperlink r:id="rId162">
        <w:r>
          <w:rPr>
            <w:rFonts w:ascii="Arial" w:cs="Arial" w:eastAsia="Arial" w:hAnsi="Arial"/>
            <w:sz w:val="16"/>
            <w:szCs w:val="16"/>
            <w:u w:val="single" w:color="auto"/>
            <w:color w:val="0000EE"/>
          </w:rPr>
          <w:t>Exhibit 10.38 to the Registrant’s Quarterly Report on Form 10-Q for the quarter ended March 31, 2015 filed April 28, 2015)</w:t>
        </w:r>
      </w:hyperlink>
    </w:p>
    <w:p>
      <w:pPr>
        <w:spacing w:after="0" w:line="52" w:lineRule="exact"/>
        <w:rPr>
          <w:sz w:val="20"/>
          <w:szCs w:val="20"/>
          <w:color w:val="auto"/>
        </w:rPr>
      </w:pPr>
    </w:p>
    <w:p>
      <w:pPr>
        <w:ind w:left="926" w:right="540" w:hanging="840"/>
        <w:spacing w:after="0" w:line="265" w:lineRule="auto"/>
        <w:tabs>
          <w:tab w:leader="none" w:pos="906" w:val="left"/>
        </w:tabs>
        <w:rPr>
          <w:rFonts w:ascii="Arial" w:cs="Arial" w:eastAsia="Arial" w:hAnsi="Arial"/>
          <w:sz w:val="16"/>
          <w:szCs w:val="16"/>
          <w:u w:val="single" w:color="auto"/>
          <w:color w:val="0000EE"/>
        </w:rPr>
      </w:pPr>
      <w:r>
        <w:rPr>
          <w:rFonts w:ascii="Arial" w:cs="Arial" w:eastAsia="Arial" w:hAnsi="Arial"/>
          <w:sz w:val="16"/>
          <w:szCs w:val="16"/>
          <w:color w:val="auto"/>
        </w:rPr>
        <w:t>10.21*</w:t>
      </w:r>
      <w:r>
        <w:rPr>
          <w:sz w:val="20"/>
          <w:szCs w:val="20"/>
          <w:color w:val="auto"/>
        </w:rPr>
        <w:tab/>
      </w:r>
      <w:hyperlink r:id="rId163">
        <w:r>
          <w:rPr>
            <w:rFonts w:ascii="Arial" w:cs="Arial" w:eastAsia="Arial" w:hAnsi="Arial"/>
            <w:sz w:val="16"/>
            <w:szCs w:val="16"/>
            <w:u w:val="single" w:color="auto"/>
            <w:color w:val="0000EE"/>
          </w:rPr>
          <w:t>Form of Allison Transmission Holdings, Inc. Indemnification Agreement (incorporated by reference to Exhibit 10.9 to Amendment No. 2 to the</w:t>
        </w:r>
      </w:hyperlink>
      <w:r>
        <w:rPr>
          <w:rFonts w:ascii="Arial" w:cs="Arial" w:eastAsia="Arial" w:hAnsi="Arial"/>
          <w:sz w:val="16"/>
          <w:szCs w:val="16"/>
          <w:u w:val="single" w:color="auto"/>
          <w:color w:val="0000EE"/>
        </w:rPr>
        <w:t xml:space="preserve"> </w:t>
      </w:r>
      <w:hyperlink r:id="rId163">
        <w:r>
          <w:rPr>
            <w:rFonts w:ascii="Arial" w:cs="Arial" w:eastAsia="Arial" w:hAnsi="Arial"/>
            <w:sz w:val="16"/>
            <w:szCs w:val="16"/>
            <w:u w:val="single" w:color="auto"/>
            <w:color w:val="0000EE"/>
          </w:rPr>
          <w:t>Registrant’s Registration Statement on Form S-1 filed May 16, 2011 (File No. 333-172932))</w:t>
        </w:r>
      </w:hyperlink>
    </w:p>
    <w:p>
      <w:pPr>
        <w:spacing w:after="0" w:line="52" w:lineRule="exact"/>
        <w:rPr>
          <w:sz w:val="20"/>
          <w:szCs w:val="20"/>
          <w:color w:val="auto"/>
        </w:rPr>
      </w:pPr>
    </w:p>
    <w:p>
      <w:pPr>
        <w:ind w:left="926" w:hanging="840"/>
        <w:spacing w:after="0" w:line="265" w:lineRule="auto"/>
        <w:tabs>
          <w:tab w:leader="none" w:pos="906" w:val="left"/>
        </w:tabs>
        <w:rPr>
          <w:rFonts w:ascii="Arial" w:cs="Arial" w:eastAsia="Arial" w:hAnsi="Arial"/>
          <w:sz w:val="16"/>
          <w:szCs w:val="16"/>
          <w:u w:val="single" w:color="auto"/>
          <w:color w:val="0000EE"/>
        </w:rPr>
      </w:pPr>
      <w:r>
        <w:rPr>
          <w:rFonts w:ascii="Arial" w:cs="Arial" w:eastAsia="Arial" w:hAnsi="Arial"/>
          <w:sz w:val="16"/>
          <w:szCs w:val="16"/>
          <w:color w:val="auto"/>
        </w:rPr>
        <w:t>10.22*</w:t>
      </w:r>
      <w:r>
        <w:rPr>
          <w:sz w:val="20"/>
          <w:szCs w:val="20"/>
          <w:color w:val="auto"/>
        </w:rPr>
        <w:tab/>
      </w:r>
      <w:hyperlink r:id="rId164">
        <w:r>
          <w:rPr>
            <w:rFonts w:ascii="Arial" w:cs="Arial" w:eastAsia="Arial" w:hAnsi="Arial"/>
            <w:sz w:val="16"/>
            <w:szCs w:val="16"/>
            <w:u w:val="single" w:color="auto"/>
            <w:color w:val="0000EE"/>
          </w:rPr>
          <w:t>Form of Change in Control Severance Agreement (incorporated by reference to Exhibit 10.34 to the Registrant’s Annual Report on Form 10-K for the</w:t>
        </w:r>
      </w:hyperlink>
      <w:r>
        <w:rPr>
          <w:rFonts w:ascii="Arial" w:cs="Arial" w:eastAsia="Arial" w:hAnsi="Arial"/>
          <w:sz w:val="16"/>
          <w:szCs w:val="16"/>
          <w:u w:val="single" w:color="auto"/>
          <w:color w:val="0000EE"/>
        </w:rPr>
        <w:t xml:space="preserve"> </w:t>
      </w:r>
      <w:hyperlink r:id="rId164">
        <w:r>
          <w:rPr>
            <w:rFonts w:ascii="Arial" w:cs="Arial" w:eastAsia="Arial" w:hAnsi="Arial"/>
            <w:sz w:val="16"/>
            <w:szCs w:val="16"/>
            <w:u w:val="single" w:color="auto"/>
            <w:color w:val="0000EE"/>
          </w:rPr>
          <w:t>year ended December 31, 2013 filed February 24, 2014)</w:t>
        </w:r>
      </w:hyperlink>
    </w:p>
    <w:p>
      <w:pPr>
        <w:spacing w:after="0" w:line="52" w:lineRule="exact"/>
        <w:rPr>
          <w:sz w:val="20"/>
          <w:szCs w:val="20"/>
          <w:color w:val="auto"/>
        </w:rPr>
      </w:pPr>
    </w:p>
    <w:p>
      <w:pPr>
        <w:ind w:left="926" w:right="100" w:hanging="840"/>
        <w:spacing w:after="0" w:line="265" w:lineRule="auto"/>
        <w:tabs>
          <w:tab w:leader="none" w:pos="906" w:val="left"/>
        </w:tabs>
        <w:rPr>
          <w:rFonts w:ascii="Arial" w:cs="Arial" w:eastAsia="Arial" w:hAnsi="Arial"/>
          <w:sz w:val="16"/>
          <w:szCs w:val="16"/>
          <w:u w:val="single" w:color="auto"/>
          <w:color w:val="0000EE"/>
        </w:rPr>
      </w:pPr>
      <w:r>
        <w:rPr>
          <w:rFonts w:ascii="Arial" w:cs="Arial" w:eastAsia="Arial" w:hAnsi="Arial"/>
          <w:sz w:val="16"/>
          <w:szCs w:val="16"/>
          <w:color w:val="auto"/>
        </w:rPr>
        <w:t>10.23*</w:t>
      </w:r>
      <w:r>
        <w:rPr>
          <w:sz w:val="20"/>
          <w:szCs w:val="20"/>
          <w:color w:val="auto"/>
        </w:rPr>
        <w:tab/>
      </w:r>
      <w:hyperlink r:id="rId165">
        <w:r>
          <w:rPr>
            <w:rFonts w:ascii="Arial" w:cs="Arial" w:eastAsia="Arial" w:hAnsi="Arial"/>
            <w:sz w:val="16"/>
            <w:szCs w:val="16"/>
            <w:u w:val="single" w:color="auto"/>
            <w:color w:val="0000EE"/>
          </w:rPr>
          <w:t>Severance and Change in Control Agreement, between Allison Transmission, Inc. and David S. Graziosi, dated as of March 23, 2018 (incorporated</w:t>
        </w:r>
      </w:hyperlink>
      <w:r>
        <w:rPr>
          <w:rFonts w:ascii="Arial" w:cs="Arial" w:eastAsia="Arial" w:hAnsi="Arial"/>
          <w:sz w:val="16"/>
          <w:szCs w:val="16"/>
          <w:u w:val="single" w:color="auto"/>
          <w:color w:val="0000EE"/>
        </w:rPr>
        <w:t xml:space="preserve"> </w:t>
      </w:r>
      <w:hyperlink r:id="rId165">
        <w:r>
          <w:rPr>
            <w:rFonts w:ascii="Arial" w:cs="Arial" w:eastAsia="Arial" w:hAnsi="Arial"/>
            <w:sz w:val="16"/>
            <w:szCs w:val="16"/>
            <w:u w:val="single" w:color="auto"/>
            <w:color w:val="0000EE"/>
          </w:rPr>
          <w:t>by reference to Exhibit 10.1 to the Registrant’s Current Report on Form 8-K filed March 23, 2018)</w:t>
        </w:r>
      </w:hyperlink>
    </w:p>
    <w:p>
      <w:pPr>
        <w:spacing w:after="0" w:line="52" w:lineRule="exact"/>
        <w:rPr>
          <w:sz w:val="20"/>
          <w:szCs w:val="20"/>
          <w:color w:val="auto"/>
        </w:rPr>
      </w:pPr>
    </w:p>
    <w:p>
      <w:pPr>
        <w:ind w:left="926" w:right="20" w:hanging="840"/>
        <w:spacing w:after="0" w:line="265" w:lineRule="auto"/>
        <w:tabs>
          <w:tab w:leader="none" w:pos="906" w:val="left"/>
        </w:tabs>
        <w:rPr>
          <w:rFonts w:ascii="Arial" w:cs="Arial" w:eastAsia="Arial" w:hAnsi="Arial"/>
          <w:sz w:val="16"/>
          <w:szCs w:val="16"/>
          <w:u w:val="single" w:color="auto"/>
          <w:color w:val="0000EE"/>
        </w:rPr>
      </w:pPr>
      <w:r>
        <w:rPr>
          <w:rFonts w:ascii="Arial" w:cs="Arial" w:eastAsia="Arial" w:hAnsi="Arial"/>
          <w:sz w:val="16"/>
          <w:szCs w:val="16"/>
          <w:color w:val="auto"/>
        </w:rPr>
        <w:t>10.24</w:t>
      </w:r>
      <w:r>
        <w:rPr>
          <w:sz w:val="20"/>
          <w:szCs w:val="20"/>
          <w:color w:val="auto"/>
        </w:rPr>
        <w:tab/>
      </w:r>
      <w:hyperlink r:id="rId166">
        <w:r>
          <w:rPr>
            <w:rFonts w:ascii="Arial" w:cs="Arial" w:eastAsia="Arial" w:hAnsi="Arial"/>
            <w:sz w:val="16"/>
            <w:szCs w:val="16"/>
            <w:u w:val="single" w:color="auto"/>
            <w:color w:val="0000EE"/>
          </w:rPr>
          <w:t>Stock Repurchase Agreement, dated May 7, 2019, between Allison Transmission Holdings, Inc. and Ashe Capital Management, LP (incorporated by</w:t>
        </w:r>
      </w:hyperlink>
      <w:r>
        <w:rPr>
          <w:rFonts w:ascii="Arial" w:cs="Arial" w:eastAsia="Arial" w:hAnsi="Arial"/>
          <w:sz w:val="16"/>
          <w:szCs w:val="16"/>
          <w:u w:val="single" w:color="auto"/>
          <w:color w:val="0000EE"/>
        </w:rPr>
        <w:t xml:space="preserve"> </w:t>
      </w:r>
      <w:hyperlink r:id="rId166">
        <w:r>
          <w:rPr>
            <w:rFonts w:ascii="Arial" w:cs="Arial" w:eastAsia="Arial" w:hAnsi="Arial"/>
            <w:sz w:val="16"/>
            <w:szCs w:val="16"/>
            <w:u w:val="single" w:color="auto"/>
            <w:color w:val="0000EE"/>
          </w:rPr>
          <w:t>reference to the Registrant’s Current Report on Form 8-K filed May 7, 2019)</w:t>
        </w:r>
      </w:hyperlink>
    </w:p>
    <w:p>
      <w:pPr>
        <w:spacing w:after="0" w:line="52" w:lineRule="exact"/>
        <w:rPr>
          <w:sz w:val="20"/>
          <w:szCs w:val="20"/>
          <w:color w:val="auto"/>
        </w:rPr>
      </w:pPr>
    </w:p>
    <w:p>
      <w:pPr>
        <w:ind w:left="926" w:right="460" w:hanging="840"/>
        <w:spacing w:after="0" w:line="265" w:lineRule="auto"/>
        <w:tabs>
          <w:tab w:leader="none" w:pos="906" w:val="left"/>
        </w:tabs>
        <w:rPr>
          <w:rFonts w:ascii="Arial" w:cs="Arial" w:eastAsia="Arial" w:hAnsi="Arial"/>
          <w:sz w:val="16"/>
          <w:szCs w:val="16"/>
          <w:u w:val="single" w:color="auto"/>
          <w:color w:val="0000EE"/>
        </w:rPr>
      </w:pPr>
      <w:r>
        <w:rPr>
          <w:rFonts w:ascii="Arial" w:cs="Arial" w:eastAsia="Arial" w:hAnsi="Arial"/>
          <w:sz w:val="16"/>
          <w:szCs w:val="16"/>
          <w:color w:val="auto"/>
        </w:rPr>
        <w:t>14.1</w:t>
      </w:r>
      <w:r>
        <w:rPr>
          <w:sz w:val="20"/>
          <w:szCs w:val="20"/>
          <w:color w:val="auto"/>
        </w:rPr>
        <w:tab/>
      </w:r>
      <w:hyperlink r:id="rId167">
        <w:r>
          <w:rPr>
            <w:rFonts w:ascii="Arial" w:cs="Arial" w:eastAsia="Arial" w:hAnsi="Arial"/>
            <w:sz w:val="16"/>
            <w:szCs w:val="16"/>
            <w:u w:val="single" w:color="auto"/>
            <w:color w:val="0000EE"/>
          </w:rPr>
          <w:t>Code of Business Conduct (incorporated by reference to Exhibit 14.1 to the Registrant’s Annual Report on Form 10-K for the fiscal year ended</w:t>
        </w:r>
      </w:hyperlink>
      <w:r>
        <w:rPr>
          <w:rFonts w:ascii="Arial" w:cs="Arial" w:eastAsia="Arial" w:hAnsi="Arial"/>
          <w:sz w:val="16"/>
          <w:szCs w:val="16"/>
          <w:u w:val="single" w:color="auto"/>
          <w:color w:val="0000EE"/>
        </w:rPr>
        <w:t xml:space="preserve"> </w:t>
      </w:r>
      <w:hyperlink r:id="rId167">
        <w:r>
          <w:rPr>
            <w:rFonts w:ascii="Arial" w:cs="Arial" w:eastAsia="Arial" w:hAnsi="Arial"/>
            <w:sz w:val="16"/>
            <w:szCs w:val="16"/>
            <w:u w:val="single" w:color="auto"/>
            <w:color w:val="0000EE"/>
          </w:rPr>
          <w:t>December 31, 2018 filed February 26, 2019)</w:t>
        </w:r>
      </w:hyperlink>
    </w:p>
    <w:p>
      <w:pPr>
        <w:spacing w:after="0" w:line="52" w:lineRule="exact"/>
        <w:rPr>
          <w:sz w:val="20"/>
          <w:szCs w:val="20"/>
          <w:color w:val="auto"/>
        </w:rPr>
      </w:pPr>
    </w:p>
    <w:p>
      <w:pPr>
        <w:ind w:left="86"/>
        <w:spacing w:after="0"/>
        <w:tabs>
          <w:tab w:leader="none" w:pos="906" w:val="left"/>
        </w:tabs>
        <w:rPr>
          <w:rFonts w:ascii="Arial" w:cs="Arial" w:eastAsia="Arial" w:hAnsi="Arial"/>
          <w:sz w:val="15"/>
          <w:szCs w:val="15"/>
          <w:u w:val="single" w:color="auto"/>
          <w:color w:val="0000EE"/>
        </w:rPr>
      </w:pPr>
      <w:r>
        <w:rPr>
          <w:rFonts w:ascii="Arial" w:cs="Arial" w:eastAsia="Arial" w:hAnsi="Arial"/>
          <w:sz w:val="16"/>
          <w:szCs w:val="16"/>
          <w:color w:val="auto"/>
        </w:rPr>
        <w:t>21.1</w:t>
      </w:r>
      <w:r>
        <w:rPr>
          <w:sz w:val="20"/>
          <w:szCs w:val="20"/>
          <w:color w:val="auto"/>
        </w:rPr>
        <w:tab/>
      </w:r>
      <w:hyperlink w:anchor="page106">
        <w:r>
          <w:rPr>
            <w:rFonts w:ascii="Arial" w:cs="Arial" w:eastAsia="Arial" w:hAnsi="Arial"/>
            <w:sz w:val="15"/>
            <w:szCs w:val="15"/>
            <w:u w:val="single" w:color="auto"/>
            <w:color w:val="0000EE"/>
          </w:rPr>
          <w:t>List of Subsidiaries of Allison Transmission Holdings, Inc. (filed herewith)</w:t>
        </w:r>
      </w:hyperlink>
    </w:p>
    <w:p>
      <w:pPr>
        <w:spacing w:after="0" w:line="133" w:lineRule="exact"/>
        <w:rPr>
          <w:sz w:val="20"/>
          <w:szCs w:val="20"/>
          <w:color w:val="auto"/>
        </w:rPr>
      </w:pPr>
    </w:p>
    <w:p>
      <w:pPr>
        <w:ind w:left="86"/>
        <w:spacing w:after="0"/>
        <w:tabs>
          <w:tab w:leader="none" w:pos="906" w:val="left"/>
        </w:tabs>
        <w:rPr>
          <w:rFonts w:ascii="Arial" w:cs="Arial" w:eastAsia="Arial" w:hAnsi="Arial"/>
          <w:sz w:val="15"/>
          <w:szCs w:val="15"/>
          <w:u w:val="single" w:color="auto"/>
          <w:color w:val="0000EE"/>
        </w:rPr>
      </w:pPr>
      <w:r>
        <w:rPr>
          <w:rFonts w:ascii="Arial" w:cs="Arial" w:eastAsia="Arial" w:hAnsi="Arial"/>
          <w:sz w:val="16"/>
          <w:szCs w:val="16"/>
          <w:color w:val="auto"/>
        </w:rPr>
        <w:t>23.1</w:t>
      </w:r>
      <w:r>
        <w:rPr>
          <w:sz w:val="20"/>
          <w:szCs w:val="20"/>
          <w:color w:val="auto"/>
        </w:rPr>
        <w:tab/>
      </w:r>
      <w:hyperlink w:anchor="page107">
        <w:r>
          <w:rPr>
            <w:rFonts w:ascii="Arial" w:cs="Arial" w:eastAsia="Arial" w:hAnsi="Arial"/>
            <w:sz w:val="15"/>
            <w:szCs w:val="15"/>
            <w:u w:val="single" w:color="auto"/>
            <w:color w:val="0000EE"/>
          </w:rPr>
          <w:t>Consent of PricewaterhouseCoopers LLP (filed herewith)</w:t>
        </w:r>
      </w:hyperlink>
    </w:p>
    <w:p>
      <w:pPr>
        <w:spacing w:after="0" w:line="133" w:lineRule="exact"/>
        <w:rPr>
          <w:sz w:val="20"/>
          <w:szCs w:val="20"/>
          <w:color w:val="auto"/>
        </w:rPr>
      </w:pPr>
    </w:p>
    <w:p>
      <w:pPr>
        <w:ind w:left="926" w:right="320" w:hanging="840"/>
        <w:spacing w:after="0" w:line="265" w:lineRule="auto"/>
        <w:tabs>
          <w:tab w:leader="none" w:pos="906" w:val="left"/>
        </w:tabs>
        <w:rPr>
          <w:rFonts w:ascii="Arial" w:cs="Arial" w:eastAsia="Arial" w:hAnsi="Arial"/>
          <w:sz w:val="16"/>
          <w:szCs w:val="16"/>
          <w:u w:val="single" w:color="auto"/>
          <w:color w:val="0000EE"/>
        </w:rPr>
      </w:pPr>
      <w:r>
        <w:rPr>
          <w:rFonts w:ascii="Arial" w:cs="Arial" w:eastAsia="Arial" w:hAnsi="Arial"/>
          <w:sz w:val="16"/>
          <w:szCs w:val="16"/>
          <w:color w:val="auto"/>
        </w:rPr>
        <w:t>31.1</w:t>
      </w:r>
      <w:r>
        <w:rPr>
          <w:sz w:val="20"/>
          <w:szCs w:val="20"/>
          <w:color w:val="auto"/>
        </w:rPr>
        <w:tab/>
      </w:r>
      <w:hyperlink w:anchor="page108">
        <w:r>
          <w:rPr>
            <w:rFonts w:ascii="Arial" w:cs="Arial" w:eastAsia="Arial" w:hAnsi="Arial"/>
            <w:sz w:val="16"/>
            <w:szCs w:val="16"/>
            <w:u w:val="single" w:color="auto"/>
            <w:color w:val="0000EE"/>
          </w:rPr>
          <w:t>Certification pursuant to Rule 13a-14(a)/15d-14(a) of the Securities Exchange Act of 1934 of the Chief Executive Officer, as adopted pursuant to</w:t>
        </w:r>
      </w:hyperlink>
      <w:r>
        <w:rPr>
          <w:rFonts w:ascii="Arial" w:cs="Arial" w:eastAsia="Arial" w:hAnsi="Arial"/>
          <w:sz w:val="16"/>
          <w:szCs w:val="16"/>
          <w:u w:val="single" w:color="auto"/>
          <w:color w:val="0000EE"/>
        </w:rPr>
        <w:t xml:space="preserve"> </w:t>
      </w:r>
      <w:hyperlink w:anchor="page108">
        <w:r>
          <w:rPr>
            <w:rFonts w:ascii="Arial" w:cs="Arial" w:eastAsia="Arial" w:hAnsi="Arial"/>
            <w:sz w:val="16"/>
            <w:szCs w:val="16"/>
            <w:u w:val="single" w:color="auto"/>
            <w:color w:val="0000EE"/>
          </w:rPr>
          <w:t>Section 302 of the Sarbanes-Oxley Act of 2002 (filed herewith)</w:t>
        </w:r>
      </w:hyperlink>
    </w:p>
    <w:p>
      <w:pPr>
        <w:spacing w:after="0" w:line="52" w:lineRule="exact"/>
        <w:rPr>
          <w:sz w:val="20"/>
          <w:szCs w:val="20"/>
          <w:color w:val="auto"/>
        </w:rPr>
      </w:pPr>
    </w:p>
    <w:p>
      <w:pPr>
        <w:ind w:left="926" w:right="380" w:hanging="840"/>
        <w:spacing w:after="0" w:line="265" w:lineRule="auto"/>
        <w:tabs>
          <w:tab w:leader="none" w:pos="906" w:val="left"/>
        </w:tabs>
        <w:rPr>
          <w:rFonts w:ascii="Arial" w:cs="Arial" w:eastAsia="Arial" w:hAnsi="Arial"/>
          <w:sz w:val="16"/>
          <w:szCs w:val="16"/>
          <w:u w:val="single" w:color="auto"/>
          <w:color w:val="0000EE"/>
        </w:rPr>
      </w:pPr>
      <w:r>
        <w:rPr>
          <w:rFonts w:ascii="Arial" w:cs="Arial" w:eastAsia="Arial" w:hAnsi="Arial"/>
          <w:sz w:val="16"/>
          <w:szCs w:val="16"/>
          <w:color w:val="auto"/>
        </w:rPr>
        <w:t>31.2</w:t>
      </w:r>
      <w:r>
        <w:rPr>
          <w:sz w:val="20"/>
          <w:szCs w:val="20"/>
          <w:color w:val="auto"/>
        </w:rPr>
        <w:tab/>
      </w:r>
      <w:hyperlink w:anchor="page109">
        <w:r>
          <w:rPr>
            <w:rFonts w:ascii="Arial" w:cs="Arial" w:eastAsia="Arial" w:hAnsi="Arial"/>
            <w:sz w:val="16"/>
            <w:szCs w:val="16"/>
            <w:u w:val="single" w:color="auto"/>
            <w:color w:val="0000EE"/>
          </w:rPr>
          <w:t>Certification pursuant to Rule 13a-14(a)/15d-14(a) of the Securities Exchange Act of 1934 of the Chief Financial Officer, as adopted pursuant to</w:t>
        </w:r>
      </w:hyperlink>
      <w:r>
        <w:rPr>
          <w:rFonts w:ascii="Arial" w:cs="Arial" w:eastAsia="Arial" w:hAnsi="Arial"/>
          <w:sz w:val="16"/>
          <w:szCs w:val="16"/>
          <w:u w:val="single" w:color="auto"/>
          <w:color w:val="0000EE"/>
        </w:rPr>
        <w:t xml:space="preserve"> </w:t>
      </w:r>
      <w:hyperlink w:anchor="page109">
        <w:r>
          <w:rPr>
            <w:rFonts w:ascii="Arial" w:cs="Arial" w:eastAsia="Arial" w:hAnsi="Arial"/>
            <w:sz w:val="16"/>
            <w:szCs w:val="16"/>
            <w:u w:val="single" w:color="auto"/>
            <w:color w:val="0000EE"/>
          </w:rPr>
          <w:t>Section 302 of the Sarbanes-Oxley Act of 2002 (filed herewith)</w:t>
        </w:r>
      </w:hyperlink>
    </w:p>
    <w:p>
      <w:pPr>
        <w:spacing w:after="0" w:line="52" w:lineRule="exact"/>
        <w:rPr>
          <w:sz w:val="20"/>
          <w:szCs w:val="20"/>
          <w:color w:val="auto"/>
        </w:rPr>
      </w:pPr>
    </w:p>
    <w:p>
      <w:pPr>
        <w:ind w:left="86"/>
        <w:spacing w:after="0"/>
        <w:tabs>
          <w:tab w:leader="none" w:pos="906" w:val="left"/>
        </w:tabs>
        <w:rPr>
          <w:rFonts w:ascii="Arial" w:cs="Arial" w:eastAsia="Arial" w:hAnsi="Arial"/>
          <w:sz w:val="15"/>
          <w:szCs w:val="15"/>
          <w:u w:val="single" w:color="auto"/>
          <w:color w:val="0000EE"/>
        </w:rPr>
      </w:pPr>
      <w:r>
        <w:rPr>
          <w:rFonts w:ascii="Arial" w:cs="Arial" w:eastAsia="Arial" w:hAnsi="Arial"/>
          <w:sz w:val="16"/>
          <w:szCs w:val="16"/>
          <w:color w:val="auto"/>
        </w:rPr>
        <w:t>32.1</w:t>
      </w:r>
      <w:r>
        <w:rPr>
          <w:sz w:val="20"/>
          <w:szCs w:val="20"/>
          <w:color w:val="auto"/>
        </w:rPr>
        <w:tab/>
      </w:r>
      <w:hyperlink w:anchor="page110">
        <w:r>
          <w:rPr>
            <w:rFonts w:ascii="Arial" w:cs="Arial" w:eastAsia="Arial" w:hAnsi="Arial"/>
            <w:sz w:val="15"/>
            <w:szCs w:val="15"/>
            <w:u w:val="single" w:color="auto"/>
            <w:color w:val="0000EE"/>
          </w:rPr>
          <w:t>Certification pursuant to 18 U.S.C. Section 1350, as adopted pursuant to Section 906 of the Sarbanes-Oxley Act of 2002 (filed herewith)</w:t>
        </w:r>
      </w:hyperlink>
    </w:p>
    <w:p>
      <w:pPr>
        <w:spacing w:after="0" w:line="133" w:lineRule="exact"/>
        <w:rPr>
          <w:sz w:val="20"/>
          <w:szCs w:val="20"/>
          <w:color w:val="auto"/>
        </w:rPr>
      </w:pPr>
    </w:p>
    <w:p>
      <w:pPr>
        <w:ind w:left="926" w:right="80" w:hanging="926"/>
        <w:spacing w:after="0" w:line="239" w:lineRule="auto"/>
        <w:tabs>
          <w:tab w:leader="none" w:pos="92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Annual Report on Form 10-K for the fiscal year ended December 31, 2020, formatted in Inline XBRL (eXtensible Business Reporting Language): (i) the Consolidated Balance Sheets; (ii) the Consolidated Statements of Comprehensive Income; (iii) the Consolidated Statements of Cash Flows; (iv) the Consolidated Statements of Stockholders’ Equity (v) the Notes to Consolidated Financial Statements; (vi) the Parent Company only Balance Sheets; (vii) the Parent Company only Statements of Comprehensive Income; (viii) the Parent Company only Statements of Cash Flows; and (ix) the Parent Company only Footnote</w:t>
      </w:r>
    </w:p>
    <w:p>
      <w:pPr>
        <w:spacing w:after="0" w:line="70" w:lineRule="exact"/>
        <w:rPr>
          <w:sz w:val="20"/>
          <w:szCs w:val="20"/>
          <w:color w:val="auto"/>
        </w:rPr>
      </w:pPr>
    </w:p>
    <w:p>
      <w:pPr>
        <w:ind w:left="926" w:right="60" w:hanging="926"/>
        <w:spacing w:after="0" w:line="265" w:lineRule="auto"/>
        <w:tabs>
          <w:tab w:leader="none" w:pos="926"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Cover Page Interactive Data File – The cover page from the Registrant’s Annual Report on Form 10-K for the fiscal year ended December 31, 2020,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12827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1282700" cy="7620"/>
                    </a:xfrm>
                    <a:prstGeom prst="rect">
                      <a:avLst/>
                    </a:prstGeom>
                    <a:noFill/>
                  </pic:spPr>
                </pic:pic>
              </a:graphicData>
            </a:graphic>
          </wp:anchor>
        </w:drawing>
      </w:r>
    </w:p>
    <w:p>
      <w:pPr>
        <w:spacing w:after="0" w:line="90" w:lineRule="exact"/>
        <w:rPr>
          <w:sz w:val="20"/>
          <w:szCs w:val="20"/>
          <w:color w:val="auto"/>
        </w:rPr>
      </w:pPr>
    </w:p>
    <w:p>
      <w:pPr>
        <w:ind w:left="5506" w:right="5440" w:hanging="5506"/>
        <w:spacing w:after="0" w:line="661" w:lineRule="auto"/>
        <w:tabs>
          <w:tab w:leader="none" w:pos="688"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Indicates a management contract or compensatory plan or arrangement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352425</wp:posOffset>
            </wp:positionV>
            <wp:extent cx="7150100"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06"/>
          </w:cols>
          <w:pgMar w:left="314" w:top="120" w:right="37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Intentionally left blank.</w:t>
      </w:r>
    </w:p>
    <w:p>
      <w:pPr>
        <w:spacing w:after="0" w:line="180"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0139"/>
          </w:cols>
          <w:pgMar w:left="320" w:top="120" w:right="1440"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82" w:lineRule="exact"/>
        <w:rPr>
          <w:sz w:val="20"/>
          <w:szCs w:val="20"/>
          <w:color w:val="auto"/>
        </w:rPr>
      </w:pPr>
    </w:p>
    <w:p>
      <w:pPr>
        <w:ind w:right="180" w:firstLine="522"/>
        <w:spacing w:after="0" w:line="265"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84"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Allison Transmission Holdings, Inc.</w:t>
      </w:r>
    </w:p>
    <w:p>
      <w:pPr>
        <w:spacing w:after="0" w:line="26"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(Registrant)</w:t>
      </w:r>
    </w:p>
    <w:p>
      <w:pPr>
        <w:spacing w:after="0" w:line="383" w:lineRule="exact"/>
        <w:rPr>
          <w:sz w:val="20"/>
          <w:szCs w:val="20"/>
          <w:color w:val="auto"/>
        </w:rPr>
      </w:pPr>
    </w:p>
    <w:p>
      <w:pPr>
        <w:ind w:left="20"/>
        <w:spacing w:after="0"/>
        <w:tabs>
          <w:tab w:leader="none" w:pos="6440" w:val="left"/>
          <w:tab w:leader="none" w:pos="7160" w:val="left"/>
        </w:tabs>
        <w:rPr>
          <w:sz w:val="20"/>
          <w:szCs w:val="20"/>
          <w:color w:val="auto"/>
        </w:rPr>
      </w:pPr>
      <w:r>
        <w:rPr>
          <w:rFonts w:ascii="Arial" w:cs="Arial" w:eastAsia="Arial" w:hAnsi="Arial"/>
          <w:sz w:val="16"/>
          <w:szCs w:val="16"/>
          <w:color w:val="auto"/>
        </w:rPr>
        <w:t>Date: February 18,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8255</wp:posOffset>
            </wp:positionV>
            <wp:extent cx="258000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2580005" cy="7620"/>
                    </a:xfrm>
                    <a:prstGeom prst="rect">
                      <a:avLst/>
                    </a:prstGeom>
                    <a:noFill/>
                  </pic:spPr>
                </pic:pic>
              </a:graphicData>
            </a:graphic>
          </wp:anchor>
        </w:drawing>
      </w:r>
    </w:p>
    <w:p>
      <w:pPr>
        <w:spacing w:after="0" w:line="8"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David S. Graziosi</w:t>
      </w:r>
    </w:p>
    <w:p>
      <w:pPr>
        <w:ind w:left="7180"/>
        <w:spacing w:after="0"/>
        <w:rPr>
          <w:sz w:val="20"/>
          <w:szCs w:val="20"/>
          <w:color w:val="auto"/>
        </w:rPr>
      </w:pPr>
      <w:r>
        <w:rPr>
          <w:rFonts w:ascii="Arial" w:cs="Arial" w:eastAsia="Arial" w:hAnsi="Arial"/>
          <w:sz w:val="15"/>
          <w:szCs w:val="15"/>
          <w:i w:val="1"/>
          <w:iCs w:val="1"/>
          <w:color w:val="auto"/>
        </w:rPr>
        <w:t>President and Chief Executive Officer (Principal Executive</w:t>
      </w:r>
    </w:p>
    <w:p>
      <w:pPr>
        <w:spacing w:after="0" w:line="4" w:lineRule="exact"/>
        <w:rPr>
          <w:sz w:val="20"/>
          <w:szCs w:val="20"/>
          <w:color w:val="auto"/>
        </w:rPr>
      </w:pPr>
    </w:p>
    <w:p>
      <w:pPr>
        <w:ind w:left="7180"/>
        <w:spacing w:after="0"/>
        <w:rPr>
          <w:sz w:val="20"/>
          <w:szCs w:val="20"/>
          <w:color w:val="auto"/>
        </w:rPr>
      </w:pPr>
      <w:r>
        <w:rPr>
          <w:rFonts w:ascii="Arial" w:cs="Arial" w:eastAsia="Arial" w:hAnsi="Arial"/>
          <w:sz w:val="16"/>
          <w:szCs w:val="16"/>
          <w:i w:val="1"/>
          <w:iCs w:val="1"/>
          <w:color w:val="auto"/>
        </w:rPr>
        <w:t>Officer)</w:t>
      </w:r>
    </w:p>
    <w:p>
      <w:pPr>
        <w:spacing w:after="0" w:line="113" w:lineRule="exact"/>
        <w:rPr>
          <w:sz w:val="20"/>
          <w:szCs w:val="20"/>
          <w:color w:val="auto"/>
        </w:rPr>
      </w:pPr>
    </w:p>
    <w:p>
      <w:pPr>
        <w:ind w:firstLine="522"/>
        <w:spacing w:after="0" w:line="265"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31" w:lineRule="exact"/>
        <w:rPr>
          <w:sz w:val="20"/>
          <w:szCs w:val="20"/>
          <w:color w:val="auto"/>
        </w:rPr>
      </w:pPr>
    </w:p>
    <w:p>
      <w:pPr>
        <w:ind w:left="1000"/>
        <w:spacing w:after="0"/>
        <w:tabs>
          <w:tab w:leader="none" w:pos="5680" w:val="left"/>
          <w:tab w:leader="none" w:pos="9980" w:val="left"/>
        </w:tabs>
        <w:rPr>
          <w:sz w:val="20"/>
          <w:szCs w:val="20"/>
          <w:color w:val="auto"/>
        </w:rPr>
      </w:pPr>
      <w:r>
        <w:rPr>
          <w:rFonts w:ascii="Arial" w:cs="Arial" w:eastAsia="Arial" w:hAnsi="Arial"/>
          <w:sz w:val="13"/>
          <w:szCs w:val="13"/>
          <w:b w:val="1"/>
          <w:bCs w:val="1"/>
          <w:u w:val="single" w:color="auto"/>
          <w:color w:val="auto"/>
        </w:rPr>
        <w:t>SIGNATURES</w:t>
      </w:r>
      <w:r>
        <w:rPr>
          <w:sz w:val="20"/>
          <w:szCs w:val="20"/>
          <w:color w:val="auto"/>
        </w:rPr>
        <w:tab/>
      </w:r>
      <w:r>
        <w:rPr>
          <w:rFonts w:ascii="Arial" w:cs="Arial" w:eastAsia="Arial" w:hAnsi="Arial"/>
          <w:sz w:val="13"/>
          <w:szCs w:val="13"/>
          <w:b w:val="1"/>
          <w:bCs w:val="1"/>
          <w:u w:val="single" w:color="auto"/>
          <w:color w:val="auto"/>
        </w:rPr>
        <w:t>CAPACITY</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240"/>
          </w:cols>
          <w:pgMar w:left="320" w:top="120" w:right="339" w:bottom="1440" w:gutter="0" w:footer="0" w:header="0"/>
        </w:sectPr>
      </w:pPr>
    </w:p>
    <w:p>
      <w:pPr>
        <w:spacing w:after="0" w:line="26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David S. Graziosi</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David S. Graziosi</w:t>
      </w:r>
    </w:p>
    <w:p>
      <w:pPr>
        <w:spacing w:after="0" w:line="195" w:lineRule="exact"/>
        <w:rPr>
          <w:sz w:val="20"/>
          <w:szCs w:val="20"/>
          <w:color w:val="auto"/>
        </w:rPr>
      </w:pPr>
    </w:p>
    <w:p>
      <w:pPr>
        <w:ind w:left="100" w:right="540"/>
        <w:spacing w:after="0" w:line="299" w:lineRule="auto"/>
        <w:rPr>
          <w:sz w:val="20"/>
          <w:szCs w:val="20"/>
          <w:color w:val="auto"/>
        </w:rPr>
      </w:pPr>
      <w:r>
        <w:rPr>
          <w:rFonts w:ascii="Arial" w:cs="Arial" w:eastAsia="Arial" w:hAnsi="Arial"/>
          <w:sz w:val="15"/>
          <w:szCs w:val="15"/>
          <w:color w:val="auto"/>
        </w:rPr>
        <w:t>/s/ G. Frederick Bohley G. Frederick Bohley</w:t>
      </w:r>
    </w:p>
    <w:p>
      <w:pPr>
        <w:spacing w:after="0" w:line="146" w:lineRule="exact"/>
        <w:rPr>
          <w:sz w:val="20"/>
          <w:szCs w:val="20"/>
          <w:color w:val="auto"/>
        </w:rPr>
      </w:pPr>
    </w:p>
    <w:p>
      <w:pPr>
        <w:ind w:left="100" w:right="520"/>
        <w:spacing w:after="0" w:line="299" w:lineRule="auto"/>
        <w:rPr>
          <w:sz w:val="20"/>
          <w:szCs w:val="20"/>
          <w:color w:val="auto"/>
        </w:rPr>
      </w:pPr>
      <w:r>
        <w:rPr>
          <w:rFonts w:ascii="Arial" w:cs="Arial" w:eastAsia="Arial" w:hAnsi="Arial"/>
          <w:sz w:val="15"/>
          <w:szCs w:val="15"/>
          <w:color w:val="auto"/>
        </w:rPr>
        <w:t>/s/ Lawrence E. Dewey Lawrence E. Dewey</w:t>
      </w:r>
    </w:p>
    <w:p>
      <w:pPr>
        <w:spacing w:after="0" w:line="1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Judy Altmaier</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Judy Altmaier</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Stan A. Askren</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Stan A. Askren</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David C. Everitt</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David C. Everitt</w:t>
      </w:r>
    </w:p>
    <w:p>
      <w:pPr>
        <w:spacing w:after="0" w:line="195" w:lineRule="exact"/>
        <w:rPr>
          <w:sz w:val="20"/>
          <w:szCs w:val="20"/>
          <w:color w:val="auto"/>
        </w:rPr>
      </w:pPr>
    </w:p>
    <w:p>
      <w:pPr>
        <w:ind w:left="100" w:right="480"/>
        <w:spacing w:after="0" w:line="299" w:lineRule="auto"/>
        <w:rPr>
          <w:sz w:val="20"/>
          <w:szCs w:val="20"/>
          <w:color w:val="auto"/>
        </w:rPr>
      </w:pPr>
      <w:r>
        <w:rPr>
          <w:rFonts w:ascii="Arial" w:cs="Arial" w:eastAsia="Arial" w:hAnsi="Arial"/>
          <w:sz w:val="15"/>
          <w:szCs w:val="15"/>
          <w:color w:val="auto"/>
        </w:rPr>
        <w:t>/s/ Alvaro Garcia-Tunon Alvaro Garcia-Tunon</w:t>
      </w:r>
    </w:p>
    <w:p>
      <w:pPr>
        <w:spacing w:after="0" w:line="146" w:lineRule="exact"/>
        <w:rPr>
          <w:sz w:val="20"/>
          <w:szCs w:val="20"/>
          <w:color w:val="auto"/>
        </w:rPr>
      </w:pPr>
    </w:p>
    <w:p>
      <w:pPr>
        <w:ind w:left="100" w:right="420"/>
        <w:spacing w:after="0" w:line="299" w:lineRule="auto"/>
        <w:rPr>
          <w:sz w:val="20"/>
          <w:szCs w:val="20"/>
          <w:color w:val="auto"/>
        </w:rPr>
      </w:pPr>
      <w:r>
        <w:rPr>
          <w:rFonts w:ascii="Arial" w:cs="Arial" w:eastAsia="Arial" w:hAnsi="Arial"/>
          <w:sz w:val="15"/>
          <w:szCs w:val="15"/>
          <w:color w:val="auto"/>
        </w:rPr>
        <w:t>/s/ Carolann I. Haznedar Carolann I. Haznedar</w:t>
      </w:r>
    </w:p>
    <w:p>
      <w:pPr>
        <w:spacing w:after="0" w:line="1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Richard P. Lavin</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Richard P. Lavin</w:t>
      </w:r>
    </w:p>
    <w:p>
      <w:pPr>
        <w:spacing w:after="0" w:line="195" w:lineRule="exact"/>
        <w:rPr>
          <w:sz w:val="20"/>
          <w:szCs w:val="20"/>
          <w:color w:val="auto"/>
        </w:rPr>
      </w:pPr>
    </w:p>
    <w:p>
      <w:pPr>
        <w:ind w:left="100" w:right="580"/>
        <w:spacing w:after="0" w:line="299" w:lineRule="auto"/>
        <w:rPr>
          <w:sz w:val="20"/>
          <w:szCs w:val="20"/>
          <w:color w:val="auto"/>
        </w:rPr>
      </w:pPr>
      <w:r>
        <w:rPr>
          <w:rFonts w:ascii="Arial" w:cs="Arial" w:eastAsia="Arial" w:hAnsi="Arial"/>
          <w:sz w:val="15"/>
          <w:szCs w:val="15"/>
          <w:color w:val="auto"/>
        </w:rPr>
        <w:t>/s/ Thomas W. Rabaut Thomas W. Rabaut</w:t>
      </w:r>
    </w:p>
    <w:p>
      <w:pPr>
        <w:spacing w:after="0" w:line="146" w:lineRule="exact"/>
        <w:rPr>
          <w:sz w:val="20"/>
          <w:szCs w:val="20"/>
          <w:color w:val="auto"/>
        </w:rPr>
      </w:pPr>
    </w:p>
    <w:p>
      <w:pPr>
        <w:ind w:left="100" w:right="500"/>
        <w:spacing w:after="0" w:line="299" w:lineRule="auto"/>
        <w:rPr>
          <w:sz w:val="20"/>
          <w:szCs w:val="20"/>
          <w:color w:val="auto"/>
        </w:rPr>
      </w:pPr>
      <w:r>
        <w:rPr>
          <w:rFonts w:ascii="Arial" w:cs="Arial" w:eastAsia="Arial" w:hAnsi="Arial"/>
          <w:sz w:val="15"/>
          <w:szCs w:val="15"/>
          <w:color w:val="auto"/>
        </w:rPr>
        <w:t>/s/ Richard V. Reynolds Richard V. Reynolds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tabs>
          <w:tab w:leader="none" w:pos="6920" w:val="left"/>
        </w:tabs>
        <w:rPr>
          <w:sz w:val="20"/>
          <w:szCs w:val="20"/>
          <w:color w:val="auto"/>
        </w:rPr>
      </w:pPr>
      <w:r>
        <w:rPr>
          <w:rFonts w:ascii="Arial" w:cs="Arial" w:eastAsia="Arial" w:hAnsi="Arial"/>
          <w:sz w:val="16"/>
          <w:szCs w:val="16"/>
          <w:color w:val="auto"/>
        </w:rPr>
        <w:t>Director, President and Chief Executive Officer (Principal Executive Officer)</w:t>
      </w:r>
      <w:r>
        <w:rPr>
          <w:sz w:val="20"/>
          <w:szCs w:val="20"/>
          <w:color w:val="auto"/>
        </w:rPr>
        <w:tab/>
      </w:r>
      <w:r>
        <w:rPr>
          <w:rFonts w:ascii="Arial" w:cs="Arial" w:eastAsia="Arial" w:hAnsi="Arial"/>
          <w:sz w:val="15"/>
          <w:szCs w:val="15"/>
          <w:color w:val="auto"/>
        </w:rPr>
        <w:t>February 18, 2021</w:t>
      </w:r>
    </w:p>
    <w:p>
      <w:pPr>
        <w:spacing w:after="0" w:line="391" w:lineRule="exact"/>
        <w:rPr>
          <w:sz w:val="20"/>
          <w:szCs w:val="20"/>
          <w:color w:val="auto"/>
        </w:rPr>
      </w:pPr>
    </w:p>
    <w:p>
      <w:pPr>
        <w:spacing w:after="0"/>
        <w:tabs>
          <w:tab w:leader="none" w:pos="6920" w:val="left"/>
        </w:tabs>
        <w:rPr>
          <w:sz w:val="20"/>
          <w:szCs w:val="20"/>
          <w:color w:val="auto"/>
        </w:rPr>
      </w:pPr>
      <w:r>
        <w:rPr>
          <w:rFonts w:ascii="Arial" w:cs="Arial" w:eastAsia="Arial" w:hAnsi="Arial"/>
          <w:sz w:val="16"/>
          <w:szCs w:val="16"/>
          <w:color w:val="auto"/>
        </w:rPr>
        <w:t>Senior Vice President, Chief Financial Officer and Treasurer (Principal Financial Officer</w:t>
      </w:r>
      <w:r>
        <w:rPr>
          <w:sz w:val="20"/>
          <w:szCs w:val="20"/>
          <w:color w:val="auto"/>
        </w:rPr>
        <w:tab/>
      </w:r>
      <w:r>
        <w:rPr>
          <w:rFonts w:ascii="Arial" w:cs="Arial" w:eastAsia="Arial" w:hAnsi="Arial"/>
          <w:sz w:val="15"/>
          <w:szCs w:val="15"/>
          <w:color w:val="auto"/>
        </w:rPr>
        <w:t>February 18, 2021</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and Principal Accounting Officer)</w:t>
      </w:r>
    </w:p>
    <w:p>
      <w:pPr>
        <w:spacing w:after="0" w:line="195" w:lineRule="exact"/>
        <w:rPr>
          <w:sz w:val="20"/>
          <w:szCs w:val="20"/>
          <w:color w:val="auto"/>
        </w:rPr>
      </w:pPr>
    </w:p>
    <w:p>
      <w:pPr>
        <w:spacing w:after="0"/>
        <w:tabs>
          <w:tab w:leader="none" w:pos="6920" w:val="left"/>
        </w:tabs>
        <w:rPr>
          <w:sz w:val="20"/>
          <w:szCs w:val="20"/>
          <w:color w:val="auto"/>
        </w:rPr>
      </w:pPr>
      <w:r>
        <w:rPr>
          <w:rFonts w:ascii="Arial" w:cs="Arial" w:eastAsia="Arial" w:hAnsi="Arial"/>
          <w:sz w:val="16"/>
          <w:szCs w:val="16"/>
          <w:color w:val="auto"/>
        </w:rPr>
        <w:t>Chairman of the Board</w:t>
      </w:r>
      <w:r>
        <w:rPr>
          <w:sz w:val="20"/>
          <w:szCs w:val="20"/>
          <w:color w:val="auto"/>
        </w:rPr>
        <w:tab/>
      </w:r>
      <w:r>
        <w:rPr>
          <w:rFonts w:ascii="Arial" w:cs="Arial" w:eastAsia="Arial" w:hAnsi="Arial"/>
          <w:sz w:val="15"/>
          <w:szCs w:val="15"/>
          <w:color w:val="auto"/>
        </w:rPr>
        <w:t>February 18, 2021</w:t>
      </w:r>
    </w:p>
    <w:p>
      <w:pPr>
        <w:spacing w:after="0" w:line="391" w:lineRule="exact"/>
        <w:rPr>
          <w:sz w:val="20"/>
          <w:szCs w:val="20"/>
          <w:color w:val="auto"/>
        </w:rPr>
      </w:pPr>
    </w:p>
    <w:p>
      <w:pPr>
        <w:spacing w:after="0"/>
        <w:tabs>
          <w:tab w:leader="none" w:pos="69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18, 2021</w:t>
      </w:r>
    </w:p>
    <w:p>
      <w:pPr>
        <w:spacing w:after="0" w:line="200" w:lineRule="exact"/>
        <w:rPr>
          <w:sz w:val="20"/>
          <w:szCs w:val="20"/>
          <w:color w:val="auto"/>
        </w:rPr>
      </w:pPr>
    </w:p>
    <w:p>
      <w:pPr>
        <w:spacing w:after="0" w:line="203" w:lineRule="exact"/>
        <w:rPr>
          <w:sz w:val="20"/>
          <w:szCs w:val="20"/>
          <w:color w:val="auto"/>
        </w:rPr>
      </w:pPr>
    </w:p>
    <w:p>
      <w:pPr>
        <w:spacing w:after="0"/>
        <w:tabs>
          <w:tab w:leader="none" w:pos="69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18, 2021</w:t>
      </w:r>
    </w:p>
    <w:p>
      <w:pPr>
        <w:spacing w:after="0" w:line="200" w:lineRule="exact"/>
        <w:rPr>
          <w:sz w:val="20"/>
          <w:szCs w:val="20"/>
          <w:color w:val="auto"/>
        </w:rPr>
      </w:pPr>
    </w:p>
    <w:p>
      <w:pPr>
        <w:spacing w:after="0" w:line="203" w:lineRule="exact"/>
        <w:rPr>
          <w:sz w:val="20"/>
          <w:szCs w:val="20"/>
          <w:color w:val="auto"/>
        </w:rPr>
      </w:pPr>
    </w:p>
    <w:p>
      <w:pPr>
        <w:spacing w:after="0"/>
        <w:tabs>
          <w:tab w:leader="none" w:pos="69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18, 2021</w:t>
      </w:r>
    </w:p>
    <w:p>
      <w:pPr>
        <w:spacing w:after="0" w:line="200" w:lineRule="exact"/>
        <w:rPr>
          <w:sz w:val="20"/>
          <w:szCs w:val="20"/>
          <w:color w:val="auto"/>
        </w:rPr>
      </w:pPr>
    </w:p>
    <w:p>
      <w:pPr>
        <w:spacing w:after="0" w:line="203" w:lineRule="exact"/>
        <w:rPr>
          <w:sz w:val="20"/>
          <w:szCs w:val="20"/>
          <w:color w:val="auto"/>
        </w:rPr>
      </w:pPr>
    </w:p>
    <w:p>
      <w:pPr>
        <w:spacing w:after="0"/>
        <w:tabs>
          <w:tab w:leader="none" w:pos="69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18, 2021</w:t>
      </w:r>
    </w:p>
    <w:p>
      <w:pPr>
        <w:spacing w:after="0" w:line="200" w:lineRule="exact"/>
        <w:rPr>
          <w:sz w:val="20"/>
          <w:szCs w:val="20"/>
          <w:color w:val="auto"/>
        </w:rPr>
      </w:pPr>
    </w:p>
    <w:p>
      <w:pPr>
        <w:spacing w:after="0" w:line="203" w:lineRule="exact"/>
        <w:rPr>
          <w:sz w:val="20"/>
          <w:szCs w:val="20"/>
          <w:color w:val="auto"/>
        </w:rPr>
      </w:pPr>
    </w:p>
    <w:p>
      <w:pPr>
        <w:spacing w:after="0"/>
        <w:tabs>
          <w:tab w:leader="none" w:pos="69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18, 2021</w:t>
      </w:r>
    </w:p>
    <w:p>
      <w:pPr>
        <w:spacing w:after="0" w:line="200" w:lineRule="exact"/>
        <w:rPr>
          <w:sz w:val="20"/>
          <w:szCs w:val="20"/>
          <w:color w:val="auto"/>
        </w:rPr>
      </w:pPr>
    </w:p>
    <w:p>
      <w:pPr>
        <w:spacing w:after="0" w:line="203" w:lineRule="exact"/>
        <w:rPr>
          <w:sz w:val="20"/>
          <w:szCs w:val="20"/>
          <w:color w:val="auto"/>
        </w:rPr>
      </w:pPr>
    </w:p>
    <w:p>
      <w:pPr>
        <w:spacing w:after="0"/>
        <w:tabs>
          <w:tab w:leader="none" w:pos="69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18, 2021</w:t>
      </w:r>
    </w:p>
    <w:p>
      <w:pPr>
        <w:spacing w:after="0" w:line="200" w:lineRule="exact"/>
        <w:rPr>
          <w:sz w:val="20"/>
          <w:szCs w:val="20"/>
          <w:color w:val="auto"/>
        </w:rPr>
      </w:pPr>
    </w:p>
    <w:p>
      <w:pPr>
        <w:spacing w:after="0" w:line="203" w:lineRule="exact"/>
        <w:rPr>
          <w:sz w:val="20"/>
          <w:szCs w:val="20"/>
          <w:color w:val="auto"/>
        </w:rPr>
      </w:pPr>
    </w:p>
    <w:p>
      <w:pPr>
        <w:spacing w:after="0"/>
        <w:tabs>
          <w:tab w:leader="none" w:pos="69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18, 2021</w:t>
      </w:r>
    </w:p>
    <w:p>
      <w:pPr>
        <w:spacing w:after="0" w:line="200" w:lineRule="exact"/>
        <w:rPr>
          <w:sz w:val="20"/>
          <w:szCs w:val="20"/>
          <w:color w:val="auto"/>
        </w:rPr>
      </w:pPr>
    </w:p>
    <w:p>
      <w:pPr>
        <w:spacing w:after="0" w:line="203" w:lineRule="exact"/>
        <w:rPr>
          <w:sz w:val="20"/>
          <w:szCs w:val="20"/>
          <w:color w:val="auto"/>
        </w:rPr>
      </w:pPr>
    </w:p>
    <w:p>
      <w:pPr>
        <w:spacing w:after="0"/>
        <w:tabs>
          <w:tab w:leader="none" w:pos="69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18, 2021</w:t>
      </w:r>
    </w:p>
    <w:p>
      <w:pPr>
        <w:spacing w:after="0" w:line="492" w:lineRule="exact"/>
        <w:rPr>
          <w:sz w:val="20"/>
          <w:szCs w:val="20"/>
          <w:color w:val="auto"/>
        </w:rPr>
      </w:pPr>
    </w:p>
    <w:p>
      <w:pPr>
        <w:sectPr>
          <w:pgSz w:w="11900" w:h="16838" w:orient="portrait"/>
          <w:cols w:equalWidth="0" w:num="2">
            <w:col w:w="2220" w:space="720"/>
            <w:col w:w="8300"/>
          </w:cols>
          <w:pgMar w:left="320" w:top="120" w:right="339" w:bottom="1440" w:gutter="0" w:footer="0" w:header="0"/>
          <w:type w:val="continuous"/>
        </w:sect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240"/>
          </w:cols>
          <w:pgMar w:left="320" w:top="120" w:right="3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05"/>
        </w:trPr>
        <w:tc>
          <w:tcPr>
            <w:tcW w:w="33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ind w:left="780"/>
              <w:spacing w:after="0"/>
              <w:rPr>
                <w:sz w:val="20"/>
                <w:szCs w:val="20"/>
                <w:color w:val="auto"/>
              </w:rPr>
            </w:pPr>
            <w:r>
              <w:rPr>
                <w:rFonts w:ascii="Times New Roman" w:cs="Times New Roman" w:eastAsia="Times New Roman" w:hAnsi="Times New Roman"/>
                <w:sz w:val="16"/>
                <w:szCs w:val="16"/>
                <w:b w:val="1"/>
                <w:bCs w:val="1"/>
                <w:color w:val="auto"/>
                <w:w w:val="96"/>
              </w:rPr>
              <w:t>Exhibit 21.1</w:t>
            </w:r>
          </w:p>
        </w:tc>
        <w:tc>
          <w:tcPr>
            <w:tcW w:w="0" w:type="dxa"/>
            <w:vAlign w:val="bottom"/>
          </w:tcPr>
          <w:p>
            <w:pPr>
              <w:spacing w:after="0"/>
              <w:rPr>
                <w:sz w:val="1"/>
                <w:szCs w:val="1"/>
                <w:color w:val="auto"/>
              </w:rPr>
            </w:pPr>
          </w:p>
        </w:tc>
      </w:tr>
      <w:tr>
        <w:trPr>
          <w:trHeight w:val="540"/>
        </w:trPr>
        <w:tc>
          <w:tcPr>
            <w:tcW w:w="3320" w:type="dxa"/>
            <w:vAlign w:val="bottom"/>
          </w:tcPr>
          <w:p>
            <w:pPr>
              <w:spacing w:after="0"/>
              <w:rPr>
                <w:sz w:val="24"/>
                <w:szCs w:val="24"/>
                <w:color w:val="auto"/>
              </w:rPr>
            </w:pPr>
          </w:p>
        </w:tc>
        <w:tc>
          <w:tcPr>
            <w:tcW w:w="7940" w:type="dxa"/>
            <w:vAlign w:val="bottom"/>
            <w:gridSpan w:val="3"/>
          </w:tcPr>
          <w:p>
            <w:pPr>
              <w:ind w:left="1660"/>
              <w:spacing w:after="0"/>
              <w:rPr>
                <w:sz w:val="20"/>
                <w:szCs w:val="20"/>
                <w:color w:val="auto"/>
              </w:rPr>
            </w:pPr>
            <w:r>
              <w:rPr>
                <w:rFonts w:ascii="Times New Roman" w:cs="Times New Roman" w:eastAsia="Times New Roman" w:hAnsi="Times New Roman"/>
                <w:sz w:val="16"/>
                <w:szCs w:val="16"/>
                <w:b w:val="1"/>
                <w:bCs w:val="1"/>
                <w:color w:val="auto"/>
              </w:rPr>
              <w:t>List of Subsidiaries</w:t>
            </w:r>
          </w:p>
        </w:tc>
        <w:tc>
          <w:tcPr>
            <w:tcW w:w="0" w:type="dxa"/>
            <w:vAlign w:val="bottom"/>
          </w:tcPr>
          <w:p>
            <w:pPr>
              <w:spacing w:after="0"/>
              <w:rPr>
                <w:sz w:val="1"/>
                <w:szCs w:val="1"/>
                <w:color w:val="auto"/>
              </w:rPr>
            </w:pPr>
          </w:p>
        </w:tc>
      </w:tr>
      <w:tr>
        <w:trPr>
          <w:trHeight w:val="329"/>
        </w:trPr>
        <w:tc>
          <w:tcPr>
            <w:tcW w:w="33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5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State or Country of</w:t>
            </w:r>
          </w:p>
        </w:tc>
        <w:tc>
          <w:tcPr>
            <w:tcW w:w="0" w:type="dxa"/>
            <w:vAlign w:val="bottom"/>
          </w:tcPr>
          <w:p>
            <w:pPr>
              <w:spacing w:after="0"/>
              <w:rPr>
                <w:sz w:val="1"/>
                <w:szCs w:val="1"/>
                <w:color w:val="auto"/>
              </w:rPr>
            </w:pPr>
          </w:p>
        </w:tc>
      </w:tr>
      <w:tr>
        <w:trPr>
          <w:trHeight w:val="150"/>
        </w:trPr>
        <w:tc>
          <w:tcPr>
            <w:tcW w:w="3320" w:type="dxa"/>
            <w:vAlign w:val="bottom"/>
            <w:tcBorders>
              <w:bottom w:val="single" w:sz="8" w:color="auto"/>
            </w:tcBorders>
            <w:vMerge w:val="continue"/>
          </w:tcPr>
          <w:p>
            <w:pPr>
              <w:spacing w:after="0"/>
              <w:rPr>
                <w:sz w:val="13"/>
                <w:szCs w:val="13"/>
                <w:color w:val="auto"/>
              </w:rPr>
            </w:pPr>
          </w:p>
        </w:tc>
        <w:tc>
          <w:tcPr>
            <w:tcW w:w="5460" w:type="dxa"/>
            <w:vAlign w:val="bottom"/>
            <w:tcBorders>
              <w:bottom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Borders>
              <w:bottom w:val="single" w:sz="8" w:color="auto"/>
            </w:tcBorders>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w w:val="99"/>
              </w:rPr>
              <w:t>Organization</w:t>
            </w:r>
          </w:p>
        </w:tc>
        <w:tc>
          <w:tcPr>
            <w:tcW w:w="0" w:type="dxa"/>
            <w:vAlign w:val="bottom"/>
          </w:tcPr>
          <w:p>
            <w:pPr>
              <w:spacing w:after="0"/>
              <w:rPr>
                <w:sz w:val="1"/>
                <w:szCs w:val="1"/>
                <w:color w:val="auto"/>
              </w:rPr>
            </w:pPr>
          </w:p>
        </w:tc>
      </w:tr>
      <w:tr>
        <w:trPr>
          <w:trHeight w:val="19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Allison Transmission, Inc.</w:t>
            </w:r>
          </w:p>
        </w:tc>
        <w:tc>
          <w:tcPr>
            <w:tcW w:w="5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0" w:type="dxa"/>
            <w:vAlign w:val="bottom"/>
          </w:tcPr>
          <w:p>
            <w:pPr>
              <w:spacing w:after="0"/>
              <w:rPr>
                <w:sz w:val="1"/>
                <w:szCs w:val="1"/>
                <w:color w:val="auto"/>
              </w:rPr>
            </w:pPr>
          </w:p>
        </w:tc>
      </w:tr>
    </w:tbl>
    <w:p>
      <w:pPr>
        <w:sectPr>
          <w:pgSz w:w="11900" w:h="16838" w:orient="portrait"/>
          <w:cols w:equalWidth="0" w:num="1">
            <w:col w:w="11260"/>
          </w:cols>
          <w:pgMar w:left="320" w:top="121" w:right="31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391" w:lineRule="exact"/>
        <w:rPr>
          <w:sz w:val="20"/>
          <w:szCs w:val="20"/>
          <w:color w:val="auto"/>
        </w:rPr>
      </w:pPr>
    </w:p>
    <w:p>
      <w:pPr>
        <w:jc w:val="center"/>
        <w:spacing w:after="0"/>
        <w:rPr>
          <w:sz w:val="20"/>
          <w:szCs w:val="20"/>
          <w:color w:val="auto"/>
        </w:rPr>
      </w:pPr>
      <w:r>
        <w:rPr>
          <w:rFonts w:ascii="Georgia" w:cs="Georgia" w:eastAsia="Georgia" w:hAnsi="Georgia"/>
          <w:sz w:val="16"/>
          <w:szCs w:val="16"/>
          <w:color w:val="auto"/>
        </w:rPr>
        <w:t>CONSENT OF INDEPENDENT REGISTERED PUBLIC ACCOUNTING FIRM</w:t>
      </w:r>
    </w:p>
    <w:p>
      <w:pPr>
        <w:spacing w:after="0" w:line="374" w:lineRule="exact"/>
        <w:rPr>
          <w:sz w:val="20"/>
          <w:szCs w:val="20"/>
          <w:color w:val="auto"/>
        </w:rPr>
      </w:pPr>
    </w:p>
    <w:p>
      <w:pPr>
        <w:ind w:right="140"/>
        <w:spacing w:after="0" w:line="233" w:lineRule="auto"/>
        <w:rPr>
          <w:sz w:val="20"/>
          <w:szCs w:val="20"/>
          <w:color w:val="auto"/>
        </w:rPr>
      </w:pPr>
      <w:r>
        <w:rPr>
          <w:rFonts w:ascii="Georgia" w:cs="Georgia" w:eastAsia="Georgia" w:hAnsi="Georgia"/>
          <w:sz w:val="16"/>
          <w:szCs w:val="16"/>
          <w:color w:val="auto"/>
        </w:rPr>
        <w:t>We hereby consent to the incorporation by reference in the Registration Statements on Form S-8 (No. 333-180285 and 333-204224) of Allison Transmission Holdings, Inc. of our report dated February 18, 2021 relating to the financial statements and financial statement schedule and the effectiveness of internal control over financial reporting, which appears in this Form 10-K.</w:t>
      </w:r>
    </w:p>
    <w:p>
      <w:pPr>
        <w:spacing w:after="0" w:line="181" w:lineRule="exact"/>
        <w:rPr>
          <w:sz w:val="20"/>
          <w:szCs w:val="20"/>
          <w:color w:val="auto"/>
        </w:rPr>
      </w:pPr>
    </w:p>
    <w:p>
      <w:pPr>
        <w:spacing w:after="0"/>
        <w:rPr>
          <w:sz w:val="20"/>
          <w:szCs w:val="20"/>
          <w:color w:val="auto"/>
        </w:rPr>
      </w:pPr>
      <w:r>
        <w:rPr>
          <w:rFonts w:ascii="Georgia" w:cs="Georgia" w:eastAsia="Georgia" w:hAnsi="Georgia"/>
          <w:sz w:val="16"/>
          <w:szCs w:val="16"/>
          <w:color w:val="auto"/>
        </w:rPr>
        <w:t>/s/ PricewaterhouseCoopers LLP</w:t>
      </w:r>
    </w:p>
    <w:p>
      <w:pPr>
        <w:spacing w:after="0" w:line="232" w:lineRule="auto"/>
        <w:rPr>
          <w:sz w:val="20"/>
          <w:szCs w:val="20"/>
          <w:color w:val="auto"/>
        </w:rPr>
      </w:pPr>
      <w:r>
        <w:rPr>
          <w:rFonts w:ascii="Georgia" w:cs="Georgia" w:eastAsia="Georgia" w:hAnsi="Georgia"/>
          <w:sz w:val="16"/>
          <w:szCs w:val="16"/>
          <w:color w:val="auto"/>
        </w:rPr>
        <w:t>Indianapolis, Indiana</w:t>
      </w:r>
    </w:p>
    <w:p>
      <w:pPr>
        <w:spacing w:after="0" w:line="234" w:lineRule="auto"/>
        <w:rPr>
          <w:sz w:val="20"/>
          <w:szCs w:val="20"/>
          <w:color w:val="auto"/>
        </w:rPr>
      </w:pPr>
      <w:r>
        <w:rPr>
          <w:rFonts w:ascii="Georgia" w:cs="Georgia" w:eastAsia="Georgia" w:hAnsi="Georgia"/>
          <w:sz w:val="16"/>
          <w:szCs w:val="16"/>
          <w:color w:val="auto"/>
        </w:rPr>
        <w:t>February 18, 2021</w:t>
      </w:r>
    </w:p>
    <w:p>
      <w:pPr>
        <w:sectPr>
          <w:pgSz w:w="11900" w:h="16838" w:orient="portrait"/>
          <w:cols w:equalWidth="0" w:num="1">
            <w:col w:w="11260"/>
          </w:cols>
          <w:pgMar w:left="320" w:top="450" w:right="31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45" w:lineRule="exact"/>
        <w:rPr>
          <w:sz w:val="20"/>
          <w:szCs w:val="20"/>
          <w:color w:val="auto"/>
        </w:rPr>
      </w:pPr>
    </w:p>
    <w:p>
      <w:pPr>
        <w:jc w:val="center"/>
        <w:ind w:right="14"/>
        <w:spacing w:after="0" w:line="259" w:lineRule="auto"/>
        <w:rPr>
          <w:sz w:val="20"/>
          <w:szCs w:val="20"/>
          <w:color w:val="auto"/>
        </w:rPr>
      </w:pPr>
      <w:r>
        <w:rPr>
          <w:rFonts w:ascii="Times New Roman" w:cs="Times New Roman" w:eastAsia="Times New Roman" w:hAnsi="Times New Roman"/>
          <w:sz w:val="16"/>
          <w:szCs w:val="16"/>
          <w:b w:val="1"/>
          <w:bCs w:val="1"/>
          <w:color w:val="auto"/>
        </w:rPr>
        <w:t>CERTIFICATION PURSUANT TO RULE 13a-14(a)/15d-14(a) OF THE SECURITIES EXCHANGE ACT OF 1934, AS ADOPTED PURSUANT TO SECTION 302 OF THE SARBANES-OXLEY ACT OF 2002</w:t>
      </w:r>
    </w:p>
    <w:p>
      <w:pPr>
        <w:spacing w:after="0" w:line="1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David S. Graziosi, certify that:</w:t>
      </w:r>
    </w:p>
    <w:p>
      <w:pPr>
        <w:spacing w:after="0" w:line="192" w:lineRule="exact"/>
        <w:rPr>
          <w:sz w:val="20"/>
          <w:szCs w:val="20"/>
          <w:color w:val="auto"/>
        </w:rPr>
      </w:pPr>
    </w:p>
    <w:p>
      <w:pPr>
        <w:ind w:left="746" w:hanging="746"/>
        <w:spacing w:after="0"/>
        <w:tabs>
          <w:tab w:leader="none" w:pos="74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Allison Transmission Holdings, Inc.;</w:t>
      </w:r>
    </w:p>
    <w:p>
      <w:pPr>
        <w:spacing w:after="0" w:line="203" w:lineRule="exact"/>
        <w:rPr>
          <w:rFonts w:ascii="Times New Roman" w:cs="Times New Roman" w:eastAsia="Times New Roman" w:hAnsi="Times New Roman"/>
          <w:sz w:val="16"/>
          <w:szCs w:val="16"/>
          <w:color w:val="auto"/>
        </w:rPr>
      </w:pPr>
    </w:p>
    <w:p>
      <w:pPr>
        <w:ind w:left="746" w:right="140" w:hanging="746"/>
        <w:spacing w:after="0" w:line="270" w:lineRule="auto"/>
        <w:tabs>
          <w:tab w:leader="none" w:pos="74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6"/>
          <w:szCs w:val="16"/>
          <w:color w:val="auto"/>
        </w:rPr>
      </w:pPr>
    </w:p>
    <w:p>
      <w:pPr>
        <w:ind w:left="746" w:right="140" w:hanging="746"/>
        <w:spacing w:after="0" w:line="270" w:lineRule="auto"/>
        <w:tabs>
          <w:tab w:leader="none" w:pos="74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6"/>
          <w:szCs w:val="16"/>
          <w:color w:val="auto"/>
        </w:rPr>
      </w:pPr>
    </w:p>
    <w:p>
      <w:pPr>
        <w:ind w:left="746" w:right="240" w:hanging="746"/>
        <w:spacing w:after="0" w:line="304" w:lineRule="auto"/>
        <w:tabs>
          <w:tab w:leader="none" w:pos="746"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rFonts w:ascii="Times New Roman" w:cs="Times New Roman" w:eastAsia="Times New Roman" w:hAnsi="Times New Roman"/>
          <w:sz w:val="15"/>
          <w:szCs w:val="15"/>
          <w:color w:val="auto"/>
        </w:rPr>
      </w:pPr>
    </w:p>
    <w:p>
      <w:pPr>
        <w:ind w:left="1486" w:right="220" w:hanging="746"/>
        <w:spacing w:after="0" w:line="257" w:lineRule="auto"/>
        <w:tabs>
          <w:tab w:leader="none" w:pos="1486"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Times New Roman" w:cs="Times New Roman" w:eastAsia="Times New Roman" w:hAnsi="Times New Roman"/>
          <w:sz w:val="16"/>
          <w:szCs w:val="16"/>
          <w:color w:val="auto"/>
        </w:rPr>
      </w:pPr>
    </w:p>
    <w:p>
      <w:pPr>
        <w:ind w:left="1486" w:right="100" w:hanging="746"/>
        <w:spacing w:after="0" w:line="257" w:lineRule="auto"/>
        <w:tabs>
          <w:tab w:leader="none" w:pos="1486"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Times New Roman" w:cs="Times New Roman" w:eastAsia="Times New Roman" w:hAnsi="Times New Roman"/>
          <w:sz w:val="16"/>
          <w:szCs w:val="16"/>
          <w:color w:val="auto"/>
        </w:rPr>
      </w:pPr>
    </w:p>
    <w:p>
      <w:pPr>
        <w:ind w:left="1486" w:right="120" w:hanging="746"/>
        <w:spacing w:after="0" w:line="270" w:lineRule="auto"/>
        <w:tabs>
          <w:tab w:leader="none" w:pos="1486"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6"/>
          <w:szCs w:val="16"/>
          <w:color w:val="auto"/>
        </w:rPr>
      </w:pPr>
    </w:p>
    <w:p>
      <w:pPr>
        <w:ind w:left="1486" w:right="80" w:hanging="746"/>
        <w:spacing w:after="0" w:line="257" w:lineRule="auto"/>
        <w:tabs>
          <w:tab w:leader="none" w:pos="1486"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16"/>
          <w:szCs w:val="16"/>
          <w:color w:val="auto"/>
        </w:rPr>
      </w:pPr>
    </w:p>
    <w:p>
      <w:pPr>
        <w:ind w:left="746" w:right="40" w:hanging="746"/>
        <w:spacing w:after="0" w:line="270" w:lineRule="auto"/>
        <w:tabs>
          <w:tab w:leader="none" w:pos="74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6"/>
          <w:szCs w:val="16"/>
          <w:color w:val="auto"/>
        </w:rPr>
      </w:pPr>
    </w:p>
    <w:p>
      <w:pPr>
        <w:ind w:left="1486" w:right="300" w:hanging="746"/>
        <w:spacing w:after="0" w:line="270" w:lineRule="auto"/>
        <w:tabs>
          <w:tab w:leader="none" w:pos="1486"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6"/>
          <w:szCs w:val="16"/>
          <w:color w:val="auto"/>
        </w:rPr>
      </w:pPr>
    </w:p>
    <w:p>
      <w:pPr>
        <w:ind w:left="1486" w:right="520" w:hanging="746"/>
        <w:spacing w:after="0" w:line="270" w:lineRule="auto"/>
        <w:tabs>
          <w:tab w:leader="none" w:pos="1486"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Dated: February 18, 2021</w:t>
      </w:r>
    </w:p>
    <w:p>
      <w:pPr>
        <w:spacing w:after="0" w:line="1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 David S. Graziosi</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Name: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357886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3578860" cy="7620"/>
                    </a:xfrm>
                    <a:prstGeom prst="rect">
                      <a:avLst/>
                    </a:prstGeom>
                    <a:noFill/>
                  </pic:spPr>
                </pic:pic>
              </a:graphicData>
            </a:graphic>
          </wp:anchor>
        </w:drawing>
      </w:r>
    </w:p>
    <w:p>
      <w:pPr>
        <w:ind w:left="6"/>
        <w:spacing w:after="0"/>
        <w:tabs>
          <w:tab w:leader="none" w:pos="466" w:val="left"/>
        </w:tabs>
        <w:rPr>
          <w:sz w:val="20"/>
          <w:szCs w:val="20"/>
          <w:color w:val="auto"/>
        </w:rPr>
      </w:pPr>
      <w:r>
        <w:rPr>
          <w:rFonts w:ascii="Times New Roman" w:cs="Times New Roman" w:eastAsia="Times New Roman" w:hAnsi="Times New Roman"/>
          <w:sz w:val="16"/>
          <w:szCs w:val="16"/>
          <w:color w:val="auto"/>
        </w:rPr>
        <w:t>Title:</w:t>
        <w:tab/>
        <w:t>President and Chief Executive Officer</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66"/>
          </w:cols>
          <w:pgMar w:left="314" w:top="121" w:right="31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45" w:lineRule="exact"/>
        <w:rPr>
          <w:sz w:val="20"/>
          <w:szCs w:val="20"/>
          <w:color w:val="auto"/>
        </w:rPr>
      </w:pPr>
    </w:p>
    <w:p>
      <w:pPr>
        <w:jc w:val="center"/>
        <w:ind w:right="14"/>
        <w:spacing w:after="0" w:line="259" w:lineRule="auto"/>
        <w:rPr>
          <w:sz w:val="20"/>
          <w:szCs w:val="20"/>
          <w:color w:val="auto"/>
        </w:rPr>
      </w:pPr>
      <w:r>
        <w:rPr>
          <w:rFonts w:ascii="Times New Roman" w:cs="Times New Roman" w:eastAsia="Times New Roman" w:hAnsi="Times New Roman"/>
          <w:sz w:val="16"/>
          <w:szCs w:val="16"/>
          <w:b w:val="1"/>
          <w:bCs w:val="1"/>
          <w:color w:val="auto"/>
        </w:rPr>
        <w:t>CERTIFICATION PURSUANT TO RULE 13a-14(a)/15d-14(a) OF THE SECURITIES EXCHANGE ACT OF 1934, AS ADOPTED PURSUANT TO SECTION 302 OF THE SARBANES-OXLEY ACT OF 2002</w:t>
      </w:r>
    </w:p>
    <w:p>
      <w:pPr>
        <w:spacing w:after="0" w:line="1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G. Frederick Bohley, certify that:</w:t>
      </w:r>
    </w:p>
    <w:p>
      <w:pPr>
        <w:spacing w:after="0" w:line="192" w:lineRule="exact"/>
        <w:rPr>
          <w:sz w:val="20"/>
          <w:szCs w:val="20"/>
          <w:color w:val="auto"/>
        </w:rPr>
      </w:pPr>
    </w:p>
    <w:p>
      <w:pPr>
        <w:ind w:left="746" w:hanging="746"/>
        <w:spacing w:after="0"/>
        <w:tabs>
          <w:tab w:leader="none" w:pos="74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Allison Transmission Holdings, Inc.;</w:t>
      </w:r>
    </w:p>
    <w:p>
      <w:pPr>
        <w:spacing w:after="0" w:line="203" w:lineRule="exact"/>
        <w:rPr>
          <w:rFonts w:ascii="Times New Roman" w:cs="Times New Roman" w:eastAsia="Times New Roman" w:hAnsi="Times New Roman"/>
          <w:sz w:val="16"/>
          <w:szCs w:val="16"/>
          <w:color w:val="auto"/>
        </w:rPr>
      </w:pPr>
    </w:p>
    <w:p>
      <w:pPr>
        <w:ind w:left="746" w:right="140" w:hanging="746"/>
        <w:spacing w:after="0" w:line="270" w:lineRule="auto"/>
        <w:tabs>
          <w:tab w:leader="none" w:pos="74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6"/>
          <w:szCs w:val="16"/>
          <w:color w:val="auto"/>
        </w:rPr>
      </w:pPr>
    </w:p>
    <w:p>
      <w:pPr>
        <w:ind w:left="746" w:right="140" w:hanging="746"/>
        <w:spacing w:after="0" w:line="270" w:lineRule="auto"/>
        <w:tabs>
          <w:tab w:leader="none" w:pos="74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6"/>
          <w:szCs w:val="16"/>
          <w:color w:val="auto"/>
        </w:rPr>
      </w:pPr>
    </w:p>
    <w:p>
      <w:pPr>
        <w:ind w:left="746" w:right="240" w:hanging="746"/>
        <w:spacing w:after="0" w:line="304" w:lineRule="auto"/>
        <w:tabs>
          <w:tab w:leader="none" w:pos="746"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Times New Roman" w:cs="Times New Roman" w:eastAsia="Times New Roman" w:hAnsi="Times New Roman"/>
          <w:sz w:val="15"/>
          <w:szCs w:val="15"/>
          <w:color w:val="auto"/>
        </w:rPr>
      </w:pPr>
    </w:p>
    <w:p>
      <w:pPr>
        <w:ind w:left="1486" w:right="220" w:hanging="746"/>
        <w:spacing w:after="0" w:line="257" w:lineRule="auto"/>
        <w:tabs>
          <w:tab w:leader="none" w:pos="1486"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Times New Roman" w:cs="Times New Roman" w:eastAsia="Times New Roman" w:hAnsi="Times New Roman"/>
          <w:sz w:val="16"/>
          <w:szCs w:val="16"/>
          <w:color w:val="auto"/>
        </w:rPr>
      </w:pPr>
    </w:p>
    <w:p>
      <w:pPr>
        <w:ind w:left="1486" w:right="100" w:hanging="746"/>
        <w:spacing w:after="0" w:line="257" w:lineRule="auto"/>
        <w:tabs>
          <w:tab w:leader="none" w:pos="1486"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Times New Roman" w:cs="Times New Roman" w:eastAsia="Times New Roman" w:hAnsi="Times New Roman"/>
          <w:sz w:val="16"/>
          <w:szCs w:val="16"/>
          <w:color w:val="auto"/>
        </w:rPr>
      </w:pPr>
    </w:p>
    <w:p>
      <w:pPr>
        <w:ind w:left="1486" w:right="120" w:hanging="746"/>
        <w:spacing w:after="0" w:line="270" w:lineRule="auto"/>
        <w:tabs>
          <w:tab w:leader="none" w:pos="1486"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6"/>
          <w:szCs w:val="16"/>
          <w:color w:val="auto"/>
        </w:rPr>
      </w:pPr>
    </w:p>
    <w:p>
      <w:pPr>
        <w:ind w:left="1486" w:right="80" w:hanging="746"/>
        <w:spacing w:after="0" w:line="257" w:lineRule="auto"/>
        <w:tabs>
          <w:tab w:leader="none" w:pos="1486"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16"/>
          <w:szCs w:val="16"/>
          <w:color w:val="auto"/>
        </w:rPr>
      </w:pPr>
    </w:p>
    <w:p>
      <w:pPr>
        <w:ind w:left="746" w:right="40" w:hanging="746"/>
        <w:spacing w:after="0" w:line="270" w:lineRule="auto"/>
        <w:tabs>
          <w:tab w:leader="none" w:pos="74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6"/>
          <w:szCs w:val="16"/>
          <w:color w:val="auto"/>
        </w:rPr>
      </w:pPr>
    </w:p>
    <w:p>
      <w:pPr>
        <w:ind w:left="1486" w:right="300" w:hanging="746"/>
        <w:spacing w:after="0" w:line="270" w:lineRule="auto"/>
        <w:tabs>
          <w:tab w:leader="none" w:pos="1486"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6"/>
          <w:szCs w:val="16"/>
          <w:color w:val="auto"/>
        </w:rPr>
      </w:pPr>
    </w:p>
    <w:p>
      <w:pPr>
        <w:ind w:left="1486" w:right="520" w:hanging="746"/>
        <w:spacing w:after="0" w:line="270" w:lineRule="auto"/>
        <w:tabs>
          <w:tab w:leader="none" w:pos="1486"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Dated: February 18, 2021</w:t>
      </w:r>
    </w:p>
    <w:p>
      <w:pPr>
        <w:spacing w:after="0" w:line="1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 G. Frederick Bohley</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Name: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417512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4175125" cy="7620"/>
                    </a:xfrm>
                    <a:prstGeom prst="rect">
                      <a:avLst/>
                    </a:prstGeom>
                    <a:noFill/>
                  </pic:spPr>
                </pic:pic>
              </a:graphicData>
            </a:graphic>
          </wp:anchor>
        </w:drawing>
      </w:r>
    </w:p>
    <w:p>
      <w:pPr>
        <w:ind w:left="6"/>
        <w:spacing w:after="0"/>
        <w:tabs>
          <w:tab w:leader="none" w:pos="426"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5"/>
          <w:szCs w:val="15"/>
          <w:color w:val="auto"/>
        </w:rPr>
        <w:t>Senior Vice President, Chief Financial Officer and Treasurer</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66"/>
          </w:cols>
          <w:pgMar w:left="314" w:top="121" w:right="31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0" w:lineRule="exact"/>
        <w:rPr>
          <w:sz w:val="20"/>
          <w:szCs w:val="20"/>
          <w:color w:val="auto"/>
        </w:rPr>
      </w:pPr>
    </w:p>
    <w:p>
      <w:pPr>
        <w:spacing w:after="0" w:line="20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6" w:lineRule="exact"/>
        <w:rPr>
          <w:sz w:val="20"/>
          <w:szCs w:val="20"/>
          <w:color w:val="auto"/>
        </w:rPr>
      </w:pPr>
    </w:p>
    <w:p>
      <w:pPr>
        <w:ind w:left="6" w:right="160" w:firstLine="751"/>
        <w:spacing w:after="0" w:line="253" w:lineRule="auto"/>
        <w:rPr>
          <w:sz w:val="20"/>
          <w:szCs w:val="20"/>
          <w:color w:val="auto"/>
        </w:rPr>
      </w:pPr>
      <w:r>
        <w:rPr>
          <w:rFonts w:ascii="Times New Roman" w:cs="Times New Roman" w:eastAsia="Times New Roman" w:hAnsi="Times New Roman"/>
          <w:sz w:val="16"/>
          <w:szCs w:val="16"/>
          <w:color w:val="auto"/>
        </w:rPr>
        <w:t>In connection with the Annual Report of Allison Transmission Holdings, Inc. (the “Company”) on Form 10-K for the fiscal year ended December 31, 2020 as filed with the Securities and Exchange Commission on the date hereof (the “Report”), we, David S. Graziosi,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164" w:lineRule="exact"/>
        <w:rPr>
          <w:sz w:val="20"/>
          <w:szCs w:val="20"/>
          <w:color w:val="auto"/>
        </w:rPr>
      </w:pPr>
    </w:p>
    <w:p>
      <w:pPr>
        <w:ind w:left="746" w:hanging="746"/>
        <w:spacing w:after="0"/>
        <w:tabs>
          <w:tab w:leader="none" w:pos="74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03" w:lineRule="exact"/>
        <w:rPr>
          <w:rFonts w:ascii="Times New Roman" w:cs="Times New Roman" w:eastAsia="Times New Roman" w:hAnsi="Times New Roman"/>
          <w:sz w:val="16"/>
          <w:szCs w:val="16"/>
          <w:color w:val="auto"/>
        </w:rPr>
      </w:pPr>
    </w:p>
    <w:p>
      <w:pPr>
        <w:ind w:left="746" w:hanging="746"/>
        <w:spacing w:after="0"/>
        <w:tabs>
          <w:tab w:leader="none" w:pos="74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8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Dated: February 18, 2021</w:t>
      </w:r>
    </w:p>
    <w:p>
      <w:pPr>
        <w:spacing w:after="0" w:line="38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 David S. Graziosi</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Name: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357124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3571240" cy="7620"/>
                    </a:xfrm>
                    <a:prstGeom prst="rect">
                      <a:avLst/>
                    </a:prstGeom>
                    <a:noFill/>
                  </pic:spPr>
                </pic:pic>
              </a:graphicData>
            </a:graphic>
          </wp:anchor>
        </w:drawing>
      </w:r>
    </w:p>
    <w:p>
      <w:pPr>
        <w:ind w:left="6"/>
        <w:spacing w:after="0"/>
        <w:tabs>
          <w:tab w:leader="none" w:pos="466" w:val="left"/>
        </w:tabs>
        <w:rPr>
          <w:sz w:val="20"/>
          <w:szCs w:val="20"/>
          <w:color w:val="auto"/>
        </w:rPr>
      </w:pPr>
      <w:r>
        <w:rPr>
          <w:rFonts w:ascii="Times New Roman" w:cs="Times New Roman" w:eastAsia="Times New Roman" w:hAnsi="Times New Roman"/>
          <w:sz w:val="16"/>
          <w:szCs w:val="16"/>
          <w:color w:val="auto"/>
        </w:rPr>
        <w:t>Title:</w:t>
        <w:tab/>
        <w:t>President and Chief Executive Officer</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Dated: February 18, 2021</w:t>
      </w:r>
    </w:p>
    <w:p>
      <w:pPr>
        <w:spacing w:after="0" w:line="39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 G. Frederick Bohley</w:t>
      </w:r>
    </w:p>
    <w:p>
      <w:pPr>
        <w:spacing w:after="0" w:line="1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Name: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535305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5353050" cy="7620"/>
                    </a:xfrm>
                    <a:prstGeom prst="rect">
                      <a:avLst/>
                    </a:prstGeom>
                    <a:noFill/>
                  </pic:spPr>
                </pic:pic>
              </a:graphicData>
            </a:graphic>
          </wp:anchor>
        </w:drawing>
      </w:r>
    </w:p>
    <w:p>
      <w:pPr>
        <w:ind w:left="6"/>
        <w:spacing w:after="0"/>
        <w:tabs>
          <w:tab w:leader="none" w:pos="426"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5"/>
          <w:szCs w:val="15"/>
          <w:color w:val="auto"/>
        </w:rPr>
        <w:t>Senior Vice President, Chief Financial Officer and Treasurer</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(Principal Financial Officer)</w:t>
      </w:r>
    </w:p>
    <w:sectPr>
      <w:pgSz w:w="11900" w:h="16838" w:orient="portrait"/>
      <w:cols w:equalWidth="0" w:num="1">
        <w:col w:w="11266"/>
      </w:cols>
      <w:pgMar w:left="314"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5"/>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01"/>
    </w:lvl>
  </w:abstractNum>
  <w:abstractNum w:abstractNumId="14">
    <w:nsid w:val="25E45D32"/>
    <w:multiLevelType w:val="hybridMultilevel"/>
    <w:lvl w:ilvl="0">
      <w:lvlJc w:val="left"/>
      <w:lvlText w:val="%1"/>
      <w:numFmt w:val="decimal"/>
      <w:start w:val="104"/>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58"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32" Type="http://schemas.openxmlformats.org/officeDocument/2006/relationships/hyperlink" Target="http://www.sec.gov/Archives/edgar/data/1411207/000119312512184036/d323375dex31.htm" TargetMode="External"/><Relationship Id="rId133" Type="http://schemas.openxmlformats.org/officeDocument/2006/relationships/hyperlink" Target="http://www.sec.gov/Archives/edgar/data/1411207/000119312516594496/d183115dex31.htm" TargetMode="External"/><Relationship Id="rId134" Type="http://schemas.openxmlformats.org/officeDocument/2006/relationships/hyperlink" Target="http://www.sec.gov/Archives/edgar/data/1411207/000119312520139220/d908091dex31.htm" TargetMode="External"/><Relationship Id="rId135" Type="http://schemas.openxmlformats.org/officeDocument/2006/relationships/hyperlink" Target="http://www.sec.gov/Archives/edgar/data/1411207/000119312511166896/dex41.htm" TargetMode="External"/><Relationship Id="rId136" Type="http://schemas.openxmlformats.org/officeDocument/2006/relationships/hyperlink" Target="http://www.sec.gov/Archives/edgar/data/1411207/000119312516718433/d264298dex41.htm" TargetMode="External"/><Relationship Id="rId137" Type="http://schemas.openxmlformats.org/officeDocument/2006/relationships/hyperlink" Target="http://www.sec.gov/Archives/edgar/data/1411207/000119312517294436/d420544dex41.htm" TargetMode="External"/><Relationship Id="rId138" Type="http://schemas.openxmlformats.org/officeDocument/2006/relationships/hyperlink" Target="http://www.sec.gov/Archives/edgar/data/1411207/000119312519092833/d714412dex41.htm" TargetMode="External"/><Relationship Id="rId139" Type="http://schemas.openxmlformats.org/officeDocument/2006/relationships/hyperlink" Target="http://www.sec.gov/Archives/edgar/data/1411207/000119312520298238/d199880dex41.htm" TargetMode="External"/><Relationship Id="rId140" Type="http://schemas.openxmlformats.org/officeDocument/2006/relationships/hyperlink" Target="http://www.sec.gov/Archives/edgar/data/1411207/000156459020007355/alsn-ex45_551.htm" TargetMode="External"/><Relationship Id="rId141" Type="http://schemas.openxmlformats.org/officeDocument/2006/relationships/hyperlink" Target="http://www.sec.gov/Archives/edgar/data/1411207/000119312519092833/d714412dex101.htm" TargetMode="External"/><Relationship Id="rId144" Type="http://schemas.openxmlformats.org/officeDocument/2006/relationships/hyperlink" Target="http://www.sec.gov/Archives/edgar/data/1411207/000119312519267347/d811015dex101.htm" TargetMode="External"/><Relationship Id="rId145" Type="http://schemas.openxmlformats.org/officeDocument/2006/relationships/hyperlink" Target="http://www.sec.gov/Archives/edgar/data/1411207/000119312520298238/d199880dex101.htm" TargetMode="External"/><Relationship Id="rId146" Type="http://schemas.openxmlformats.org/officeDocument/2006/relationships/hyperlink" Target="http://www.sec.gov/Archives/edgar/data/1411207/000119312511071161/dex103.htm" TargetMode="External"/><Relationship Id="rId147" Type="http://schemas.openxmlformats.org/officeDocument/2006/relationships/hyperlink" Target="http://www.sec.gov/Archives/edgar/data/1411207/000119312511071161/dex104.htm" TargetMode="External"/><Relationship Id="rId148" Type="http://schemas.openxmlformats.org/officeDocument/2006/relationships/hyperlink" Target="http://www.sec.gov/Archives/edgar/data/1411207/000119312511071161/dex105.htm" TargetMode="External"/><Relationship Id="rId149" Type="http://schemas.openxmlformats.org/officeDocument/2006/relationships/hyperlink" Target="http://www.sec.gov/Archives/edgar/data/1411207/000119312515117078/d889372ddef14a.htm" TargetMode="External"/><Relationship Id="rId150" Type="http://schemas.openxmlformats.org/officeDocument/2006/relationships/hyperlink" Target="http://www.sec.gov/Archives/edgar/data/1411207/000119312516469168/d107528dex1041.htm" TargetMode="External"/><Relationship Id="rId151" Type="http://schemas.openxmlformats.org/officeDocument/2006/relationships/hyperlink" Target="http://www.sec.gov/Archives/edgar/data/1411207/000119312516469168/d107528dex1042.htm" TargetMode="External"/><Relationship Id="rId152" Type="http://schemas.openxmlformats.org/officeDocument/2006/relationships/hyperlink" Target="http://www.sec.gov/Archives/edgar/data/1411207/000119312516469168/d107528dex1043.htm" TargetMode="External"/><Relationship Id="rId153" Type="http://schemas.openxmlformats.org/officeDocument/2006/relationships/hyperlink" Target="http://www.sec.gov/Archives/edgar/data/1411207/000119312517056079/d290286dex1025.htm" TargetMode="External"/><Relationship Id="rId154" Type="http://schemas.openxmlformats.org/officeDocument/2006/relationships/hyperlink" Target="http://www.sec.gov/Archives/edgar/data/1411207/000119312511166896/dex1010.htm" TargetMode="External"/><Relationship Id="rId155" Type="http://schemas.openxmlformats.org/officeDocument/2006/relationships/hyperlink" Target="http://www.sec.gov/Archives/edgar/data/1411207/000119312511166896/dex1012.htm" TargetMode="External"/><Relationship Id="rId156" Type="http://schemas.openxmlformats.org/officeDocument/2006/relationships/hyperlink" Target="http://www.sec.gov/Archives/edgar/data/1411207/000119312511166896/dex1013.htm" TargetMode="External"/><Relationship Id="rId157" Type="http://schemas.openxmlformats.org/officeDocument/2006/relationships/hyperlink" Target="http://www.sec.gov/Archives/edgar/data/1411207/000119312513310167/d552917dex1027.htm" TargetMode="External"/><Relationship Id="rId159" Type="http://schemas.openxmlformats.org/officeDocument/2006/relationships/hyperlink" Target="http://www.sec.gov/Archives/edgar/data/1411207/000119312513414609/d599468dex1029.htm" TargetMode="External"/><Relationship Id="rId160" Type="http://schemas.openxmlformats.org/officeDocument/2006/relationships/hyperlink" Target="http://www.sec.gov/Archives/edgar/data/1411207/000119312512325816/d357243dex1021.htm" TargetMode="External"/><Relationship Id="rId161" Type="http://schemas.openxmlformats.org/officeDocument/2006/relationships/hyperlink" Target="http://www.sec.gov/Archives/edgar/data/1411207/000156459020007355/alsn-ex1021_424.htm" TargetMode="External"/><Relationship Id="rId162" Type="http://schemas.openxmlformats.org/officeDocument/2006/relationships/hyperlink" Target="http://www.sec.gov/Archives/edgar/data/1411207/000119312515152186/d898569dex1038.htm" TargetMode="External"/><Relationship Id="rId163" Type="http://schemas.openxmlformats.org/officeDocument/2006/relationships/hyperlink" Target="http://www.sec.gov/Archives/edgar/data/1411207/000119312511139969/dex109.htm" TargetMode="External"/><Relationship Id="rId164" Type="http://schemas.openxmlformats.org/officeDocument/2006/relationships/hyperlink" Target="http://www.sec.gov/Archives/edgar/data/1411207/000119312514063895/d642995dex1034.htm" TargetMode="External"/><Relationship Id="rId165" Type="http://schemas.openxmlformats.org/officeDocument/2006/relationships/hyperlink" Target="http://www.sec.gov/Archives/edgar/data/1411207/000119312518094155/d558656dex101.htm" TargetMode="External"/><Relationship Id="rId166" Type="http://schemas.openxmlformats.org/officeDocument/2006/relationships/hyperlink" Target="http://www.sec.gov/Archives/edgar/data/1411207/000119312519139652/d743601dex101.htm" TargetMode="External"/><Relationship Id="rId167" Type="http://schemas.openxmlformats.org/officeDocument/2006/relationships/hyperlink" Target="http://www.sec.gov/Archives/edgar/data/1411207/000141120719000050/exhibit141codeofconduc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2021-02-18T16:34:01Z</dcterms:created>
  <dcterms:modified xsi:type="dcterms:W3CDTF">2021-02-18T16:34:01Z</dcterms:modified>
</cp:coreProperties>
</file>