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5" w:lineRule="exact"/>
        <w:rPr>
          <w:sz w:val="24"/>
          <w:szCs w:val="24"/>
          <w:color w:val="auto"/>
        </w:rPr>
      </w:pPr>
    </w:p>
    <w:p>
      <w:pPr>
        <w:ind w:left="460" w:right="460" w:hanging="452"/>
        <w:spacing w:after="0" w:line="262"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001-35456</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ALLISON TRANSMISSION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81915</wp:posOffset>
            </wp:positionV>
            <wp:extent cx="201549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1549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1640" w:type="dxa"/>
        <w:tblCellMar>
          <w:top w:w="0" w:type="dxa"/>
          <w:left w:w="0" w:type="dxa"/>
          <w:bottom w:w="0" w:type="dxa"/>
          <w:right w:w="0" w:type="dxa"/>
        </w:tblCellMar>
      </w:tblPr>
      <w:tr>
        <w:trPr>
          <w:trHeight w:val="214"/>
        </w:trPr>
        <w:tc>
          <w:tcPr>
            <w:tcW w:w="5980" w:type="dxa"/>
            <w:vAlign w:val="bottom"/>
          </w:tcPr>
          <w:p>
            <w:pPr>
              <w:jc w:val="center"/>
              <w:ind w:right="34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72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26-0414014</w:t>
            </w:r>
          </w:p>
        </w:tc>
      </w:tr>
      <w:tr>
        <w:trPr>
          <w:trHeight w:val="149"/>
        </w:trPr>
        <w:tc>
          <w:tcPr>
            <w:tcW w:w="5980" w:type="dxa"/>
            <w:vAlign w:val="bottom"/>
          </w:tcPr>
          <w:p>
            <w:pPr>
              <w:jc w:val="center"/>
              <w:ind w:right="34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20" w:type="dxa"/>
            <w:vAlign w:val="bottom"/>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80" w:type="dxa"/>
            <w:vAlign w:val="bottom"/>
          </w:tcPr>
          <w:p>
            <w:pPr>
              <w:jc w:val="center"/>
              <w:ind w:right="34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5980" w:type="dxa"/>
            <w:vAlign w:val="bottom"/>
          </w:tcPr>
          <w:p>
            <w:pPr>
              <w:jc w:val="center"/>
              <w:ind w:right="3439"/>
              <w:spacing w:after="0"/>
              <w:rPr>
                <w:sz w:val="20"/>
                <w:szCs w:val="20"/>
                <w:color w:val="auto"/>
              </w:rPr>
            </w:pPr>
            <w:r>
              <w:rPr>
                <w:rFonts w:ascii="Times New Roman" w:cs="Times New Roman" w:eastAsia="Times New Roman" w:hAnsi="Times New Roman"/>
                <w:sz w:val="18"/>
                <w:szCs w:val="18"/>
                <w:b w:val="1"/>
                <w:bCs w:val="1"/>
                <w:color w:val="auto"/>
                <w:w w:val="99"/>
              </w:rPr>
              <w:t>One Allison Way</w:t>
            </w:r>
          </w:p>
        </w:tc>
        <w:tc>
          <w:tcPr>
            <w:tcW w:w="1720" w:type="dxa"/>
            <w:vAlign w:val="bottom"/>
          </w:tcPr>
          <w:p>
            <w:pPr>
              <w:spacing w:after="0"/>
              <w:rPr>
                <w:sz w:val="24"/>
                <w:szCs w:val="24"/>
                <w:color w:val="auto"/>
              </w:rPr>
            </w:pPr>
          </w:p>
        </w:tc>
      </w:tr>
      <w:tr>
        <w:trPr>
          <w:trHeight w:val="227"/>
        </w:trPr>
        <w:tc>
          <w:tcPr>
            <w:tcW w:w="5980" w:type="dxa"/>
            <w:vAlign w:val="bottom"/>
          </w:tcPr>
          <w:p>
            <w:pPr>
              <w:jc w:val="center"/>
              <w:ind w:right="3459"/>
              <w:spacing w:after="0"/>
              <w:rPr>
                <w:sz w:val="20"/>
                <w:szCs w:val="20"/>
                <w:color w:val="auto"/>
              </w:rPr>
            </w:pPr>
            <w:r>
              <w:rPr>
                <w:rFonts w:ascii="Times New Roman" w:cs="Times New Roman" w:eastAsia="Times New Roman" w:hAnsi="Times New Roman"/>
                <w:sz w:val="18"/>
                <w:szCs w:val="18"/>
                <w:b w:val="1"/>
                <w:bCs w:val="1"/>
                <w:color w:val="auto"/>
                <w:w w:val="99"/>
              </w:rPr>
              <w:t>Indianapolis, IN</w:t>
            </w:r>
          </w:p>
        </w:tc>
        <w:tc>
          <w:tcPr>
            <w:tcW w:w="172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46222</w:t>
            </w:r>
          </w:p>
        </w:tc>
      </w:tr>
      <w:tr>
        <w:trPr>
          <w:trHeight w:val="190"/>
        </w:trPr>
        <w:tc>
          <w:tcPr>
            <w:tcW w:w="5980" w:type="dxa"/>
            <w:vAlign w:val="bottom"/>
          </w:tcPr>
          <w:p>
            <w:pPr>
              <w:jc w:val="center"/>
              <w:ind w:right="3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5980" w:type="dxa"/>
            <w:vAlign w:val="bottom"/>
          </w:tcPr>
          <w:p>
            <w:pPr>
              <w:jc w:val="right"/>
              <w:ind w:right="1259"/>
              <w:spacing w:after="0"/>
              <w:rPr>
                <w:sz w:val="20"/>
                <w:szCs w:val="20"/>
                <w:color w:val="auto"/>
              </w:rPr>
            </w:pPr>
            <w:r>
              <w:rPr>
                <w:rFonts w:ascii="Times New Roman" w:cs="Times New Roman" w:eastAsia="Times New Roman" w:hAnsi="Times New Roman"/>
                <w:sz w:val="18"/>
                <w:szCs w:val="18"/>
                <w:b w:val="1"/>
                <w:bCs w:val="1"/>
                <w:color w:val="auto"/>
              </w:rPr>
              <w:t>(317) 242-5000</w:t>
            </w:r>
          </w:p>
        </w:tc>
        <w:tc>
          <w:tcPr>
            <w:tcW w:w="1720" w:type="dxa"/>
            <w:vAlign w:val="bottom"/>
          </w:tcPr>
          <w:p>
            <w:pPr>
              <w:spacing w:after="0"/>
              <w:rPr>
                <w:sz w:val="24"/>
                <w:szCs w:val="24"/>
                <w:color w:val="auto"/>
              </w:rPr>
            </w:pPr>
          </w:p>
        </w:tc>
      </w:tr>
      <w:tr>
        <w:trPr>
          <w:trHeight w:val="190"/>
        </w:trPr>
        <w:tc>
          <w:tcPr>
            <w:tcW w:w="5980" w:type="dxa"/>
            <w:vAlign w:val="bottom"/>
          </w:tcPr>
          <w:p>
            <w:pPr>
              <w:jc w:val="center"/>
              <w:ind w:left="20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20" w:type="dxa"/>
            <w:vAlign w:val="bottom"/>
          </w:tcPr>
          <w:p>
            <w:pPr>
              <w:spacing w:after="0"/>
              <w:rPr>
                <w:sz w:val="16"/>
                <w:szCs w:val="16"/>
                <w:color w:val="auto"/>
              </w:rPr>
            </w:pPr>
          </w:p>
        </w:tc>
      </w:tr>
    </w:tbl>
    <w:p>
      <w:pPr>
        <w:spacing w:after="0" w:line="181" w:lineRule="exact"/>
        <w:rPr>
          <w:sz w:val="24"/>
          <w:szCs w:val="24"/>
          <w:color w:val="auto"/>
        </w:rPr>
      </w:pPr>
    </w:p>
    <w:p>
      <w:pPr>
        <w:ind w:right="2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620" w:space="300"/>
            <w:col w:w="6220" w:space="720"/>
            <w:col w:w="1680" w:space="720"/>
            <w:col w:w="160"/>
          </w:cols>
          <w:pgMar w:left="240" w:top="22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2" w:lineRule="exact"/>
        <w:rPr>
          <w:sz w:val="24"/>
          <w:szCs w:val="24"/>
          <w:color w:val="auto"/>
        </w:rPr>
      </w:pPr>
    </w:p>
    <w:p>
      <w:pPr>
        <w:sectPr>
          <w:pgSz w:w="11900" w:h="16838" w:orient="portrait"/>
          <w:cols w:equalWidth="0" w:num="5">
            <w:col w:w="1540" w:space="380"/>
            <w:col w:w="160" w:space="100"/>
            <w:col w:w="5960" w:space="720"/>
            <w:col w:w="1980" w:space="420"/>
            <w:col w:w="160"/>
          </w:cols>
          <w:pgMar w:left="240" w:top="226" w:right="239" w:bottom="1440" w:gutter="0" w:footer="0" w:header="0"/>
          <w:type w:val="continuous"/>
        </w:sectPr>
      </w:pPr>
    </w:p>
    <w:p>
      <w:pPr>
        <w:spacing w:after="0" w:line="28"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28" w:lineRule="exact"/>
        <w:rPr>
          <w:sz w:val="24"/>
          <w:szCs w:val="24"/>
          <w:color w:val="auto"/>
        </w:rPr>
      </w:pPr>
    </w:p>
    <w:p>
      <w:pPr>
        <w:sectPr>
          <w:pgSz w:w="11900" w:h="16838" w:orient="portrait"/>
          <w:cols w:equalWidth="0" w:num="4">
            <w:col w:w="8640" w:space="180"/>
            <w:col w:w="260" w:space="80"/>
            <w:col w:w="160" w:space="180"/>
            <w:col w:w="1920"/>
          </w:cols>
          <w:pgMar w:left="240" w:top="226" w:right="239" w:bottom="1440" w:gutter="0" w:footer="0" w:header="0"/>
          <w:type w:val="continuous"/>
        </w:sectPr>
      </w:pPr>
    </w:p>
    <w:p>
      <w:pPr>
        <w:spacing w:after="0" w:line="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3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14, 2015, there were 176,422,605 shares of Common Stock outstanding.</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52" w:lineRule="exact"/>
        <w:rPr>
          <w:sz w:val="20"/>
          <w:szCs w:val="20"/>
          <w:color w:val="auto"/>
        </w:rPr>
      </w:pPr>
    </w:p>
    <w:p>
      <w:pPr>
        <w:jc w:val="cente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80" w:type="dxa"/>
            <w:vAlign w:val="bottom"/>
            <w:gridSpan w:val="2"/>
            <w:vMerge w:val="restart"/>
          </w:tcPr>
          <w:p>
            <w:pPr>
              <w:spacing w:after="0"/>
              <w:rPr>
                <w:sz w:val="14"/>
                <w:szCs w:val="14"/>
                <w:color w:val="auto"/>
              </w:rPr>
            </w:pPr>
          </w:p>
        </w:tc>
        <w:tc>
          <w:tcPr>
            <w:tcW w:w="10140" w:type="dxa"/>
            <w:vAlign w:val="bottom"/>
            <w:gridSpan w:val="16"/>
            <w:vMerge w:val="restart"/>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56"/>
        </w:trPr>
        <w:tc>
          <w:tcPr>
            <w:tcW w:w="5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0140" w:type="dxa"/>
            <w:vAlign w:val="bottom"/>
            <w:gridSpan w:val="16"/>
            <w:vMerge w:val="continue"/>
          </w:tcPr>
          <w:p>
            <w:pPr>
              <w:spacing w:after="0"/>
              <w:rPr>
                <w:sz w:val="13"/>
                <w:szCs w:val="13"/>
                <w:color w:val="auto"/>
              </w:rPr>
            </w:pPr>
          </w:p>
        </w:tc>
        <w:tc>
          <w:tcPr>
            <w:tcW w:w="48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7"/>
        </w:trPr>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5"/>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6-19</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28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3.</w:t>
            </w:r>
          </w:p>
        </w:tc>
        <w:tc>
          <w:tcPr>
            <w:tcW w:w="280" w:type="dxa"/>
            <w:vAlign w:val="bottom"/>
            <w:gridSpan w:val="2"/>
          </w:tcPr>
          <w:p>
            <w:pPr>
              <w:spacing w:after="0"/>
              <w:rPr>
                <w:sz w:val="24"/>
                <w:szCs w:val="24"/>
                <w:color w:val="auto"/>
              </w:rPr>
            </w:pPr>
          </w:p>
        </w:tc>
        <w:tc>
          <w:tcPr>
            <w:tcW w:w="43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34">
              <w:r>
                <w:rPr>
                  <w:rFonts w:ascii="Times New Roman" w:cs="Times New Roman" w:eastAsia="Times New Roman" w:hAnsi="Times New Roman"/>
                  <w:sz w:val="18"/>
                  <w:szCs w:val="18"/>
                  <w:color w:val="0000EE"/>
                  <w:w w:val="99"/>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34-35</w:t>
            </w:r>
          </w:p>
        </w:tc>
        <w:tc>
          <w:tcPr>
            <w:tcW w:w="0" w:type="dxa"/>
            <w:vAlign w:val="bottom"/>
          </w:tcPr>
          <w:p>
            <w:pPr>
              <w:spacing w:after="0"/>
              <w:rPr>
                <w:sz w:val="1"/>
                <w:szCs w:val="1"/>
                <w:color w:val="auto"/>
              </w:rPr>
            </w:pPr>
          </w:p>
        </w:tc>
      </w:tr>
      <w:tr>
        <w:trPr>
          <w:trHeight w:val="30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Controls and Procedures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6860" w:type="dxa"/>
            <w:vAlign w:val="bottom"/>
            <w:gridSpan w:val="8"/>
          </w:tcPr>
          <w:p>
            <w:pPr>
              <w:ind w:left="260"/>
              <w:spacing w:after="0"/>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280" w:type="dxa"/>
            <w:vAlign w:val="bottom"/>
            <w:gridSpan w:val="2"/>
          </w:tcPr>
          <w:p>
            <w:pPr>
              <w:spacing w:after="0"/>
              <w:rPr>
                <w:sz w:val="24"/>
                <w:szCs w:val="24"/>
                <w:color w:val="auto"/>
              </w:rPr>
            </w:pPr>
          </w:p>
        </w:tc>
        <w:tc>
          <w:tcPr>
            <w:tcW w:w="3540" w:type="dxa"/>
            <w:vAlign w:val="bottom"/>
            <w:gridSpan w:val="9"/>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Legal Proceedings</w:t>
              </w:r>
            </w:hyperlink>
          </w:p>
        </w:tc>
        <w:tc>
          <w:tcPr>
            <w:tcW w:w="2760" w:type="dxa"/>
            <w:vAlign w:val="bottom"/>
            <w:tcBorders>
              <w:top w:val="single" w:sz="8" w:color="0000EE"/>
            </w:tcBorders>
            <w:gridSpan w:val="5"/>
          </w:tcPr>
          <w:p>
            <w:pPr>
              <w:spacing w:after="0"/>
              <w:rPr>
                <w:sz w:val="24"/>
                <w:szCs w:val="24"/>
                <w:color w:val="auto"/>
              </w:rPr>
            </w:pPr>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Risk Factors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304"/>
        </w:trPr>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28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37">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9"/>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Signatures</w:t>
              </w:r>
            </w:hyperlink>
          </w:p>
        </w:tc>
        <w:tc>
          <w:tcPr>
            <w:tcW w:w="9380" w:type="dxa"/>
            <w:vAlign w:val="bottom"/>
            <w:gridSpan w:val="13"/>
          </w:tcPr>
          <w:p>
            <w:pPr>
              <w:spacing w:after="0"/>
              <w:rPr>
                <w:sz w:val="24"/>
                <w:szCs w:val="24"/>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00" w:type="dxa"/>
            <w:vAlign w:val="bottom"/>
            <w:gridSpan w:val="14"/>
          </w:tcPr>
          <w:p>
            <w:pPr>
              <w:ind w:left="486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500" w:type="dxa"/>
            <w:vAlign w:val="bottom"/>
          </w:tcPr>
          <w:p>
            <w:pPr>
              <w:spacing w:after="0"/>
              <w:rPr>
                <w:sz w:val="13"/>
                <w:szCs w:val="13"/>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net of allowance for doubtful accounts of $0.6 and $0.3, respectively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228.1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97.8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485.4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1,941.0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4,683.0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142.4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113.9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321.8</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warranty liability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2,392.0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273.0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225.1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3,317.4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O)</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5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1,880,000,000 shares authorized, 177,091,171 shares issued and outstanding and</w:t>
            </w:r>
          </w:p>
        </w:tc>
        <w:tc>
          <w:tcPr>
            <w:tcW w:w="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5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179,488,247 shares issued and outstanding, respectively</w:t>
            </w:r>
          </w:p>
        </w:tc>
        <w:tc>
          <w:tcPr>
            <w:tcW w:w="8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Non-voting common stock, $0.01 par value, 20,000,000 shares authorized, none issued and outstanding</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none issued and outstanding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Paid in capital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1,685.0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(50.5)</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1,365.6</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4,683.0</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 except per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22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9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160" w:type="dxa"/>
            <w:vAlign w:val="bottom"/>
          </w:tcPr>
          <w:p>
            <w:pPr>
              <w:spacing w:after="0"/>
              <w:rPr>
                <w:sz w:val="18"/>
                <w:szCs w:val="18"/>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(60.4)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16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(25.1)</w:t>
            </w: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94.7</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(72.5)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0.30</w:t>
            </w: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55.3</w:t>
            </w:r>
          </w:p>
        </w:tc>
        <w:tc>
          <w:tcPr>
            <w:tcW w:w="1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dollars 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8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8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122.8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(deduct) items included in net income not using (providing) cash:</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67.3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43.4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derivatives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(23.2)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233.7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technology-related initiatives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Collateral for interest rate derivatives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disposal of assets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and redemption of long-term debt</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(491.0)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of long-term debt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470.0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(114.7)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(104.6)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payments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Excess tax benefit from stock-based compensation</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financing fees</w:t>
            </w: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(272.4)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(46.2)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263.0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216.8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4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w:t>
            </w: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Interest paid</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53.6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Income taxes paid</w:t>
            </w: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3.9</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OVERVIEW</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SUMMARY OF SIGNIFICANT ACCOUNTING POLICIES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as of and for the three and six months ended June 30, 2015 and 2014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2014 as filed with the Securities and Exchange Commission (“SEC”) on February 20, 2015. Certain immaterial reclassifications have been made in the condensed consolidated financial statements of prior periods to conform to the current period presentation. These reclassifications have no impact on previously reported net income, total stockholders’ equity or cash flows. The interim period financial results for the three and six month periods presented are not necessarily indicative of results to be expected for any other interim period or for the entire year.</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In April 2015, the Financial Accounting Standards Board (“FASB”) issued authoritative accounting guidance to simplify the presentation of the debt issuance costs. The guidance requires that the debt issuance costs be presented in the balance sheet as a direct deduction from the carrying amount of debt liability, consistent with debt discounts or premiums. The recognition and measurement guidance for debt issuance costs are not affected. The guidance is effective for public entities for interim and annual reporting periods beginning after December 15, 2015, but can be early-adopted. Management is assessing the potential impact of the adoption of this guidance on the Company’s consolidated financial statements.</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interim and annual reporting periods beginning after December 15, 2016, but can be early-adopted. While the adoption of this guidance is not expected to have an effect on the Company’s consolidated financial statements, it could affect the disclosure applied under these circumstances in the future.</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improved disclosures regarding the nature, timing, amount and uncertainty of revenue that is recognized. As originally proposed, the guidance was effective prospectively for interim and annual reporting periods beginning after December 15, 2016. On April 1, 2015, the FASB proposed a one-year deferral of the effective date. Under the proposal, the guidance would be effective on a retrospective or modified retrospective basis for public entities for interim and annual reporting periods beginning after December 15, 2017. The proposal also would permit both public and nonpublic entities to adopt the guidance as early as December 15, 2016. Early adoption prior to that date would not be permitted. In July 2015, the FASB proposed deferral was approved. Management is assessing the potential impact of the adoption of this guidance on the Company’s consolidated financial statements.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Inventories consisted of the following components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580" w:type="dxa"/>
            <w:vAlign w:val="bottom"/>
            <w:gridSpan w:val="3"/>
          </w:tcPr>
          <w:p>
            <w:pPr>
              <w:ind w:left="20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5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parts and raw materials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inventories</w:t>
            </w:r>
          </w:p>
        </w:tc>
        <w:tc>
          <w:tcPr>
            <w:tcW w:w="216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155.3</w:t>
            </w:r>
          </w:p>
        </w:tc>
        <w:tc>
          <w:tcPr>
            <w:tcW w:w="8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K, “Other Current Liabilities” for more information.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GOODWILL AND OTHER INTANGIBLE ASSETS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June 30, 2015 and December 31, 2014, the carrying amount of the Company’s Goodwill was $1,941.0 million. The following presents a summary of other intangible assets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380" w:type="dxa"/>
            <w:vAlign w:val="bottom"/>
          </w:tcPr>
          <w:p>
            <w:pPr>
              <w:spacing w:after="0"/>
              <w:rPr>
                <w:sz w:val="10"/>
                <w:szCs w:val="10"/>
                <w:color w:val="auto"/>
              </w:rPr>
            </w:pPr>
          </w:p>
        </w:tc>
        <w:tc>
          <w:tcPr>
            <w:tcW w:w="7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300" w:type="dxa"/>
            <w:vAlign w:val="bottom"/>
          </w:tcPr>
          <w:p>
            <w:pPr>
              <w:spacing w:after="0"/>
              <w:rPr>
                <w:sz w:val="10"/>
                <w:szCs w:val="10"/>
                <w:color w:val="auto"/>
              </w:rPr>
            </w:pPr>
          </w:p>
        </w:tc>
        <w:tc>
          <w:tcPr>
            <w:tcW w:w="10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3"/>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2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Intangible</w:t>
            </w:r>
          </w:p>
        </w:tc>
        <w:tc>
          <w:tcPr>
            <w:tcW w:w="100" w:type="dxa"/>
            <w:vAlign w:val="bottom"/>
          </w:tcPr>
          <w:p>
            <w:pPr>
              <w:spacing w:after="0"/>
              <w:rPr>
                <w:sz w:val="10"/>
                <w:szCs w:val="10"/>
                <w:color w:val="auto"/>
              </w:rPr>
            </w:pPr>
          </w:p>
        </w:tc>
      </w:tr>
      <w:tr>
        <w:trPr>
          <w:trHeight w:val="173"/>
        </w:trPr>
        <w:tc>
          <w:tcPr>
            <w:tcW w:w="538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assets, gross</w:t>
            </w:r>
          </w:p>
        </w:tc>
        <w:tc>
          <w:tcPr>
            <w:tcW w:w="3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c>
          <w:tcPr>
            <w:tcW w:w="1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gross</w:t>
            </w:r>
          </w:p>
        </w:tc>
        <w:tc>
          <w:tcPr>
            <w:tcW w:w="2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 net</w:t>
            </w: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870.0</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870.0</w:t>
            </w:r>
          </w:p>
        </w:tc>
        <w:tc>
          <w:tcPr>
            <w:tcW w:w="140" w:type="dxa"/>
            <w:vAlign w:val="bottom"/>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commercial</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Tooling rights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2,551.0</w:t>
            </w:r>
          </w:p>
        </w:tc>
        <w:tc>
          <w:tcPr>
            <w:tcW w:w="3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(1,087.6)</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1,463.4</w:t>
            </w:r>
          </w:p>
        </w:tc>
        <w:tc>
          <w:tcPr>
            <w:tcW w:w="140" w:type="dxa"/>
            <w:vAlign w:val="bottom"/>
          </w:tcPr>
          <w:p>
            <w:pPr>
              <w:spacing w:after="0"/>
              <w:rPr>
                <w:sz w:val="24"/>
                <w:szCs w:val="24"/>
                <w:color w:val="auto"/>
              </w:rPr>
            </w:pP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4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1,512.0</w:t>
            </w:r>
          </w:p>
        </w:tc>
        <w:tc>
          <w:tcPr>
            <w:tcW w:w="100" w:type="dxa"/>
            <w:vAlign w:val="bottom"/>
          </w:tcPr>
          <w:p>
            <w:pPr>
              <w:spacing w:after="0"/>
              <w:rPr>
                <w:sz w:val="24"/>
                <w:szCs w:val="24"/>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 of June 30, 2015 and December 31, 2014, the net carrying value of our Goodwill and other intangibles was $3,404.4 million and $3,453.0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related to other intangible assets for the next five years and thereafter is expected to be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10"/>
        </w:trPr>
        <w:tc>
          <w:tcPr>
            <w:tcW w:w="7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92.4</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85.7</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FAIR VALUE OF FINANCIAL INSTRUMENTS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June 30, 2015 and December 31, 2014, the Company did not have any Level 3 financial assets or liabilities.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80"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88"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8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the Company’s financial assets and (liabilities) as of June 30, 2015 and December 31, 2014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940" w:type="dxa"/>
            <w:vAlign w:val="bottom"/>
            <w:gridSpan w:val="5"/>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 Active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4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 (Level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101.0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3.9</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Rabbi trust assets</w:t>
            </w:r>
          </w:p>
        </w:tc>
        <w:tc>
          <w:tcPr>
            <w:tcW w:w="22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Deferred compensation obligation</w:t>
            </w:r>
          </w:p>
        </w:tc>
        <w:tc>
          <w:tcPr>
            <w:tcW w:w="22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(4.6)</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0.0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34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(22.6)</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104.9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(22.6)</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82.3</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2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and maturities are as follows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Long-term debt:</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Credit Facility Term B-2 Loan, variable, due 2017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189.0</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Credit Facility Term B-3 Loan, variable, due 2019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2,225.6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Senior Notes, fixed 7.125%, due 2019</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2,414.6</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2,520.5</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2,392.0</w:t>
            </w:r>
          </w:p>
        </w:tc>
        <w:tc>
          <w:tcPr>
            <w:tcW w:w="7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As of June 30, 2015, the Company had $189.0 million of indebtedness associated with Allison Transmission, Inc.’s (“ATI”), the Company’s wholly-owned subsidiary, Senior Secured Credit Facility Term B-2 Loan due 2017 (“Term B-2 Loan”) and $2,225.6 million of indebtedness associated with ATI’s Senior Secured Credit Facility Term B-3 Loan due 2019 (“Term B-3 Loan”) (together the Term B-2 Loan, Term B-3 Loan and revolving credit facility defined as the “Senior Secured Credit Facility”).</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obligations as of June 30, 2015 was $2,417.6 million. The fair value is based on quoted Level 2 market prices of the Company’s debt as of June 30, 2015.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7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 March 18, 2015, ATI commenced a cash tender offer to purchase its outstanding 7.125% senior cash pay notes due May 2019 (“7.125% Senior Notes”). In connection with the cash tender offer, ATI solicited consents to enter into a supplemental indenture to eliminate substantially all of the restrictive covenants, certain events of default and related provisions contained in the indenture dated as of May 6, 2011 (the “Indenture”) governing the 7.125% Senior Notes. On March 31, 2015, ATI received valid consents from holders with an aggregate principal amount of $420.9 million of the 7.125% Senior Notes. Accordingly, ATI entered into a first supplemental indenture to the Indenture contingent on the execution of an amendment with the term loan lenders under its Senior Secured Credit Facility.</w:t>
      </w:r>
    </w:p>
    <w:p>
      <w:pPr>
        <w:spacing w:after="0" w:line="188" w:lineRule="exact"/>
        <w:rPr>
          <w:sz w:val="20"/>
          <w:szCs w:val="20"/>
          <w:color w:val="auto"/>
        </w:rPr>
      </w:pPr>
    </w:p>
    <w:p>
      <w:pPr>
        <w:jc w:val="both"/>
        <w:ind w:right="80" w:firstLine="456"/>
        <w:spacing w:after="0" w:line="276" w:lineRule="auto"/>
        <w:rPr>
          <w:sz w:val="20"/>
          <w:szCs w:val="20"/>
          <w:color w:val="auto"/>
        </w:rPr>
      </w:pPr>
      <w:r>
        <w:rPr>
          <w:rFonts w:ascii="Times New Roman" w:cs="Times New Roman" w:eastAsia="Times New Roman" w:hAnsi="Times New Roman"/>
          <w:sz w:val="17"/>
          <w:szCs w:val="17"/>
          <w:color w:val="auto"/>
        </w:rPr>
        <w:t>On April 7, 2015, ATI entered into an amendment with the term loan lenders under its Senior Secured Credit Facility to add up to an additional $470.0 million of Term B-3 Loan commitments and incur term loans in an aggregate principal amount of $470.0 million. The amendment also, among other things,</w:t>
      </w:r>
    </w:p>
    <w:p>
      <w:pPr>
        <w:spacing w:after="0" w:line="1" w:lineRule="exact"/>
        <w:rPr>
          <w:sz w:val="20"/>
          <w:szCs w:val="20"/>
          <w:color w:val="auto"/>
        </w:rPr>
      </w:pPr>
    </w:p>
    <w:p>
      <w:pPr>
        <w:ind w:right="40" w:firstLine="8"/>
        <w:spacing w:after="0" w:line="252"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prepayment, repurchase or redemption of Allison’s 7.125% Senior Notes with the proceeds of the financing and (ii) resets the period for which a prepayment premium of 1.00% will apply in the event of a repricing transaction to the six-month anniversary of the closing date of the financing. With the exception of the items noted above, the terms (including maturity and pricing) of the financing are materially the same as the terms of the existing Term B-3 Loan outstanding. As a result of the newly structured Senior Secured Credit Facility, ATI recorded approximately $7.5 million as deferred financing fees in the Condensed Consolidated Balance Sheets. Immediately following the financing, ATI purchased $420.9 million of the tendered 7.125% Senior Notes using the proceeds from the financing in a cash payment equal to $1,042 per $1,000 aggregate principal amount of the 7.125% Senior Notes plus accrued and unpaid interest. Upon the payment, the supplemental indenture to the Indenture became operative. The purchase resulted in a loss (the premium between the purchase price of the notes and the face value of such notes) of $22.7 million including deferred financing fees written off.</w:t>
      </w:r>
    </w:p>
    <w:p>
      <w:pPr>
        <w:spacing w:after="0" w:line="188"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In May 2015, ATI redeemed the remaining $50.4 million of its outstanding 7.125% Senior Notes, at the redemption price equal to 103.563% of the principal amount plus any accrued and unpaid interest, using the remaining proceeds from the financing and cash on hand, resulting in a loss (the premium between the purchase price of the notes and the face value of such notes) of $2.4 million including deferred financing fees written off.</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June 30, 2015, is at the Company’s option, either (a) 2.75% over the LIBOR or (b) 1.75% over the greater of the prime lending rate provided by the British Banking Association or the federal funds effective rate published by the Federal Reserve Bank of New York plus 0.50%. Interest on the Term B-3 Loan, as of June 30, 2015, is equal to the LIBOR (which may not be less than 1.00%) plus 2.50% based on the Company’s total leverage ratio. As of June 30, 2015, these rates were approximately 2.94% and 3.50% on the Term B-2 Loan and Term B-3 Loan, respectively, and the weighted average rate on the Senior Secured Credit Facility was approximately 3.46%.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For the three months and six months ended June 30, 2015, the Company made principal payments of $47.2 million and $94.6 million on the Term B-2 loan, respectively, resulting in a total loss of $0.2 million associated with the write off of related deferred debt issuance costs. The minimum required quarterly principal payment on the Term B-3 Loan is $5.6 million and remains through its maturity date of 2019. As of June 30, 2015, there had been no payments required for certain net cash proceeds of non-ordinary course asset sales and casualty and condemnation events. The remaining principal balance on each loan is due upon maturity.</w:t>
      </w:r>
    </w:p>
    <w:p>
      <w:pPr>
        <w:spacing w:after="0" w:line="197"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Senior Secured Credit Facility also provides for a revolving credit facility of $465.0 million, net of an allowance for up to $75.0 million in outstanding letters of credit commitments. As of June 30, 2015, the Company had $455.8 million available under the revolving credit facility, net of $9.2 million in letters of credit. Revolving credit borrowings bear interest at a variable base rate plus an applicable margin based on the Company’s total leverage ratio. As of June 30, 2015, this rate would have been approximately 1.63%. In addition, there is an annual commitment fee, based on the Company’s total leverage ratio, which as of June 30, 2015,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 The revolving portion of the Senior Secured Credit Facility requires the Company to maintain a specified maximum total senior secured leverage ratio of 5.50x when revolving loan commitments remain outstanding at the end of a fiscal quarter. In March 2014, however, the revolving lenders holding a majority of the revolving loan commitments permanently waived and agreed that no event of default would result from any non-compliance so long as there were no revolving loans outstanding as of the last day of any fiscal quarter. As of June 30, 2015, the Company had no revolving loans outstanding; however, the Company would have been in compliance with the maximum total senior secured leverage ratio, achieving a 2.88x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our Term B-3 Loan. These reductions would remain in effect as long as the Company achieves a total leverage ratio at or below the related threshold. As of June 30, 2015, the total leverage ratio was 2.88x.</w:t>
      </w:r>
    </w:p>
    <w:p>
      <w:pPr>
        <w:spacing w:after="0" w:line="194"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June 30, 2015, the Company is in compliance with all covenants under the Senior Secured Credit Facility.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DERIVATIVES</w:t>
      </w:r>
    </w:p>
    <w:p>
      <w:pPr>
        <w:spacing w:after="0" w:line="121"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June 30, 2015 and December 31, 2014 follows (dollars in millions):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0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3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3"/>
            <w:vMerge w:val="continue"/>
          </w:tcPr>
          <w:p>
            <w:pPr>
              <w:spacing w:after="0"/>
              <w:rPr>
                <w:sz w:val="15"/>
                <w:szCs w:val="15"/>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3.44%</w:t>
            </w:r>
          </w:p>
        </w:tc>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 Aug 2016 – Aug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3.43%</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M,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3.37%</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N,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O,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3.08%</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P,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2.99%</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Q,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2.98%</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R,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2.73%</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S,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2.74%</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T,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2.66%</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U,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2.60%</w:t>
            </w:r>
          </w:p>
        </w:tc>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V,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2.40%</w:t>
            </w:r>
          </w:p>
        </w:tc>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W,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2.25% Interest Rate Swap X,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includes LIBOR floor of 1.00%</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800.0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(21.6</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outstanding foreign currency forward contracts as of June 30, 2015 and December 31, 2014 (amounts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40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60" w:type="dxa"/>
            <w:vAlign w:val="bottom"/>
          </w:tcPr>
          <w:p>
            <w:pPr>
              <w:spacing w:after="0"/>
              <w:rPr>
                <w:sz w:val="10"/>
                <w:szCs w:val="10"/>
                <w:color w:val="auto"/>
              </w:rPr>
            </w:pPr>
          </w:p>
        </w:tc>
        <w:tc>
          <w:tcPr>
            <w:tcW w:w="10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20" w:type="dxa"/>
            <w:vAlign w:val="bottom"/>
          </w:tcPr>
          <w:p>
            <w:pPr>
              <w:spacing w:after="0"/>
              <w:rPr>
                <w:sz w:val="10"/>
                <w:szCs w:val="10"/>
                <w:color w:val="auto"/>
              </w:rPr>
            </w:pPr>
          </w:p>
        </w:tc>
        <w:tc>
          <w:tcPr>
            <w:tcW w:w="10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color w:val="auto"/>
              </w:rPr>
              <w:t>Notional</w:t>
            </w: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173"/>
        </w:trPr>
        <w:tc>
          <w:tcPr>
            <w:tcW w:w="646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80" w:type="dxa"/>
            <w:vAlign w:val="bottom"/>
            <w:gridSpan w:val="3"/>
            <w:vMerge w:val="continue"/>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Japanese Yen (JPY)</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¥ 600.0</w:t>
            </w: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6"/>
              </w:rPr>
              <w:t>¥300.0</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45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outstanding commodity swaps as of June 30, 2015 and December 31, 2014 (dollars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1000" w:type="dxa"/>
            <w:vAlign w:val="bottom"/>
            <w:gridSpan w:val="3"/>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38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440" w:type="dxa"/>
            <w:vAlign w:val="bottom"/>
            <w:vMerge w:val="restart"/>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0"/>
                <w:szCs w:val="10"/>
                <w:color w:val="auto"/>
              </w:rPr>
            </w:pPr>
          </w:p>
        </w:tc>
        <w:tc>
          <w:tcPr>
            <w:tcW w:w="98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Notional</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3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Aluminum</w:t>
            </w: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46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4,650 metric tons</w:t>
            </w:r>
          </w:p>
        </w:tc>
        <w:tc>
          <w:tcPr>
            <w:tcW w:w="4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6,200 metric tons</w:t>
            </w:r>
          </w:p>
        </w:tc>
        <w:tc>
          <w:tcPr>
            <w:tcW w:w="3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6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N/A</w:t>
            </w:r>
          </w:p>
        </w:tc>
        <w:tc>
          <w:tcPr>
            <w:tcW w:w="1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N/A</w:t>
            </w:r>
          </w:p>
        </w:tc>
        <w:tc>
          <w:tcPr>
            <w:tcW w:w="2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60,000 MMBtu</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75"/>
        </w:trPr>
        <w:tc>
          <w:tcPr>
            <w:tcW w:w="4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tabular disclosures further describe the Company’s derivative instruments and their impact on the financial condition of the Company (dollars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8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96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320" w:type="dxa"/>
            <w:vAlign w:val="bottom"/>
          </w:tcPr>
          <w:p>
            <w:pPr>
              <w:spacing w:after="0"/>
              <w:rPr>
                <w:sz w:val="12"/>
                <w:szCs w:val="12"/>
                <w:color w:val="auto"/>
              </w:rPr>
            </w:pPr>
          </w:p>
        </w:tc>
        <w:tc>
          <w:tcPr>
            <w:tcW w:w="15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0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Foreign currency contracts</w:t>
            </w:r>
          </w:p>
        </w:tc>
        <w:tc>
          <w:tcPr>
            <w:tcW w:w="288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8"/>
                <w:szCs w:val="18"/>
                <w:b w:val="1"/>
                <w:bCs w:val="1"/>
                <w:color w:val="auto"/>
              </w:rPr>
              <w:t>Other current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Other current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000" w:type="dxa"/>
            <w:vAlign w:val="bottom"/>
          </w:tcPr>
          <w:p>
            <w:pPr>
              <w:spacing w:after="0"/>
              <w:rPr>
                <w:sz w:val="21"/>
                <w:szCs w:val="21"/>
                <w:color w:val="auto"/>
              </w:rPr>
            </w:pP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0.0</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Commodity contracts</w:t>
            </w:r>
          </w:p>
        </w:tc>
        <w:tc>
          <w:tcPr>
            <w:tcW w:w="2880" w:type="dxa"/>
            <w:vAlign w:val="bottom"/>
            <w:gridSpan w:val="3"/>
            <w:shd w:val="clear" w:color="auto" w:fill="CCEEFF"/>
          </w:tcPr>
          <w:p>
            <w:pPr>
              <w:ind w:left="1000"/>
              <w:spacing w:after="0" w:line="194" w:lineRule="exact"/>
              <w:rPr>
                <w:sz w:val="20"/>
                <w:szCs w:val="20"/>
                <w:color w:val="auto"/>
              </w:rPr>
            </w:pPr>
            <w:r>
              <w:rPr>
                <w:rFonts w:ascii="Times New Roman" w:cs="Times New Roman" w:eastAsia="Times New Roman" w:hAnsi="Times New Roman"/>
                <w:sz w:val="18"/>
                <w:szCs w:val="18"/>
                <w:b w:val="1"/>
                <w:bCs w:val="1"/>
                <w:color w:val="auto"/>
              </w:rPr>
              <w:t>Other current and</w:t>
            </w: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Other current and</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880" w:type="dxa"/>
            <w:vAlign w:val="bottom"/>
            <w:gridSpan w:val="3"/>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non-current liabilities</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00" w:type="dxa"/>
            <w:vAlign w:val="bottom"/>
          </w:tcPr>
          <w:p>
            <w:pPr>
              <w:ind w:left="340"/>
              <w:spacing w:after="0" w:line="194" w:lineRule="exact"/>
              <w:rPr>
                <w:sz w:val="20"/>
                <w:szCs w:val="20"/>
                <w:color w:val="auto"/>
              </w:rPr>
            </w:pPr>
            <w:r>
              <w:rPr>
                <w:rFonts w:ascii="Times New Roman" w:cs="Times New Roman" w:eastAsia="Times New Roman" w:hAnsi="Times New Roman"/>
                <w:sz w:val="18"/>
                <w:szCs w:val="18"/>
                <w:color w:val="auto"/>
              </w:rPr>
              <w:t>Interest rate contracts</w:t>
            </w:r>
          </w:p>
        </w:tc>
        <w:tc>
          <w:tcPr>
            <w:tcW w:w="2880" w:type="dxa"/>
            <w:vAlign w:val="bottom"/>
            <w:gridSpan w:val="3"/>
          </w:tcPr>
          <w:p>
            <w:pPr>
              <w:ind w:left="1000"/>
              <w:spacing w:after="0" w:line="194" w:lineRule="exact"/>
              <w:rPr>
                <w:sz w:val="20"/>
                <w:szCs w:val="20"/>
                <w:color w:val="auto"/>
              </w:rPr>
            </w:pPr>
            <w:r>
              <w:rPr>
                <w:rFonts w:ascii="Times New Roman" w:cs="Times New Roman" w:eastAsia="Times New Roman" w:hAnsi="Times New Roman"/>
                <w:sz w:val="18"/>
                <w:szCs w:val="18"/>
                <w:b w:val="1"/>
                <w:bCs w:val="1"/>
                <w:color w:val="auto"/>
              </w:rPr>
              <w:t>Other non-current</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Other non-current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8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(21.6)</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1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(22.6)</w:t>
            </w:r>
          </w:p>
        </w:tc>
        <w:tc>
          <w:tcPr>
            <w:tcW w:w="1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fair values of the derivatives are recorded between Other current and non-current assets and Other current and non-current liabilities as appropriate in the Condensed Consolidated Balance Sheets. As of June 30, 2015, the amounts recorded to Other current and non-current liabilities for commodity contracts were ($0.6) million and ($0.4) million, respectively.</w:t>
      </w:r>
    </w:p>
    <w:p>
      <w:pPr>
        <w:spacing w:after="0" w:line="176"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2014, the amounts recorded to Other current and non-current liabilities for commodity contracts were ($0.6) million and ($0.1) million, respectively.</w:t>
      </w:r>
    </w:p>
    <w:p>
      <w:pPr>
        <w:spacing w:after="0" w:line="162"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The impact on the Company’s Condensed Consolidated Statements of Comprehensive Income related to foreign currency and commodity contracts can be found in NOTE J, and the following tabular disclosure describes the location and impact on the Company’s results of operations related to unrealized gain (loss) on interest rate derivatives (dollars in millions):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36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Location of impact on results of operations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(7.2)</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r>
      <w:tr>
        <w:trPr>
          <w:trHeight w:val="342"/>
        </w:trPr>
        <w:tc>
          <w:tcPr>
            <w:tcW w:w="3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w w:val="88"/>
              </w:rPr>
              <w:t>13</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PRODUCT WARRANTY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Product warranty liability activities consist of the following (dollars in millions):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 w:type="dxa"/>
            <w:vAlign w:val="bottom"/>
          </w:tcPr>
          <w:p>
            <w:pPr>
              <w:spacing w:after="0"/>
              <w:rPr>
                <w:sz w:val="13"/>
                <w:szCs w:val="13"/>
                <w:color w:val="auto"/>
              </w:rPr>
            </w:pPr>
          </w:p>
        </w:tc>
        <w:tc>
          <w:tcPr>
            <w:tcW w:w="18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60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(16.3)</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liability (warranty issued during period)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11.2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Net adjustments to liability</w:t>
            </w:r>
          </w:p>
        </w:tc>
        <w:tc>
          <w:tcPr>
            <w:tcW w:w="80" w:type="dxa"/>
            <w:vAlign w:val="bottom"/>
          </w:tcPr>
          <w:p>
            <w:pPr>
              <w:spacing w:after="0"/>
              <w:rPr>
                <w:sz w:val="18"/>
                <w:szCs w:val="18"/>
                <w:color w:val="auto"/>
              </w:rPr>
            </w:pPr>
          </w:p>
        </w:tc>
        <w:tc>
          <w:tcPr>
            <w:tcW w:w="8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(5.0)</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(for Predecessor liabilities)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r>
      <w:tr>
        <w:trPr>
          <w:trHeight w:val="291"/>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73.7</w:t>
            </w:r>
          </w:p>
        </w:tc>
        <w:tc>
          <w:tcPr>
            <w:tcW w:w="2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8"/>
                <w:szCs w:val="18"/>
                <w:u w:val="single" w:color="auto"/>
                <w:color w:val="auto"/>
              </w:rPr>
              <w:t>7</w:t>
            </w:r>
          </w:p>
        </w:tc>
      </w:tr>
      <w:tr>
        <w:trPr>
          <w:trHeight w:val="20"/>
        </w:trPr>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As of June 30, 2015, the current and non-current product warranty liabilities were $21.0 million and $52.7 million, respectively. As of June 30, 2014, the current and non-current product warranty liabilities were $23.2 million and $63.5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DEFERRED REVENUE</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As of June 30, 2015, the current and non-current deferred revenue for Extended Transmission Coverage (“ETC”) were $21.9 million and $52.8 million, respectively. As of June 30, 2014, the current and non-current deferred revenue for ETC were $19.7 million and $47.1 million,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revenue for ETC activity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73"/>
        </w:trPr>
        <w:tc>
          <w:tcPr>
            <w:tcW w:w="4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5"/>
                <w:szCs w:val="15"/>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Increases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earned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9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30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r>
              <w:rPr>
                <w:rFonts w:ascii="Times New Roman" w:cs="Times New Roman" w:eastAsia="Times New Roman" w:hAnsi="Times New Roman"/>
                <w:sz w:val="18"/>
                <w:szCs w:val="18"/>
                <w:u w:val="single" w:color="auto"/>
                <w:color w:val="auto"/>
              </w:rPr>
              <w:t>8</w:t>
            </w:r>
          </w:p>
        </w:tc>
        <w:tc>
          <w:tcPr>
            <w:tcW w:w="1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Deferred revenue recorded in current liabilities related to unearned net sales for defense contracts as of June 30, 2015 and 2014 was approximately $0.0 million and $2.3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OTHER (EXPENSE) INCOME, NET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(expense) income, net consists of the following (dollars in millions):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intercompany foreign exchange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derivative contracts (see NOTE 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(0.4)</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foreign exchange</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gain on derivative contracts (see NOTE G)</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(0.1)</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repayments of long-term debt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Grant program income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fees and expenses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(0.2)</w:t>
            </w:r>
          </w:p>
        </w:tc>
        <w:tc>
          <w:tcPr>
            <w:tcW w:w="16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and six months ended June 30, 2015, the Company recorded a loss of ($1.3) million and a gain of $0.9 million resulting from intercompany financing transactions related to investments in plant assets for the Company’s India facility.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K. OTHER CURRENT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current liabilities consist of the following (dollars in millions):</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6580" w:type="dxa"/>
            <w:vAlign w:val="bottom"/>
          </w:tcPr>
          <w:p>
            <w:pPr>
              <w:spacing w:after="0"/>
              <w:rPr>
                <w:sz w:val="12"/>
                <w:szCs w:val="12"/>
                <w:color w:val="auto"/>
              </w:rPr>
            </w:pPr>
          </w:p>
        </w:tc>
        <w:tc>
          <w:tcPr>
            <w:tcW w:w="5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4"/>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5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Sales allowances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Defense price reduction reserve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Vendor buyback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Stock repurchases obligation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6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r>
      <w:tr>
        <w:trPr>
          <w:trHeight w:val="22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113.9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L. EMPLOYEE BENEFIT PLANS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Components of net periodic benefit cost consist of the following (dollars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8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gridSpan w:val="5"/>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gridSpan w:val="5"/>
          </w:tcPr>
          <w:p>
            <w:pPr>
              <w:jc w:val="center"/>
              <w:ind w:right="73"/>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0.6</w:t>
            </w:r>
          </w:p>
        </w:tc>
        <w:tc>
          <w:tcPr>
            <w:tcW w:w="6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(0.9)</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Gain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5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Post-retirement Benefits</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0" w:type="dxa"/>
            <w:vAlign w:val="bottom"/>
            <w:gridSpan w:val="5"/>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20" w:type="dxa"/>
            <w:vAlign w:val="bottom"/>
            <w:gridSpan w:val="5"/>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periodic benefit cost:</w:t>
            </w: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6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2.7</w:t>
            </w: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Gain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655"/>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M. INCOME TAXES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2015, the Company recorded total tax expense of $32.7 million and $72.5 million, respectively. The effective tax rate for the three and six months ended June 30, 2015 was 37.5% and 37.1%, respectively. For the three and six months ended June 30, 2014, the Company recorded total tax expense of $37.5 million and $64.7 million, respectively. The effective tax rate for the three and six months ended June 30, 2014 was 39.6% and 37.2%, respectively.</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accordance with the FASB’s authoritative guidance on accounting for uncertainty in income taxes, the Company has recorded a liability of $2.3 million for unrecognized tax benefits related to a 2010 Research &amp; Development Credit as of June 30, 2015 and December 31, 2014. The accounting guidance prescribes a recognition threshold and measurement attributes for the financial statement recognition and measurement of a tax position taken or expected to be taken in a tax return. For the year ended December 31, 2014, the return will remain subject to examination by the various taxing authorities for the duration of the applicable statute of limitations (generally three years from the later of the date of filing or the due date of the return).</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455" w:right="2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N. ACCUMULATED OTHER COMPREHENSIVE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tables reconcile changes in Accumulated other comprehensive loss (“AOCL”) by component (net of tax, dollars in millions):</w:t>
      </w:r>
    </w:p>
    <w:p>
      <w:pPr>
        <w:sectPr>
          <w:pgSz w:w="11900" w:h="16838" w:orient="portrait"/>
          <w:cols w:equalWidth="0" w:num="1">
            <w:col w:w="10960"/>
          </w:cols>
          <w:pgMar w:left="240" w:top="45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AOCL as of March 31, 2014</w:t>
      </w:r>
    </w:p>
    <w:p>
      <w:pPr>
        <w:spacing w:after="0" w:line="117" w:lineRule="exact"/>
        <w:rPr>
          <w:sz w:val="20"/>
          <w:szCs w:val="20"/>
          <w:color w:val="auto"/>
        </w:rPr>
      </w:pPr>
    </w:p>
    <w:p>
      <w:pPr>
        <w:ind w:left="820" w:right="220"/>
        <w:spacing w:after="0" w:line="275" w:lineRule="auto"/>
        <w:rPr>
          <w:sz w:val="20"/>
          <w:szCs w:val="20"/>
          <w:color w:val="auto"/>
        </w:rPr>
      </w:pPr>
      <w:r>
        <w:rPr>
          <w:rFonts w:ascii="Times New Roman" w:cs="Times New Roman" w:eastAsia="Times New Roman" w:hAnsi="Times New Roman"/>
          <w:sz w:val="18"/>
          <w:szCs w:val="18"/>
          <w:color w:val="auto"/>
        </w:rPr>
        <w:t>Other comprehensive (loss) income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58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58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(18.9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20" w:type="dxa"/>
            <w:vAlign w:val="bottom"/>
          </w:tcPr>
          <w:p>
            <w:pPr>
              <w:spacing w:after="0"/>
              <w:rPr>
                <w:sz w:val="23"/>
                <w:szCs w:val="23"/>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23"/>
                <w:szCs w:val="2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-616585</wp:posOffset>
            </wp:positionV>
            <wp:extent cx="666369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-273685</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061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5320" w:space="720"/>
            <w:col w:w="4920"/>
          </w:cols>
          <w:pgMar w:left="240" w:top="455" w:right="69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June 30, 2014</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March 31, 2015</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3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(0.9)</w:t>
            </w:r>
          </w:p>
        </w:tc>
        <w:tc>
          <w:tcPr>
            <w:tcW w:w="280" w:type="dxa"/>
            <w:vAlign w:val="bottom"/>
          </w:tcPr>
          <w:p>
            <w:pPr>
              <w:spacing w:after="0"/>
              <w:rPr>
                <w:sz w:val="24"/>
                <w:szCs w:val="2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0.4</w:t>
            </w:r>
          </w:p>
        </w:tc>
        <w:tc>
          <w:tcPr>
            <w:tcW w:w="3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56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0.9</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June 30, 2015</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(18.1)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5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AOCL as of December 31, 2013</w:t>
      </w:r>
    </w:p>
    <w:p>
      <w:pPr>
        <w:spacing w:after="0" w:line="117" w:lineRule="exact"/>
        <w:rPr>
          <w:sz w:val="20"/>
          <w:szCs w:val="20"/>
          <w:color w:val="auto"/>
        </w:rPr>
      </w:pPr>
    </w:p>
    <w:p>
      <w:pPr>
        <w:ind w:left="820" w:right="220"/>
        <w:spacing w:after="0" w:line="275" w:lineRule="auto"/>
        <w:rPr>
          <w:sz w:val="20"/>
          <w:szCs w:val="20"/>
          <w:color w:val="auto"/>
        </w:rPr>
      </w:pPr>
      <w:r>
        <w:rPr>
          <w:rFonts w:ascii="Times New Roman" w:cs="Times New Roman" w:eastAsia="Times New Roman" w:hAnsi="Times New Roman"/>
          <w:sz w:val="18"/>
          <w:szCs w:val="18"/>
          <w:color w:val="auto"/>
        </w:rPr>
        <w:t>Other comprehensive (loss) income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4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Available-for-</w:t>
            </w:r>
          </w:p>
        </w:tc>
        <w:tc>
          <w:tcPr>
            <w:tcW w:w="1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720"/>
              <w:spacing w:after="0" w:line="118" w:lineRule="exact"/>
              <w:rPr>
                <w:sz w:val="20"/>
                <w:szCs w:val="20"/>
                <w:color w:val="auto"/>
              </w:rPr>
            </w:pPr>
            <w:r>
              <w:rPr>
                <w:rFonts w:ascii="Times New Roman" w:cs="Times New Roman" w:eastAsia="Times New Roman" w:hAnsi="Times New Roman"/>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sale securities</w:t>
            </w:r>
          </w:p>
        </w:tc>
        <w:tc>
          <w:tcPr>
            <w:tcW w:w="580" w:type="dxa"/>
            <w:vAlign w:val="bottom"/>
          </w:tcPr>
          <w:p>
            <w:pPr>
              <w:spacing w:after="0"/>
              <w:rPr>
                <w:sz w:val="15"/>
                <w:szCs w:val="15"/>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580" w:type="dxa"/>
            <w:vAlign w:val="bottom"/>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(14.2)</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320" w:type="dxa"/>
            <w:vAlign w:val="bottom"/>
          </w:tcPr>
          <w:p>
            <w:pPr>
              <w:spacing w:after="0"/>
              <w:rPr>
                <w:sz w:val="23"/>
                <w:szCs w:val="23"/>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23"/>
                <w:szCs w:val="23"/>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-616585</wp:posOffset>
            </wp:positionV>
            <wp:extent cx="666369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-273685</wp:posOffset>
            </wp:positionV>
            <wp:extent cx="66636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061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5320" w:space="720"/>
            <w:col w:w="4920"/>
          </w:cols>
          <w:pgMar w:left="240" w:top="455" w:right="699"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June 30, 2014</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8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AOCL as of December 31, 2014</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(4.7)</w:t>
            </w:r>
          </w:p>
        </w:tc>
        <w:tc>
          <w:tcPr>
            <w:tcW w:w="280" w:type="dxa"/>
            <w:vAlign w:val="bottom"/>
          </w:tcPr>
          <w:p>
            <w:pPr>
              <w:spacing w:after="0"/>
              <w:rPr>
                <w:sz w:val="24"/>
                <w:szCs w:val="24"/>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AOCL</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0.7</w:t>
            </w:r>
          </w:p>
        </w:tc>
        <w:tc>
          <w:tcPr>
            <w:tcW w:w="3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(11.0)</w:t>
            </w:r>
          </w:p>
        </w:tc>
        <w:tc>
          <w:tcPr>
            <w:tcW w:w="0" w:type="dxa"/>
            <w:vAlign w:val="bottom"/>
          </w:tcPr>
          <w:p>
            <w:pPr>
              <w:spacing w:after="0"/>
              <w:rPr>
                <w:sz w:val="1"/>
                <w:szCs w:val="1"/>
                <w:color w:val="auto"/>
              </w:rPr>
            </w:pPr>
          </w:p>
        </w:tc>
      </w:tr>
      <w:tr>
        <w:trPr>
          <w:trHeight w:val="20"/>
        </w:trPr>
        <w:tc>
          <w:tcPr>
            <w:tcW w:w="4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AOCL as of June 30, 2015</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(18.1)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6"/>
              </w:rPr>
              <w:t>(50.5)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5" w:right="69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tables show the location in the Condensed Consolidated Statements of Comprehensive Income affected by reclassifications from AOCL (dollars in millions):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Borders>
              <w:top w:val="single" w:sz="8" w:color="auto"/>
            </w:tcBorders>
            <w:gridSpan w:val="5"/>
          </w:tcPr>
          <w:p>
            <w:pPr>
              <w:jc w:val="center"/>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w:t>
            </w:r>
          </w:p>
        </w:tc>
        <w:tc>
          <w:tcPr>
            <w:tcW w:w="580" w:type="dxa"/>
            <w:vAlign w:val="bottom"/>
          </w:tcPr>
          <w:p>
            <w:pPr>
              <w:spacing w:after="0"/>
              <w:rPr>
                <w:sz w:val="10"/>
                <w:szCs w:val="10"/>
                <w:color w:val="auto"/>
              </w:rPr>
            </w:pPr>
          </w:p>
        </w:tc>
        <w:tc>
          <w:tcPr>
            <w:tcW w:w="3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33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center"/>
              <w:ind w:right="6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8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3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40" w:type="dxa"/>
            <w:vAlign w:val="bottom"/>
          </w:tcPr>
          <w:p>
            <w:pPr>
              <w:spacing w:after="0"/>
              <w:rPr>
                <w:sz w:val="15"/>
                <w:szCs w:val="15"/>
                <w:color w:val="auto"/>
              </w:rPr>
            </w:pPr>
          </w:p>
        </w:tc>
        <w:tc>
          <w:tcPr>
            <w:tcW w:w="15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0" w:type="dxa"/>
            <w:vAlign w:val="bottom"/>
          </w:tcPr>
          <w:p>
            <w:pPr>
              <w:spacing w:after="0"/>
              <w:rPr>
                <w:sz w:val="15"/>
                <w:szCs w:val="15"/>
                <w:color w:val="auto"/>
              </w:rPr>
            </w:pPr>
          </w:p>
        </w:tc>
        <w:tc>
          <w:tcPr>
            <w:tcW w:w="3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78"/>
        </w:trPr>
        <w:tc>
          <w:tcPr>
            <w:tcW w:w="460" w:type="dxa"/>
            <w:vAlign w:val="bottom"/>
          </w:tcPr>
          <w:p>
            <w:pPr>
              <w:spacing w:after="0"/>
              <w:rPr>
                <w:sz w:val="15"/>
                <w:szCs w:val="15"/>
                <w:color w:val="auto"/>
              </w:rPr>
            </w:pPr>
          </w:p>
        </w:tc>
        <w:tc>
          <w:tcPr>
            <w:tcW w:w="332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Amortization of defined benefit pension</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0.8</w:t>
            </w:r>
          </w:p>
        </w:tc>
        <w:tc>
          <w:tcPr>
            <w:tcW w:w="50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0.8</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0.1</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0.1</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0.0</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0.9</w:t>
            </w:r>
          </w:p>
        </w:tc>
        <w:tc>
          <w:tcPr>
            <w:tcW w:w="50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0.9</w:t>
            </w: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(0.4)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(0.4)</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w:t>
            </w:r>
          </w:p>
        </w:tc>
        <w:tc>
          <w:tcPr>
            <w:tcW w:w="500" w:type="dxa"/>
            <w:vAlign w:val="bottom"/>
          </w:tcPr>
          <w:p>
            <w:pPr>
              <w:spacing w:after="0"/>
              <w:rPr>
                <w:sz w:val="24"/>
                <w:szCs w:val="24"/>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 reclassified from AOCL</w:t>
            </w:r>
          </w:p>
        </w:tc>
        <w:tc>
          <w:tcPr>
            <w:tcW w:w="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560" w:type="dxa"/>
            <w:vAlign w:val="bottom"/>
            <w:tcBorders>
              <w:top w:val="single" w:sz="8" w:color="auto"/>
            </w:tcBorders>
            <w:gridSpan w:val="6"/>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Six months</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Affected line item in the Condensed Consolidated</w:t>
            </w:r>
          </w:p>
        </w:tc>
        <w:tc>
          <w:tcPr>
            <w:tcW w:w="0" w:type="dxa"/>
            <w:vAlign w:val="bottom"/>
          </w:tcPr>
          <w:p>
            <w:pPr>
              <w:spacing w:after="0"/>
              <w:rPr>
                <w:sz w:val="1"/>
                <w:szCs w:val="1"/>
                <w:color w:val="auto"/>
              </w:rPr>
            </w:pPr>
          </w:p>
        </w:tc>
      </w:tr>
      <w:tr>
        <w:trPr>
          <w:trHeight w:val="146"/>
        </w:trPr>
        <w:tc>
          <w:tcPr>
            <w:tcW w:w="460" w:type="dxa"/>
            <w:vAlign w:val="bottom"/>
          </w:tcPr>
          <w:p>
            <w:pPr>
              <w:spacing w:after="0"/>
              <w:rPr>
                <w:sz w:val="12"/>
                <w:szCs w:val="12"/>
                <w:color w:val="auto"/>
              </w:rPr>
            </w:pPr>
          </w:p>
        </w:tc>
        <w:tc>
          <w:tcPr>
            <w:tcW w:w="332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AOCL Components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4"/>
          </w:tcPr>
          <w:p>
            <w:pPr>
              <w:jc w:val="right"/>
              <w:ind w:right="94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2"/>
                <w:szCs w:val="12"/>
                <w:color w:val="auto"/>
              </w:rPr>
            </w:pPr>
          </w:p>
        </w:tc>
        <w:tc>
          <w:tcPr>
            <w:tcW w:w="3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3320" w:type="dxa"/>
            <w:vAlign w:val="bottom"/>
            <w:vMerge w:val="continue"/>
          </w:tcPr>
          <w:p>
            <w:pPr>
              <w:spacing w:after="0"/>
              <w:rPr>
                <w:sz w:val="15"/>
                <w:szCs w:val="15"/>
                <w:color w:val="auto"/>
              </w:rPr>
            </w:pPr>
          </w:p>
        </w:tc>
        <w:tc>
          <w:tcPr>
            <w:tcW w:w="15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4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0" w:type="dxa"/>
            <w:vAlign w:val="bottom"/>
          </w:tcPr>
          <w:p>
            <w:pPr>
              <w:spacing w:after="0"/>
              <w:rPr>
                <w:sz w:val="15"/>
                <w:szCs w:val="15"/>
                <w:color w:val="auto"/>
              </w:rPr>
            </w:pPr>
          </w:p>
        </w:tc>
        <w:tc>
          <w:tcPr>
            <w:tcW w:w="356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Statements of Comprehensive Income</w:t>
            </w:r>
          </w:p>
        </w:tc>
        <w:tc>
          <w:tcPr>
            <w:tcW w:w="0" w:type="dxa"/>
            <w:vAlign w:val="bottom"/>
          </w:tcPr>
          <w:p>
            <w:pPr>
              <w:spacing w:after="0"/>
              <w:rPr>
                <w:sz w:val="1"/>
                <w:szCs w:val="1"/>
                <w:color w:val="auto"/>
              </w:rPr>
            </w:pPr>
          </w:p>
        </w:tc>
      </w:tr>
      <w:tr>
        <w:trPr>
          <w:trHeight w:val="178"/>
        </w:trPr>
        <w:tc>
          <w:tcPr>
            <w:tcW w:w="3780" w:type="dxa"/>
            <w:vAlign w:val="bottom"/>
            <w:tcBorders>
              <w:top w:val="single" w:sz="8" w:color="CCEEFF"/>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Amortization of defined benefit pension</w:t>
            </w:r>
          </w:p>
        </w:tc>
        <w:tc>
          <w:tcPr>
            <w:tcW w:w="1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left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80" w:type="dxa"/>
            <w:vAlign w:val="bottom"/>
            <w:tcBorders>
              <w:lef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Prior service cost</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reclassifications, before tax</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w:t>
            </w:r>
          </w:p>
        </w:tc>
        <w:tc>
          <w:tcPr>
            <w:tcW w:w="0" w:type="dxa"/>
            <w:vAlign w:val="bottom"/>
          </w:tcPr>
          <w:p>
            <w:pPr>
              <w:spacing w:after="0"/>
              <w:rPr>
                <w:sz w:val="1"/>
                <w:szCs w:val="1"/>
                <w:color w:val="auto"/>
              </w:rPr>
            </w:pPr>
          </w:p>
        </w:tc>
      </w:tr>
      <w:tr>
        <w:trPr>
          <w:trHeight w:val="20"/>
        </w:trPr>
        <w:tc>
          <w:tcPr>
            <w:tcW w:w="37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reclassifications</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420" w:firstLine="456"/>
        <w:spacing w:after="0" w:line="282" w:lineRule="auto"/>
        <w:rPr>
          <w:sz w:val="20"/>
          <w:szCs w:val="20"/>
          <w:color w:val="auto"/>
        </w:rPr>
      </w:pPr>
      <w:r>
        <w:rPr>
          <w:rFonts w:ascii="Times New Roman" w:cs="Times New Roman" w:eastAsia="Times New Roman" w:hAnsi="Times New Roman"/>
          <w:sz w:val="18"/>
          <w:szCs w:val="18"/>
          <w:color w:val="auto"/>
        </w:rPr>
        <w:t>Prior service cost and actuarial loss are included in the computation of the Company’s net periodic benefit cost. Please see NOTE L for additional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 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Claims, Disputes, and Litigation</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 CERTAIN RELATIONSHIPS AND RELATED PARTY TRANSACTIONS</w:t>
      </w:r>
    </w:p>
    <w:p>
      <w:pPr>
        <w:spacing w:after="0" w:line="121" w:lineRule="exact"/>
        <w:rPr>
          <w:sz w:val="20"/>
          <w:szCs w:val="20"/>
          <w:color w:val="auto"/>
        </w:rPr>
      </w:pPr>
    </w:p>
    <w:p>
      <w:pPr>
        <w:jc w:val="both"/>
        <w:ind w:firstLine="456"/>
        <w:spacing w:after="0" w:line="289" w:lineRule="auto"/>
        <w:rPr>
          <w:sz w:val="20"/>
          <w:szCs w:val="20"/>
          <w:color w:val="auto"/>
        </w:rPr>
      </w:pPr>
      <w:r>
        <w:rPr>
          <w:rFonts w:ascii="Times New Roman" w:cs="Times New Roman" w:eastAsia="Times New Roman" w:hAnsi="Times New Roman"/>
          <w:sz w:val="17"/>
          <w:szCs w:val="17"/>
          <w:color w:val="auto"/>
        </w:rPr>
        <w:t>In May 2015, the Company redeemed $100,000 and $450,000 of 7.125% Senior Notes held by Lawrence E. Dewey, our Chairman, President and Chief Executive Officer, and David S. Graziosi, our Executive Vice President, Chief Financial Officer and Treasurer, respectively, at the specified redemption price in the governing indenture equal to 103.563% of the principal amount plus any accrued and unpaid interest. Refer to NOTE F for additional details.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Q. EARNINGS PER SHARE</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both the three months and six months ended June 30, 2015, 0.2 million of outstanding stock options were not included in the diluted EPS computation because they were anti-dilutive.</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to calculate basic EPS and diluted EPS (in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60" w:type="dxa"/>
            <w:vAlign w:val="bottom"/>
          </w:tcPr>
          <w:p>
            <w:pPr>
              <w:spacing w:after="0"/>
              <w:rPr>
                <w:sz w:val="13"/>
                <w:szCs w:val="13"/>
                <w:color w:val="auto"/>
              </w:rPr>
            </w:pPr>
          </w:p>
        </w:tc>
        <w:tc>
          <w:tcPr>
            <w:tcW w:w="21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3"/>
                <w:szCs w:val="13"/>
                <w:color w:val="auto"/>
              </w:rPr>
            </w:pPr>
          </w:p>
        </w:tc>
        <w:tc>
          <w:tcPr>
            <w:tcW w:w="186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178.5</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179.3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stock-based awards</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16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179.6</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0.68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0.30</w:t>
            </w:r>
          </w:p>
        </w:tc>
        <w:tc>
          <w:tcPr>
            <w:tcW w:w="3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0.68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 COMMON STOCK</w:t>
      </w:r>
    </w:p>
    <w:p>
      <w:pPr>
        <w:spacing w:after="0" w:line="121" w:lineRule="exact"/>
        <w:rPr>
          <w:sz w:val="20"/>
          <w:szCs w:val="20"/>
          <w:color w:val="auto"/>
        </w:rPr>
      </w:pPr>
    </w:p>
    <w:p>
      <w:pPr>
        <w:ind w:right="100" w:firstLine="456"/>
        <w:spacing w:after="0" w:line="273" w:lineRule="auto"/>
        <w:rPr>
          <w:sz w:val="20"/>
          <w:szCs w:val="20"/>
          <w:color w:val="auto"/>
        </w:rPr>
      </w:pPr>
      <w:r>
        <w:rPr>
          <w:rFonts w:ascii="Times New Roman" w:cs="Times New Roman" w:eastAsia="Times New Roman" w:hAnsi="Times New Roman"/>
          <w:sz w:val="17"/>
          <w:szCs w:val="17"/>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repurchases are subject to market conditions and corporate needs. This stock repurchase program may be extended, modified, suspended or discontinued at any time at the Company’s discretion. During the three months and six months ended June 30, 2015, the Company repurchased approximately $85.2 million and $124.1 million, respectively, of its common stock under the repurchase program. As a result of timing between the repurchase transactions and the settlement of the repurchases, $79.3 million was settled in cash during the second quarter of 2015. The remaining $9.4 million, or 317,900 shares, was recorded to Other current liabilities in the Condensed Consolidated Balance Sheets for June 30, 2015 and settled the following month.</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9" w:lineRule="exact"/>
        <w:rPr>
          <w:sz w:val="20"/>
          <w:szCs w:val="20"/>
          <w:color w:val="auto"/>
        </w:rPr>
      </w:pPr>
    </w:p>
    <w:p>
      <w:pPr>
        <w:ind w:right="2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7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0"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We have approximately 2,700 employees and 13 different transmission product lines. Although approximately 80% of revenues were generated in North America in 2014, we have a global presence by serving customers in Europe, Asia, South America and Africa. We serve customers through an independent network of approximately 1,400 independent distributor and dealer locations worldwide.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Impacting Our Business</w:t>
      </w:r>
    </w:p>
    <w:p>
      <w:pPr>
        <w:spacing w:after="0" w:line="121"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expect our full year 2015 net sales to decrease year-over-year principally due to a continued recovery in the North America On-Highway end market being more than offset by the elevated level of uncertainty and dearth of near-term visibility in the global Off-Highway and Service Parts, Support Equipment and Other end markets, previously considered reductions in U.S. defense spending, continued weakness in the Outside North America On-Highway end market and lower demand for North America Hybrid-Propulsion Systems for Transit Bus due to engine emissions improvements and non-hybrid alternatives. We also expect third quarter net sales to be lower than the same period in 2014. The anticipated year-over-year decrease in third quarter net sales is expected to occur due to higher demand in the North America On-Highway end market being more than offset by lower demand in other end markets.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Second Quarter Net Sales by End Market (in millions)</w:t>
      </w: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End Market</w:t>
            </w:r>
          </w:p>
        </w:tc>
        <w:tc>
          <w:tcPr>
            <w:tcW w:w="13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Q2 2015</w:t>
            </w: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Q2 2014</w:t>
            </w: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 Variance</w:t>
            </w:r>
          </w:p>
        </w:tc>
        <w:tc>
          <w:tcPr>
            <w:tcW w:w="0" w:type="dxa"/>
            <w:vAlign w:val="bottom"/>
          </w:tcPr>
          <w:p>
            <w:pPr>
              <w:spacing w:after="0"/>
              <w:rPr>
                <w:sz w:val="1"/>
                <w:szCs w:val="1"/>
                <w:color w:val="auto"/>
              </w:rPr>
            </w:pPr>
          </w:p>
        </w:tc>
      </w:tr>
      <w:tr>
        <w:trPr>
          <w:trHeight w:val="160"/>
        </w:trPr>
        <w:tc>
          <w:tcPr>
            <w:tcW w:w="6020" w:type="dxa"/>
            <w:vAlign w:val="bottom"/>
            <w:gridSpan w:val="2"/>
            <w:vMerge w:val="continue"/>
          </w:tcPr>
          <w:p>
            <w:pPr>
              <w:spacing w:after="0"/>
              <w:rPr>
                <w:sz w:val="13"/>
                <w:szCs w:val="13"/>
                <w:color w:val="auto"/>
              </w:rPr>
            </w:pPr>
          </w:p>
        </w:tc>
        <w:tc>
          <w:tcPr>
            <w:tcW w:w="130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12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North America On-Highway</w:t>
            </w: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w:t>
            </w:r>
          </w:p>
        </w:tc>
        <w:tc>
          <w:tcPr>
            <w:tcW w:w="7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America Hybrid-Propulsion Systems for Transit Bus</w:t>
            </w: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Off-Highway</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Defense</w:t>
            </w: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Outside North America On-Highway</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73</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North America Off-Highway</w:t>
            </w:r>
          </w:p>
        </w:tc>
        <w:tc>
          <w:tcPr>
            <w:tcW w:w="20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Parts, Support Equipment and Other</w:t>
            </w: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91"/>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511</w:t>
            </w:r>
          </w:p>
        </w:tc>
        <w:tc>
          <w:tcPr>
            <w:tcW w:w="7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536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North America On-Highway end market net sales were up 14% for the second quarter 2015 compared to the second quarter 2014, principally driven by higher demand for Rugged Duty Series and Highway Series models.</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North America Hybrid-Propulsion Systems for Transit Bus end market net sales were down 29% for the second quarter 2015 compared to the second quarter 2014, principally driven by lower demand due to engine emissions improvements and non-hybrid alternatives that generally require a fully-automatic transmission (e.g. xNG).</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North America Off-Highway end market net sales were down 57% for the second quarter 2015 compared to the second quarter of 2014, principally driven by lower demand from hydraulic fracturing applications.</w:t>
      </w:r>
    </w:p>
    <w:p>
      <w:pPr>
        <w:sectPr>
          <w:pgSz w:w="11900" w:h="16838" w:orient="portrait"/>
          <w:cols w:equalWidth="0" w:num="1">
            <w:col w:w="11380"/>
          </w:cols>
          <w:pgMar w:left="240" w:top="455" w:right="279" w:bottom="1440" w:gutter="0" w:footer="0" w:header="0"/>
        </w:sectPr>
      </w:pP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Defense end market net sales were down 41% for the second quarter 2015 compared to the second quarter 2014, principally driven by the recognition of previously deferred revenue in 2014 totaling $15.8 million commensurate with the shipment of certain tracked transmissions at the request of the U.S. government and reductions in U.S. defense spending to longer term averages experienced during periods without active conflicts.</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On-Highway end market net sales were up 18% for the second quarter 2015 compared to the second quarter 2014, principally driven by higher demand in Europe, Japan and India.</w:t>
      </w:r>
    </w:p>
    <w:p>
      <w:pPr>
        <w:spacing w:after="0" w:line="162"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Outside North America Off-Highway end market net sales were down 67% for the second quarter 2015 compared to the second quarter 2014, principally driven by lower demand in the energy and mining sectors.</w:t>
      </w:r>
    </w:p>
    <w:p>
      <w:pPr>
        <w:spacing w:after="0" w:line="162"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Service parts, support equipment and other end market net sales were down 12% for the second quarter 2015 compared to the second quarter 2014, principally driven by lower demand for North America service parts.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primary components of cost of sales are purchased parts, the overhead expense related to our manufacturing operations and direct labor associated with the manufacture and assembly of transmissions and parts. For the six months ended June 30, 2015, direct material costs were approximately 68%, overhead costs were approximately 25%,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600" w:firstLine="456"/>
        <w:spacing w:after="0" w:line="282" w:lineRule="auto"/>
        <w:rPr>
          <w:sz w:val="20"/>
          <w:szCs w:val="20"/>
          <w:color w:val="auto"/>
        </w:rPr>
      </w:pPr>
      <w:r>
        <w:rPr>
          <w:rFonts w:ascii="Times New Roman" w:cs="Times New Roman" w:eastAsia="Times New Roman" w:hAnsi="Times New Roman"/>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incur costs in connection with research and development programs that are expected to contribute to future earnings. Such costs are expensed as incurred.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0" w:lineRule="exact"/>
        <w:rPr>
          <w:sz w:val="20"/>
          <w:szCs w:val="20"/>
          <w:color w:val="auto"/>
        </w:rPr>
      </w:pPr>
    </w:p>
    <w:p>
      <w:pPr>
        <w:ind w:right="300" w:firstLine="456"/>
        <w:spacing w:after="0" w:line="258" w:lineRule="auto"/>
        <w:rPr>
          <w:sz w:val="20"/>
          <w:szCs w:val="20"/>
          <w:color w:val="auto"/>
        </w:rPr>
      </w:pPr>
      <w:r>
        <w:rPr>
          <w:rFonts w:ascii="Times New Roman" w:cs="Times New Roman" w:eastAsia="Times New Roman" w:hAnsi="Times New Roman"/>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For the three</w:t>
            </w:r>
          </w:p>
        </w:tc>
        <w:tc>
          <w:tcPr>
            <w:tcW w:w="100" w:type="dxa"/>
            <w:vAlign w:val="bottom"/>
          </w:tcPr>
          <w:p>
            <w:pPr>
              <w:spacing w:after="0"/>
              <w:rPr>
                <w:sz w:val="13"/>
                <w:szCs w:val="13"/>
                <w:color w:val="auto"/>
              </w:rPr>
            </w:pPr>
          </w:p>
        </w:tc>
        <w:tc>
          <w:tcPr>
            <w:tcW w:w="1220" w:type="dxa"/>
            <w:vAlign w:val="bottom"/>
            <w:gridSpan w:val="4"/>
          </w:tcPr>
          <w:p>
            <w:pPr>
              <w:jc w:val="center"/>
              <w:ind w:left="352"/>
              <w:spacing w:after="0"/>
              <w:rPr>
                <w:sz w:val="20"/>
                <w:szCs w:val="20"/>
                <w:color w:val="auto"/>
              </w:rPr>
            </w:pPr>
            <w:r>
              <w:rPr>
                <w:rFonts w:ascii="Times New Roman" w:cs="Times New Roman" w:eastAsia="Times New Roman" w:hAnsi="Times New Roman"/>
                <w:sz w:val="14"/>
                <w:szCs w:val="14"/>
                <w:b w:val="1"/>
                <w:bCs w:val="1"/>
                <w:color w:val="auto"/>
              </w:rPr>
              <w:t>For the six</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2"/>
                <w:szCs w:val="12"/>
                <w:color w:val="auto"/>
              </w:rPr>
            </w:pPr>
          </w:p>
        </w:tc>
        <w:tc>
          <w:tcPr>
            <w:tcW w:w="1960" w:type="dxa"/>
            <w:vAlign w:val="bottom"/>
            <w:gridSpan w:val="6"/>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6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in millions)</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122.8</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23.1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60.0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interest expense</w:t>
            </w:r>
          </w:p>
        </w:tc>
        <w:tc>
          <w:tcPr>
            <w:tcW w:w="80" w:type="dxa"/>
            <w:vAlign w:val="bottom"/>
          </w:tcPr>
          <w:p>
            <w:pPr>
              <w:spacing w:after="0"/>
              <w:rPr>
                <w:sz w:val="18"/>
                <w:szCs w:val="18"/>
                <w:color w:val="auto"/>
              </w:rPr>
            </w:pPr>
          </w:p>
        </w:tc>
        <w:tc>
          <w:tcPr>
            <w:tcW w:w="10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(35.1)</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(53.6)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32.7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72.5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tcPr>
          <w:p>
            <w:pPr>
              <w:spacing w:after="0"/>
              <w:rPr>
                <w:sz w:val="18"/>
                <w:szCs w:val="18"/>
                <w:color w:val="auto"/>
              </w:rPr>
            </w:pPr>
          </w:p>
        </w:tc>
        <w:tc>
          <w:tcPr>
            <w:tcW w:w="10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24.3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48.6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 (a)</w:t>
            </w:r>
          </w:p>
        </w:tc>
        <w:tc>
          <w:tcPr>
            <w:tcW w:w="8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Public offering expenses (b)</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116.6</w:t>
            </w:r>
          </w:p>
        </w:tc>
        <w:tc>
          <w:tcPr>
            <w:tcW w:w="5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interest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35.1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53.6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income taxes</w:t>
            </w:r>
          </w:p>
        </w:tc>
        <w:tc>
          <w:tcPr>
            <w:tcW w:w="8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3.9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22.0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43.4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Premiums and expenses on tender offer and redemption of long-term debt (c)</w:t>
            </w:r>
          </w:p>
        </w:tc>
        <w:tc>
          <w:tcPr>
            <w:tcW w:w="8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25.1</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(gain) on foreign exchange (d)</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loss on commodity hedge contracts (e)</w:t>
            </w:r>
          </w:p>
        </w:tc>
        <w:tc>
          <w:tcPr>
            <w:tcW w:w="8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Dual power inverter module units extended coverage (f)</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 (g)</w:t>
            </w:r>
          </w:p>
        </w:tc>
        <w:tc>
          <w:tcPr>
            <w:tcW w:w="80" w:type="dxa"/>
            <w:vAlign w:val="bottom"/>
          </w:tcPr>
          <w:p>
            <w:pPr>
              <w:spacing w:after="0"/>
              <w:rPr>
                <w:sz w:val="18"/>
                <w:szCs w:val="18"/>
                <w:color w:val="auto"/>
              </w:rPr>
            </w:pP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repayments of long-term debt (h)</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0.0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185.5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186.1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375.6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excluding technology-related license expenses (j)</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w w:val="98"/>
              </w:rPr>
              <w:t>185.5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186.1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375.6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w w:val="98"/>
              </w:rPr>
              <w:t>511.0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536.1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w w:val="96"/>
              </w:rPr>
              <w:t>1,014.6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80" w:type="dxa"/>
            <w:vAlign w:val="bottom"/>
          </w:tcPr>
          <w:p>
            <w:pPr>
              <w:spacing w:after="0"/>
              <w:rPr>
                <w:sz w:val="18"/>
                <w:szCs w:val="18"/>
                <w:color w:val="auto"/>
              </w:rPr>
            </w:pPr>
          </w:p>
        </w:tc>
        <w:tc>
          <w:tcPr>
            <w:tcW w:w="10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36.3%</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1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37.0%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excluding technology-related licenses expenses (j)</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b w:val="1"/>
                <w:bCs w:val="1"/>
                <w:color w:val="auto"/>
              </w:rPr>
              <w:t>36.3%</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w w:val="98"/>
              </w:rPr>
              <w:t>153.6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143.4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233.7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or additions to reconcile to Adjusted free cash flow:</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Additions of long-lived assets</w:t>
            </w:r>
          </w:p>
        </w:tc>
        <w:tc>
          <w:tcPr>
            <w:tcW w:w="80" w:type="dxa"/>
            <w:vAlign w:val="bottom"/>
          </w:tcPr>
          <w:p>
            <w:pPr>
              <w:spacing w:after="0"/>
              <w:rPr>
                <w:sz w:val="18"/>
                <w:szCs w:val="18"/>
                <w:color w:val="auto"/>
              </w:rPr>
            </w:pPr>
          </w:p>
        </w:tc>
        <w:tc>
          <w:tcPr>
            <w:tcW w:w="100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(13.6)</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b w:val="1"/>
                <w:bCs w:val="1"/>
                <w:color w:val="auto"/>
              </w:rPr>
              <w:t>(14.9)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stock-based compensation (k)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b w:val="1"/>
                <w:bCs w:val="1"/>
                <w:color w:val="auto"/>
              </w:rPr>
              <w:t>0.2</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Technology-related license expenses (j)</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140.2</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134.6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b w:val="1"/>
                <w:bCs w:val="1"/>
                <w:color w:val="auto"/>
              </w:rPr>
              <w:t>226.8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400"/>
          </w:cols>
          <w:pgMar w:left="240" w:top="455" w:right="2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40" w:right="60" w:hanging="565"/>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associated with the impairment of long-lived assets related to the production of the H3000 and H4000 hybrid-propulsion systems.</w:t>
      </w:r>
    </w:p>
    <w:p>
      <w:pPr>
        <w:ind w:left="1140" w:right="42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(recorded in Other (expense) income, net) related to our secondary offerings in June 2014, April 2014 and February 2014.</w:t>
      </w:r>
    </w:p>
    <w:p>
      <w:pPr>
        <w:ind w:left="1140" w:right="30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premiums and expenses related to the tender offer and redemption of Allison Transmission, Inc.’s, (“ATI”), our wholly owned subsidiary, 7.125% senior cash pay notes due May 2019 (“7.125% Senior Notes”).</w:t>
      </w:r>
    </w:p>
    <w:p>
      <w:pPr>
        <w:ind w:left="1140" w:right="26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(gains) (recorded in Other (expense) income, net) on the mark-to-market of our foreign currency hedge contracts and on intercompany financing transactions related to our India facility.</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(gains) losses (recorded in Other (expense) income, net) on the mark-to-market of our commodity hedge contracts.</w:t>
      </w:r>
    </w:p>
    <w:p>
      <w:pPr>
        <w:spacing w:after="0" w:line="9" w:lineRule="exact"/>
        <w:rPr>
          <w:rFonts w:ascii="Times New Roman" w:cs="Times New Roman" w:eastAsia="Times New Roman" w:hAnsi="Times New Roman"/>
          <w:sz w:val="18"/>
          <w:szCs w:val="18"/>
          <w:color w:val="auto"/>
        </w:rPr>
      </w:pPr>
    </w:p>
    <w:p>
      <w:pPr>
        <w:ind w:left="1140" w:right="24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Times New Roman" w:cs="Times New Roman" w:eastAsia="Times New Roman" w:hAnsi="Times New Roman"/>
          <w:sz w:val="18"/>
          <w:szCs w:val="18"/>
          <w:color w:val="auto"/>
        </w:rPr>
      </w:pPr>
    </w:p>
    <w:p>
      <w:pPr>
        <w:ind w:left="1140" w:right="44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charge (recorded in Selling, general and administrative, and Engineering – research and development) related to employee headcount reductions in the second quarter of 2014.</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losses (recorded in Other (expense) income, net) realized on the repayments of ATI’s long-term debt.</w:t>
      </w:r>
    </w:p>
    <w:p>
      <w:pPr>
        <w:spacing w:after="0" w:line="9" w:lineRule="exact"/>
        <w:rPr>
          <w:rFonts w:ascii="Times New Roman" w:cs="Times New Roman" w:eastAsia="Times New Roman" w:hAnsi="Times New Roman"/>
          <w:sz w:val="18"/>
          <w:szCs w:val="18"/>
          <w:color w:val="auto"/>
        </w:rPr>
      </w:pPr>
    </w:p>
    <w:p>
      <w:pPr>
        <w:ind w:left="1140" w:hanging="565"/>
        <w:spacing w:after="0" w:line="25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employee stock compensation expense (recorded in Cost of sales, Selling, general and administrative expenses, and Engineering – research and development).</w:t>
      </w:r>
    </w:p>
    <w:p>
      <w:pPr>
        <w:ind w:left="1140" w:hanging="565"/>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(recorded in Engineering – research and development) for licenses to expand our position in transmission technologies.</w:t>
      </w:r>
    </w:p>
    <w:p>
      <w:pPr>
        <w:spacing w:after="0" w:line="9" w:lineRule="exact"/>
        <w:rPr>
          <w:rFonts w:ascii="Times New Roman" w:cs="Times New Roman" w:eastAsia="Times New Roman" w:hAnsi="Times New Roman"/>
          <w:sz w:val="18"/>
          <w:szCs w:val="18"/>
          <w:color w:val="auto"/>
        </w:rPr>
      </w:pPr>
    </w:p>
    <w:p>
      <w:pPr>
        <w:ind w:left="1140" w:right="220" w:hanging="565"/>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360"/>
          </w:cols>
          <w:pgMar w:left="240" w:top="455" w:right="2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2015 and 2014</w:t>
      </w:r>
    </w:p>
    <w:p>
      <w:pPr>
        <w:spacing w:after="0" w:line="121"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three months ended June 30, 2015 and 2014.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0"/>
                <w:szCs w:val="10"/>
                <w:color w:val="auto"/>
              </w:rPr>
            </w:pPr>
          </w:p>
        </w:tc>
        <w:tc>
          <w:tcPr>
            <w:tcW w:w="68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7"/>
              </w:rPr>
              <w:t>of net sales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511.0</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536.1</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274.7</w:t>
            </w:r>
          </w:p>
        </w:tc>
        <w:tc>
          <w:tcPr>
            <w:tcW w:w="5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297.6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3"/>
              </w:rPr>
              <w:t>236.3</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238.5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75.6</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23.2</w:t>
            </w:r>
          </w:p>
        </w:tc>
        <w:tc>
          <w:tcPr>
            <w:tcW w:w="5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106.3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137.5</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132.2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(23.1)</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(36.6)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Premiums and expenses on tender offer and redemption of long-term</w:t>
            </w:r>
          </w:p>
        </w:tc>
        <w:tc>
          <w:tcPr>
            <w:tcW w:w="10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(25.1)</w:t>
            </w:r>
          </w:p>
        </w:tc>
        <w:tc>
          <w:tcPr>
            <w:tcW w:w="110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debt</w:t>
            </w:r>
          </w:p>
        </w:tc>
        <w:tc>
          <w:tcPr>
            <w:tcW w:w="100" w:type="dxa"/>
            <w:vAlign w:val="bottom"/>
            <w:shd w:val="clear" w:color="auto" w:fill="CCEEFF"/>
          </w:tcPr>
          <w:p>
            <w:pPr>
              <w:spacing w:after="0"/>
              <w:rPr>
                <w:sz w:val="20"/>
                <w:szCs w:val="20"/>
                <w:color w:val="auto"/>
              </w:rPr>
            </w:pPr>
          </w:p>
        </w:tc>
        <w:tc>
          <w:tcPr>
            <w:tcW w:w="1000" w:type="dxa"/>
            <w:vAlign w:val="bottom"/>
            <w:gridSpan w:val="3"/>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(2.2)</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0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(50.4)</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87.1</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(32.7)</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(37.5)</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54.4</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57.2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Net sales for the quarter ended June 30, 2015 were $511.0 million compared to $536.1 million for the quarter ended June 30, 2014, a decrease of 5%. The decrease was principally driven by a $20.0 million, or 41%, decrease in net sales of defense products driven by the recognition of $15.8 million of previously deferred revenue in 2014 related to shipment of certain tracked transmissions at the request of the U.S. government and lower U.S. defense spending, a $16.0 million, or 67%, decrease in net sales of Outside North America off-highway products driven by lower demand from the energy and mining sectors, a $13.0 million, or 57%, decrease in net sales of North American off-highway products driven by lower demand from hydraulic fracturing applications, a $13.0 million, or 12%, decrease in net sales of parts and other products driven by lower demand for North America service parts, a $8.0 million, or 29%, decrease in net sales of North America hybrid-propulsion systems for transit buses driven by lower demand due to engine emissions improvements and non-hybrid alternatives that generally require a fully-automatic transmission (e.g. xNG), partially offset by a $34.0 million, or 14%, increase in net sales of North America on-highway commercial products driven by higher demand from Rugged Duty Series and Highway Series models and an $11.0 million, or 18%, increase in net sales of Outside North America on-highway products driven by higher demand in Europe, Japan and India. See “Trends Impacting Our Business” above for additional information on net sales by end markets.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Cost of sales for the quarter ended June 30, 2015 was $274.7 million compared to $297.6 million for the quarter ended June 30, 2014, a decrease of 8%. The decrease was principally driven by approximately $11.0 million of decreased direct material costs commensurate with decreased sales, $5.0 million of favorable direct material costs, $2.4 million of lower incentive compensation and lower manufacturing cost commensurate with decreased sales and consistent with historical trends and management’s expectations given the respective change in sales volume.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Gross profit for the quarter ended June 30, 2015 was $236.3 million compared to $238.5 million for the quarter ended June 30, 2014, a decrease of 1%. The decrease was principally driven by $14.0 million related to decreased sales volume, partially offset by $6.0 million of price increases on certain products, $5.0 million of favorable material costs and $2.4 million of lower incentive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compensation expense. Gross profit as a percent of net sales increased 2%, principally driven by price increases on certain products and favorable material costs.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for the quarter ended June 30, 2015 were $75.6 million compared to $85.1 million for the quarter ended June 30, 2014, a decrease of 11%. The decrease was principally driven by $5.2 million of favorable product warranty adjustments, $2.4 million of lower incentive compensation expense, $1.2 million of lower stock-based compensation expense and reduced global commercial spending activities.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Engineering expenses for the quarter ended June 30, 2015 were $23.2 million compared to $21.2 million for the quarter ended June 30, 2014, an increase of 9%. The increase was principally driven by increased product initiatives spending, partially offset by $1.0 million of lower incentive compensation expense.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Interest expense, net for the quarter ended June 30, 2015 was $23.1 million compared to $36.6 million for the quarter ended June 30, 2014, a decrease of 37%. The decrease was principally driven by $8.0 million of lower interest expense as a result of the maturity of $950.0 million of interest rate derivatives, $7.5 million of lower interest expense as a result of the repurchase and redemption of our 7.125% Senior Notes, $1.7 million of lower interest expense as a result of debt repayments, $0.6 million of lower amortization of deferred financing charges and $0.8 million of lower interest expense as a result of lower interest rates on ATI’s Senior Secured Credit Facility Term B-2 Loan due 2017 (“Term B-2 Loan”) and ATI’s Senior Secured Credit Facility Term B-3 Loan due 2019 (“Term B-3 Loan”) (together, the Term B-2 Loan, Term B-3 Loan and revolving credit facility defined as the “Senior Secured Credit Facility”), partially offset by $3.6 million of higher interest expense as a result of the addition of $470.0 million to our Term B-3 Loan in April 2015 and $1.5 million of unfavorable mark-to-market adjustments for our interest rate derivatives.</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Premiums and expenses on tender offer and redemption of long-term debt</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April 2015, we completed a cash tender offer to purchase any and all of our outstanding 7.125% Senior Notes. The tender offer resulted in the repurchase of $420.9 million of our 7.125% Senior Notes in April 2015. In May 2015, we redeemed the remaining $50.4 million of our outstanding 7.125% Senior Notes, resulting in premiums and expenses totaling $25.1 million.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Other expense, net for the quarter ended June 30, 2015 was $2.2 million compared to $0.9 million for the quarter ended June 30, 2014. The increase in expense was principally driven by $1.3 million of unrealized losses on derivative contracts, $0.8 million of lower Grant Program income, $0.2 million of unfavorable foreign exchange and $0.3 million of higher miscellaneous expense, partially offset by $0.8 million of lower public offering fees and expenses and $0.5 million of foreign exchange gain on intercompany financing.</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Income tax expense for the quarter ended June 30, 2015 was $32.7 million resulting in an effective tax rate of 37.5% versus an effective tax rate of 39.6% in the quarter ended June 30, 2014. The change in effective tax rate was principally driven by the change in discrete activity.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2015 and 2014</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financial information for the six months ended June 30, 2015 and 2014. The following table and discussion should be read in conjunction with the information contained in our condensed consolidated financial statements and the notes thereto included in Part I, Item 1 of this Quarterly Report on Form 10-Q.</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(unaudited, dollars in millions)</w:t>
            </w:r>
          </w:p>
        </w:tc>
        <w:tc>
          <w:tcPr>
            <w:tcW w:w="80" w:type="dxa"/>
            <w:vAlign w:val="bottom"/>
          </w:tcPr>
          <w:p>
            <w:pPr>
              <w:spacing w:after="0"/>
              <w:rPr>
                <w:sz w:val="10"/>
                <w:szCs w:val="10"/>
                <w:color w:val="auto"/>
              </w:rPr>
            </w:pPr>
          </w:p>
        </w:tc>
        <w:tc>
          <w:tcPr>
            <w:tcW w:w="5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Pr>
          <w:p>
            <w:pPr>
              <w:spacing w:after="0"/>
              <w:rPr>
                <w:sz w:val="10"/>
                <w:szCs w:val="10"/>
                <w:color w:val="auto"/>
              </w:rPr>
            </w:pPr>
          </w:p>
        </w:tc>
        <w:tc>
          <w:tcPr>
            <w:tcW w:w="680" w:type="dxa"/>
            <w:vAlign w:val="bottom"/>
          </w:tcPr>
          <w:p>
            <w:pPr>
              <w:jc w:val="right"/>
              <w:ind w:right="17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600" w:type="dxa"/>
            <w:vAlign w:val="bottom"/>
          </w:tcPr>
          <w:p>
            <w:pPr>
              <w:spacing w:after="0"/>
              <w:rPr>
                <w:sz w:val="10"/>
                <w:szCs w:val="10"/>
                <w:color w:val="auto"/>
              </w:rPr>
            </w:pPr>
          </w:p>
        </w:tc>
        <w:tc>
          <w:tcPr>
            <w:tcW w:w="680" w:type="dxa"/>
            <w:vAlign w:val="bottom"/>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1,014.6</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1,029.7</w:t>
            </w:r>
          </w:p>
        </w:tc>
        <w:tc>
          <w:tcPr>
            <w:tcW w:w="6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539.1</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53%</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568.7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475.5</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47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461.0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149.0</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Engineering — research and development</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45.4</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45.7</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associated with impairment of long-lived assets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1.3</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195.7</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20</w:t>
            </w:r>
          </w:p>
        </w:tc>
        <w:tc>
          <w:tcPr>
            <w:tcW w:w="8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279.8</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27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247.0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(60.0)</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(71.7)</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Premiums and expenses on tender offer and redemption of long-</w:t>
            </w:r>
          </w:p>
        </w:tc>
        <w:tc>
          <w:tcPr>
            <w:tcW w:w="80" w:type="dxa"/>
            <w:vAlign w:val="bottom"/>
          </w:tcPr>
          <w:p>
            <w:pPr>
              <w:spacing w:after="0"/>
              <w:rPr>
                <w:sz w:val="17"/>
                <w:szCs w:val="17"/>
                <w:color w:val="auto"/>
              </w:rPr>
            </w:pPr>
          </w:p>
        </w:tc>
        <w:tc>
          <w:tcPr>
            <w:tcW w:w="11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(25.1)</w:t>
            </w:r>
          </w:p>
        </w:tc>
        <w:tc>
          <w:tcPr>
            <w:tcW w:w="14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term debt</w:t>
            </w:r>
          </w:p>
        </w:tc>
        <w:tc>
          <w:tcPr>
            <w:tcW w:w="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0.6</w:t>
            </w:r>
          </w:p>
        </w:tc>
        <w:tc>
          <w:tcPr>
            <w:tcW w:w="14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7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expense, net</w:t>
            </w:r>
          </w:p>
        </w:tc>
        <w:tc>
          <w:tcPr>
            <w:tcW w:w="8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(84.5)</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(73.0)</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195.3</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174.0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(72.5)</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(64.7)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7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122.8</w:t>
            </w:r>
          </w:p>
        </w:tc>
        <w:tc>
          <w:tcPr>
            <w:tcW w:w="14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Net sales for the six months ended June 30, 2015 were $1,014.6 million compared to $1,029.7 million for the six months ended June 30, 2014, a decrease of 1%. The decrease was principally driven by a $29.0 million, or 35%, decrease in net sales of defense products driven by the recognition of previously deferred revenue in 2014 related to shipment of certain tracked transmissions at the request of the U.S. government and lower U.S. defense spending, a $21.0 million, or 47%, decrease in net sales of Outside North America off-highway products driven by lower demand from the energy and mining sectors, a $21.0 million, or 10%, decrease in net sales of parts and other products driven by lower demand for North America service parts, a $14.0 million, or 27%, decrease in net sales of North America hybrid-propulsion systems for transit buses driven by lower demand due to engine emissions improvements, a $3.0 million, or 9%, decrease in net sales of North American off-highway products driven by lower demand from hydraulic fracturing applications, partially offset by a $69.0 million, or 14%, increase in net sales of North America on-highway commercial products driven by higher demand from Rugged Duty Series and Highway Series models and an $4.0 million, or 3%, increase in net sales of Outside North America on-highway products driven by higher demand in Europe, India and Japan partially offset by lower demand in China. See “Trends Impacting Our Business” above for additional information on net sales by end markets. See “Trends Impacting Our Business” above for additional information on net sales by end markets.</w:t>
      </w:r>
    </w:p>
    <w:p>
      <w:pPr>
        <w:spacing w:after="0" w:line="2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Cost of sales for six months ended June 30, 2015 was $539.1 million compared to $568.7 million for six months ended June 30, 2014, a decrease of 5%. The decrease was principally driven by approximately $14.0 million of decreased direct material costs commensurate with decreased sales, $6.0 million of favorable direct material costs, $2.4 million of lower incentive compensation and lower manufacturing cost commensurate with decreased sales and consistent with historical trends and management’s expectations given the respective change in sales volume.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Gross profit for the six months ended June 30, 2015 was $475.5 million compared to $461.0 million for the six months ended June 30, 2014, an increase of 3%. The increase was principally driven by $14.0 million of price increases on certain products, $6.0 million of favorable material costs and $2.4 million of lower incentive compensation expense, partially offset by $7.0 million related to decreased sales volume. Gross profit as a percent of net sales increased 2%, principally driven by price increases on certain products, favorable material costs and a favorable mix of product sales.</w:t>
      </w:r>
    </w:p>
    <w:p>
      <w:pPr>
        <w:sectPr>
          <w:pgSz w:w="11900" w:h="16838" w:orient="portrait"/>
          <w:cols w:equalWidth="0" w:num="1">
            <w:col w:w="11420"/>
          </w:cols>
          <w:pgMar w:left="240" w:top="455" w:right="239" w:bottom="1440" w:gutter="0" w:footer="0" w:header="0"/>
        </w:sectPr>
      </w:pP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type w:val="continuous"/>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for the six months ended June 30, 2015 were $149.0 million compared to $168.3 million for the six months ended June 30, 2014, a decrease of 11%. The decrease was principally driven by $8.0 million of favorable product warranty expense adjustments in 2015, $3.6 million of lower incentive compensation expense, $2.2 million of lower stock-based compensation expense, $2.2 million of unfavorable product warranty expense adjustments in 2014, a $1.8 million favorable adjustment related to the DPIM extended coverage program and reduced global commercial spending activities.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Engineering — research and development</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Engineering expenses for the six months ended June 30, 2015 were $45.4 million compared to $45.7 million for the six months ended June 30, 2014, a decrease of 1%. The decrease was principally driven by $3.3 million of 2014 technology-related license expenses to expand our position in transmission technologies and $1.6 million of lower incentive compensation expense, partially offset by increased product initiatives spending.</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Loss associated with impairment of long-lived assets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During the first quarter of 2015, we recorded an approximately $1.3 million impairment loss associated with the production of the H3000 and H4000 hybrid-propulsion systems. The loss included $1.0 million of accrued expenses and a $0.3 million impairment of long-lived assets.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Interest expense, net for the six months ended June 30, 2015 was $60.0 million compared to $71.7 million for the six months ended June 30, 2014, a decrease of 16%. The decrease was principally driven by $16.1 million of lower interest expense as a result of the maturity of $950.0 million of interest rate derivatives, $7.5 million of lower interest expense as a result of the repurchase and redemption of our 7.125% Senior Notes, $3.0 million of lower interest expense as a result of debt repayments, $1.6 million of lower interest expense as a result of lower interest rates on the Term B-2 Loan and Term B-3 Loan and $0.8 million of lower amortization of deferred financing charges, partially offset by $13.7 million of unfavorable mark-to-market adjustments for our interest rate derivatives and $3.6 million of higher interest expense as a result of the addition of $470.0 million to our Term B-3 Loan in April 2015.</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Premiums and expenses on tender offer and redemption of long-term debt</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April 2015, we completed a cash tender offer to purchase any and all of our outstanding 7.125% Senior Notes. The tender offer resulted in the repurchase of $420.9 million of our 7.125% Senior Notes in April 2015. In May 2015, we redeemed the remaining $50.4 million of our outstanding 7.125% Senior Notes, resulting in premiums and expenses totaling $25.1 million.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Other income (expense), net for the six months ended June 30, 2015 was $0.6 million compared to ($1.3) million for the six months ended June 30, 2014. The change in other income (expense), net was principally driven by $2.7 million of foreign exchange gain on intercompany financing, $1.4 million of favorable foreign exchange, $1.1 million of lower public offering fees and expenses, and $0.3 million of realized gains on derivative contracts, partially offset by $1.4 million of lower Grant Program income, $1.2 million of unrealized gains on derivative contracts, $0.2 million of losses on debt repayments and 0.8 million of higher miscellaneous expense.</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Income tax expense for the six months ended June 30, 2015 was $72.5 million resulting in an effective tax rate of 37.1% versus an effective tax rate of 37.2% for the six months ended June 30, 2014.</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$216.8 million and $263.0 million as of June 30, 2015 and December 31, 2014, respectively. Of the available cash and cash equivalents, approximately $115.8 million and $208.0 million were deposited in operating accounts while approximately $101.0 million and $55.0 million were invested in U.S. government backed securities as of June 30, 2015 and December 31, 2014, respectively.</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As of June 30, 2015, the total of cash and cash equivalents held by foreign subsidiaries was $40.0 million, the majority of which was located in China, Europe and India.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80"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If we distribute our foreign cash balance to the U.S. or to other foreign subsidiaries, we could be required to accrue and pay U.S. taxes. For example, we would be required to accrue and pay additional U.S. taxes if we repatriate cash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Our liquidity requirements are significant, primarily due to our debt service requirements. In March 2015, we commenced a cash tender offer to purchase our outstanding 7.125% Senior Notes. The total principal amount accepted for purchase in April 2015 was $420.9 million. In April 2015, we also entered into an amendment with the term loan lenders under our Senior Secured Credit Facility to add an additional $470.0 million of term loans under the Term B-3 Loan. A portion of the proceeds from the additional term loans were used to purchase $420.9 million of the tendered 7.125% Senior Notes plus accrued and unpaid interest, applicable premiums and expenses. The purchase resulted in a loss (the premium between the purchase price of the notes and the face value of such notes) of $22.7 million including deferred financing fees written off. In May 2015, we redeemed the remaining $50.4 million of our outstanding 7.125% Senior Notes, at the redemption price equal to 103.563% of the principal amount plus any accrued and unpaid interest, using the remaining proceeds from the additional term loans and cash on hand, resulting in a loss (the premium between the purchase price of the notes and the face value of such notes) of $2.4 million including deferred financing fees written off.</w:t>
      </w:r>
    </w:p>
    <w:p>
      <w:pPr>
        <w:spacing w:after="0" w:line="18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As of June 30, 2015, we had $189.0 million of indebtedness associated with our Term B-2 Loan and $2,225.6 million of indebtedness associated with our Term B-3 Loan.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$52.9 million and $104.6 million on the Senior Secured Credit Facility for the three months and six months ended June 30, 2015, respectively.</w:t>
      </w:r>
    </w:p>
    <w:p>
      <w:pPr>
        <w:spacing w:after="0" w:line="18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also provides for $465.0 million, net of an allowance for up to $75.0 million in outstanding letters of credit commitments. As of June 30, 2015, we had $455.8 million available under the revolving credit facility, net of $9.2 million in letters of credit.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our Term B-3 Loan. These reductions would remain in effect as long as we achieve a total leverage ratio at or below the related threshold. As of June 30, 2015, the total leverage ratio was 2.88x.</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addition to the maximum total senior secured leverage ratio for the revolving portion of the Senior Secured Credit Facility, the Senior Secured Credit Facility includes, among other things, customary restrictions (subject to certain exceptions) on our ability to incur certain indebtedness or liens, make certain investments, declare or pay certain dividends or repurchase shares of our common stock. As of June 30, 2015, we are in compliance with all covenants under the Senior Secured Credit Facility.</w:t>
      </w:r>
    </w:p>
    <w:p>
      <w:pPr>
        <w:spacing w:after="0" w:line="180" w:lineRule="exact"/>
        <w:rPr>
          <w:sz w:val="20"/>
          <w:szCs w:val="20"/>
          <w:color w:val="auto"/>
        </w:rPr>
      </w:pPr>
    </w:p>
    <w:p>
      <w:pPr>
        <w:ind w:right="120" w:firstLine="456"/>
        <w:spacing w:after="0" w:line="289" w:lineRule="auto"/>
        <w:rPr>
          <w:sz w:val="20"/>
          <w:szCs w:val="20"/>
          <w:color w:val="auto"/>
        </w:rPr>
      </w:pPr>
      <w:r>
        <w:rPr>
          <w:rFonts w:ascii="Times New Roman" w:cs="Times New Roman" w:eastAsia="Times New Roman" w:hAnsi="Times New Roman"/>
          <w:sz w:val="17"/>
          <w:szCs w:val="17"/>
          <w:color w:val="auto"/>
        </w:rPr>
        <w:t>Our credit ratings are reviewed regularly by major debt ratings agencies such as Standard and Poor’s, Moody’s Investors Service and Fitch Ratings. In March 2015, Standard and Poor’s raised the corporate rating to ‘BB’ from ‘BB-’ and assigned ‘BB+’ to the incremental Term B-3 loan. Moody’s raised the corporate rating to ‘Ba2’ from ‘Ba3’ and assigned ‘Ba2’ to the incremental Term B-3 loan. Fitch ratings assigned ‘BB’ to the incremental Term B-3 loan.</w:t>
      </w:r>
    </w:p>
    <w:p>
      <w:pPr>
        <w:spacing w:after="0" w:line="15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On October 30, 2014, our Board of Directors authorized us to repurchase up to $500.0 million of our common stock under a stock repurchase program. For the three and six months ended June 30, 2015, we repurchased approximately $85.2 and $124.1 million, respectively, of our common stock under the repurchase program. As a result of timing between the repurchase transactions and the settlement of the repurchases, $79.3 million and $114.7 million was settled in cash during the three months and six months</w:t>
      </w:r>
    </w:p>
    <w:p>
      <w:pPr>
        <w:sectPr>
          <w:pgSz w:w="11900" w:h="16838" w:orient="portrait"/>
          <w:cols w:equalWidth="0" w:num="1">
            <w:col w:w="11400"/>
          </w:cols>
          <w:pgMar w:left="240" w:top="455"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type w:val="continuous"/>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ended June 30, 2015, respectively. The remaining $9.4 million, or 317,900 shares, was recorded to Other current liabilities in the Condensed Consolidated Balance Sheet for June 30, 2015 and settled the following month.</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our sources and uses of funds for the six months ended June 30, 2015 and 2014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Cash Flows Data</w:t>
            </w: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4780" w:type="dxa"/>
            <w:vAlign w:val="bottom"/>
            <w:tcBorders>
              <w:bottom w:val="single" w:sz="8" w:color="CCEEFF"/>
            </w:tcBorders>
            <w:vMerge w:val="continue"/>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Operating activities for the six months ended June 30, 2015 generated $233.7 million of cash compared to $242.0 million for the six months ended June 30, 2014. The decrease was principally driven by decreased net sales, higher inventories and lower accounts payable commensurate with decreased net sales and lower other liabilities, net, partially offset by lower accounts receivable commensurate with decreased net sales, lower incentive compensation and lower interest expense as a result of debt repayments and refinancing.</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investing activities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Investing activities for the six months ended June 30, 2015 used $14.7 million of cash compared to $24.7 million for the six months ended June 30, 2014. The decrease was principally driven by a decrease of $7.8 million in capital expenditures and $3.8 million of 2014 investments in technology-related initiatives. The decrease in capital expenditures was principally driven by the timing of spending on productivity and replacement programs, and lower product initiatives spending.</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used for financing activities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Financing activities for the six months ended June 30, 2015 used $272.4 million of cash compared to $273.1 million of cash for the six months ended June 30, 2014. The decrease was principally driven by a decrease of $135.1 million of repurchases of our common stock, partially offset by $116.7 million of increased payments related to our long-term debt, $10.5 million of increased dividend payments and $6.5 million of increased debt financing fees associated with our amendment to our Senior Secured Credit Facility in the second quarter of 2015.</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O of our condensed consolidated financial statements included in Part I, Item 1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$6.0 million to $7.0 million per year for each of the prior three fiscal years.</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terms of the U.S. government contracts, there are certain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Assuming our current level of government contracts, a 10% adjustment in our price reduction reserve, would have affected our earnings by approximately $5.0 million to $6.0 million per year for each of the prior three fiscal years.</w:t>
      </w:r>
    </w:p>
    <w:p>
      <w:pPr>
        <w:spacing w:after="0" w:line="184" w:lineRule="exact"/>
        <w:rPr>
          <w:sz w:val="20"/>
          <w:szCs w:val="20"/>
          <w:color w:val="auto"/>
        </w:rPr>
      </w:pPr>
    </w:p>
    <w:p>
      <w:pPr>
        <w:ind w:right="94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2 to the consolidated financial statements in our Annual Report on Form 10-K for the year ended December 31, 2014.</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which is the same as our one operating and reportable segment.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89"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Our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76"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Goodwill impairment testing for 2014 was performed by assessing certain qualitative trends and factors. These trends and factors were compared to, and based on, the assumptions used in the quantitative assessment performed in 2013. Our 2013 impairment test indicated that our fair value of the reporting unit exceeded its carrying value by approximately 90%, indicating no impairment. After reviewing the various qualitative factors mentioned above, our 2014 annual goodwill impairment test indicated that the fair value of the reporting unit more likely than not exceeded its carrying value, indicating no impairment.</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Other intangible assets have both indefinite and finite useful lives. Intangible assets with indefinite useful lives, such as our trade name, are not amortized but are tested annually for impairment. We have elected to perform our annual trade name impairment test on October 31 of every year and follow a similar multi-step impairment test that is performed on goodwill. Events or circumstances that could unfavorably impact the key assumptions include lower net sales driven by market conditions, our inability to execute on marketing programs and/or a delay in introduction of new products, and higher discount rate as a result of market conditions. While unpredictable and inherently uncertain, we believe the forecast estimates are reasonable and incorporate those assumptions that similar market participants would use in their estimates of fair value. Our 2013 trade name impairment test indicated that our fair value of the trade name exceeded the carrying value by approximately 8%, indicating no impairment. After reviewing the various qualitative factors mentioned above, our 2014 trade name impairment test indicated that the fair value of our trade name more likely than not exceeded the respective carrying value, indicating no impairment.</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w:t>
      </w:r>
    </w:p>
    <w:p>
      <w:pPr>
        <w:spacing w:after="0" w:line="184"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2 and NOTE 5 to the consolidated financial statements in our Annual Report on Form 10-K for the year ended December 31, 2014.</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4"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As a result of events and circumstances in the fourth quarter of 2014, we reviewed certain of our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expenses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9 to our consolidated financial statements in our Annual Report on Form 10-K for the year ended December 31, 2014 which contains a summary of the activity in our warranty liability account for 2014 and 2013 including adjustments to pre-existing warranties.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 Plans</w:t>
      </w:r>
    </w:p>
    <w:p>
      <w:pPr>
        <w:spacing w:after="0" w:line="121" w:lineRule="exact"/>
        <w:rPr>
          <w:sz w:val="20"/>
          <w:szCs w:val="20"/>
          <w:color w:val="auto"/>
        </w:rPr>
      </w:pPr>
    </w:p>
    <w:p>
      <w:pPr>
        <w:ind w:right="380" w:firstLine="456"/>
        <w:spacing w:after="0" w:line="266" w:lineRule="auto"/>
        <w:rPr>
          <w:sz w:val="20"/>
          <w:szCs w:val="20"/>
          <w:color w:val="auto"/>
        </w:rPr>
      </w:pPr>
      <w:r>
        <w:rPr>
          <w:rFonts w:ascii="Times New Roman" w:cs="Times New Roman" w:eastAsia="Times New Roman" w:hAnsi="Times New Roman"/>
          <w:sz w:val="18"/>
          <w:szCs w:val="18"/>
          <w:color w:val="auto"/>
        </w:rPr>
        <w:t>Pension and other post-retirement benefits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2014. The effect of a one percentage point decrease in the assumed discount rate would result in an increase in the December 31, 2014 defined benefit pension plans obligation of approximately $20.0 million. Similarly, a one percentage point decrease in the assumed discount rate would result in an increase in the December 31, 2014 OPEB obligation of approximately $23.7 million.</w:t>
      </w:r>
    </w:p>
    <w:p>
      <w:pPr>
        <w:spacing w:after="0" w:line="184"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is provided in NOTE 13 to the consolidated financial statements in our Annual Report on Form 10-K for the year ended December 31, 2014, which contains our review on various actuarial assumptions.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Excluding net operating loss carryforwards, our expected tax payments would have increased by approximately $40.0 million for the year ended December 31, 2014. If we continue to generate taxable income, we expect to utilize the remaining U.S. federal net operating loss carryforwards as early as the first quarter of 2016.</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Further information on income taxes is provided in NOTE 15 to the consolidated financial statements in our Annual Report on Form 10-K for the year ended December 31,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May 2015, we redeemed $100,000 and $450,000 of 7.125% Senior Notes held by Lawrence E. Dewey, our Chairman, President and Chief Executive Officer, and David S. Graziosi, our Executive Vice President, Chief Financial Officer and Treasurer, respectively, at the specified redemption price in the governing indenture equal to 103.563% of the principal amount plus any accrued and unpaid interest. Refer to NOTE F in Part I, Item 1 of this Quarterly Report on Form 10-Q for additional details.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our ability to prepare for, respond to and successfully achieve our objectives relating to technological and market developments and changing customer needs; the failure of markets outside North America to increase adoption of fully-automatic transmissions; risks related to our substantial indebtedness; the discovery of defects in our products, resulting in delays in new model launches, recall campaigns and/or increased warranty costs and reduction in future sales or damage to our brand and reputation; the concentration of our net sales in our top five customers and the loss of any one of these; risks associated with our international operations; brand and reputational risks; our intention to pay dividends and repurchase shares of our common stock; and labor strikes, work stoppages or similar labor disputes, which could significantly disrupt our operations or those of our principal customers.</w:t>
      </w:r>
    </w:p>
    <w:p>
      <w:pPr>
        <w:spacing w:after="0" w:line="19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Important factors that could cause actual results to differ materially from our expectations are disclosed in Part I, Item 1A of our Annual Report on Form 10-K for the year ended December 31, 2014 as filed with the Securities and Exchange Commission on February 20, 2015.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exposure to market risk consists of changes in interest rates, foreign currency rate fluctuations and movements in commodity prices.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$2,870.4 million including $455.8 million under our revolving credit facility, net of $9.2 million of letters of credit. A one-eighth percent change in assumed interest rates for the Senior Secured Credit Facility, if fully drawn, as of June 30, 2015 would have an impact of approximately $0.8 million on interest expense with the 1.00% LIBOR floor in effect on our Term B-3 Loan. Should LIBOR exceed 1.00%, a one-eighth percent change in assumed interest rates for the Senior Secured Credit Facility, if fully drawn, as of June 30, 2015 would have an impact of approximately $3.6 million on interest expense. As of June 30, 2015, we had no outstanding borrowings against the revolving credit facility.</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time to time, we enter into interest rate swap agreements to hedge our variable interest rate debt. Below is a list of our interest rate swaps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2015:</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440" w:type="dxa"/>
            <w:vAlign w:val="bottom"/>
            <w:vMerge w:val="restart"/>
          </w:tcPr>
          <w:p>
            <w:pPr>
              <w:spacing w:after="0"/>
              <w:rPr>
                <w:sz w:val="12"/>
                <w:szCs w:val="12"/>
                <w:color w:val="auto"/>
              </w:rPr>
            </w:pPr>
          </w:p>
        </w:tc>
        <w:tc>
          <w:tcPr>
            <w:tcW w:w="16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4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44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Barclays</w:t>
            </w:r>
          </w:p>
        </w:tc>
        <w:tc>
          <w:tcPr>
            <w:tcW w:w="440" w:type="dxa"/>
            <w:vAlign w:val="bottom"/>
            <w:shd w:val="clear" w:color="auto" w:fill="CCEEFF"/>
          </w:tcPr>
          <w:p>
            <w:pPr>
              <w:spacing w:after="0"/>
              <w:rPr>
                <w:sz w:val="18"/>
                <w:szCs w:val="18"/>
                <w:color w:val="auto"/>
              </w:rPr>
            </w:pP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7"/>
              </w:rPr>
              <w:t>Aug 2016-Aug 2019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M</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JP Morgan</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N</w:t>
            </w:r>
          </w:p>
        </w:tc>
        <w:tc>
          <w:tcPr>
            <w:tcW w:w="17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Bank of America</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O</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Deutsche Bank</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P</w:t>
            </w:r>
          </w:p>
        </w:tc>
        <w:tc>
          <w:tcPr>
            <w:tcW w:w="1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Barclays</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Q</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Barclays</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R</w:t>
            </w:r>
          </w:p>
        </w:tc>
        <w:tc>
          <w:tcPr>
            <w:tcW w:w="1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Deutsche Bank</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S</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Deutsche Bank</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T</w:t>
            </w:r>
          </w:p>
        </w:tc>
        <w:tc>
          <w:tcPr>
            <w:tcW w:w="1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8"/>
              </w:rPr>
              <w:t>Bank of America</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U</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V</w:t>
            </w:r>
          </w:p>
        </w:tc>
        <w:tc>
          <w:tcPr>
            <w:tcW w:w="1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W</w:t>
            </w:r>
          </w:p>
        </w:tc>
        <w:tc>
          <w:tcPr>
            <w:tcW w:w="17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Fifth Third Bank</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X</w:t>
            </w:r>
          </w:p>
        </w:tc>
        <w:tc>
          <w:tcPr>
            <w:tcW w:w="178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Huntington Bank</w:t>
            </w:r>
          </w:p>
        </w:tc>
        <w:tc>
          <w:tcPr>
            <w:tcW w:w="2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Aug 2016-Aug 2019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includes LIBOR floor of 1.00%</w:t>
      </w:r>
    </w:p>
    <w:p>
      <w:pPr>
        <w:spacing w:after="0" w:line="225"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 As of June 30, 2015, we hold hedging contracts in the Japanese Yen, which are intended to hedge either known or forecasted cash flow payments denominated in the currency. We do not hold financial instruments for trading or speculative purposes.</w:t>
      </w:r>
    </w:p>
    <w:p>
      <w:pPr>
        <w:spacing w:after="0" w:line="184"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Assuming current levels of foreign currency transactions, a 10% aggregate increase or decrease in the Japanese Yen, Euro, Indian Rupee, Chinese Yuan Renminbi and Canadian Dollar would correspondingly change our earnings by an estimated $3 million per year. This includes the partial offset of our hedging contracts described above. All other exposure to foreign currencies is considered immaterial.</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w:t>
      </w:r>
    </w:p>
    <w:p>
      <w:pPr>
        <w:sectPr>
          <w:pgSz w:w="11900" w:h="16838" w:orient="portrait"/>
          <w:cols w:equalWidth="0" w:num="1">
            <w:col w:w="11400"/>
          </w:cols>
          <w:pgMar w:left="240" w:top="455" w:right="259" w:bottom="144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2015 and 2016, as of June 30, 2015, the hedge contracts cover approximately 29% and 16% of our aluminum requirements, respectively. We do not hold financial instruments for trading or speculative purposes.</w:t>
      </w:r>
    </w:p>
    <w:p>
      <w:pPr>
        <w:spacing w:after="0" w:line="180"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Assuming current levels of commodity purchases, a 10% increase or decrease in the price of aluminum and steel would correspondingly change our earnings by approximately $1 million and $4 million per year, respectively. This includes the partial offset of our hedging contracts described above.</w:t>
      </w:r>
    </w:p>
    <w:p>
      <w:pPr>
        <w:spacing w:after="0" w:line="162"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actions in the normal course of our business, including those related to commercial transactions, product liability, safety, health, taxes, environmental and other matters. See NOTE O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our risk factors as previously reported in Part I, Item 1A of our Annual Report on Form 10-K for the year ended December 31, 2014 as filed with the Securities and Exchange Commission on February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related to our repurchases of our common stock on a monthly basis in the three months ended June 30, 2015:</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5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54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5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40" w:type="dxa"/>
            <w:vAlign w:val="bottom"/>
          </w:tcPr>
          <w:p>
            <w:pPr>
              <w:spacing w:after="0"/>
              <w:rPr>
                <w:sz w:val="15"/>
                <w:szCs w:val="15"/>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r>
              <w:rPr>
                <w:rFonts w:ascii="Times New Roman" w:cs="Times New Roman" w:eastAsia="Times New Roman" w:hAnsi="Times New Roman"/>
                <w:sz w:val="12"/>
                <w:szCs w:val="12"/>
                <w:b w:val="1"/>
                <w:bCs w:val="1"/>
                <w:color w:val="auto"/>
              </w:rPr>
              <w:t>(1)</w:t>
            </w:r>
          </w:p>
        </w:tc>
        <w:tc>
          <w:tcPr>
            <w:tcW w:w="54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Under Plans</w:t>
            </w: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742,300</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742,300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437,622,107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May 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763,998</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31.14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763,998</w:t>
            </w:r>
          </w:p>
        </w:tc>
        <w:tc>
          <w:tcPr>
            <w:tcW w:w="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413,834,184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2015</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1,257,100</w:t>
            </w:r>
          </w:p>
        </w:tc>
        <w:tc>
          <w:tcPr>
            <w:tcW w:w="8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1,257,100</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375,926,074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2,763,398</w:t>
            </w: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30.82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2,763,398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right="120" w:hanging="452"/>
        <w:spacing w:after="0" w:line="261" w:lineRule="auto"/>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These values reflect repurchases made under the stock repurchase program approved by our Board of Directors on October 30, 2014 authorizing $500 million of repurchases through December 31, 2016.</w:t>
      </w:r>
    </w:p>
    <w:p>
      <w:pPr>
        <w:ind w:left="460" w:hanging="452"/>
        <w:spacing w:after="0"/>
        <w:tabs>
          <w:tab w:leader="none" w:pos="4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Includes approximately $9 million, or 317,900 shares, of repurchases settled in July 2015.</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149"/>
        </w:trPr>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320" w:type="dxa"/>
            <w:vAlign w:val="bottom"/>
            <w:tcBorders>
              <w:bottom w:val="single" w:sz="8" w:color="auto"/>
            </w:tcBorders>
            <w:gridSpan w:val="2"/>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13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367"/>
        </w:trPr>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560" w:type="dxa"/>
            <w:vAlign w:val="bottom"/>
            <w:gridSpan w:val="3"/>
            <w:vMerge w:val="restart"/>
          </w:tcPr>
          <w:p>
            <w:pPr>
              <w:ind w:left="5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Amendment No.11 to the Credit Agreement, dated as of April 7, 2015, among Allison Transmission Holdings, Inc., Allison Transmission,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 as Borrower, the several banks and other financial institutions or entities from time to time parties thereto as Lenders, Citicorp North</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America, Inc., as Administrative Agent and the other agents and arrangers parties thereto (incorporated by reference to Exhibit 10.1 to the</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Registrant’s Current Report on Form 8-K filed April 7, 2015)</w:t>
            </w:r>
          </w:p>
        </w:tc>
        <w:tc>
          <w:tcPr>
            <w:tcW w:w="0" w:type="dxa"/>
            <w:vAlign w:val="bottom"/>
          </w:tcPr>
          <w:p>
            <w:pPr>
              <w:spacing w:after="0"/>
              <w:rPr>
                <w:sz w:val="1"/>
                <w:szCs w:val="1"/>
                <w:color w:val="auto"/>
              </w:rPr>
            </w:pPr>
          </w:p>
        </w:tc>
      </w:tr>
      <w:tr>
        <w:trPr>
          <w:trHeight w:val="306"/>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Chief Executive Officer pursuant to Rule 13a-14(a)/15d-14(a) as adopted pursuant to</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Section 302 of the Sarbanes-Oxley Act of 2002 (filed herewith)</w:t>
            </w:r>
          </w:p>
        </w:tc>
        <w:tc>
          <w:tcPr>
            <w:tcW w:w="0" w:type="dxa"/>
            <w:vAlign w:val="bottom"/>
          </w:tcPr>
          <w:p>
            <w:pPr>
              <w:spacing w:after="0"/>
              <w:rPr>
                <w:sz w:val="1"/>
                <w:szCs w:val="1"/>
                <w:color w:val="auto"/>
              </w:rPr>
            </w:pPr>
          </w:p>
        </w:tc>
      </w:tr>
      <w:tr>
        <w:trPr>
          <w:trHeight w:val="319"/>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Chief Financial Officer pursuant to Rule 13a-14(a)/15d-14(a) as adopted pursuant to</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Section 302 of the Sarbanes-Oxley Act of 2002 (filed herewith)</w:t>
            </w:r>
          </w:p>
        </w:tc>
        <w:tc>
          <w:tcPr>
            <w:tcW w:w="0" w:type="dxa"/>
            <w:vAlign w:val="bottom"/>
          </w:tcPr>
          <w:p>
            <w:pPr>
              <w:spacing w:after="0"/>
              <w:rPr>
                <w:sz w:val="1"/>
                <w:szCs w:val="1"/>
                <w:color w:val="auto"/>
              </w:rPr>
            </w:pPr>
          </w:p>
        </w:tc>
      </w:tr>
      <w:tr>
        <w:trPr>
          <w:trHeight w:val="319"/>
        </w:trPr>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Certification of Periodic Report by Chief Executive Officer and Chief Financial Officer pursuant to 18 U.S.C. Section 1350, as adopted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(filed herewith)</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28, 2015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ALLISON TRANSMISSION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Lawrence E. Dewey</w:t>
            </w:r>
          </w:p>
        </w:tc>
      </w:tr>
      <w:tr>
        <w:trPr>
          <w:trHeight w:val="205"/>
        </w:trPr>
        <w:tc>
          <w:tcPr>
            <w:tcW w:w="580" w:type="dxa"/>
            <w:vAlign w:val="bottom"/>
          </w:tcPr>
          <w:p>
            <w:pPr>
              <w:spacing w:after="0"/>
              <w:rPr>
                <w:sz w:val="17"/>
                <w:szCs w:val="17"/>
                <w:color w:val="auto"/>
              </w:rPr>
            </w:pPr>
          </w:p>
        </w:tc>
        <w:tc>
          <w:tcPr>
            <w:tcW w:w="53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Lawrence E. Dewey</w:t>
            </w:r>
          </w:p>
        </w:tc>
      </w:tr>
      <w:tr>
        <w:trPr>
          <w:trHeight w:val="234"/>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S. Graziosi</w:t>
            </w:r>
          </w:p>
        </w:tc>
      </w:tr>
      <w:tr>
        <w:trPr>
          <w:trHeight w:val="205"/>
        </w:trPr>
        <w:tc>
          <w:tcPr>
            <w:tcW w:w="580" w:type="dxa"/>
            <w:vAlign w:val="bottom"/>
          </w:tcPr>
          <w:p>
            <w:pPr>
              <w:spacing w:after="0"/>
              <w:rPr>
                <w:sz w:val="17"/>
                <w:szCs w:val="17"/>
                <w:color w:val="auto"/>
              </w:rPr>
            </w:pPr>
          </w:p>
        </w:tc>
        <w:tc>
          <w:tcPr>
            <w:tcW w:w="53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Name: David S. Graziosi</w:t>
            </w: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34"/>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65"/>
        </w:trPr>
        <w:tc>
          <w:tcPr>
            <w:tcW w:w="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2">
            <w:col w:w="4740" w:space="720"/>
            <w:col w:w="5960"/>
          </w:cols>
          <w:pgMar w:left="240" w:top="455" w:right="239" w:bottom="1440" w:gutter="0" w:footer="0" w:header="0"/>
          <w:type w:val="continuous"/>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Lawrence E. Dewey</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25" w:lineRule="exact"/>
        <w:rPr>
          <w:sz w:val="20"/>
          <w:szCs w:val="20"/>
          <w:color w:val="auto"/>
        </w:rPr>
      </w:pPr>
    </w:p>
    <w:p>
      <w:pPr>
        <w:jc w:val="center"/>
        <w:ind w:left="260" w:right="23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130" w:lineRule="exact"/>
        <w:rPr>
          <w:rFonts w:ascii="Times New Roman" w:cs="Times New Roman" w:eastAsia="Times New Roman" w:hAnsi="Times New Roman"/>
          <w:sz w:val="18"/>
          <w:szCs w:val="18"/>
          <w:color w:val="auto"/>
        </w:rPr>
      </w:pPr>
    </w:p>
    <w:p>
      <w:pPr>
        <w:jc w:val="both"/>
        <w:ind w:left="460" w:right="50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60" w:right="46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60" w:right="80" w:hanging="452"/>
        <w:spacing w:after="0" w:line="266"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jc w:val="both"/>
        <w:ind w:left="900" w:right="34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00" w:right="62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00" w:right="800" w:hanging="446"/>
        <w:spacing w:after="0" w:line="313" w:lineRule="auto"/>
        <w:tabs>
          <w:tab w:leader="none" w:pos="9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Times New Roman" w:cs="Times New Roman" w:eastAsia="Times New Roman" w:hAnsi="Times New Roman"/>
          <w:sz w:val="17"/>
          <w:szCs w:val="17"/>
          <w:color w:val="auto"/>
        </w:rPr>
      </w:pPr>
    </w:p>
    <w:p>
      <w:pPr>
        <w:ind w:left="900" w:right="20" w:hanging="446"/>
        <w:spacing w:after="0" w:line="266"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60" w:right="38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00" w:right="260" w:hanging="446"/>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848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June 30, 2015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86"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30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E. Dewey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28,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3306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Roman"/>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2019-12-29T17:42:03Z</dcterms:created>
  <dcterms:modified xsi:type="dcterms:W3CDTF">2019-12-29T17:42:03Z</dcterms:modified>
</cp:coreProperties>
</file>