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53340</wp:posOffset>
            </wp:positionV>
            <wp:extent cx="196405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405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tcPr>
          <w:p>
            <w:pPr>
              <w:jc w:val="right"/>
              <w:ind w:right="164"/>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3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One Allison Way</w:t>
            </w:r>
          </w:p>
        </w:tc>
        <w:tc>
          <w:tcPr>
            <w:tcW w:w="520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Indianapolis, IN</w:t>
            </w:r>
          </w:p>
        </w:tc>
        <w:tc>
          <w:tcPr>
            <w:tcW w:w="5200" w:type="dxa"/>
            <w:vAlign w:val="bottom"/>
          </w:tcPr>
          <w:p>
            <w:pPr>
              <w:jc w:val="right"/>
              <w:ind w:right="364"/>
              <w:spacing w:after="0"/>
              <w:rPr>
                <w:sz w:val="20"/>
                <w:szCs w:val="20"/>
                <w:color w:val="auto"/>
              </w:rPr>
            </w:pPr>
            <w:r>
              <w:rPr>
                <w:rFonts w:ascii="Arial" w:cs="Arial" w:eastAsia="Arial" w:hAnsi="Arial"/>
                <w:sz w:val="18"/>
                <w:szCs w:val="18"/>
                <w:b w:val="1"/>
                <w:bCs w:val="1"/>
                <w:color w:val="auto"/>
              </w:rPr>
              <w:t>46222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80" w:type="dxa"/>
            <w:vAlign w:val="bottom"/>
          </w:tcPr>
          <w:p>
            <w:pPr>
              <w:spacing w:after="0"/>
              <w:rPr>
                <w:sz w:val="24"/>
                <w:szCs w:val="24"/>
                <w:color w:val="auto"/>
              </w:rPr>
            </w:pPr>
          </w:p>
        </w:tc>
        <w:tc>
          <w:tcPr>
            <w:tcW w:w="5200" w:type="dxa"/>
            <w:vAlign w:val="bottom"/>
          </w:tcPr>
          <w:p>
            <w:pPr>
              <w:jc w:val="right"/>
              <w:ind w:right="2984"/>
              <w:spacing w:after="0"/>
              <w:rPr>
                <w:sz w:val="20"/>
                <w:szCs w:val="20"/>
                <w:color w:val="auto"/>
              </w:rPr>
            </w:pPr>
            <w:r>
              <w:rPr>
                <w:rFonts w:ascii="Arial" w:cs="Arial" w:eastAsia="Arial" w:hAnsi="Arial"/>
                <w:sz w:val="18"/>
                <w:szCs w:val="18"/>
                <w:b w:val="1"/>
                <w:bCs w:val="1"/>
                <w:color w:val="auto"/>
              </w:rPr>
              <w:t>(317) 242-5000</w:t>
            </w:r>
          </w:p>
        </w:tc>
      </w:tr>
      <w:tr>
        <w:trPr>
          <w:trHeight w:val="174"/>
        </w:trPr>
        <w:tc>
          <w:tcPr>
            <w:tcW w:w="2380" w:type="dxa"/>
            <w:vAlign w:val="bottom"/>
          </w:tcPr>
          <w:p>
            <w:pPr>
              <w:spacing w:after="0"/>
              <w:rPr>
                <w:sz w:val="15"/>
                <w:szCs w:val="15"/>
                <w:color w:val="auto"/>
              </w:rPr>
            </w:pPr>
          </w:p>
        </w:tc>
        <w:tc>
          <w:tcPr>
            <w:tcW w:w="5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April 14, 2014, there were 181,128,245 shares of Common Stock and 1,185 shares of Non-voting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720" w:type="dxa"/>
            <w:vAlign w:val="bottom"/>
            <w:gridSpan w:val="10"/>
            <w:vMerge w:val="restart"/>
          </w:tcPr>
          <w:p>
            <w:pPr>
              <w:jc w:val="center"/>
              <w:ind w:right="37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20" w:type="dxa"/>
            <w:vAlign w:val="bottom"/>
            <w:gridSpan w:val="10"/>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Financial Statements: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6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06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6-18</w:t>
            </w: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19-28</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29-30</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20" w:type="dxa"/>
            <w:vAlign w:val="bottom"/>
            <w:tcBorders>
              <w:left w:val="single" w:sz="8" w:color="0000EE"/>
            </w:tcBorders>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9"/>
          </w:tcPr>
          <w:p>
            <w:pPr>
              <w:jc w:val="center"/>
              <w:ind w:right="388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2260" w:type="dxa"/>
            <w:vAlign w:val="bottom"/>
            <w:gridSpan w:val="4"/>
          </w:tcPr>
          <w:p>
            <w:pPr>
              <w:spacing w:after="0"/>
              <w:rPr>
                <w:sz w:val="24"/>
                <w:szCs w:val="24"/>
                <w:color w:val="auto"/>
              </w:rPr>
            </w:pPr>
          </w:p>
        </w:tc>
        <w:tc>
          <w:tcPr>
            <w:tcW w:w="2700" w:type="dxa"/>
            <w:vAlign w:val="bottom"/>
            <w:tcBorders>
              <w:top w:val="single" w:sz="8" w:color="0000EE"/>
            </w:tcBorders>
            <w:gridSpan w:val="6"/>
          </w:tcPr>
          <w:p>
            <w:pPr>
              <w:spacing w:after="0"/>
              <w:rPr>
                <w:sz w:val="24"/>
                <w:szCs w:val="24"/>
                <w:color w:val="auto"/>
              </w:rPr>
            </w:pPr>
          </w:p>
        </w:tc>
        <w:tc>
          <w:tcPr>
            <w:tcW w:w="388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1A.</w:t>
            </w:r>
          </w:p>
        </w:tc>
        <w:tc>
          <w:tcPr>
            <w:tcW w:w="1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00" w:type="dxa"/>
            <w:vAlign w:val="bottom"/>
            <w:gridSpan w:val="9"/>
            <w:shd w:val="clear" w:color="auto" w:fill="0000EE"/>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83"/>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15"/>
          </w:tcPr>
          <w:p>
            <w:pPr>
              <w:jc w:val="center"/>
              <w:ind w:left="349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Accounts receivables — net of allowance for doubtful accounts of $0.5 and $0.4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227.2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652.6</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1,586.1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1,941.0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4,819.9</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411.1</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2,656.0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98.4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158.8</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3,426.1</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3,373.8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O)</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1,880,000,000 shares authorized, 180,990,466 and 183,375,436 shares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w w:val="95"/>
              </w:rPr>
              <w:t>Non-voting common stock, $0.01 par value, 20,000,000 shares authorized, 1,185 shares issued and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 in capital</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1,625.5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(214.6)</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(18.9)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1,393.8</w:t>
            </w:r>
          </w:p>
        </w:tc>
        <w:tc>
          <w:tcPr>
            <w:tcW w:w="8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&amp; STOCKHOLDERS’ EQUITY</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4,819.9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0.28</w:t>
            </w:r>
          </w:p>
        </w:tc>
        <w:tc>
          <w:tcPr>
            <w:tcW w:w="320" w:type="dxa"/>
            <w:vAlign w:val="bottom"/>
          </w:tcPr>
          <w:p>
            <w:pPr>
              <w:spacing w:after="0"/>
              <w:rPr>
                <w:sz w:val="18"/>
                <w:szCs w:val="18"/>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320" w:type="dxa"/>
            <w:vAlign w:val="bottom"/>
          </w:tcPr>
          <w:p>
            <w:pPr>
              <w:spacing w:after="0"/>
              <w:rPr>
                <w:sz w:val="18"/>
                <w:szCs w:val="18"/>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Three months ended March 31,</w:t>
            </w:r>
          </w:p>
        </w:tc>
      </w:tr>
      <w:tr>
        <w:trPr>
          <w:trHeight w:val="161"/>
        </w:trPr>
        <w:tc>
          <w:tcPr>
            <w:tcW w:w="748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derivatives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loss on investment in technology-related initiatives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(52.0)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 and liabilities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22"/>
        </w:trPr>
        <w:tc>
          <w:tcPr>
            <w:tcW w:w="748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Additions of long-lived assets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disposal of assets</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(15.1)</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Repurchase of common stock</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financing fees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Payments on long-term debt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payments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on stock-based compensation</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tcPr>
          <w:p>
            <w:pPr>
              <w:ind w:left="880"/>
              <w:spacing w:after="0"/>
              <w:rPr>
                <w:sz w:val="20"/>
                <w:szCs w:val="20"/>
                <w:color w:val="auto"/>
              </w:rPr>
            </w:pPr>
            <w:r>
              <w:rPr>
                <w:rFonts w:ascii="Arial" w:cs="Arial" w:eastAsia="Arial" w:hAnsi="Arial"/>
                <w:sz w:val="18"/>
                <w:szCs w:val="18"/>
                <w:color w:val="auto"/>
              </w:rPr>
              <w:t>Net cash (used for) provided by financing activities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2"/>
        </w:trPr>
        <w:tc>
          <w:tcPr>
            <w:tcW w:w="7480" w:type="dxa"/>
            <w:vAlign w:val="bottom"/>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1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184.7</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r>
      <w:tr>
        <w:trPr>
          <w:trHeight w:val="20"/>
        </w:trPr>
        <w:tc>
          <w:tcPr>
            <w:tcW w:w="7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or “Allison”), design and manufacture commercial and defense fully-automatic transmissions.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13 different transmission product lines. Although approximately 77% of revenues were generated in North America in 2013,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condensed consolidated financial statements as of and for the three months ended March 31, 2014 and 2013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condensed consolidated financial statements present the financial position, results of operations and cash flows of the Company. The condensed consolidated financial statements should be read in conjunction with the audited consolidated financial statements included in the Company’s Form 10-K for the year ended December 31, 2013 as filed with the Securities and Exchange Commission (“SEC”) on February 24, 2014. The interim period financial results for the three month periods presented are not necessarily indicative of results to be expected for any other interim period or for the entire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July 2013, the Financial Accounting Standards Board (“FASB”) issued authoritative accounting guidance on the presentation of an unrecognized tax benefit when net operating loss (“NOL”) carryforwards exist. The guidance requires presentation of an unrecognized tax benefit, or a portion of an unrecognized tax benefit, in the financial statements as a reduction to a deferred tax asset for an NOL carryforward, a similar tax loss or a tax credit carryforward. The guidance became effective for fiscal years beginning after December 15, 2013. The adoption of this guidance did not have a material effect on the Company’s condensed consolidated financial statements.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March 2013, the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became effective for fiscal years beginning after December 15, 2013. The adoption of this guidance did not have an effect on the Company’s condensed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4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Work in progress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Finished goods</w:t>
            </w:r>
          </w:p>
        </w:tc>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r>
              <w:rPr>
                <w:rFonts w:ascii="Arial" w:cs="Arial" w:eastAsia="Arial" w:hAnsi="Arial"/>
                <w:sz w:val="18"/>
                <w:szCs w:val="18"/>
                <w:b w:val="1"/>
                <w:bCs w:val="1"/>
                <w:u w:val="single" w:color="auto"/>
                <w:color w:val="auto"/>
              </w:rPr>
              <w:t>6</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in which the Company has an obligation to buy back, are included in purchased parts and raw materials, with an offsetting liability in Other current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March 31, 2014 and December 31, 2013, the carrying amount of the Company’s Goodwill was $1,941.0 million. The following presents a summary of other intangible assets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Intangible</w:t>
            </w: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Intangible</w:t>
            </w: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3"/>
              </w:rPr>
              <w:t>assets, gross</w:t>
            </w: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assets, net</w:t>
            </w:r>
          </w:p>
        </w:tc>
        <w:tc>
          <w:tcPr>
            <w:tcW w:w="3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75"/>
              </w:rPr>
              <w:t>assets, gross</w:t>
            </w:r>
          </w:p>
        </w:tc>
        <w:tc>
          <w:tcPr>
            <w:tcW w:w="3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(387.9)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443.9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Tooling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2,551.0</w:t>
            </w:r>
          </w:p>
        </w:tc>
        <w:tc>
          <w:tcPr>
            <w:tcW w:w="3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(964.9</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1,586.1</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2,551.0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31, 2014 and December 31, 2013, the net carrying value of our Goodwill and other intangibles was $3,527.1 million and $3,551.8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3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87.2</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85.7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189.9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80" w:type="dxa"/>
            <w:vAlign w:val="bottom"/>
            <w:vMerge w:val="restart"/>
          </w:tcPr>
          <w:p>
            <w:pPr>
              <w:jc w:val="right"/>
              <w:ind w:right="1362"/>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2014 and December 31, 2013, the Company did not have any Level 3 financial assets or liabilities.</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0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Company’s valuation techniques used to fair value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43"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0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2014 and December 31, 2013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86"/>
              </w:rPr>
              <w:t>Fair Value Measurements Using</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6"/>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4"/>
              </w:rPr>
              <w:t>Assets (Level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Observable Inputs (Level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35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7"/>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(15.7)</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156.3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0"/>
        </w:trPr>
        <w:tc>
          <w:tcPr>
            <w:tcW w:w="3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Of the available Cash and cash equivalents, approximately $144.9 million and $179.7 million was deposited in operating accounts while approximately $15.0 million and $5.0 million was invested in U.S. government backed securities as of March 31, 2014 and December 31, 2013,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6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1060" w:type="dxa"/>
            <w:vAlign w:val="bottom"/>
            <w:gridSpan w:val="2"/>
          </w:tcPr>
          <w:p>
            <w:pPr>
              <w:ind w:left="980"/>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423.5</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1,780.7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1,783.5</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2,675.5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2,678.3</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2,656.0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2,660.4</w:t>
            </w:r>
          </w:p>
        </w:tc>
        <w:tc>
          <w:tcPr>
            <w:tcW w:w="100" w:type="dxa"/>
            <w:vAlign w:val="bottom"/>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2014, the Company had $423.5 million of indebtedness associated with Allison Transmission, Inc.’s (“ATI”), the Company’s wholly-owned subsidiary, Senior Secured Credit Facility Term B-2 Loan due 2017 (“Term B-2 Loan”) and $1,780.7 million of indebtedness associated with ATI’s Senior Secured Credit Facility Term B-3 Loan due 2019 (“Term B-3 Loan”) (together the Term B-2 Loan, Term B-3 Loan and revolving credit facility defined as the “Senior Secured Credit Facility”). The Company also had indebtedness of $471.3 million of ATI’s 7.125% senior cash pay notes due May 2019 (“7.125% Senior Notes”).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March 31, 2014 was $2,720.3 million. The fair value is based on quoted Level 1 market prices of the Company’s debt as of March 31, 2014.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March 31, 2014, is equal to the LIBOR plus 3.00% and interest on the Term B-3 Loan, as of March 31, 2014, is equal to the LIBOR (which may not be less than 1.00%) plus 2.75% based on the Company’s total leverage ratio. As of March 31, 2014, these rates were approximately 3.16% and 3.75% on the Term B-2 Loan and Term B-3 Loan, respectively, and the weighted average rate on the Senior Secured Credit Facility was approximately 3.64%.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The minimum required quarterly principal payment on the Term B-3 Loan is $4.5 million and remains through its maturity date of 2019. As of March 31, 2014, there had been no payments required for certain net cash proceeds of non-ordinary course asset sales and casualty and condemnation events. The remaining principal balance on each loan is due upon maturity.</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Senior Secured Credit Facility also provides for revolving credit borrowings. In the first quarter of 2014, ATI increased the revolving commitments available under the revolving portion of the Senior Secured Credit Facility to $465.0 million, net of an allowance for up to $75.0 million in outstanding letters of credit commitments. The increase was treated as a modification of debt under GAAP, and thus the Company recorded $0.6 million of new deferred financing fees in the condensed consolidated financial statements. Throughout the three months ended March 31, 2014, the Company did not make any withdrawals on the revolving credit facility. As of March 31, 2014, the Company had $453.0 million available under the revolving credit facility, net of $12.0 million in letters of credit. Revolving credit borrowings bear interest at a variable base rate plus an applicable margin based on the Company’s total leverage ratio. As of March 31, 2014, this rate would have been between approximately 2.41% and 4.50%. In addition, there is an annual commitment fee, based on the Company’s total leverage ratio, which as of March 31, 2014, was equal to 0.375%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revolving portion of the Senior Secured Credit Facility requires the Company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March 31, 2014, the Company had no revolving loans outstanding, however the Company would have been in compliance with the maximum total senior secured leverage ratio, achieving a 3.14x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March 31, 2014, the total leverage ratio was 3.86x.</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March 31, 2014, the Company is in compliance with all covenants under the Senior Secured Credit Facility.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42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March 31, 2014 and December 31, 2013 follows (dollars in millions):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88"/>
              </w:rPr>
              <w:t>March 31, 2014</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4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12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Notional</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3.75%</w:t>
            </w:r>
          </w:p>
        </w:tc>
        <w:tc>
          <w:tcPr>
            <w:tcW w:w="59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Rate Swap H, due August 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3.77%</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I, due August 2014</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350.0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2.96%</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J, due August 2014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3.05%</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K, due August 2014</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3.44%</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L, due August 2019*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3.43%</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M, due August 2019*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3.37%</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due August 2019*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(0.8)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3.19%</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O, due August 2019*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3.08%</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due August 2019*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2.99%</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Q, due August 2019*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2.98%</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due August 2019*</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 include LIBOR floor of 1.00%</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1,450.0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2"/>
              </w:rPr>
              <w:t>(14.1</w:t>
            </w:r>
          </w:p>
        </w:tc>
        <w:tc>
          <w:tcPr>
            <w:tcW w:w="500" w:type="dxa"/>
            <w:vAlign w:val="bottom"/>
          </w:tcPr>
          <w:p>
            <w:pPr>
              <w:jc w:val="right"/>
              <w:ind w:right="358"/>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1,450.0</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0"/>
        </w:trPr>
        <w:tc>
          <w:tcPr>
            <w:tcW w:w="4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March 31, 2014 and December 31, 2013, the Company had recorded cash collateral of $2.0 million and $1.7 million, respectively, in Other current assets in the Condensed Consolidated Balance Sheets, as the balances are subject to frequent change. The Company has also posted $2.0 million of collateral in the form of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March 31, 2014 and December 31, 2013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gridSpan w:val="4"/>
          </w:tcPr>
          <w:p>
            <w:pPr>
              <w:ind w:left="440"/>
              <w:spacing w:after="0"/>
              <w:rPr>
                <w:sz w:val="20"/>
                <w:szCs w:val="20"/>
                <w:color w:val="auto"/>
              </w:rPr>
            </w:pPr>
            <w:r>
              <w:rPr>
                <w:rFonts w:ascii="Arial" w:cs="Arial" w:eastAsia="Arial" w:hAnsi="Arial"/>
                <w:sz w:val="14"/>
                <w:szCs w:val="14"/>
                <w:b w:val="1"/>
                <w:bCs w:val="1"/>
                <w:color w:val="auto"/>
                <w:w w:val="98"/>
              </w:rPr>
              <w:t>March 31, 2014</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Notional</w:t>
            </w: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3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¥1,050.0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¥600.0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160" w:type="dxa"/>
            <w:vAlign w:val="bottom"/>
            <w:vMerge w:val="restart"/>
          </w:tcPr>
          <w:p>
            <w:pPr>
              <w:jc w:val="right"/>
              <w:ind w:right="1012"/>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March 31, 2014 and December 31, 2013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31, 2014</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2013</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4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Notional</w:t>
            </w: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0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Quantity</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$ 21.9</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11,000 metric tons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0"/>
              </w:rPr>
              <w:t>(1.6)</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$ 23.8</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11,875 metric tons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Natural Gas</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N/A</w:t>
            </w: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90,000 MMBtu</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March 31, 2014</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9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440"/>
              <w:spacing w:after="0"/>
              <w:rPr>
                <w:sz w:val="20"/>
                <w:szCs w:val="20"/>
                <w:color w:val="auto"/>
              </w:rPr>
            </w:pPr>
            <w:r>
              <w:rPr>
                <w:rFonts w:ascii="Arial" w:cs="Arial" w:eastAsia="Arial" w:hAnsi="Arial"/>
                <w:sz w:val="18"/>
                <w:szCs w:val="18"/>
                <w:color w:val="auto"/>
              </w:rPr>
              <w:t>Foreign currency contracts</w:t>
            </w:r>
          </w:p>
        </w:tc>
        <w:tc>
          <w:tcPr>
            <w:tcW w:w="292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Other current assets</w:t>
            </w:r>
          </w:p>
        </w:tc>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rPr>
              <w:t>0.1</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92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2920" w:type="dxa"/>
            <w:vAlign w:val="bottom"/>
            <w:gridSpan w:val="3"/>
            <w:shd w:val="clear" w:color="auto" w:fill="CCEEFF"/>
          </w:tcPr>
          <w:p>
            <w:pPr>
              <w:ind w:left="960"/>
              <w:spacing w:after="0" w:line="203" w:lineRule="exact"/>
              <w:rPr>
                <w:sz w:val="20"/>
                <w:szCs w:val="20"/>
                <w:color w:val="auto"/>
              </w:rPr>
            </w:pPr>
            <w:r>
              <w:rPr>
                <w:rFonts w:ascii="Arial" w:cs="Arial" w:eastAsia="Arial" w:hAnsi="Arial"/>
                <w:sz w:val="18"/>
                <w:szCs w:val="18"/>
                <w:b w:val="1"/>
                <w:bCs w:val="1"/>
                <w:color w:val="auto"/>
              </w:rPr>
              <w:t>Other current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tcPr>
          <w:p>
            <w:pPr>
              <w:ind w:left="440"/>
              <w:spacing w:after="0" w:line="201" w:lineRule="exact"/>
              <w:rPr>
                <w:sz w:val="20"/>
                <w:szCs w:val="20"/>
                <w:color w:val="auto"/>
              </w:rPr>
            </w:pPr>
            <w:r>
              <w:rPr>
                <w:rFonts w:ascii="Arial" w:cs="Arial" w:eastAsia="Arial" w:hAnsi="Arial"/>
                <w:sz w:val="18"/>
                <w:szCs w:val="18"/>
                <w:color w:val="auto"/>
              </w:rPr>
              <w:t>Commodity contracts</w:t>
            </w:r>
          </w:p>
        </w:tc>
        <w:tc>
          <w:tcPr>
            <w:tcW w:w="2920" w:type="dxa"/>
            <w:vAlign w:val="bottom"/>
            <w:gridSpan w:val="3"/>
          </w:tcPr>
          <w:p>
            <w:pPr>
              <w:ind w:left="960"/>
              <w:spacing w:after="0" w:line="201" w:lineRule="exact"/>
              <w:rPr>
                <w:sz w:val="20"/>
                <w:szCs w:val="20"/>
                <w:color w:val="auto"/>
              </w:rPr>
            </w:pPr>
            <w:r>
              <w:rPr>
                <w:rFonts w:ascii="Arial" w:cs="Arial" w:eastAsia="Arial" w:hAnsi="Arial"/>
                <w:sz w:val="18"/>
                <w:szCs w:val="18"/>
                <w:b w:val="1"/>
                <w:bCs w:val="1"/>
                <w:color w:val="auto"/>
              </w:rPr>
              <w:t>Other non-current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0.1</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2920" w:type="dxa"/>
            <w:vAlign w:val="bottom"/>
            <w:gridSpan w:val="3"/>
            <w:shd w:val="clear" w:color="auto" w:fill="CCEEFF"/>
          </w:tcPr>
          <w:p>
            <w:pPr>
              <w:ind w:left="960"/>
              <w:spacing w:after="0" w:line="203"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w:t>
            </w: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4860" w:type="dxa"/>
            <w:vAlign w:val="bottom"/>
          </w:tcPr>
          <w:p>
            <w:pPr>
              <w:ind w:left="440"/>
              <w:spacing w:after="0" w:line="201" w:lineRule="exact"/>
              <w:rPr>
                <w:sz w:val="20"/>
                <w:szCs w:val="20"/>
                <w:color w:val="auto"/>
              </w:rPr>
            </w:pPr>
            <w:r>
              <w:rPr>
                <w:rFonts w:ascii="Arial" w:cs="Arial" w:eastAsia="Arial" w:hAnsi="Arial"/>
                <w:sz w:val="18"/>
                <w:szCs w:val="18"/>
                <w:color w:val="auto"/>
              </w:rPr>
              <w:t>Interest rate contracts</w:t>
            </w:r>
          </w:p>
        </w:tc>
        <w:tc>
          <w:tcPr>
            <w:tcW w:w="2920" w:type="dxa"/>
            <w:vAlign w:val="bottom"/>
            <w:gridSpan w:val="3"/>
          </w:tcPr>
          <w:p>
            <w:pPr>
              <w:ind w:left="960"/>
              <w:spacing w:after="0" w:line="201" w:lineRule="exact"/>
              <w:rPr>
                <w:sz w:val="20"/>
                <w:szCs w:val="20"/>
                <w:color w:val="auto"/>
              </w:rPr>
            </w:pPr>
            <w:r>
              <w:rPr>
                <w:rFonts w:ascii="Arial" w:cs="Arial" w:eastAsia="Arial" w:hAnsi="Arial"/>
                <w:sz w:val="18"/>
                <w:szCs w:val="18"/>
                <w:b w:val="1"/>
                <w:bCs w:val="1"/>
                <w:color w:val="auto"/>
              </w:rPr>
              <w:t>Other non-current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Other non-current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0.1</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2920" w:type="dxa"/>
            <w:vAlign w:val="bottom"/>
            <w:gridSpan w:val="3"/>
            <w:shd w:val="clear" w:color="auto" w:fill="CCEEFF"/>
          </w:tcPr>
          <w:p>
            <w:pPr>
              <w:ind w:left="960"/>
              <w:spacing w:after="0" w:line="203"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(14.2)</w:t>
            </w: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fair values of the derivatives are recorded between Other current and non-current assets and Other current and non-current liabilities as appropriate in the Condensed Consolidated Balance Sheets. As of March 31, 2014, the amounts recorded to Other current assets and Other current liabilities for foreign currency contracts were $0.1 million and ($0.1) million, respectively. The amount recorded to Other non-current assets for commodity contracts was $0.1 million, and the amounts recorded to Other current and non-current liabilities for commodity contracts were ($1.5) million and ($0.2) million, respectively. The amount recorded to Other non-current assets for interest rate contracts was $0.1 million. The amounts recorded to Other current and non-current liabilities for interest rate contracts were ($10.7) million and ($3.5) million, respectively.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2013, the amount recorded to Other current liabilities for foreign currency contracts was ($0.3) million. The amounts recorded to Other current and non-current assets for commodity contracts were $0.1 million and $0.0 million, respectively. The amounts recorded to Other current and non-current liabilities for commodity contracts were ($1.5) million and ($0.2) million, respectively. The amount recorded to Other non-current assets for interest rate contracts was $1.5 million. The amounts recorded to Other current and non-current liabilities for interest rate contracts were ($18.5) million and ($1.0) million,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impact on the Company’s Condensed Consolidated Statements of Comprehensive Income related to foreign currency and commodity contracts can be found in NOTE J, and the following tabular disclosure describes the location and impact on the Company’s results of operations related to unrealized gain on interest rate derivatives (dollars in millions):</w:t>
      </w:r>
    </w:p>
    <w:p>
      <w:pPr>
        <w:spacing w:after="0" w:line="176"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Three months ended March 31,</w:t>
      </w:r>
    </w:p>
    <w:p>
      <w:pPr>
        <w:ind w:left="7720"/>
        <w:spacing w:after="0" w:line="230" w:lineRule="auto"/>
        <w:tabs>
          <w:tab w:leader="none" w:pos="94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-2540</wp:posOffset>
            </wp:positionV>
            <wp:extent cx="55054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80"/>
        <w:spacing w:after="0"/>
        <w:tabs>
          <w:tab w:leader="none" w:pos="7480" w:val="left"/>
          <w:tab w:leader="none" w:pos="7980" w:val="left"/>
          <w:tab w:leader="none" w:pos="9200" w:val="left"/>
          <w:tab w:leader="none" w:pos="972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9.2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90.</w:t>
            </w:r>
            <w:r>
              <w:rPr>
                <w:rFonts w:ascii="Arial" w:cs="Arial" w:eastAsia="Arial" w:hAnsi="Arial"/>
                <w:sz w:val="18"/>
                <w:szCs w:val="18"/>
                <w:b w:val="1"/>
                <w:bCs w:val="1"/>
                <w:u w:val="single" w:color="auto"/>
                <w:color w:val="auto"/>
              </w:rPr>
              <w:t>4</w:t>
            </w:r>
          </w:p>
        </w:tc>
        <w:tc>
          <w:tcPr>
            <w:tcW w:w="400" w:type="dxa"/>
            <w:vAlign w:val="bottom"/>
          </w:tcPr>
          <w:p>
            <w:pPr>
              <w:spacing w:after="0"/>
              <w:rPr>
                <w:sz w:val="19"/>
                <w:szCs w:val="19"/>
                <w:color w:val="auto"/>
              </w:rPr>
            </w:pPr>
          </w:p>
        </w:tc>
        <w:tc>
          <w:tcPr>
            <w:tcW w:w="5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2014, the current and non-current liabilities were $32.3 million and $58.1 million, respectively. As of March 31, 2013, the current and non-current liabilities were $35.9 million and $71.6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March 31, 2014, the current and non-current liabilities related to deferred revenue for ETC were $20.1 million and $43.7 million, respectively. As of March 31, 2013, the current and non-current liabilities related to deferred revenue for ETC were $21.0 million and $40.6 million,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440" w:type="dxa"/>
            <w:vAlign w:val="bottom"/>
          </w:tcPr>
          <w:p>
            <w:pPr>
              <w:spacing w:after="0"/>
              <w:rPr>
                <w:sz w:val="19"/>
                <w:szCs w:val="19"/>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Deferred revenue recorded in current liabilities related to unearned net sales for defense contracts as of March 31, 2014 and 2013 was approximately $18.6 million and $0.5 million, respectively. During 2013 and 2014, the Company recorded deferred revenue for payments received from the U.S. government for certain tracked transmissions that were not shipped at the request of the U.S. government.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Realized loss on derivative contracts (see NOTE 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Grant Program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gain on foreign exchange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derivative contracts (see NOTE 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(0.4)</w:t>
            </w:r>
          </w:p>
        </w:tc>
        <w:tc>
          <w:tcPr>
            <w:tcW w:w="5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the first quarter of 2014, the Company completed an underwritten secondary public offering of 28,750,000 shares of its common stock held by investment funds affiliated with The Carlyle Group and Onex Corporation (collectively, the “Sponsors”) at a public offering price, less underwriting discounts and commissions, of $29.17 per share. In connection with the offering, the Company repurchased from the underwriters 3,428,179 shares of the 28,750,000 shares at the price paid by the underwriters and subsequently retired those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Government’s matching reimbursement is recorded to Other expense, net in the Condensed Consolidated Statements of Comprehensive Income. Since inception of the Grant Program, the Company has recorded $46.7 million of Grant Program income to Other expense, net in the Condensed Consolidated Statements of Comprehensive Income.</w:t>
      </w:r>
    </w:p>
    <w:p>
      <w:pPr>
        <w:spacing w:after="0" w:line="11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For the three months ended March 31, 2014 and 2013, the Company recorded $0.0 million and $1.4 million, respectively, as a reduction of the basis of capital assets purchased under the Grant Program. Under the Grant Program, the Company has acquired approximately $7.1 million of assets that have been placed in service, resulting in related depreciation of $0.1 million and $0.1 million for the three months ended March 31, 2014 and 2013,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780" w:type="dxa"/>
            <w:vAlign w:val="bottom"/>
            <w:gridSpan w:val="3"/>
          </w:tcPr>
          <w:p>
            <w:pPr>
              <w:ind w:left="3200"/>
              <w:spacing w:after="0" w:line="149" w:lineRule="exact"/>
              <w:rPr>
                <w:sz w:val="20"/>
                <w:szCs w:val="20"/>
                <w:color w:val="auto"/>
              </w:rPr>
            </w:pPr>
            <w:r>
              <w:rPr>
                <w:rFonts w:ascii="Arial" w:cs="Arial" w:eastAsia="Arial" w:hAnsi="Arial"/>
                <w:sz w:val="14"/>
                <w:szCs w:val="14"/>
                <w:b w:val="1"/>
                <w:bCs w:val="1"/>
                <w:color w:val="auto"/>
                <w:w w:val="86"/>
              </w:rPr>
              <w:t>March 31,</w:t>
            </w:r>
          </w:p>
        </w:tc>
        <w:tc>
          <w:tcPr>
            <w:tcW w:w="154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allowances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Payroll and related costs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3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44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147.3</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200" w:type="dxa"/>
            <w:vAlign w:val="bottom"/>
            <w:vMerge w:val="restart"/>
          </w:tcPr>
          <w:p>
            <w:pPr>
              <w:jc w:val="right"/>
              <w:ind w:right="206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EMPLOYEE BENEFIT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Post-retirement Benefits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8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7"/>
              </w:rPr>
              <w:t>Three months ended March 31,</w:t>
            </w:r>
          </w:p>
        </w:tc>
        <w:tc>
          <w:tcPr>
            <w:tcW w:w="180" w:type="dxa"/>
            <w:vAlign w:val="bottom"/>
          </w:tcPr>
          <w:p>
            <w:pPr>
              <w:spacing w:after="0"/>
              <w:rPr>
                <w:sz w:val="11"/>
                <w:szCs w:val="11"/>
                <w:color w:val="auto"/>
              </w:rPr>
            </w:pPr>
          </w:p>
        </w:tc>
        <w:tc>
          <w:tcPr>
            <w:tcW w:w="1840" w:type="dxa"/>
            <w:vAlign w:val="bottom"/>
            <w:tcBorders>
              <w:top w:val="single" w:sz="8" w:color="auto"/>
            </w:tcBorders>
            <w:gridSpan w:val="6"/>
          </w:tcPr>
          <w:p>
            <w:pPr>
              <w:ind w:left="20"/>
              <w:spacing w:after="0" w:line="129" w:lineRule="exact"/>
              <w:rPr>
                <w:sz w:val="20"/>
                <w:szCs w:val="20"/>
                <w:color w:val="auto"/>
              </w:rPr>
            </w:pPr>
            <w:r>
              <w:rPr>
                <w:rFonts w:ascii="Arial" w:cs="Arial" w:eastAsia="Arial" w:hAnsi="Arial"/>
                <w:sz w:val="14"/>
                <w:szCs w:val="14"/>
                <w:b w:val="1"/>
                <w:bCs w:val="1"/>
                <w:color w:val="auto"/>
                <w:w w:val="87"/>
              </w:rPr>
              <w:t>Three months ended 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Service cost</w:t>
            </w:r>
          </w:p>
        </w:tc>
        <w:tc>
          <w:tcPr>
            <w:tcW w:w="2540" w:type="dxa"/>
            <w:vAlign w:val="bottom"/>
            <w:gridSpan w:val="2"/>
          </w:tcPr>
          <w:p>
            <w:pPr>
              <w:ind w:left="23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INCOME TAXES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three months ended March 31, 2014 and 2013, the Company recorded total tax expense of $27.2 million and $16.9 million, respectively. The effective tax rate for the three months ended March 31, 2014 and 2013 was (34.4%) and (38.1%), respectively. The change in the effective rate was principally driven by a 2013 discrete expense item and a prior period statutory change in a state apportionment rate, resulting in a favorable tax benefit being recorded in the first quarter of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2014, the Company incurred an ownership change resulting in a limitation on the utilization of the Company’s net operating losses.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reviewed the limitation and determined there is no concern about the Company’s ability to utilize the tax attributes in the future.</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the domestic valuation allowance is not necessary and that it is more likely than not that the deferred tax assets are fully realizable. The Company has reached a sustained period of profitability and objectively measured positive evidence outweighed the negative evidence. The Company continues to provide for a valuation allowance on certain of its foreign deferred tax assets.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FASB’s authoritative guidance on accounting for uncertainty in income taxes, the Company recorded a liability of $2.3 million for unrecognized tax benefits related to the 2010 Research &amp; Development Credit as of March 31, 2014 and December 31, 2013. The accounting guidance prescribes a recognition threshold and measurement attributes for the financial statement recognition and measurement of a tax position taken or expected to be taken in a tax return. For the year ended December 31, 2013, the return will remain subject to examination by the various taxing authorities for the duration of the applicable statute of limitations (generally three years from the later of the date of filing or the due date of the return).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changes in Accumulated other comprehensive loss (“AOCL”) by component (net of tax,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Three months ended</w:t>
            </w: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Available-for-</w:t>
            </w:r>
          </w:p>
        </w:tc>
        <w:tc>
          <w:tcPr>
            <w:tcW w:w="120" w:type="dxa"/>
            <w:vAlign w:val="bottom"/>
          </w:tcPr>
          <w:p>
            <w:pPr>
              <w:spacing w:after="0"/>
              <w:rPr>
                <w:sz w:val="12"/>
                <w:szCs w:val="12"/>
                <w:color w:val="auto"/>
              </w:rPr>
            </w:pPr>
          </w:p>
        </w:tc>
        <w:tc>
          <w:tcPr>
            <w:tcW w:w="13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benefit</w:t>
            </w:r>
          </w:p>
        </w:tc>
        <w:tc>
          <w:tcPr>
            <w:tcW w:w="16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sale securities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pension items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AOCL as of December 31, 2012</w:t>
            </w: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income before reclassifications</w:t>
            </w: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income</w:t>
            </w: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AOCL as of March 31, 2013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(46.5)</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500" w:type="dxa"/>
            <w:vAlign w:val="bottom"/>
            <w:gridSpan w:val="2"/>
          </w:tcPr>
          <w:p>
            <w:pPr>
              <w:spacing w:after="0"/>
              <w:rPr>
                <w:sz w:val="20"/>
                <w:szCs w:val="20"/>
                <w:color w:val="auto"/>
              </w:rPr>
            </w:pPr>
            <w:r>
              <w:rPr>
                <w:rFonts w:ascii="Arial" w:cs="Arial" w:eastAsia="Arial" w:hAnsi="Arial"/>
                <w:sz w:val="18"/>
                <w:szCs w:val="18"/>
                <w:color w:val="auto"/>
              </w:rPr>
              <w:t>AOCL as of December 31, 2013</w:t>
            </w: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(14.2)</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before reclassifications</w:t>
            </w: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Amounts reclassified from AOCL</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(0.7)</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AOCL as of March 31, 2014</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location in the Condensed Consolidated Statements of Comprehensive Income affected by reclassifications from AOCL (dollars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left="17"/>
              <w:spacing w:after="0"/>
              <w:rPr>
                <w:sz w:val="20"/>
                <w:szCs w:val="20"/>
                <w:color w:val="auto"/>
              </w:rPr>
            </w:pPr>
            <w:r>
              <w:rPr>
                <w:rFonts w:ascii="Arial" w:cs="Arial" w:eastAsia="Arial" w:hAnsi="Arial"/>
                <w:sz w:val="14"/>
                <w:szCs w:val="14"/>
                <w:b w:val="1"/>
                <w:bCs w:val="1"/>
                <w:color w:val="auto"/>
                <w:w w:val="85"/>
              </w:rPr>
              <w:t>Amounts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17"/>
              <w:spacing w:after="0" w:line="141" w:lineRule="exact"/>
              <w:rPr>
                <w:sz w:val="20"/>
                <w:szCs w:val="20"/>
                <w:color w:val="auto"/>
              </w:rPr>
            </w:pPr>
            <w:r>
              <w:rPr>
                <w:rFonts w:ascii="Arial" w:cs="Arial" w:eastAsia="Arial" w:hAnsi="Arial"/>
                <w:sz w:val="14"/>
                <w:szCs w:val="14"/>
                <w:b w:val="1"/>
                <w:bCs w:val="1"/>
                <w:color w:val="auto"/>
                <w:w w:val="87"/>
              </w:rPr>
              <w:t>reclassified from AOCL</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line="141" w:lineRule="exact"/>
              <w:rPr>
                <w:sz w:val="20"/>
                <w:szCs w:val="20"/>
                <w:color w:val="auto"/>
              </w:rPr>
            </w:pPr>
            <w:r>
              <w:rPr>
                <w:rFonts w:ascii="Arial" w:cs="Arial" w:eastAsia="Arial" w:hAnsi="Arial"/>
                <w:sz w:val="14"/>
                <w:szCs w:val="14"/>
                <w:b w:val="1"/>
                <w:bCs w:val="1"/>
                <w:color w:val="auto"/>
                <w:w w:val="85"/>
              </w:rPr>
              <w:t>Affected line item in the Condensed</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ind w:left="17"/>
              <w:spacing w:after="0" w:line="142" w:lineRule="exact"/>
              <w:rPr>
                <w:sz w:val="20"/>
                <w:szCs w:val="20"/>
                <w:color w:val="auto"/>
              </w:rPr>
            </w:pPr>
            <w:r>
              <w:rPr>
                <w:rFonts w:ascii="Arial" w:cs="Arial" w:eastAsia="Arial" w:hAnsi="Arial"/>
                <w:sz w:val="14"/>
                <w:szCs w:val="14"/>
                <w:b w:val="1"/>
                <w:bCs w:val="1"/>
                <w:color w:val="auto"/>
                <w:w w:val="87"/>
              </w:rPr>
              <w:t>Three months ended</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Consolidated Statements of</w:t>
            </w:r>
          </w:p>
        </w:tc>
        <w:tc>
          <w:tcPr>
            <w:tcW w:w="0" w:type="dxa"/>
            <w:vAlign w:val="bottom"/>
          </w:tcPr>
          <w:p>
            <w:pPr>
              <w:spacing w:after="0"/>
              <w:rPr>
                <w:sz w:val="1"/>
                <w:szCs w:val="1"/>
                <w:color w:val="auto"/>
              </w:rPr>
            </w:pPr>
          </w:p>
        </w:tc>
      </w:tr>
      <w:tr>
        <w:trPr>
          <w:trHeight w:val="142"/>
        </w:trPr>
        <w:tc>
          <w:tcPr>
            <w:tcW w:w="5340" w:type="dxa"/>
            <w:vAlign w:val="bottom"/>
          </w:tcPr>
          <w:p>
            <w:pPr>
              <w:ind w:left="2060"/>
              <w:spacing w:after="0" w:line="142" w:lineRule="exact"/>
              <w:rPr>
                <w:sz w:val="20"/>
                <w:szCs w:val="20"/>
                <w:color w:val="auto"/>
              </w:rPr>
            </w:pPr>
            <w:r>
              <w:rPr>
                <w:rFonts w:ascii="Arial" w:cs="Arial" w:eastAsia="Arial" w:hAnsi="Arial"/>
                <w:sz w:val="14"/>
                <w:szCs w:val="14"/>
                <w:b w:val="1"/>
                <w:bCs w:val="1"/>
                <w:color w:val="auto"/>
              </w:rPr>
              <w:t>AOCL Components</w:t>
            </w: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2014</w:t>
            </w:r>
          </w:p>
        </w:tc>
        <w:tc>
          <w:tcPr>
            <w:tcW w:w="8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5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2"/>
              </w:rPr>
              <w:t>Engineering – research and</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(0.1)</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Engineering – research and</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(0.1)</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0"/>
              </w:rPr>
              <w:t>Income before income taxes</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(0.3)</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Total reclassifications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service cost and actuarial loss are included in the computation of the Company’s net periodic benefit cost. Please see NOTE L for additional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CERTAIN RELATIONSHIPS AND RELATED PARTY TRANSACTIONS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March 31, 2014, the Sponsors owned approximately 39.0% of the Company’s outstanding common stock. Pursuant to an amended and restated stockholders agreement, a majority of the Board of Directors has been designated by the Sponsors and is affiliated with the Sponsors. As a result, the Sponsors or their nominees to the Board of Directors have the ability to control the appointment of management, the entering into of mergers, sales of substantially all of the Company’s assets and other extraordinary transactions and influence amendments to the Company’s certificate of incorporation. The interests of the Sponsors could conflict with those of the Company’s other stockholders. In addition, the Sponsors may in the future own businesses that directly compete with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March 31,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quarter of 2014, the Company completed an underwritten secondary public offering of 28,750,000 shares of its common stock held by investment funds affiliated with the Sponsors at a public offering price, less underwriting discounts and commissions, of $29.17 per share. In connection with the offering, the Company repurchased from the underwriters 3,428,179 shares of the 28,750,000 shares at the price paid by the underwriters and subsequently retired those shares. The sale by the Sponsors resulted in their ownership falling below fifty percent of our outstanding common stock and the loss of controlled company status under the listing rules of the New York Stock Exchange.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1"/>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182.2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9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0.28</w:t>
            </w:r>
          </w:p>
        </w:tc>
        <w:tc>
          <w:tcPr>
            <w:tcW w:w="9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SUBSEQUENT EVENTS</w:t>
      </w:r>
    </w:p>
    <w:p>
      <w:pPr>
        <w:spacing w:after="0" w:line="9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On April 14, 2014, ATI entered into an amendment with the term loan lenders under its Senior Secured Credit Facility to refinance approximately $423.5 million of term loan debt due August 7, 2017. The interest rate margin applicable to such refinanced loans is at the Company’s option, either (a) 2.75% over the LIBOR or (b) 1.75% over the greater of the prime lending rate provided by the British Banking Association or the federal funds effective rate published by the Federal Reserve Bank of New York plus 0.50%.</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25, 2014, the Company completed an underwritten secondary public offering of 25,000,000 shares of its common stock held by investment funds affiliated with the Sponsors at a public offering price, less underwriting discounts and commissions, of $29.78 per share. After completion of the sale, the Sponsors continued to own a total of approximately 25.2% of the Company’s outstanding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Allison Transmission Holdings, Inc. and its subsidiaries (“our,” “us,” “we” or “Allison”) design and manufacture fully-automatic transmissions for medium- and heavy-duty commercial vehicles, medium- and heavy-tactical U.S. defense vehicles and hybrid-propulsion systems for transit buses. We generate our net sales primarily from the sale of transmissions, transmission parts, support equipment, defense kits, engineering services and extended transmission coverage to a wide array of original equipment manufacturers (“OEMs”), distributors and the U.S. government. Although approximately 77% of our net sales were generated in North America in 2013, we have a global presence, serving customers in Europe, Asia, South America and Africa. We have 13 different transmission product lines and serve customers through an established network of approximately 1,400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On April 14, 2014, we entered into an amendment with the term loan lenders under our Senior Secured Credit Facility to refinance approximately $423.5 million of term loan debt due August 7, 2017. The interest rate margin applicable to such refinanced loans is at our option, either (a) 2.75% over the LIBOR or</w:t>
      </w:r>
    </w:p>
    <w:p>
      <w:pPr>
        <w:ind w:right="40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1.75% over the greater of the prime lending rate provided by the British Banking Association or the federal funds effective rate published by the Federal Reserve Bank of New York plus 0.50%.</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April 25, 2014, we completed an underwritten secondary public offering of 25,000,000 shares of our common stock held by investment funds affiliated with The Carlyle Group and Onex Corporation (collectively, the “Sponsors”) at a public offering price, less underwriting discounts and commissions, of $29.78 per share. After completion of the sale, the Sponsors continued to own a total of approximately 25.2% of the Company’s outstanding common stock.</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2015. We expect second quarter net sales to be higher than the same period in 2013 principally driven by higher demand in the North America On-Highway, North America Off-Highway and Service Parts, Support Equipment &amp; Other end markets partially offset by previously considered reductions in Defense net sales.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First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438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Q1 2014</w:t>
            </w:r>
          </w:p>
        </w:tc>
        <w:tc>
          <w:tcPr>
            <w:tcW w:w="7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Q1 2013</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79"/>
              </w:rPr>
              <w:t>Net Sales</w:t>
            </w:r>
          </w:p>
        </w:tc>
        <w:tc>
          <w:tcPr>
            <w:tcW w:w="720" w:type="dxa"/>
            <w:vAlign w:val="bottom"/>
          </w:tcPr>
          <w:p>
            <w:pPr>
              <w:spacing w:after="0"/>
              <w:rPr>
                <w:sz w:val="12"/>
                <w:szCs w:val="12"/>
                <w:color w:val="auto"/>
              </w:rPr>
            </w:pP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Net Sales</w:t>
            </w:r>
          </w:p>
        </w:tc>
        <w:tc>
          <w:tcPr>
            <w:tcW w:w="72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9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233</w:t>
            </w:r>
          </w:p>
        </w:tc>
        <w:tc>
          <w:tcPr>
            <w:tcW w:w="7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w:t>
            </w:r>
          </w:p>
        </w:tc>
        <w:tc>
          <w:tcPr>
            <w:tcW w:w="72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9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457</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North America On-Highway end market net sales were up 24% for the first quarter 2014 compared to the first quarter 2013, principally driven by higher demand for Rugged Duty Series, Highway Series and Pupil Transport/Shuttle Series models.</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North America Hybrid-Propulsion Systems for Transit Bus end market net sales were down 23% for the first quarter 2014 compared to the first quarter 2013, principally driven by lower demand due to engine emissions improvements and non-hybrid alternatives that generally require a fully-automatic transmission (e.g. xNG).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North America Off-Highway end market net sales were up 50% for the first quarter 2014 compared to the first quarter of 2013, principally driven by higher demand from hydraulic fracturing applications.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Defense end market net sales were down 40% for the first quarter 2014 compared to the first quarter 2013, principally driven by previously considered reductions in U.S. defense spending to longer term averages experienced during periods without active conflicts.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Outside North America On-Highway end market net sales were up 3% for the first quarter 2014 compared to the first quarter 2013, reflecting strength in China bus partially offset by weakness in Europe truck due to fourth quarter 2013 Euro VI emissions pre-buy activities.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flat for the first quarter 2014 compared to the first quarter 2013, principally due to modestly improved demand conditions in the mining sector offsetting lower demand from the energy sector.</w:t>
      </w:r>
    </w:p>
    <w:p>
      <w:pPr>
        <w:spacing w:after="0" w:line="132"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Service parts, support equipment and other end market net sales were up 18% for the first quarter 2014 compared to the first quarter 2013, principally driven by higher demand for global service parts and global On-Highway support equipment commensurate with increased transmission unit volumes.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three months ended March 31, 2014, direct material costs were approximately 69%, overhead costs were approximately 24%, and direct labor costs were approximately 7% of total cost of sales. We are subject to changes in our cost of sales caused by movements in underlying commodity prices. We seek to hedge against this risk by using commodity swap contracts and long-term supply agreements (“LTSAs”). See “Item 3 Quantitative and Qualitative Disclosures about Market Risk—Commodity Price Risk” included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U.S.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left="214"/>
              <w:spacing w:after="0"/>
              <w:rPr>
                <w:sz w:val="20"/>
                <w:szCs w:val="20"/>
                <w:color w:val="auto"/>
              </w:rPr>
            </w:pPr>
            <w:r>
              <w:rPr>
                <w:rFonts w:ascii="Arial" w:cs="Arial" w:eastAsia="Arial" w:hAnsi="Arial"/>
                <w:sz w:val="14"/>
                <w:szCs w:val="14"/>
                <w:b w:val="1"/>
                <w:bCs w:val="1"/>
                <w:color w:val="auto"/>
                <w:w w:val="88"/>
              </w:rPr>
              <w:t>For the three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214"/>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plus: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w w:val="93"/>
              </w:rPr>
              <w:t>(29.4)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Technology-related investments expense (a)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Public offering expenses (b)</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107.9</w:t>
            </w:r>
          </w:p>
        </w:tc>
        <w:tc>
          <w:tcPr>
            <w:tcW w:w="6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Unrealized (gain) loss on foreign exchange (c)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hedge contracts (d)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Stock-based compensation (e)</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165.8</w:t>
            </w: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Adjusted EBITDA excluding technology-related license expenses (f)</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169.1</w:t>
            </w:r>
          </w:p>
        </w:tc>
        <w:tc>
          <w:tcPr>
            <w:tcW w:w="6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493.6</w:t>
            </w: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33.6%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Adjusted EBITDA margin excluding technology-related license expenses (f)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34.3%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98.6</w:t>
            </w:r>
          </w:p>
        </w:tc>
        <w:tc>
          <w:tcPr>
            <w:tcW w:w="6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w w:val="93"/>
              </w:rPr>
              <w:t>(11.1)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license expenses (f)</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6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jc w:val="right"/>
              <w:ind w:right="1712"/>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impairment charge (recorded in Other expense, net) for investments in co-development agreements to expand our position in transmission technologies.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secondary offering in February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losses (recorded in Other expense, net) on the mark-to-market of our foreign currency hedge contracts.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expense, net) on the mark-to-market of our commodity hedge contracts.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expenses, and Engineering – research and development).</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2014 and 2013. The following table and discussion should be read in conjunction with the information contained in our condensed consolidated financial statements and the notes thereto included in Part I, Item 1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2014 and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89"/>
              </w:rPr>
              <w:t>Three months ended March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493.6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457.4</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198.3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83.2</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87.9</w:t>
            </w: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107.7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116.9</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114.8</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(35.1)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(33.9)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(0.4)</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(35.5)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(37.0)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(27.2)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(16.9)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27.5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sales for the quarter ended March 31, 2014 were $493.6 million compared to $457.4 million for the quarter ended March 31, 2013, an increase of 7.9%. The increase was principally driven by a $47.0 million, or 19%, increase in net sales of global on-highway commercial products driven by higher demand from North America Rugged Duty Series, Highway Series and Pupil Transport/Shuttle Series models, a $16.0 million, or 18%, increase in net sales of parts and other products, and a $4.0 million, or 50%, increase in net sales of North America off-highway products driven by higher demand from natural gas fracturing applications, partially offset by a $23.0 million, or 40%, decrease in net sales of defense products due to lower U.S. defense spending and a $7.0 million, or 23%, decrease in net sales of North America hybrid-propulsion systems for transit buses primarily driven by lower demand due to engine emissions improvements and non-hybrid alternatives that generally require a fully-automatic transmission (e.g. xNG). See “Trends Impacting Our Business” above for additional information on net sales by end markets.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Gross profit for the quarter ended March 31, 2014 was $222.5 million compared to $198.3 million for the quarter ended March 31, 2013, an increase of 12.2%. The increase was principally driven by $24.0 million related to increased net sales, $2.0 million of favorable material costs and $2.0 million of favorable foreign exchange, partially offset by $4.0 million of higher manufacturing expense commensurate with increased net sales.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March 31, 2014 were $83.2 million compared to $87.9 million for the quarter ended March 31, 2013, a decrease of 5.3%. The decrease was principally driven by $5.2 million of lower intangible asset amortization, partially offset by increased global commercial spending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Engineering expenses for the quarter ended March 31, 2014 were $24.5 million compared to $29.0 million for the quarter ended March 31, 2013, a decrease of 15.5%. The decrease was principally driven by $3.2 million of lower technology-related license expense to expand our position in transmission technologies and reduced product initiatives spending.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net for the quarter ended March 31, 2014 was $35.1 million compared to $33.9 million for the quarter ended March 31, 2013, an increase of 3.5%. The increase was principally driven by $5.3 million of less favorable mark-to-market adjustments for our interest rate derivatives, partially offset by $1.3 million of lower interest expense as a result of debt repayments and purchases, $1.1 million of lower amortization of deferred financing charges, $1.1 million of lower interest expense related to our interest rate swaps and $0.6 million of lower expense as a result of lower interest rates on ATI’s Senior Secured Credit Facility Term B-2 Loan due 2017 (“Term B-2 Loan”) and ATI’s Senior Secured Credit Facility Term B-3 Loan due 2019 (“Term B-3 Loan”).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Other expense, net for the quarter ended March 31, 2014 was $0.4 million compared to $3.1 million for the quarter ended March 31, 2013, a decrease of 87.1%. The decrease in expense was principally driven by $2.1 million of lower expenses related to unrealized losses on derivative contracts, a $2.5 million loss in 2013 on investments in technology-related initiatives and $0.1 million of higher miscellaneous income, partially offset by $1.1 million of unfavorable foreign exchange, $0.6 million of lower Grant Program income and $0.3 million of public offering fees and expenses.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Income tax expense for the first quarter of 2014 was $27.2 million resulting in an effective tax rate of 34.4% versus an effective tax rate of 38.1% in the first quarter of 2013. The change in the effective tax rate of 370 basis points was principally driven by a $1.0 million 2013 discrete expense item and a prior period statutory change in a state apportionment rate, resulting in a favorable tax benefit of ($1.5) million being recorded in the first quarter of 2014. Without the prior period adjustment in the state apportionment rate, we would have experienced an effective tax rate of 36.2%.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$159.9 million and $184.7 million as of March 31, 2014 and December 31, 2013, respectively. Of the available cash and cash equivalents, approximately $144.9 million and $179.7 million was deposited in operating accounts while approximately $15.0 million and $5.0 million was invested in U.S. government backed securities as of March 31, 2014 and December 31, 2013, respectively.</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first quarter of 2014, we increased the revolving commitments available under the revolving portion of the Senior Secured Credit Facility to $465.0 million, net of an allowance for up to $75.0 million in outstanding letters of credit commitments. We had $453.0 million and $395.0 million available under the revolving portion of our Senior Secured Credit Facility (defined as the Term B-2 Loan, Term B-3 Loan and revolving credit facility), net of approximately $12.0 million and $15.0 million in letters of credit issued and outstanding as of March 31, 2014 and December 31, 2013, respectively. Throughout the three months ended March 31, 2014, we did not make any withdrawals on the revolving credit facility. As of March 31, 2014 and December 31, 2013, we had no outstanding borrowings on our revolving credit facility.</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dividends on common stock and working capital needs. The following table shows our sources and uses of funds for the three months ended March 31, 2014 and 2013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(15.1)</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provided by financing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(105.7)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Operating activities for the three months ended March 31, 2014 generated $98.6 million of cash compared to $54.7 million for the three months ended March 31, 2013. The increase was principally driven by increased net sales, higher 2013 payments related to technology-related licenses and higher other liabilities, net, partially offset by lower accounts payable and higher accounts receivable commensurate with increased net sales.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Investing activities for the three months ended March 31, 2014 used $15.1 million of cash compared to $19.1 million for the three months ended March 31,</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2013. The decrease was principally driven by $2.5 million of higher 2013 investments in technology-related initiatives and a decrease of $1.5 million in capital expenditures. The decrease in capital expenditures was principally driven by lower product initiatives spending, partially offset by increased investments in productivity and replacement programs.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Financing activities for the three months ended March 31, 2014 used $105.7 million of cash compared to providing $2.1 million of cash for the three months ended March 31, 2013. The increased use of cash was principally driven by $100.0 million related to the repurchase of our common stock in connection with the February 2014 secondary offering by our Sponsors and $10.6 million of increased dividend payments.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March 31, 2014 would have no impact on interest expense due to the 1.00% LIBOR floor on our Term B-3 Loan and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revolving portion of the Senior Secured Credit Facility requires us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March 31, 2014, the Company had no revolving loans outstanding, however the Company would have been in compliance with the maximum total senior secured leverage ratio, achieving a 3.14x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March 31, 2014, the total leverage ratio was 3.86x.</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maximum total senior secured leverage ratio for the revolving portion of the Senior Secured Credit Facility, the Senior Secured Credit Facility and the indenture governing the 7.125% Senior Notes include, among other things, customary restrictions (subject to certain exceptions) on our ability to incur certain indebtedness or liens, make certain investments or declare or pay certain dividends. As of March 31, 2014, we are in compliance with all covenants under the Senior Secured Credit Facility.</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currently have eleven interest rate swap contracts as of March 31, 2014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March 31, 2014,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March 31, 2014, we have been required to post collateral of $2.0 million in cash and $2.0 million in letters of credit as a result of changes in interest rates. We may be required to post additional collateral until the LIBOR curve reaches zero.</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March 31, 2014 would reduce our collateral requirement by approximately $0.6 million or increase our collateral requirement by approximately $0.6 million, respectively, in a combination of cash and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O of our condensed consolidated financial statements included in Part I, Item 1 of this Quarterly Report on Form 10-Q.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2013 as filed with the Securities and Exchange Commission on February 24, 2014.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2014, our Sponsors each owned approximately 19.5% of our outstanding common stock. Pursuant to an amended and restated stockholders agreement, a majority of the Board of Directors has been designated by our Sponsors and is affiliated with our Sponsors. As a result, our Sponsors or their nominees to the Board of Directors have the ability to control the appointment of our management, the entering into of mergers, sales of substantially all of our assets and other extraordinary transactions and influence amendments to our certificate of incorporation. The interests of our Sponsors could conflict with those of our other stockholders. In addition, our Sponsors may in the future own businesses that directly compete with ours.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first quarter of 2014, we completed a secondary offering of 28,750,000 shares of our common stock held by investment funds affiliated with the Sponsors to the underwriters in the public offering at the public offering price, less the underwriting discounts and commissions, or $29.17 per share. We received no proceeds from the sale. In connection with the offering, we repurchased from the underwriters 3,428,179 shares of the 28,750,000 shares at the price paid by the underwriters and subsequently retired those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of March 31,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and changing customer needs; risks associated with our international operations; and labor strikes, work stoppages or similar labor disputes, which could significantly disrupt our operations or those of our principal customers.</w:t>
      </w:r>
    </w:p>
    <w:p>
      <w:pPr>
        <w:spacing w:after="0" w:line="12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2013 as filed with the Securities and Exchange Commission on February 24, 2014.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$2,657.2 million including $453.0 million under our revolving credit facility, net of $12.0 million of letters of credit. A one-eighth percent change in assumed interest rates for the Senior Secured Credit Facility, if fully drawn, as of March 31, 2014 would have no impact on interest expense due to the 1.00% LIBOR floor on our Term B-3 Loan and partial offset of our interest rate swaps. As of March 31, 2014, we had no outstanding borrowings against the revolving credit facility.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Notional</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4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2"/>
                <w:szCs w:val="12"/>
                <w:color w:val="auto"/>
              </w:rPr>
            </w:pPr>
          </w:p>
        </w:tc>
        <w:tc>
          <w:tcPr>
            <w:tcW w:w="10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43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54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millions)</w:t>
            </w:r>
          </w:p>
        </w:tc>
        <w:tc>
          <w:tcPr>
            <w:tcW w:w="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Fixed Rate</w:t>
            </w:r>
          </w:p>
        </w:tc>
        <w:tc>
          <w:tcPr>
            <w:tcW w:w="28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H</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 Capital</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Aug 2011-Aug 2014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3.75%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I</w:t>
            </w: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Deutsche Bank</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Aug 2011-Aug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350.0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3.77%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UBS</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2013-Aug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K</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UBS</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2013-Aug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3.05%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Barclays</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3.44%*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M</w:t>
            </w: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JP Morgan</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3.43%*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Bank of America</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3.37%*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O</w:t>
            </w: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Deutsche Bank</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3.19%*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Barclays</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3.08%*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Q</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Barclays</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2.99%*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Deutsche Bank</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2.98%*</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 LIBOR floor of 1.00%</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F and NOTE G of the notes to our condensed consolidated financial statements included in Part I, Item 1 of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March 31, 2014, we hold hedging contracts in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$4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2014, 2015 and 2016, as of March 31, 2014, the hedge contracts cover approximately 44%, 28% and 2% of our aluminum requirements, respectively. We do not hold financial instruments for trading or speculative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O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2013 as filed with the Securities and Exchange Commission on 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repurchases of common stock settled during the three month period ended March 31, 2014:</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7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Purchased</w:t>
            </w:r>
          </w:p>
        </w:tc>
        <w:tc>
          <w:tcPr>
            <w:tcW w:w="72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Dollar Value of</w:t>
            </w:r>
          </w:p>
        </w:tc>
      </w:tr>
      <w:tr>
        <w:trPr>
          <w:trHeight w:val="149"/>
        </w:trPr>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72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462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72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Yet Be</w:t>
            </w:r>
          </w:p>
        </w:tc>
      </w:tr>
      <w:tr>
        <w:trPr>
          <w:trHeight w:val="149"/>
        </w:trPr>
        <w:tc>
          <w:tcPr>
            <w:tcW w:w="46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0"/>
              </w:rPr>
              <w:t>Paid per</w:t>
            </w:r>
          </w:p>
        </w:tc>
        <w:tc>
          <w:tcPr>
            <w:tcW w:w="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7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r>
      <w:tr>
        <w:trPr>
          <w:trHeight w:val="161"/>
        </w:trPr>
        <w:tc>
          <w:tcPr>
            <w:tcW w:w="462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Purchased*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7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7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Under Plans</w:t>
            </w:r>
          </w:p>
        </w:tc>
      </w:tr>
      <w:tr>
        <w:trPr>
          <w:trHeight w:val="210"/>
        </w:trPr>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2014</w:t>
            </w:r>
          </w:p>
        </w:tc>
        <w:tc>
          <w:tcPr>
            <w:tcW w:w="8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February 2014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3,428,179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29.17</w:t>
            </w:r>
          </w:p>
        </w:tc>
        <w:tc>
          <w:tcPr>
            <w:tcW w:w="72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 2014</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620" w:type="dxa"/>
            <w:vAlign w:val="bottom"/>
          </w:tcPr>
          <w:p>
            <w:pPr>
              <w:ind w:left="44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3,428,179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29.17</w:t>
            </w:r>
          </w:p>
        </w:tc>
        <w:tc>
          <w:tcPr>
            <w:tcW w:w="72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660" w:right="20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February 28, 2014, upon the completion of an offering by the Sponsors of 28,750,000 shares, we repurchased from the underwriter in the offering approximately $100.0 million, or 3,428,179 shares, of our common stock sold by the Sponsors in the offering at a price per share equal to the price at which the underwriter purchased such shares from the Sponsors in the offering.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0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r>
        <w:trPr>
          <w:trHeight w:val="370"/>
        </w:trPr>
        <w:tc>
          <w:tcPr>
            <w:tcW w:w="100" w:type="dxa"/>
            <w:vAlign w:val="bottom"/>
          </w:tcPr>
          <w:p>
            <w:pPr>
              <w:spacing w:after="0"/>
              <w:rPr>
                <w:sz w:val="24"/>
                <w:szCs w:val="24"/>
                <w:color w:val="auto"/>
              </w:rPr>
            </w:pPr>
          </w:p>
        </w:tc>
        <w:tc>
          <w:tcPr>
            <w:tcW w:w="11320" w:type="dxa"/>
            <w:vAlign w:val="bottom"/>
            <w:gridSpan w:val="4"/>
          </w:tcPr>
          <w:p>
            <w:pPr>
              <w:ind w:left="360"/>
              <w:spacing w:after="0"/>
              <w:rPr>
                <w:sz w:val="20"/>
                <w:szCs w:val="20"/>
                <w:color w:val="auto"/>
              </w:rPr>
            </w:pPr>
            <w:r>
              <w:rPr>
                <w:rFonts w:ascii="Arial" w:cs="Arial" w:eastAsia="Arial" w:hAnsi="Arial"/>
                <w:sz w:val="18"/>
                <w:szCs w:val="18"/>
                <w:color w:val="auto"/>
              </w:rPr>
              <w:t>(a) Exhibits</w:t>
            </w:r>
          </w:p>
        </w:tc>
      </w:tr>
      <w:tr>
        <w:trPr>
          <w:trHeight w:val="340"/>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80" w:type="dxa"/>
            <w:vAlign w:val="bottom"/>
          </w:tcPr>
          <w:p>
            <w:pPr>
              <w:spacing w:after="0"/>
              <w:rPr>
                <w:sz w:val="14"/>
                <w:szCs w:val="14"/>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00"/>
              <w:spacing w:after="0"/>
              <w:rPr>
                <w:sz w:val="20"/>
                <w:szCs w:val="20"/>
                <w:color w:val="auto"/>
              </w:rPr>
            </w:pPr>
            <w:r>
              <w:rPr>
                <w:rFonts w:ascii="Arial" w:cs="Arial" w:eastAsia="Arial" w:hAnsi="Arial"/>
                <w:sz w:val="18"/>
                <w:szCs w:val="18"/>
                <w:color w:val="auto"/>
              </w:rPr>
              <w:t>10.35</w:t>
            </w:r>
          </w:p>
        </w:tc>
        <w:tc>
          <w:tcPr>
            <w:tcW w:w="10620" w:type="dxa"/>
            <w:vAlign w:val="bottom"/>
          </w:tcPr>
          <w:p>
            <w:pPr>
              <w:ind w:left="120"/>
              <w:spacing w:after="0"/>
              <w:rPr>
                <w:sz w:val="20"/>
                <w:szCs w:val="20"/>
                <w:color w:val="auto"/>
              </w:rPr>
            </w:pPr>
            <w:r>
              <w:rPr>
                <w:rFonts w:ascii="Arial" w:cs="Arial" w:eastAsia="Arial" w:hAnsi="Arial"/>
                <w:sz w:val="18"/>
                <w:szCs w:val="18"/>
                <w:color w:val="auto"/>
                <w:w w:val="88"/>
              </w:rPr>
              <w:t>Consent Agreement to the Credit Agreement, dated as of March 12, 2014, among Allison Transmission Holdings, Inc., Allison Transmission, Inc., as</w:t>
            </w:r>
          </w:p>
        </w:tc>
      </w:tr>
      <w:tr>
        <w:trPr>
          <w:trHeight w:val="216"/>
        </w:trPr>
        <w:tc>
          <w:tcPr>
            <w:tcW w:w="800" w:type="dxa"/>
            <w:vAlign w:val="bottom"/>
          </w:tcPr>
          <w:p>
            <w:pPr>
              <w:spacing w:after="0"/>
              <w:rPr>
                <w:sz w:val="18"/>
                <w:szCs w:val="18"/>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w w:val="90"/>
              </w:rPr>
              <w:t>Borrower, the several banks and other financial institutions or entities from time to time parties thereto as Lenders, Citicorp North America, Inc., as</w:t>
            </w:r>
          </w:p>
        </w:tc>
      </w:tr>
      <w:tr>
        <w:trPr>
          <w:trHeight w:val="216"/>
        </w:trPr>
        <w:tc>
          <w:tcPr>
            <w:tcW w:w="800" w:type="dxa"/>
            <w:vAlign w:val="bottom"/>
          </w:tcPr>
          <w:p>
            <w:pPr>
              <w:spacing w:after="0"/>
              <w:rPr>
                <w:sz w:val="18"/>
                <w:szCs w:val="18"/>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w w:val="89"/>
              </w:rPr>
              <w:t>Administrative Agent, and the other agents and arrangers party thereto (incorporated by reference to Exhibit 10.1 to the Registrant’s Current Report</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on Form 8-K filed March 14, 2014)</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10.36</w:t>
            </w:r>
          </w:p>
        </w:tc>
        <w:tc>
          <w:tcPr>
            <w:tcW w:w="10620" w:type="dxa"/>
            <w:vAlign w:val="bottom"/>
          </w:tcPr>
          <w:p>
            <w:pPr>
              <w:ind w:left="120"/>
              <w:spacing w:after="0"/>
              <w:rPr>
                <w:sz w:val="20"/>
                <w:szCs w:val="20"/>
                <w:color w:val="auto"/>
              </w:rPr>
            </w:pPr>
            <w:r>
              <w:rPr>
                <w:rFonts w:ascii="Arial" w:cs="Arial" w:eastAsia="Arial" w:hAnsi="Arial"/>
                <w:sz w:val="18"/>
                <w:szCs w:val="18"/>
                <w:color w:val="auto"/>
                <w:w w:val="90"/>
              </w:rPr>
              <w:t>Amendment No. 10 to the Credit Agreement, dated as of April 14, 2014, among Allison Transmission Holdings, Inc., Allison Transmission, Inc., as</w:t>
            </w:r>
          </w:p>
        </w:tc>
      </w:tr>
      <w:tr>
        <w:trPr>
          <w:trHeight w:val="216"/>
        </w:trPr>
        <w:tc>
          <w:tcPr>
            <w:tcW w:w="800" w:type="dxa"/>
            <w:vAlign w:val="bottom"/>
          </w:tcPr>
          <w:p>
            <w:pPr>
              <w:spacing w:after="0"/>
              <w:rPr>
                <w:sz w:val="18"/>
                <w:szCs w:val="18"/>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w w:val="90"/>
              </w:rPr>
              <w:t>Borrower, the several banks and other financial institutions or entities from time to time parties thereto as Lenders, Citicorp North America, Inc., as</w:t>
            </w:r>
          </w:p>
        </w:tc>
      </w:tr>
      <w:tr>
        <w:trPr>
          <w:trHeight w:val="216"/>
        </w:trPr>
        <w:tc>
          <w:tcPr>
            <w:tcW w:w="800" w:type="dxa"/>
            <w:vAlign w:val="bottom"/>
          </w:tcPr>
          <w:p>
            <w:pPr>
              <w:spacing w:after="0"/>
              <w:rPr>
                <w:sz w:val="18"/>
                <w:szCs w:val="18"/>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w w:val="89"/>
              </w:rPr>
              <w:t>Administrative Agent and the other agents and arrangers party thereto (incorporated by reference to Exhibit 10.1 to the Registrant’s Current Report</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on Form 8-K filed April 15, 2014)</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10.37</w:t>
            </w:r>
          </w:p>
        </w:tc>
        <w:tc>
          <w:tcPr>
            <w:tcW w:w="10620" w:type="dxa"/>
            <w:vAlign w:val="bottom"/>
          </w:tcPr>
          <w:p>
            <w:pPr>
              <w:ind w:left="120"/>
              <w:spacing w:after="0"/>
              <w:rPr>
                <w:sz w:val="20"/>
                <w:szCs w:val="20"/>
                <w:color w:val="auto"/>
              </w:rPr>
            </w:pPr>
            <w:r>
              <w:rPr>
                <w:rFonts w:ascii="Arial" w:cs="Arial" w:eastAsia="Arial" w:hAnsi="Arial"/>
                <w:sz w:val="18"/>
                <w:szCs w:val="18"/>
                <w:color w:val="auto"/>
                <w:w w:val="93"/>
              </w:rPr>
              <w:t>Employment Agreement between Allison Transmission, Inc. and Lawrence E. Dewey, dated as of April 15, 2014 (incorporated by reference to</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Exhibit 10.2 to the Registrant’s Current Report on Form 8-K filed April 15, 2014)*</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10.38</w:t>
            </w:r>
          </w:p>
        </w:tc>
        <w:tc>
          <w:tcPr>
            <w:tcW w:w="10620" w:type="dxa"/>
            <w:vAlign w:val="bottom"/>
          </w:tcPr>
          <w:p>
            <w:pPr>
              <w:ind w:left="120"/>
              <w:spacing w:after="0"/>
              <w:rPr>
                <w:sz w:val="20"/>
                <w:szCs w:val="20"/>
                <w:color w:val="auto"/>
              </w:rPr>
            </w:pPr>
            <w:r>
              <w:rPr>
                <w:rFonts w:ascii="Arial" w:cs="Arial" w:eastAsia="Arial" w:hAnsi="Arial"/>
                <w:sz w:val="18"/>
                <w:szCs w:val="18"/>
                <w:color w:val="auto"/>
                <w:w w:val="89"/>
              </w:rPr>
              <w:t>Employment Agreement between Allison Transmission, Inc. and David S. Graziosi, dated as of April 15, 2014 (incorporated by reference to Exhibit</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10.3 to the Registrant’s Current Report on Form 8-K filed April 15, 2014)*</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062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Rule 13a-14(a)/15d-14(a) as adopted pursuant to</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062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Rule 13a-14(a)/15d-14(a) as adopted pursuant to</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0620" w:type="dxa"/>
            <w:vAlign w:val="bottom"/>
          </w:tcPr>
          <w:p>
            <w:pPr>
              <w:ind w:left="120"/>
              <w:spacing w:after="0"/>
              <w:rPr>
                <w:sz w:val="20"/>
                <w:szCs w:val="20"/>
                <w:color w:val="auto"/>
              </w:rPr>
            </w:pPr>
            <w:r>
              <w:rPr>
                <w:rFonts w:ascii="Arial" w:cs="Arial" w:eastAsia="Arial" w:hAnsi="Arial"/>
                <w:sz w:val="18"/>
                <w:szCs w:val="18"/>
                <w:color w:val="auto"/>
                <w:w w:val="90"/>
              </w:rPr>
              <w:t>Certification of Periodic Report by Chief Executive Officer and Chief Financial Officer pursuant to 18 U.S.C. Section 1350, as adopted pursuant to</w:t>
            </w:r>
          </w:p>
        </w:tc>
      </w:tr>
      <w:tr>
        <w:trPr>
          <w:trHeight w:val="222"/>
        </w:trPr>
        <w:tc>
          <w:tcPr>
            <w:tcW w:w="800" w:type="dxa"/>
            <w:vAlign w:val="bottom"/>
          </w:tcPr>
          <w:p>
            <w:pPr>
              <w:spacing w:after="0"/>
              <w:rPr>
                <w:sz w:val="19"/>
                <w:szCs w:val="19"/>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 (filed herewith)</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5" w:lineRule="exact"/>
        <w:rPr>
          <w:sz w:val="20"/>
          <w:szCs w:val="20"/>
          <w:color w:val="auto"/>
        </w:rPr>
      </w:pPr>
    </w:p>
    <w:p>
      <w:pPr>
        <w:ind w:left="220" w:right="80" w:hanging="212"/>
        <w:spacing w:after="0" w:line="255"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Date: April 30, 2014</w:t>
            </w:r>
          </w:p>
        </w:tc>
        <w:tc>
          <w:tcPr>
            <w:tcW w:w="7880" w:type="dxa"/>
            <w:vAlign w:val="bottom"/>
            <w:gridSpan w:val="2"/>
          </w:tcPr>
          <w:p>
            <w:pPr>
              <w:ind w:left="228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4"/>
        </w:trPr>
        <w:tc>
          <w:tcPr>
            <w:tcW w:w="3540" w:type="dxa"/>
            <w:vAlign w:val="bottom"/>
          </w:tcPr>
          <w:p>
            <w:pPr>
              <w:spacing w:after="0"/>
              <w:rPr>
                <w:sz w:val="24"/>
                <w:szCs w:val="24"/>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Dewey</w:t>
            </w:r>
          </w:p>
        </w:tc>
      </w:tr>
      <w:tr>
        <w:trPr>
          <w:trHeight w:val="215"/>
        </w:trPr>
        <w:tc>
          <w:tcPr>
            <w:tcW w:w="354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Lawrence E. Dewey</w:t>
            </w:r>
          </w:p>
        </w:tc>
      </w:tr>
      <w:tr>
        <w:trPr>
          <w:trHeight w:val="222"/>
        </w:trPr>
        <w:tc>
          <w:tcPr>
            <w:tcW w:w="3540" w:type="dxa"/>
            <w:vAlign w:val="bottom"/>
          </w:tcPr>
          <w:p>
            <w:pPr>
              <w:spacing w:after="0"/>
              <w:rPr>
                <w:sz w:val="19"/>
                <w:szCs w:val="19"/>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434"/>
        </w:trPr>
        <w:tc>
          <w:tcPr>
            <w:tcW w:w="3540" w:type="dxa"/>
            <w:vAlign w:val="bottom"/>
          </w:tcPr>
          <w:p>
            <w:pPr>
              <w:spacing w:after="0"/>
              <w:rPr>
                <w:sz w:val="20"/>
                <w:szCs w:val="20"/>
                <w:color w:val="auto"/>
              </w:rPr>
            </w:pPr>
            <w:r>
              <w:rPr>
                <w:rFonts w:ascii="Arial" w:cs="Arial" w:eastAsia="Arial" w:hAnsi="Arial"/>
                <w:sz w:val="18"/>
                <w:szCs w:val="18"/>
                <w:color w:val="auto"/>
              </w:rPr>
              <w:t>Date: April 30, 2014</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Graziosi</w:t>
            </w:r>
          </w:p>
        </w:tc>
      </w:tr>
      <w:tr>
        <w:trPr>
          <w:trHeight w:val="215"/>
        </w:trPr>
        <w:tc>
          <w:tcPr>
            <w:tcW w:w="354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David S. Graziosi</w:t>
            </w:r>
          </w:p>
        </w:tc>
      </w:tr>
      <w:tr>
        <w:trPr>
          <w:trHeight w:val="216"/>
        </w:trPr>
        <w:tc>
          <w:tcPr>
            <w:tcW w:w="354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35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35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54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Arial" w:cs="Arial" w:eastAsia="Arial" w:hAnsi="Arial"/>
                <w:sz w:val="18"/>
                <w:szCs w:val="18"/>
                <w:color w:val="auto"/>
              </w:rPr>
              <w:t>33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159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2014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2019-12-07T16:27:52Z</dcterms:created>
  <dcterms:modified xsi:type="dcterms:W3CDTF">2019-12-07T16:27:52Z</dcterms:modified>
</cp:coreProperties>
</file>