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UNITED STATES</w:t>
      </w:r>
    </w:p>
    <w:p>
      <w:pPr>
        <w:spacing w:after="0" w:line="54"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SECURITIES AND EXCHANGE COMMISSION</w:t>
      </w:r>
    </w:p>
    <w:p>
      <w:pPr>
        <w:spacing w:after="0" w:line="57"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FORM 10-Q</w:t>
      </w:r>
    </w:p>
    <w:p>
      <w:pPr>
        <w:spacing w:after="0" w:line="57" w:lineRule="exact"/>
        <w:rPr>
          <w:sz w:val="24"/>
          <w:szCs w:val="24"/>
          <w:color w:val="auto"/>
        </w:rPr>
      </w:pPr>
    </w:p>
    <w:p>
      <w:pPr>
        <w:ind w:left="566" w:hanging="566"/>
        <w:spacing w:after="0"/>
        <w:tabs>
          <w:tab w:leader="none" w:pos="56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3"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36"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1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Commission File No. 001-35456</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38"/>
          <w:szCs w:val="38"/>
          <w:b w:val="1"/>
          <w:bCs w:val="1"/>
          <w:color w:val="auto"/>
        </w:rPr>
        <w:t>ALLISON TRANSMISSION HOLDINGS, INC.</w:t>
      </w:r>
    </w:p>
    <w:p>
      <w:pPr>
        <w:spacing w:after="0" w:line="6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45720</wp:posOffset>
            </wp:positionV>
            <wp:extent cx="1476375" cy="432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6375" cy="432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426" w:type="dxa"/>
        <w:tblCellMar>
          <w:top w:w="0" w:type="dxa"/>
          <w:left w:w="0" w:type="dxa"/>
          <w:bottom w:w="0" w:type="dxa"/>
          <w:right w:w="0" w:type="dxa"/>
        </w:tblCellMar>
      </w:tblPr>
      <w:tr>
        <w:trPr>
          <w:trHeight w:val="208"/>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9"/>
              </w:rPr>
              <w:t>Delaware</w:t>
            </w: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rPr>
              <w:t>26-0414014</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(State or Other Jurisdiction of Incorporation or</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6"/>
              </w:rPr>
              <w:t>(I.R.S. Employer</w:t>
            </w:r>
          </w:p>
        </w:tc>
      </w:tr>
      <w:tr>
        <w:trPr>
          <w:trHeight w:val="177"/>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7"/>
              </w:rPr>
              <w:t>Organization)</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5"/>
              </w:rPr>
              <w:t>Identification Number)</w:t>
            </w:r>
          </w:p>
        </w:tc>
      </w:tr>
      <w:tr>
        <w:trPr>
          <w:trHeight w:val="245"/>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6"/>
              </w:rPr>
              <w:t>One Allison Way</w:t>
            </w:r>
          </w:p>
        </w:tc>
        <w:tc>
          <w:tcPr>
            <w:tcW w:w="1580" w:type="dxa"/>
            <w:vAlign w:val="bottom"/>
          </w:tcPr>
          <w:p>
            <w:pPr>
              <w:spacing w:after="0"/>
              <w:rPr>
                <w:sz w:val="21"/>
                <w:szCs w:val="21"/>
                <w:color w:val="auto"/>
              </w:rPr>
            </w:pPr>
          </w:p>
        </w:tc>
      </w:tr>
      <w:tr>
        <w:trPr>
          <w:trHeight w:val="376"/>
        </w:trPr>
        <w:tc>
          <w:tcPr>
            <w:tcW w:w="6100" w:type="dxa"/>
            <w:vAlign w:val="bottom"/>
          </w:tcPr>
          <w:p>
            <w:pPr>
              <w:ind w:left="800"/>
              <w:spacing w:after="0"/>
              <w:rPr>
                <w:sz w:val="20"/>
                <w:szCs w:val="20"/>
                <w:color w:val="auto"/>
              </w:rPr>
            </w:pPr>
            <w:r>
              <w:rPr>
                <w:rFonts w:ascii="Arial" w:cs="Arial" w:eastAsia="Arial" w:hAnsi="Arial"/>
                <w:sz w:val="16"/>
                <w:szCs w:val="16"/>
                <w:b w:val="1"/>
                <w:bCs w:val="1"/>
                <w:color w:val="auto"/>
              </w:rPr>
              <w:t>Indianapolis, IN</w:t>
            </w:r>
          </w:p>
        </w:tc>
        <w:tc>
          <w:tcPr>
            <w:tcW w:w="1580" w:type="dxa"/>
            <w:vAlign w:val="bottom"/>
          </w:tcPr>
          <w:p>
            <w:pPr>
              <w:jc w:val="right"/>
              <w:ind w:right="371"/>
              <w:spacing w:after="0"/>
              <w:rPr>
                <w:sz w:val="20"/>
                <w:szCs w:val="20"/>
                <w:color w:val="auto"/>
              </w:rPr>
            </w:pPr>
            <w:r>
              <w:rPr>
                <w:rFonts w:ascii="Arial" w:cs="Arial" w:eastAsia="Arial" w:hAnsi="Arial"/>
                <w:sz w:val="16"/>
                <w:szCs w:val="16"/>
                <w:b w:val="1"/>
                <w:bCs w:val="1"/>
                <w:color w:val="auto"/>
              </w:rPr>
              <w:t>46222</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1580" w:type="dxa"/>
            <w:vAlign w:val="bottom"/>
          </w:tcPr>
          <w:p>
            <w:pPr>
              <w:jc w:val="center"/>
              <w:ind w:left="211"/>
              <w:spacing w:after="0"/>
              <w:rPr>
                <w:sz w:val="20"/>
                <w:szCs w:val="20"/>
                <w:color w:val="auto"/>
              </w:rPr>
            </w:pPr>
            <w:r>
              <w:rPr>
                <w:rFonts w:ascii="Arial" w:cs="Arial" w:eastAsia="Arial" w:hAnsi="Arial"/>
                <w:sz w:val="13"/>
                <w:szCs w:val="13"/>
                <w:b w:val="1"/>
                <w:bCs w:val="1"/>
                <w:color w:val="auto"/>
                <w:w w:val="96"/>
              </w:rPr>
              <w:t>(Zip Code)</w:t>
            </w:r>
          </w:p>
        </w:tc>
      </w:tr>
      <w:tr>
        <w:trPr>
          <w:trHeight w:val="257"/>
        </w:trPr>
        <w:tc>
          <w:tcPr>
            <w:tcW w:w="6100" w:type="dxa"/>
            <w:vAlign w:val="bottom"/>
          </w:tcPr>
          <w:p>
            <w:pPr>
              <w:jc w:val="right"/>
              <w:ind w:right="1290"/>
              <w:spacing w:after="0"/>
              <w:rPr>
                <w:sz w:val="20"/>
                <w:szCs w:val="20"/>
                <w:color w:val="auto"/>
              </w:rPr>
            </w:pPr>
            <w:r>
              <w:rPr>
                <w:rFonts w:ascii="Arial" w:cs="Arial" w:eastAsia="Arial" w:hAnsi="Arial"/>
                <w:sz w:val="16"/>
                <w:szCs w:val="16"/>
                <w:b w:val="1"/>
                <w:bCs w:val="1"/>
                <w:color w:val="auto"/>
              </w:rPr>
              <w:t>(317) 242-5000</w:t>
            </w:r>
          </w:p>
        </w:tc>
        <w:tc>
          <w:tcPr>
            <w:tcW w:w="1580" w:type="dxa"/>
            <w:vAlign w:val="bottom"/>
          </w:tcPr>
          <w:p>
            <w:pPr>
              <w:spacing w:after="0"/>
              <w:rPr>
                <w:sz w:val="22"/>
                <w:szCs w:val="22"/>
                <w:color w:val="auto"/>
              </w:rPr>
            </w:pPr>
          </w:p>
        </w:tc>
      </w:tr>
      <w:tr>
        <w:trPr>
          <w:trHeight w:val="178"/>
        </w:trPr>
        <w:tc>
          <w:tcPr>
            <w:tcW w:w="6100" w:type="dxa"/>
            <w:vAlign w:val="bottom"/>
          </w:tcPr>
          <w:p>
            <w:pPr>
              <w:jc w:val="center"/>
              <w:ind w:left="2230"/>
              <w:spacing w:after="0"/>
              <w:rPr>
                <w:sz w:val="20"/>
                <w:szCs w:val="20"/>
                <w:color w:val="auto"/>
              </w:rPr>
            </w:pPr>
            <w:r>
              <w:rPr>
                <w:rFonts w:ascii="Arial" w:cs="Arial" w:eastAsia="Arial" w:hAnsi="Arial"/>
                <w:sz w:val="13"/>
                <w:szCs w:val="13"/>
                <w:b w:val="1"/>
                <w:bCs w:val="1"/>
                <w:color w:val="auto"/>
                <w:w w:val="95"/>
              </w:rPr>
              <w:t>(Registrant’s Telephone Number, Including Area Code)</w:t>
            </w:r>
          </w:p>
        </w:tc>
        <w:tc>
          <w:tcPr>
            <w:tcW w:w="1580" w:type="dxa"/>
            <w:vAlign w:val="bottom"/>
          </w:tcPr>
          <w:p>
            <w:pPr>
              <w:spacing w:after="0"/>
              <w:rPr>
                <w:sz w:val="15"/>
                <w:szCs w:val="15"/>
                <w:color w:val="auto"/>
              </w:rPr>
            </w:pPr>
          </w:p>
        </w:tc>
      </w:tr>
    </w:tbl>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4" w:lineRule="exact"/>
        <w:rPr>
          <w:sz w:val="24"/>
          <w:szCs w:val="24"/>
          <w:color w:val="auto"/>
        </w:rPr>
      </w:pPr>
    </w:p>
    <w:tbl>
      <w:tblPr>
        <w:tblLayout w:type="fixed"/>
        <w:tblInd w:w="1946"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color w:val="auto"/>
                <w:w w:val="95"/>
              </w:rPr>
              <w:t>Name of Each Exchange</w:t>
            </w:r>
          </w:p>
        </w:tc>
      </w:tr>
      <w:tr>
        <w:trPr>
          <w:trHeight w:val="137"/>
        </w:trPr>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5"/>
              </w:rPr>
              <w:t>Title of Each Class</w:t>
            </w:r>
          </w:p>
        </w:tc>
        <w:tc>
          <w:tcPr>
            <w:tcW w:w="80" w:type="dxa"/>
            <w:vAlign w:val="bottom"/>
          </w:tcPr>
          <w:p>
            <w:pPr>
              <w:spacing w:after="0"/>
              <w:rPr>
                <w:sz w:val="11"/>
                <w:szCs w:val="11"/>
                <w:color w:val="auto"/>
              </w:rPr>
            </w:pPr>
          </w:p>
        </w:tc>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Trading Symbol(s)</w:t>
            </w:r>
          </w:p>
        </w:tc>
        <w:tc>
          <w:tcPr>
            <w:tcW w:w="60" w:type="dxa"/>
            <w:vAlign w:val="bottom"/>
          </w:tcPr>
          <w:p>
            <w:pPr>
              <w:spacing w:after="0"/>
              <w:rPr>
                <w:sz w:val="11"/>
                <w:szCs w:val="11"/>
                <w:color w:val="auto"/>
              </w:rPr>
            </w:pPr>
          </w:p>
        </w:tc>
        <w:tc>
          <w:tcPr>
            <w:tcW w:w="23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on which Registered</w:t>
            </w:r>
          </w:p>
        </w:tc>
      </w:tr>
      <w:tr>
        <w:trPr>
          <w:trHeight w:val="226"/>
        </w:trPr>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Common stock, $0.01 par value</w:t>
            </w:r>
          </w:p>
        </w:tc>
        <w:tc>
          <w:tcPr>
            <w:tcW w:w="2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ALSN</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6"/>
              </w:rPr>
              <w:t>New York Stock Exchange</w:t>
            </w:r>
          </w:p>
        </w:tc>
      </w:tr>
    </w:tbl>
    <w:p>
      <w:pPr>
        <w:spacing w:after="0" w:line="35" w:lineRule="exact"/>
        <w:rPr>
          <w:sz w:val="24"/>
          <w:szCs w:val="24"/>
          <w:color w:val="auto"/>
        </w:rPr>
      </w:pPr>
    </w:p>
    <w:p>
      <w:pPr>
        <w:ind w:left="6" w:right="320" w:firstLine="500"/>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ind w:left="6" w:right="380" w:firstLine="500"/>
        <w:spacing w:after="0" w:line="2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
        <w:spacing w:after="0" w:line="184" w:lineRule="exact"/>
        <w:tabs>
          <w:tab w:leader="none" w:pos="566" w:val="left"/>
          <w:tab w:leader="none" w:pos="1206"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4" w:lineRule="exact"/>
        <w:rPr>
          <w:sz w:val="24"/>
          <w:szCs w:val="24"/>
          <w:color w:val="auto"/>
        </w:rPr>
      </w:pPr>
    </w:p>
    <w:p>
      <w:pPr>
        <w:ind w:left="6" w:right="300" w:firstLine="5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6"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720" w:type="dxa"/>
            <w:vAlign w:val="bottom"/>
          </w:tcPr>
          <w:p>
            <w:pPr>
              <w:ind w:left="21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6" w:right="40" w:firstLine="50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06" w:right="1640"/>
        <w:spacing w:after="0" w:line="2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15, 2021, there were 105,755,046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7550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6"/>
          </w:cols>
          <w:pgMar w:left="314" w:top="233" w:right="31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6"/>
                <w:szCs w:val="16"/>
                <w:b w:val="1"/>
                <w:bCs w:val="1"/>
                <w:color w:val="auto"/>
              </w:rPr>
              <w:t>INDEX</w:t>
            </w:r>
          </w:p>
        </w:tc>
      </w:tr>
      <w:tr>
        <w:trPr>
          <w:trHeight w:val="682"/>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tcBorders>
              <w:bottom w:val="single" w:sz="8" w:color="0000EE"/>
            </w:tcBorders>
            <w:gridSpan w:val="9"/>
          </w:tcPr>
          <w:p>
            <w:pPr>
              <w:jc w:val="center"/>
              <w:spacing w:after="0"/>
              <w:rPr>
                <w:rFonts w:ascii="Arial" w:cs="Arial" w:eastAsia="Arial" w:hAnsi="Arial"/>
                <w:sz w:val="16"/>
                <w:szCs w:val="16"/>
                <w:b w:val="1"/>
                <w:bCs w:val="1"/>
                <w:color w:val="0000EE"/>
                <w:w w:val="97"/>
              </w:rPr>
            </w:pPr>
            <w:hyperlink w:anchor="page3">
              <w:r>
                <w:rPr>
                  <w:rFonts w:ascii="Arial" w:cs="Arial" w:eastAsia="Arial" w:hAnsi="Arial"/>
                  <w:sz w:val="16"/>
                  <w:szCs w:val="16"/>
                  <w:b w:val="1"/>
                  <w:bCs w:val="1"/>
                  <w:color w:val="0000EE"/>
                  <w:w w:val="97"/>
                </w:rPr>
                <w:t>PART I. FINANCIAL INFORMATION</w:t>
              </w:r>
            </w:hyperlink>
          </w:p>
        </w:tc>
        <w:tc>
          <w:tcPr>
            <w:tcW w:w="200" w:type="dxa"/>
            <w:vAlign w:val="bottom"/>
          </w:tcPr>
          <w:p>
            <w:pPr>
              <w:spacing w:after="0"/>
              <w:rPr>
                <w:sz w:val="24"/>
                <w:szCs w:val="24"/>
                <w:color w:val="auto"/>
              </w:rPr>
            </w:pPr>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616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67"/>
        </w:trPr>
        <w:tc>
          <w:tcPr>
            <w:tcW w:w="920" w:type="dxa"/>
            <w:vAlign w:val="bottom"/>
          </w:tcPr>
          <w:p>
            <w:pPr>
              <w:spacing w:after="0"/>
              <w:rPr>
                <w:sz w:val="24"/>
                <w:szCs w:val="24"/>
                <w:color w:val="auto"/>
              </w:rPr>
            </w:pPr>
          </w:p>
        </w:tc>
        <w:tc>
          <w:tcPr>
            <w:tcW w:w="2900" w:type="dxa"/>
            <w:vAlign w:val="bottom"/>
            <w:tcBorders>
              <w:bottom w:val="single" w:sz="8" w:color="0000EE"/>
            </w:tcBorders>
            <w:gridSpan w:val="7"/>
          </w:tcPr>
          <w:p>
            <w:pPr>
              <w:spacing w:after="0"/>
              <w:rPr>
                <w:rFonts w:ascii="Arial" w:cs="Arial" w:eastAsia="Arial" w:hAnsi="Arial"/>
                <w:sz w:val="16"/>
                <w:szCs w:val="16"/>
                <w:color w:val="0000EE"/>
                <w:w w:val="97"/>
              </w:rPr>
            </w:pPr>
            <w:hyperlink w:anchor="page3">
              <w:r>
                <w:rPr>
                  <w:rFonts w:ascii="Arial" w:cs="Arial" w:eastAsia="Arial" w:hAnsi="Arial"/>
                  <w:sz w:val="16"/>
                  <w:szCs w:val="16"/>
                  <w:color w:val="0000EE"/>
                  <w:w w:val="97"/>
                </w:rPr>
                <w:t>Condensed Consolidated Balance Sheets</w:t>
              </w:r>
            </w:hyperlink>
          </w:p>
        </w:tc>
        <w:tc>
          <w:tcPr>
            <w:tcW w:w="3260" w:type="dxa"/>
            <w:vAlign w:val="bottom"/>
            <w:gridSpan w:val="11"/>
          </w:tcPr>
          <w:p>
            <w:pPr>
              <w:spacing w:after="0"/>
              <w:rPr>
                <w:sz w:val="24"/>
                <w:szCs w:val="24"/>
                <w:color w:val="auto"/>
              </w:rPr>
            </w:pPr>
          </w:p>
        </w:tc>
      </w:tr>
      <w:tr>
        <w:trPr>
          <w:trHeight w:val="403"/>
        </w:trPr>
        <w:tc>
          <w:tcPr>
            <w:tcW w:w="920" w:type="dxa"/>
            <w:vAlign w:val="bottom"/>
          </w:tcPr>
          <w:p>
            <w:pPr>
              <w:spacing w:after="0"/>
              <w:rPr>
                <w:sz w:val="24"/>
                <w:szCs w:val="24"/>
                <w:color w:val="auto"/>
              </w:rPr>
            </w:pPr>
          </w:p>
        </w:tc>
        <w:tc>
          <w:tcPr>
            <w:tcW w:w="616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Comprehensive Income</w:t>
              </w:r>
            </w:hyperlink>
          </w:p>
        </w:tc>
      </w:tr>
      <w:tr>
        <w:trPr>
          <w:trHeight w:val="403"/>
        </w:trPr>
        <w:tc>
          <w:tcPr>
            <w:tcW w:w="920" w:type="dxa"/>
            <w:vAlign w:val="bottom"/>
          </w:tcPr>
          <w:p>
            <w:pPr>
              <w:spacing w:after="0"/>
              <w:rPr>
                <w:sz w:val="24"/>
                <w:szCs w:val="24"/>
                <w:color w:val="auto"/>
              </w:rPr>
            </w:pPr>
          </w:p>
        </w:tc>
        <w:tc>
          <w:tcPr>
            <w:tcW w:w="4460" w:type="dxa"/>
            <w:vAlign w:val="bottom"/>
            <w:tcBorders>
              <w:top w:val="single" w:sz="8" w:color="0000EE"/>
            </w:tcBorders>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w:t>
              </w:r>
            </w:hyperlink>
          </w:p>
        </w:tc>
        <w:tc>
          <w:tcPr>
            <w:tcW w:w="1700" w:type="dxa"/>
            <w:vAlign w:val="bottom"/>
            <w:gridSpan w:val="3"/>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438"/>
        </w:trPr>
        <w:tc>
          <w:tcPr>
            <w:tcW w:w="92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Arial" w:cs="Arial" w:eastAsia="Arial" w:hAnsi="Arial"/>
                <w:sz w:val="16"/>
                <w:szCs w:val="16"/>
                <w:color w:val="0000EE"/>
                <w:w w:val="97"/>
              </w:rPr>
            </w:pPr>
            <w:hyperlink w:anchor="page6">
              <w:r>
                <w:rPr>
                  <w:rFonts w:ascii="Arial" w:cs="Arial" w:eastAsia="Arial" w:hAnsi="Arial"/>
                  <w:sz w:val="16"/>
                  <w:szCs w:val="16"/>
                  <w:color w:val="0000EE"/>
                  <w:w w:val="97"/>
                </w:rPr>
                <w:t>Condensed Consolidated Statements of Stockholders’ Equity</w:t>
              </w:r>
            </w:hyperlink>
          </w:p>
        </w:tc>
        <w:tc>
          <w:tcPr>
            <w:tcW w:w="1920" w:type="dxa"/>
            <w:vAlign w:val="bottom"/>
            <w:gridSpan w:val="4"/>
          </w:tcPr>
          <w:p>
            <w:pPr>
              <w:spacing w:after="0"/>
              <w:rPr>
                <w:sz w:val="24"/>
                <w:szCs w:val="24"/>
                <w:color w:val="auto"/>
              </w:rPr>
            </w:pPr>
          </w:p>
        </w:tc>
      </w:tr>
      <w:tr>
        <w:trPr>
          <w:trHeight w:val="367"/>
        </w:trPr>
        <w:tc>
          <w:tcPr>
            <w:tcW w:w="920" w:type="dxa"/>
            <w:vAlign w:val="bottom"/>
          </w:tcPr>
          <w:p>
            <w:pPr>
              <w:spacing w:after="0"/>
              <w:rPr>
                <w:sz w:val="24"/>
                <w:szCs w:val="24"/>
                <w:color w:val="auto"/>
              </w:rPr>
            </w:pPr>
          </w:p>
        </w:tc>
        <w:tc>
          <w:tcPr>
            <w:tcW w:w="3900" w:type="dxa"/>
            <w:vAlign w:val="bottom"/>
            <w:tcBorders>
              <w:bottom w:val="single" w:sz="8" w:color="0000EE"/>
            </w:tcBorders>
            <w:gridSpan w:val="11"/>
          </w:tcPr>
          <w:p>
            <w:pPr>
              <w:spacing w:after="0"/>
              <w:rPr>
                <w:rFonts w:ascii="Arial" w:cs="Arial" w:eastAsia="Arial" w:hAnsi="Arial"/>
                <w:sz w:val="16"/>
                <w:szCs w:val="16"/>
                <w:color w:val="0000EE"/>
                <w:w w:val="97"/>
              </w:rPr>
            </w:pPr>
            <w:hyperlink w:anchor="page8">
              <w:r>
                <w:rPr>
                  <w:rFonts w:ascii="Arial" w:cs="Arial" w:eastAsia="Arial" w:hAnsi="Arial"/>
                  <w:sz w:val="16"/>
                  <w:szCs w:val="16"/>
                  <w:color w:val="0000EE"/>
                  <w:w w:val="97"/>
                </w:rPr>
                <w:t>Notes to Condensed Consolidated Financial Statements</w:t>
              </w:r>
            </w:hyperlink>
          </w:p>
        </w:tc>
        <w:tc>
          <w:tcPr>
            <w:tcW w:w="2260" w:type="dxa"/>
            <w:vAlign w:val="bottom"/>
            <w:gridSpan w:val="7"/>
          </w:tcPr>
          <w:p>
            <w:pPr>
              <w:spacing w:after="0"/>
              <w:rPr>
                <w:sz w:val="24"/>
                <w:szCs w:val="24"/>
                <w:color w:val="auto"/>
              </w:rPr>
            </w:pPr>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tcBorders>
              <w:bottom w:val="single" w:sz="8" w:color="0000EE"/>
            </w:tcBorders>
            <w:gridSpan w:val="18"/>
          </w:tcPr>
          <w:p>
            <w:pPr>
              <w:spacing w:after="0"/>
              <w:rPr>
                <w:rFonts w:ascii="Arial" w:cs="Arial" w:eastAsia="Arial" w:hAnsi="Arial"/>
                <w:sz w:val="16"/>
                <w:szCs w:val="16"/>
                <w:color w:val="0000EE"/>
                <w:w w:val="97"/>
              </w:rPr>
            </w:pPr>
            <w:hyperlink w:anchor="page24">
              <w:r>
                <w:rPr>
                  <w:rFonts w:ascii="Arial" w:cs="Arial" w:eastAsia="Arial" w:hAnsi="Arial"/>
                  <w:sz w:val="16"/>
                  <w:szCs w:val="16"/>
                  <w:color w:val="0000EE"/>
                  <w:w w:val="97"/>
                </w:rPr>
                <w:t>Management’s Discussion and Analysis of Financial Condition and Results of Operations</w:t>
              </w:r>
            </w:hyperlink>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4100" w:type="dxa"/>
            <w:vAlign w:val="bottom"/>
            <w:tcBorders>
              <w:bottom w:val="single" w:sz="8" w:color="0000EE"/>
            </w:tcBorders>
            <w:gridSpan w:val="12"/>
          </w:tcPr>
          <w:p>
            <w:pPr>
              <w:spacing w:after="0"/>
              <w:rPr>
                <w:rFonts w:ascii="Arial" w:cs="Arial" w:eastAsia="Arial" w:hAnsi="Arial"/>
                <w:sz w:val="16"/>
                <w:szCs w:val="16"/>
                <w:color w:val="0000EE"/>
                <w:w w:val="97"/>
              </w:rPr>
            </w:pPr>
            <w:hyperlink w:anchor="page38">
              <w:r>
                <w:rPr>
                  <w:rFonts w:ascii="Arial" w:cs="Arial" w:eastAsia="Arial" w:hAnsi="Arial"/>
                  <w:sz w:val="16"/>
                  <w:szCs w:val="16"/>
                  <w:color w:val="0000EE"/>
                  <w:w w:val="97"/>
                </w:rPr>
                <w:t>Quantitative and Qualitative Disclosures About Market Risk</w:t>
              </w:r>
            </w:hyperlink>
          </w:p>
        </w:tc>
        <w:tc>
          <w:tcPr>
            <w:tcW w:w="2060" w:type="dxa"/>
            <w:vAlign w:val="bottom"/>
            <w:gridSpan w:val="6"/>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6160" w:type="dxa"/>
            <w:vAlign w:val="bottom"/>
            <w:gridSpan w:val="18"/>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Controls and Procedures</w:t>
              </w:r>
            </w:hyperlink>
          </w:p>
        </w:tc>
      </w:tr>
      <w:tr>
        <w:trPr>
          <w:trHeight w:val="414"/>
        </w:trPr>
        <w:tc>
          <w:tcPr>
            <w:tcW w:w="9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9"/>
          </w:tcPr>
          <w:p>
            <w:pPr>
              <w:jc w:val="center"/>
              <w:ind w:right="340"/>
              <w:spacing w:after="0"/>
              <w:rPr>
                <w:rFonts w:ascii="Arial" w:cs="Arial" w:eastAsia="Arial" w:hAnsi="Arial"/>
                <w:sz w:val="16"/>
                <w:szCs w:val="16"/>
                <w:b w:val="1"/>
                <w:bCs w:val="1"/>
                <w:color w:val="0000EE"/>
                <w:w w:val="96"/>
              </w:rPr>
            </w:pPr>
            <w:hyperlink w:anchor="page40">
              <w:r>
                <w:rPr>
                  <w:rFonts w:ascii="Arial" w:cs="Arial" w:eastAsia="Arial" w:hAnsi="Arial"/>
                  <w:sz w:val="16"/>
                  <w:szCs w:val="16"/>
                  <w:b w:val="1"/>
                  <w:bCs w:val="1"/>
                  <w:color w:val="0000EE"/>
                  <w:w w:val="96"/>
                </w:rPr>
                <w:t>PART II. OTHER INFORMATION</w:t>
              </w:r>
            </w:hyperlink>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1300" w:type="dxa"/>
            <w:vAlign w:val="bottom"/>
            <w:tcBorders>
              <w:bottom w:val="single" w:sz="8" w:color="0000EE"/>
            </w:tcBorders>
            <w:gridSpan w:val="4"/>
          </w:tcPr>
          <w:p>
            <w:pPr>
              <w:spacing w:after="0"/>
              <w:rPr>
                <w:rFonts w:ascii="Arial" w:cs="Arial" w:eastAsia="Arial" w:hAnsi="Arial"/>
                <w:sz w:val="16"/>
                <w:szCs w:val="16"/>
                <w:color w:val="0000EE"/>
                <w:w w:val="96"/>
              </w:rPr>
            </w:pPr>
            <w:hyperlink w:anchor="page40">
              <w:r>
                <w:rPr>
                  <w:rFonts w:ascii="Arial" w:cs="Arial" w:eastAsia="Arial" w:hAnsi="Arial"/>
                  <w:sz w:val="16"/>
                  <w:szCs w:val="16"/>
                  <w:color w:val="0000EE"/>
                  <w:w w:val="96"/>
                </w:rPr>
                <w:t>Legal Proceedings</w:t>
              </w:r>
            </w:hyperlink>
          </w:p>
        </w:tc>
        <w:tc>
          <w:tcPr>
            <w:tcW w:w="2220" w:type="dxa"/>
            <w:vAlign w:val="bottom"/>
            <w:gridSpan w:val="5"/>
          </w:tcPr>
          <w:p>
            <w:pPr>
              <w:spacing w:after="0"/>
              <w:rPr>
                <w:sz w:val="24"/>
                <w:szCs w:val="24"/>
                <w:color w:val="auto"/>
              </w:rPr>
            </w:pPr>
          </w:p>
        </w:tc>
        <w:tc>
          <w:tcPr>
            <w:tcW w:w="2300" w:type="dxa"/>
            <w:vAlign w:val="bottom"/>
            <w:tcBorders>
              <w:top w:val="single" w:sz="8" w:color="0000EE"/>
            </w:tcBorders>
            <w:gridSpan w:val="7"/>
          </w:tcPr>
          <w:p>
            <w:pPr>
              <w:spacing w:after="0"/>
              <w:rPr>
                <w:sz w:val="24"/>
                <w:szCs w:val="24"/>
                <w:color w:val="auto"/>
              </w:rPr>
            </w:pPr>
          </w:p>
        </w:tc>
        <w:tc>
          <w:tcPr>
            <w:tcW w:w="340" w:type="dxa"/>
            <w:vAlign w:val="bottom"/>
            <w:gridSpan w:val="2"/>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40">
              <w:r>
                <w:rPr>
                  <w:rFonts w:ascii="Arial" w:cs="Arial" w:eastAsia="Arial" w:hAnsi="Arial"/>
                  <w:sz w:val="16"/>
                  <w:szCs w:val="16"/>
                  <w:color w:val="0000EE"/>
                  <w:w w:val="96"/>
                </w:rPr>
                <w:t>Risk Factors</w:t>
              </w:r>
            </w:hyperlink>
          </w:p>
        </w:tc>
        <w:tc>
          <w:tcPr>
            <w:tcW w:w="5280" w:type="dxa"/>
            <w:vAlign w:val="bottom"/>
            <w:gridSpan w:val="15"/>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gridSpan w:val="18"/>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Unregistered Sales of Equity Securities and Use of Proceeds</w:t>
              </w:r>
            </w:hyperlink>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4220" w:type="dxa"/>
            <w:vAlign w:val="bottom"/>
            <w:tcBorders>
              <w:top w:val="single" w:sz="8" w:color="0000EE"/>
            </w:tcBorders>
            <w:gridSpan w:val="13"/>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Exhibits</w:t>
              </w:r>
            </w:hyperlink>
          </w:p>
        </w:tc>
        <w:tc>
          <w:tcPr>
            <w:tcW w:w="1940" w:type="dxa"/>
            <w:vAlign w:val="bottom"/>
            <w:gridSpan w:val="5"/>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20" w:type="dxa"/>
            <w:vAlign w:val="bottom"/>
            <w:gridSpan w:val="16"/>
          </w:tcPr>
          <w:p>
            <w:pPr>
              <w:spacing w:after="0" w:line="20" w:lineRule="exact"/>
              <w:rPr>
                <w:sz w:val="1"/>
                <w:szCs w:val="1"/>
                <w:color w:val="auto"/>
              </w:rPr>
            </w:pPr>
          </w:p>
        </w:tc>
      </w:tr>
      <w:tr>
        <w:trPr>
          <w:trHeight w:val="367"/>
        </w:trPr>
        <w:tc>
          <w:tcPr>
            <w:tcW w:w="920" w:type="dxa"/>
            <w:vAlign w:val="bottom"/>
          </w:tcPr>
          <w:p>
            <w:pPr>
              <w:spacing w:after="0"/>
              <w:rPr>
                <w:sz w:val="24"/>
                <w:szCs w:val="24"/>
                <w:color w:val="auto"/>
              </w:rPr>
            </w:pPr>
          </w:p>
        </w:tc>
        <w:tc>
          <w:tcPr>
            <w:tcW w:w="6160" w:type="dxa"/>
            <w:vAlign w:val="bottom"/>
            <w:gridSpan w:val="18"/>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Signatures</w:t>
              </w:r>
            </w:hyperlink>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-3810</wp:posOffset>
            </wp:positionV>
            <wp:extent cx="6038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885"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 7</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 – 7</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8 – 23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 – 37</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ectPr>
          <w:pgSz w:w="11900" w:h="16838" w:orient="portrait"/>
          <w:cols w:equalWidth="0" w:num="2">
            <w:col w:w="9800" w:space="720"/>
            <w:col w:w="520"/>
          </w:cols>
          <w:pgMar w:left="320" w:top="14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Balance Sheets</w:t>
      </w:r>
    </w:p>
    <w:p>
      <w:pPr>
        <w:jc w:val="center"/>
        <w:ind w:right="-59"/>
        <w:spacing w:after="0"/>
        <w:rPr>
          <w:sz w:val="20"/>
          <w:szCs w:val="20"/>
          <w:color w:val="auto"/>
        </w:rPr>
      </w:pPr>
      <w:r>
        <w:rPr>
          <w:rFonts w:ascii="Arial" w:cs="Arial" w:eastAsia="Arial" w:hAnsi="Arial"/>
          <w:sz w:val="16"/>
          <w:szCs w:val="16"/>
          <w:b w:val="1"/>
          <w:bCs w:val="1"/>
          <w:color w:val="auto"/>
        </w:rPr>
        <w:t>(unaudited, dollars in millions,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500" w:type="dxa"/>
            <w:vAlign w:val="bottom"/>
          </w:tcPr>
          <w:p>
            <w:pPr>
              <w:spacing w:after="0"/>
              <w:rPr>
                <w:sz w:val="13"/>
                <w:szCs w:val="13"/>
                <w:color w:val="auto"/>
              </w:rPr>
            </w:pPr>
          </w:p>
        </w:tc>
        <w:tc>
          <w:tcPr>
            <w:tcW w:w="126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2021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69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4"/>
        </w:trPr>
        <w:tc>
          <w:tcPr>
            <w:tcW w:w="7500" w:type="dxa"/>
            <w:vAlign w:val="bottom"/>
            <w:tcBorders>
              <w:top w:val="single" w:sz="8" w:color="CFF0FC"/>
            </w:tcBorders>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260" w:type="dxa"/>
            <w:vAlign w:val="bottom"/>
            <w:gridSpan w:val="2"/>
            <w:shd w:val="clear" w:color="auto" w:fill="CFF0FC"/>
          </w:tcPr>
          <w:p>
            <w:pPr>
              <w:jc w:val="right"/>
              <w:ind w:right="977"/>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238</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3"/>
        </w:trPr>
        <w:tc>
          <w:tcPr>
            <w:tcW w:w="7500" w:type="dxa"/>
            <w:vAlign w:val="bottom"/>
          </w:tcPr>
          <w:p>
            <w:pPr>
              <w:ind w:left="200"/>
              <w:spacing w:after="0"/>
              <w:rPr>
                <w:sz w:val="20"/>
                <w:szCs w:val="20"/>
                <w:color w:val="auto"/>
              </w:rPr>
            </w:pPr>
            <w:r>
              <w:rPr>
                <w:rFonts w:ascii="Arial" w:cs="Arial" w:eastAsia="Arial" w:hAnsi="Arial"/>
                <w:sz w:val="13"/>
                <w:szCs w:val="13"/>
                <w:color w:val="auto"/>
              </w:rPr>
              <w:t>Accounts receivable – net of allowances for doubtful accounts of $2 and $1, respectively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299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206</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53"/>
        </w:trPr>
        <w:tc>
          <w:tcPr>
            <w:tcW w:w="75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Other current assets</w:t>
            </w: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55</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4"/>
        </w:trPr>
        <w:tc>
          <w:tcPr>
            <w:tcW w:w="75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37"/>
              <w:spacing w:after="0" w:line="144" w:lineRule="exact"/>
              <w:rPr>
                <w:sz w:val="20"/>
                <w:szCs w:val="20"/>
                <w:color w:val="auto"/>
              </w:rPr>
            </w:pPr>
            <w:r>
              <w:rPr>
                <w:rFonts w:ascii="Arial" w:cs="Arial" w:eastAsia="Arial" w:hAnsi="Arial"/>
                <w:sz w:val="13"/>
                <w:szCs w:val="13"/>
                <w:b w:val="1"/>
                <w:bCs w:val="1"/>
                <w:color w:val="auto"/>
              </w:rPr>
              <w:t>798</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756</w:t>
            </w:r>
          </w:p>
        </w:tc>
        <w:tc>
          <w:tcPr>
            <w:tcW w:w="0" w:type="dxa"/>
            <w:vAlign w:val="bottom"/>
          </w:tcPr>
          <w:p>
            <w:pPr>
              <w:spacing w:after="0"/>
              <w:rPr>
                <w:sz w:val="1"/>
                <w:szCs w:val="1"/>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665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spacing w:after="0"/>
              <w:rPr>
                <w:sz w:val="20"/>
                <w:szCs w:val="20"/>
                <w:color w:val="auto"/>
              </w:rPr>
            </w:pPr>
            <w:r>
              <w:rPr>
                <w:rFonts w:ascii="Arial" w:cs="Arial" w:eastAsia="Arial" w:hAnsi="Arial"/>
                <w:sz w:val="13"/>
                <w:szCs w:val="13"/>
                <w:color w:val="auto"/>
              </w:rPr>
              <w:t>Intangible assets, net</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940</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2,064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assets</w:t>
            </w:r>
          </w:p>
        </w:tc>
        <w:tc>
          <w:tcPr>
            <w:tcW w:w="140" w:type="dxa"/>
            <w:vAlign w:val="bottom"/>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55</w:t>
            </w: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4"/>
        </w:trPr>
        <w:tc>
          <w:tcPr>
            <w:tcW w:w="750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CFF0FC"/>
            </w:tcBorders>
          </w:tcPr>
          <w:p>
            <w:pPr>
              <w:spacing w:after="0"/>
              <w:rPr>
                <w:sz w:val="16"/>
                <w:szCs w:val="16"/>
                <w:color w:val="auto"/>
              </w:rPr>
            </w:pPr>
          </w:p>
        </w:tc>
        <w:tc>
          <w:tcPr>
            <w:tcW w:w="1120" w:type="dxa"/>
            <w:vAlign w:val="bottom"/>
            <w:tcBorders>
              <w:bottom w:val="single" w:sz="8" w:color="auto"/>
            </w:tcBorders>
          </w:tcPr>
          <w:p>
            <w:pPr>
              <w:jc w:val="right"/>
              <w:ind w:right="977"/>
              <w:spacing w:after="0" w:line="144"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37"/>
              <w:spacing w:after="0" w:line="144" w:lineRule="exact"/>
              <w:rPr>
                <w:sz w:val="20"/>
                <w:szCs w:val="20"/>
                <w:color w:val="auto"/>
              </w:rPr>
            </w:pPr>
            <w:r>
              <w:rPr>
                <w:rFonts w:ascii="Arial" w:cs="Arial" w:eastAsia="Arial" w:hAnsi="Arial"/>
                <w:sz w:val="13"/>
                <w:szCs w:val="13"/>
                <w:b w:val="1"/>
                <w:bCs w:val="1"/>
                <w:color w:val="auto"/>
              </w:rPr>
              <w:t>4,522</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128"/>
        </w:trPr>
        <w:tc>
          <w:tcPr>
            <w:tcW w:w="750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LIABILITIES</w:t>
            </w: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1260" w:type="dxa"/>
            <w:vAlign w:val="bottom"/>
            <w:gridSpan w:val="2"/>
            <w:shd w:val="clear" w:color="auto" w:fill="CFF0FC"/>
          </w:tcPr>
          <w:p>
            <w:pPr>
              <w:jc w:val="right"/>
              <w:ind w:right="977"/>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167</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3"/>
        </w:trPr>
        <w:tc>
          <w:tcPr>
            <w:tcW w:w="7500" w:type="dxa"/>
            <w:vAlign w:val="bottom"/>
          </w:tcPr>
          <w:p>
            <w:pPr>
              <w:ind w:left="200"/>
              <w:spacing w:after="0"/>
              <w:rPr>
                <w:sz w:val="20"/>
                <w:szCs w:val="20"/>
                <w:color w:val="auto"/>
              </w:rPr>
            </w:pPr>
            <w:r>
              <w:rPr>
                <w:rFonts w:ascii="Arial" w:cs="Arial" w:eastAsia="Arial" w:hAnsi="Arial"/>
                <w:sz w:val="13"/>
                <w:szCs w:val="13"/>
                <w:color w:val="auto"/>
              </w:rPr>
              <w:t>Product warranty liability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6</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750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39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current liabilities</w:t>
            </w:r>
          </w:p>
        </w:tc>
        <w:tc>
          <w:tcPr>
            <w:tcW w:w="140" w:type="dxa"/>
            <w:vAlign w:val="bottom"/>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188</w:t>
            </w: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44"/>
        </w:trPr>
        <w:tc>
          <w:tcPr>
            <w:tcW w:w="750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auto"/>
              </w:rPr>
              <w:t>429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spacing w:after="0"/>
              <w:rPr>
                <w:sz w:val="20"/>
                <w:szCs w:val="20"/>
                <w:color w:val="auto"/>
              </w:rPr>
            </w:pPr>
            <w:r>
              <w:rPr>
                <w:rFonts w:ascii="Arial" w:cs="Arial" w:eastAsia="Arial" w:hAnsi="Arial"/>
                <w:sz w:val="13"/>
                <w:szCs w:val="13"/>
                <w:color w:val="auto"/>
              </w:rPr>
              <w:t>Product warranty liability</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31</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103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2,505</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2,507</w:t>
            </w:r>
          </w:p>
        </w:tc>
        <w:tc>
          <w:tcPr>
            <w:tcW w:w="0" w:type="dxa"/>
            <w:vAlign w:val="bottom"/>
          </w:tcPr>
          <w:p>
            <w:pPr>
              <w:spacing w:after="0"/>
              <w:rPr>
                <w:sz w:val="1"/>
                <w:szCs w:val="1"/>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473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liabilities</w:t>
            </w:r>
          </w:p>
        </w:tc>
        <w:tc>
          <w:tcPr>
            <w:tcW w:w="140" w:type="dxa"/>
            <w:vAlign w:val="bottom"/>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249</w:t>
            </w: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4"/>
        </w:trPr>
        <w:tc>
          <w:tcPr>
            <w:tcW w:w="7500" w:type="dxa"/>
            <w:vAlign w:val="bottom"/>
          </w:tcPr>
          <w:p>
            <w:pPr>
              <w:spacing w:after="0" w:line="144" w:lineRule="exact"/>
              <w:rPr>
                <w:sz w:val="20"/>
                <w:szCs w:val="20"/>
                <w:color w:val="auto"/>
              </w:rPr>
            </w:pPr>
            <w:r>
              <w:rPr>
                <w:rFonts w:ascii="Arial" w:cs="Arial" w:eastAsia="Arial" w:hAnsi="Arial"/>
                <w:sz w:val="13"/>
                <w:szCs w:val="13"/>
                <w:color w:val="auto"/>
              </w:rPr>
              <w:t>TOTAL LIABILITIES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auto"/>
              </w:rPr>
              <w:t>3,790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3,721</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 (see NOTE P)</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8"/>
              </w:rPr>
              <w:t>Common stock, $0.01 par value, 1,880,000,000 shares authorized, 107,158,758 shares issued and outstanding and 112,033,477</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1</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500" w:type="dxa"/>
            <w:vAlign w:val="bottom"/>
            <w:shd w:val="clear" w:color="auto" w:fill="CFF0FC"/>
          </w:tcPr>
          <w:p>
            <w:pPr>
              <w:ind w:left="200"/>
              <w:spacing w:after="0" w:line="137" w:lineRule="exact"/>
              <w:rPr>
                <w:sz w:val="20"/>
                <w:szCs w:val="20"/>
                <w:color w:val="auto"/>
              </w:rPr>
            </w:pPr>
            <w:r>
              <w:rPr>
                <w:rFonts w:ascii="Arial" w:cs="Arial" w:eastAsia="Arial" w:hAnsi="Arial"/>
                <w:sz w:val="13"/>
                <w:szCs w:val="13"/>
                <w:color w:val="auto"/>
              </w:rPr>
              <w:t>shares issued and outstanding, respectively</w:t>
            </w: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57"/>
              <w:spacing w:after="0" w:line="137"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7500" w:type="dxa"/>
            <w:vAlign w:val="bottom"/>
          </w:tcPr>
          <w:p>
            <w:pPr>
              <w:ind w:left="200"/>
              <w:spacing w:after="0"/>
              <w:rPr>
                <w:sz w:val="20"/>
                <w:szCs w:val="20"/>
                <w:color w:val="auto"/>
              </w:rPr>
            </w:pPr>
            <w:r>
              <w:rPr>
                <w:rFonts w:ascii="Arial" w:cs="Arial" w:eastAsia="Arial" w:hAnsi="Arial"/>
                <w:sz w:val="13"/>
                <w:szCs w:val="13"/>
                <w:color w:val="auto"/>
              </w:rPr>
              <w:t>Non-voting common stock, $0.01 par value, 20,000,000 shares authorized, none issued and outstanding</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Preferred stock, $0.01 par value, 100,000,000 shares authorized, none issued and outstanding</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500" w:type="dxa"/>
            <w:vAlign w:val="bottom"/>
          </w:tcPr>
          <w:p>
            <w:pPr>
              <w:ind w:left="200"/>
              <w:spacing w:after="0"/>
              <w:rPr>
                <w:sz w:val="20"/>
                <w:szCs w:val="20"/>
                <w:color w:val="auto"/>
              </w:rPr>
            </w:pPr>
            <w:r>
              <w:rPr>
                <w:rFonts w:ascii="Arial" w:cs="Arial" w:eastAsia="Arial" w:hAnsi="Arial"/>
                <w:sz w:val="13"/>
                <w:szCs w:val="13"/>
                <w:color w:val="auto"/>
              </w:rPr>
              <w:t>Paid in capital</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1,826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7"/>
              <w:spacing w:after="0"/>
              <w:rPr>
                <w:sz w:val="20"/>
                <w:szCs w:val="20"/>
                <w:color w:val="auto"/>
              </w:rPr>
            </w:pPr>
            <w:r>
              <w:rPr>
                <w:rFonts w:ascii="Arial" w:cs="Arial" w:eastAsia="Arial" w:hAnsi="Arial"/>
                <w:sz w:val="13"/>
                <w:szCs w:val="13"/>
                <w:color w:val="auto"/>
              </w:rPr>
              <w:t>1,818</w:t>
            </w:r>
          </w:p>
        </w:tc>
        <w:tc>
          <w:tcPr>
            <w:tcW w:w="0" w:type="dxa"/>
            <w:vAlign w:val="bottom"/>
          </w:tcPr>
          <w:p>
            <w:pPr>
              <w:spacing w:after="0"/>
              <w:rPr>
                <w:sz w:val="1"/>
                <w:szCs w:val="1"/>
                <w:color w:val="auto"/>
              </w:rPr>
            </w:pPr>
          </w:p>
        </w:tc>
      </w:tr>
      <w:tr>
        <w:trPr>
          <w:trHeight w:val="153"/>
        </w:trPr>
        <w:tc>
          <w:tcPr>
            <w:tcW w:w="7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Accumulated deficit</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(1,012)</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53"/>
        </w:trPr>
        <w:tc>
          <w:tcPr>
            <w:tcW w:w="75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Accumulated other comprehensive loss, net of tax</w:t>
            </w: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44"/>
        </w:trPr>
        <w:tc>
          <w:tcPr>
            <w:tcW w:w="75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37"/>
              <w:spacing w:after="0" w:line="144" w:lineRule="exact"/>
              <w:rPr>
                <w:sz w:val="20"/>
                <w:szCs w:val="20"/>
                <w:color w:val="auto"/>
              </w:rPr>
            </w:pPr>
            <w:r>
              <w:rPr>
                <w:rFonts w:ascii="Arial" w:cs="Arial" w:eastAsia="Arial" w:hAnsi="Arial"/>
                <w:sz w:val="13"/>
                <w:szCs w:val="13"/>
                <w:b w:val="1"/>
                <w:bCs w:val="1"/>
                <w:color w:val="auto"/>
              </w:rPr>
              <w:t>732</w:t>
            </w:r>
          </w:p>
        </w:tc>
        <w:tc>
          <w:tcPr>
            <w:tcW w:w="1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756</w:t>
            </w:r>
          </w:p>
        </w:tc>
        <w:tc>
          <w:tcPr>
            <w:tcW w:w="0" w:type="dxa"/>
            <w:vAlign w:val="bottom"/>
          </w:tcPr>
          <w:p>
            <w:pPr>
              <w:spacing w:after="0"/>
              <w:rPr>
                <w:sz w:val="1"/>
                <w:szCs w:val="1"/>
                <w:color w:val="auto"/>
              </w:rPr>
            </w:pPr>
          </w:p>
        </w:tc>
      </w:tr>
      <w:tr>
        <w:trPr>
          <w:trHeight w:val="144"/>
        </w:trPr>
        <w:tc>
          <w:tcPr>
            <w:tcW w:w="7500" w:type="dxa"/>
            <w:vAlign w:val="bottom"/>
          </w:tcPr>
          <w:p>
            <w:pPr>
              <w:spacing w:after="0" w:line="144" w:lineRule="exact"/>
              <w:rPr>
                <w:sz w:val="20"/>
                <w:szCs w:val="20"/>
                <w:color w:val="auto"/>
              </w:rPr>
            </w:pPr>
            <w:r>
              <w:rPr>
                <w:rFonts w:ascii="Arial" w:cs="Arial" w:eastAsia="Arial" w:hAnsi="Arial"/>
                <w:sz w:val="13"/>
                <w:szCs w:val="13"/>
                <w:color w:val="auto"/>
              </w:rPr>
              <w:t>TOTAL LIABILITIES &amp; STOCKHOLDERS’ EQUITY</w:t>
            </w:r>
          </w:p>
        </w:tc>
        <w:tc>
          <w:tcPr>
            <w:tcW w:w="140" w:type="dxa"/>
            <w:vAlign w:val="bottom"/>
          </w:tcPr>
          <w:p>
            <w:pPr>
              <w:spacing w:after="0"/>
              <w:rPr>
                <w:sz w:val="12"/>
                <w:szCs w:val="12"/>
                <w:color w:val="auto"/>
              </w:rPr>
            </w:pPr>
          </w:p>
        </w:tc>
        <w:tc>
          <w:tcPr>
            <w:tcW w:w="1120" w:type="dxa"/>
            <w:vAlign w:val="bottom"/>
            <w:tcBorders>
              <w:bottom w:val="single" w:sz="8" w:color="auto"/>
            </w:tcBorders>
          </w:tcPr>
          <w:p>
            <w:pPr>
              <w:jc w:val="right"/>
              <w:ind w:right="977"/>
              <w:spacing w:after="0" w:line="144"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37"/>
              <w:spacing w:after="0" w:line="144" w:lineRule="exact"/>
              <w:rPr>
                <w:sz w:val="20"/>
                <w:szCs w:val="20"/>
                <w:color w:val="auto"/>
              </w:rPr>
            </w:pPr>
            <w:r>
              <w:rPr>
                <w:rFonts w:ascii="Arial" w:cs="Arial" w:eastAsia="Arial" w:hAnsi="Arial"/>
                <w:sz w:val="13"/>
                <w:szCs w:val="13"/>
                <w:b w:val="1"/>
                <w:bCs w:val="1"/>
                <w:color w:val="auto"/>
              </w:rPr>
              <w:t>4,522</w:t>
            </w:r>
          </w:p>
        </w:tc>
        <w:tc>
          <w:tcPr>
            <w:tcW w:w="180" w:type="dxa"/>
            <w:vAlign w:val="bottom"/>
          </w:tcPr>
          <w:p>
            <w:pPr>
              <w:spacing w:after="0"/>
              <w:rPr>
                <w:sz w:val="12"/>
                <w:szCs w:val="12"/>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(unaudited, dollars 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51"/>
              <w:spacing w:after="0" w:line="144"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1"/>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0"/>
              <w:spacing w:after="0" w:line="14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603</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1,191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315</w:t>
            </w:r>
          </w:p>
        </w:tc>
        <w:tc>
          <w:tcPr>
            <w:tcW w:w="1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612</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Gross profit</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288</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579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80</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ind w:right="50"/>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Engineering — research and development</w:t>
            </w:r>
          </w:p>
        </w:tc>
        <w:tc>
          <w:tcPr>
            <w:tcW w:w="7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41</w:t>
            </w:r>
          </w:p>
        </w:tc>
        <w:tc>
          <w:tcPr>
            <w:tcW w:w="140" w:type="dxa"/>
            <w:vAlign w:val="bottom"/>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79</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8"/>
        </w:trPr>
        <w:tc>
          <w:tcPr>
            <w:tcW w:w="50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167</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jc w:val="right"/>
              <w:ind w:right="5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347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7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w:t>
            </w:r>
          </w:p>
        </w:tc>
        <w:tc>
          <w:tcPr>
            <w:tcW w:w="1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6</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Income before income taxes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140</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294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expense</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8"/>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Net income</w:t>
            </w:r>
          </w:p>
        </w:tc>
        <w:tc>
          <w:tcPr>
            <w:tcW w:w="7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110</w:t>
            </w: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671"/>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230</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share attributable to common stockholders</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60" w:type="dxa"/>
            <w:vAlign w:val="bottom"/>
            <w:tcBorders>
              <w:bottom w:val="single" w:sz="8" w:color="CFF0FC"/>
            </w:tcBorders>
            <w:vMerge w:val="continue"/>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1.01</w:t>
            </w:r>
          </w:p>
        </w:tc>
        <w:tc>
          <w:tcPr>
            <w:tcW w:w="140" w:type="dxa"/>
            <w:vAlign w:val="bottom"/>
            <w:tcBorders>
              <w:bottom w:val="single" w:sz="8" w:color="CFF0FC"/>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671"/>
              <w:spacing w:after="0" w:line="151"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0.20</w:t>
            </w:r>
          </w:p>
        </w:tc>
        <w:tc>
          <w:tcPr>
            <w:tcW w:w="1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2.09</w:t>
            </w:r>
          </w:p>
        </w:tc>
        <w:tc>
          <w:tcPr>
            <w:tcW w:w="1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51"/>
        </w:trPr>
        <w:tc>
          <w:tcPr>
            <w:tcW w:w="506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Diluted earnings per share attributable to common stockholders</w:t>
            </w:r>
          </w:p>
        </w:tc>
        <w:tc>
          <w:tcPr>
            <w:tcW w:w="7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b w:val="1"/>
                <w:bCs w:val="1"/>
                <w:color w:val="auto"/>
              </w:rPr>
              <w:t>1.01</w:t>
            </w:r>
          </w:p>
        </w:tc>
        <w:tc>
          <w:tcPr>
            <w:tcW w:w="1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671"/>
              <w:spacing w:after="0" w:line="151"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0.20</w:t>
            </w: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ind w:right="51"/>
              <w:spacing w:after="0" w:line="151" w:lineRule="exact"/>
              <w:rPr>
                <w:sz w:val="20"/>
                <w:szCs w:val="20"/>
                <w:color w:val="auto"/>
              </w:rPr>
            </w:pPr>
            <w:r>
              <w:rPr>
                <w:rFonts w:ascii="Arial" w:cs="Arial" w:eastAsia="Arial" w:hAnsi="Arial"/>
                <w:sz w:val="14"/>
                <w:szCs w:val="14"/>
                <w:b w:val="1"/>
                <w:bCs w:val="1"/>
                <w:color w:val="auto"/>
              </w:rPr>
              <w:t>2.07</w:t>
            </w: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net of tax</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113</w:t>
            </w: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671"/>
              <w:spacing w:after="0" w:line="151"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236</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rPr>
              <w:t>Six Months Ended June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40" w:type="dxa"/>
            <w:vAlign w:val="bottom"/>
          </w:tcPr>
          <w:p>
            <w:pPr>
              <w:spacing w:after="0"/>
              <w:rPr>
                <w:sz w:val="12"/>
                <w:szCs w:val="12"/>
                <w:color w:val="auto"/>
              </w:rPr>
            </w:pPr>
          </w:p>
        </w:tc>
        <w:tc>
          <w:tcPr>
            <w:tcW w:w="1080" w:type="dxa"/>
            <w:vAlign w:val="bottom"/>
          </w:tcPr>
          <w:p>
            <w:pPr>
              <w:jc w:val="right"/>
              <w:ind w:right="92"/>
              <w:spacing w:after="0" w:line="144" w:lineRule="exact"/>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2"/>
                <w:szCs w:val="12"/>
                <w:color w:val="auto"/>
              </w:rPr>
            </w:pPr>
          </w:p>
        </w:tc>
        <w:tc>
          <w:tcPr>
            <w:tcW w:w="126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230</w:t>
            </w:r>
          </w:p>
        </w:tc>
        <w:tc>
          <w:tcPr>
            <w:tcW w:w="126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51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income taxes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29</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23</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8</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Changes in assets and liabilities: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(73)</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assets and liabilities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25</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271</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Additions of long-lived assets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(69)</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Business acquisitions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investing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(69)</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Repurchases of common stock</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(226)</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Dividend payments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long-term debt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Payment of acquisition-related contingent liability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Taxes paid related to net share settlement of equity awards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Borrowings on revolving credit facility</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Payments on revolving credit facility</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provided by financing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(274)</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Effect of exchange rate changes on cash</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(decrease) increase in cash and cash equivalents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(72)</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310</w:t>
            </w:r>
          </w:p>
        </w:tc>
        <w:tc>
          <w:tcPr>
            <w:tcW w:w="1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end of period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238</w:t>
            </w:r>
          </w:p>
        </w:tc>
        <w:tc>
          <w:tcPr>
            <w:tcW w:w="1260" w:type="dxa"/>
            <w:vAlign w:val="bottom"/>
            <w:gridSpan w:val="2"/>
            <w:shd w:val="clear" w:color="auto" w:fill="CFF0FC"/>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Supplemental disclosures: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Interest paid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38</w:t>
            </w:r>
          </w:p>
        </w:tc>
        <w:tc>
          <w:tcPr>
            <w:tcW w:w="1260" w:type="dxa"/>
            <w:vAlign w:val="bottom"/>
            <w:gridSpan w:val="2"/>
            <w:shd w:val="clear" w:color="auto" w:fill="CFF0FC"/>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8"/>
        </w:trPr>
        <w:tc>
          <w:tcPr>
            <w:tcW w:w="7740" w:type="dxa"/>
            <w:vAlign w:val="bottom"/>
          </w:tcPr>
          <w:p>
            <w:pPr>
              <w:ind w:left="420"/>
              <w:spacing w:after="0"/>
              <w:rPr>
                <w:sz w:val="20"/>
                <w:szCs w:val="20"/>
                <w:color w:val="auto"/>
              </w:rPr>
            </w:pPr>
            <w:r>
              <w:rPr>
                <w:rFonts w:ascii="Arial" w:cs="Arial" w:eastAsia="Arial" w:hAnsi="Arial"/>
                <w:sz w:val="14"/>
                <w:szCs w:val="14"/>
                <w:color w:val="auto"/>
              </w:rPr>
              <w:t>Income taxes paid</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45</w:t>
            </w:r>
          </w:p>
        </w:tc>
        <w:tc>
          <w:tcPr>
            <w:tcW w:w="126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51"/>
              <w:spacing w:after="0"/>
              <w:rPr>
                <w:sz w:val="20"/>
                <w:szCs w:val="20"/>
                <w:color w:val="auto"/>
              </w:rPr>
            </w:pPr>
            <w:r>
              <w:rPr>
                <w:rFonts w:ascii="Arial" w:cs="Arial" w:eastAsia="Arial" w:hAnsi="Arial"/>
                <w:sz w:val="13"/>
                <w:szCs w:val="13"/>
                <w:b w:val="1"/>
                <w:bCs w:val="1"/>
                <w:color w:val="auto"/>
                <w:w w:val="95"/>
              </w:rPr>
              <w:t>Three months ended</w:t>
            </w: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3"/>
        </w:trPr>
        <w:tc>
          <w:tcPr>
            <w:tcW w:w="3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6"/>
              </w:rPr>
              <w:t>Non-voting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118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4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84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2"/>
                <w:szCs w:val="12"/>
                <w:color w:val="auto"/>
              </w:rPr>
            </w:pPr>
          </w:p>
        </w:tc>
        <w:tc>
          <w:tcPr>
            <w:tcW w:w="118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00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Stockholders'</w:t>
            </w:r>
          </w:p>
        </w:tc>
      </w:tr>
      <w:tr>
        <w:trPr>
          <w:trHeight w:val="153"/>
        </w:trPr>
        <w:tc>
          <w:tcPr>
            <w:tcW w:w="316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3"/>
              </w:rPr>
              <w:t>net of tax</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Equity</w:t>
            </w:r>
          </w:p>
        </w:tc>
      </w:tr>
      <w:tr>
        <w:trPr>
          <w:trHeight w:val="168"/>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1160" w:type="dxa"/>
            <w:vAlign w:val="bottom"/>
            <w:gridSpan w:val="2"/>
            <w:shd w:val="clear" w:color="auto" w:fill="CFF0FC"/>
          </w:tcPr>
          <w:p>
            <w:pPr>
              <w:jc w:val="right"/>
              <w:ind w:right="53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1,804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(1,031)</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693</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r>
      <w:tr>
        <w:trPr>
          <w:trHeight w:val="176"/>
        </w:trPr>
        <w:tc>
          <w:tcPr>
            <w:tcW w:w="316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w:t>
            </w:r>
          </w:p>
        </w:tc>
      </w:tr>
      <w:tr>
        <w:trPr>
          <w:trHeight w:val="168"/>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1160" w:type="dxa"/>
            <w:vAlign w:val="bottom"/>
            <w:gridSpan w:val="2"/>
            <w:shd w:val="clear" w:color="auto" w:fill="CFF0FC"/>
          </w:tcPr>
          <w:p>
            <w:pPr>
              <w:jc w:val="right"/>
              <w:ind w:right="53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1,806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695</w:t>
            </w: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4"/>
                <w:szCs w:val="14"/>
                <w:color w:val="auto"/>
              </w:rPr>
              <w:t>Balance at March 31, 2021</w:t>
            </w:r>
          </w:p>
        </w:tc>
        <w:tc>
          <w:tcPr>
            <w:tcW w:w="1160" w:type="dxa"/>
            <w:vAlign w:val="bottom"/>
            <w:gridSpan w:val="2"/>
          </w:tcPr>
          <w:p>
            <w:pPr>
              <w:jc w:val="right"/>
              <w:ind w:right="535"/>
              <w:spacing w:after="0" w:line="151" w:lineRule="exact"/>
              <w:rPr>
                <w:sz w:val="20"/>
                <w:szCs w:val="20"/>
                <w:color w:val="auto"/>
              </w:rPr>
            </w:pPr>
            <w:r>
              <w:rPr>
                <w:rFonts w:ascii="Arial" w:cs="Arial" w:eastAsia="Arial" w:hAnsi="Arial"/>
                <w:sz w:val="14"/>
                <w:szCs w:val="14"/>
                <w:color w:val="auto"/>
              </w:rPr>
              <w:t>$</w:t>
            </w:r>
          </w:p>
        </w:tc>
        <w:tc>
          <w:tcPr>
            <w:tcW w:w="26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2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ind w:left="60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1,820</w:t>
            </w:r>
          </w:p>
        </w:tc>
        <w:tc>
          <w:tcPr>
            <w:tcW w:w="12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auto"/>
              </w:rPr>
              <w:t>(971)</w:t>
            </w:r>
          </w:p>
        </w:tc>
        <w:tc>
          <w:tcPr>
            <w:tcW w:w="200" w:type="dxa"/>
            <w:vAlign w:val="bottom"/>
            <w:gridSpan w:val="2"/>
          </w:tcPr>
          <w:p>
            <w:pPr>
              <w:ind w:left="120"/>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1" w:lineRule="exact"/>
              <w:rPr>
                <w:sz w:val="20"/>
                <w:szCs w:val="20"/>
                <w:color w:val="auto"/>
              </w:rPr>
            </w:pPr>
            <w:r>
              <w:rPr>
                <w:rFonts w:ascii="Arial" w:cs="Arial" w:eastAsia="Arial" w:hAnsi="Arial"/>
                <w:sz w:val="14"/>
                <w:szCs w:val="14"/>
                <w:color w:val="auto"/>
              </w:rPr>
              <w:t>(86)</w:t>
            </w:r>
          </w:p>
        </w:tc>
        <w:tc>
          <w:tcPr>
            <w:tcW w:w="120" w:type="dxa"/>
            <w:vAlign w:val="bottom"/>
          </w:tcPr>
          <w:p>
            <w:pPr>
              <w:spacing w:after="0"/>
              <w:rPr>
                <w:sz w:val="13"/>
                <w:szCs w:val="13"/>
                <w:color w:val="auto"/>
              </w:rPr>
            </w:pPr>
          </w:p>
        </w:tc>
        <w:tc>
          <w:tcPr>
            <w:tcW w:w="16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line="151" w:lineRule="exact"/>
              <w:rPr>
                <w:sz w:val="20"/>
                <w:szCs w:val="20"/>
                <w:color w:val="auto"/>
              </w:rPr>
            </w:pPr>
            <w:r>
              <w:rPr>
                <w:rFonts w:ascii="Arial" w:cs="Arial" w:eastAsia="Arial" w:hAnsi="Arial"/>
                <w:sz w:val="14"/>
                <w:szCs w:val="14"/>
                <w:color w:val="auto"/>
              </w:rPr>
              <w:t>764</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5</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(130)</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110</w:t>
            </w:r>
          </w:p>
        </w:tc>
      </w:tr>
      <w:tr>
        <w:trPr>
          <w:trHeight w:val="168"/>
        </w:trPr>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June 30, 2021</w:t>
            </w:r>
          </w:p>
        </w:tc>
        <w:tc>
          <w:tcPr>
            <w:tcW w:w="48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1,826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(1,012)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732</w:t>
            </w:r>
          </w:p>
        </w:tc>
      </w:tr>
      <w:tr>
        <w:trPr>
          <w:trHeight w:val="20"/>
        </w:trPr>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9"/>
              </w:rPr>
              <w:t>Six months ended</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33"/>
        </w:trPr>
        <w:tc>
          <w:tcPr>
            <w:tcW w:w="3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ind w:right="111"/>
              <w:spacing w:after="0" w:line="133"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3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right="111"/>
              <w:spacing w:after="0" w:line="14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1"/>
        </w:trPr>
        <w:tc>
          <w:tcPr>
            <w:tcW w:w="3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6"/>
              </w:rPr>
              <w:t>Non-voting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04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1"/>
        </w:trPr>
        <w:tc>
          <w:tcPr>
            <w:tcW w:w="36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4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4"/>
              </w:rPr>
              <w:t>(Deficit)</w:t>
            </w:r>
          </w:p>
        </w:tc>
        <w:tc>
          <w:tcPr>
            <w:tcW w:w="104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(Loss) Income,</w:t>
            </w:r>
          </w:p>
        </w:tc>
        <w:tc>
          <w:tcPr>
            <w:tcW w:w="120" w:type="dxa"/>
            <w:vAlign w:val="bottom"/>
          </w:tcPr>
          <w:p>
            <w:pPr>
              <w:spacing w:after="0"/>
              <w:rPr>
                <w:sz w:val="12"/>
                <w:szCs w:val="12"/>
                <w:color w:val="auto"/>
              </w:rPr>
            </w:pPr>
          </w:p>
        </w:tc>
        <w:tc>
          <w:tcPr>
            <w:tcW w:w="1020" w:type="dxa"/>
            <w:vAlign w:val="bottom"/>
            <w:gridSpan w:val="2"/>
          </w:tcPr>
          <w:p>
            <w:pPr>
              <w:jc w:val="right"/>
              <w:ind w:right="90"/>
              <w:spacing w:after="0" w:line="141" w:lineRule="exact"/>
              <w:rPr>
                <w:sz w:val="20"/>
                <w:szCs w:val="20"/>
                <w:color w:val="auto"/>
              </w:rPr>
            </w:pPr>
            <w:r>
              <w:rPr>
                <w:rFonts w:ascii="Arial" w:cs="Arial" w:eastAsia="Arial" w:hAnsi="Arial"/>
                <w:sz w:val="13"/>
                <w:szCs w:val="13"/>
                <w:b w:val="1"/>
                <w:bCs w:val="1"/>
                <w:color w:val="auto"/>
                <w:w w:val="98"/>
              </w:rPr>
              <w:t>Stockholders'</w:t>
            </w:r>
          </w:p>
        </w:tc>
      </w:tr>
      <w:tr>
        <w:trPr>
          <w:trHeight w:val="153"/>
        </w:trPr>
        <w:tc>
          <w:tcPr>
            <w:tcW w:w="36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96"/>
              </w:rPr>
              <w:t>net of tax</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Equity</w:t>
            </w:r>
          </w:p>
        </w:tc>
      </w:tr>
      <w:tr>
        <w:trPr>
          <w:trHeight w:val="168"/>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700" w:type="dxa"/>
            <w:vAlign w:val="bottom"/>
            <w:shd w:val="clear" w:color="auto" w:fill="CFF0FC"/>
          </w:tcPr>
          <w:p>
            <w:pPr>
              <w:jc w:val="right"/>
              <w:ind w:right="552"/>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80" w:type="dxa"/>
            <w:vAlign w:val="bottom"/>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781</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5</w:t>
            </w: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(6)</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w:t>
            </w: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(25)</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w:t>
            </w: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(180)</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(39)</w:t>
            </w: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162</w:t>
            </w:r>
          </w:p>
        </w:tc>
      </w:tr>
      <w:tr>
        <w:trPr>
          <w:trHeight w:val="208"/>
        </w:trPr>
        <w:tc>
          <w:tcPr>
            <w:tcW w:w="3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Balance at June 30, 2020</w:t>
            </w: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1,806</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695</w:t>
            </w:r>
          </w:p>
        </w:tc>
      </w:tr>
      <w:tr>
        <w:trPr>
          <w:trHeight w:val="151"/>
        </w:trPr>
        <w:tc>
          <w:tcPr>
            <w:tcW w:w="364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Balance at December 31, 2020</w:t>
            </w:r>
          </w:p>
        </w:tc>
        <w:tc>
          <w:tcPr>
            <w:tcW w:w="700" w:type="dxa"/>
            <w:vAlign w:val="bottom"/>
            <w:shd w:val="clear" w:color="auto" w:fill="CFF0FC"/>
          </w:tcPr>
          <w:p>
            <w:pPr>
              <w:jc w:val="right"/>
              <w:ind w:right="552"/>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ind w:right="30"/>
              <w:spacing w:after="0" w:line="151" w:lineRule="exact"/>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1,818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(974)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(89)</w:t>
            </w:r>
          </w:p>
        </w:tc>
        <w:tc>
          <w:tcPr>
            <w:tcW w:w="280" w:type="dxa"/>
            <w:vAlign w:val="bottom"/>
            <w:gridSpan w:val="2"/>
            <w:shd w:val="clear" w:color="auto" w:fill="CFF0FC"/>
          </w:tcPr>
          <w:p>
            <w:pPr>
              <w:jc w:val="right"/>
              <w:ind w:right="12"/>
              <w:spacing w:after="0" w:line="151"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70"/>
              <w:spacing w:after="0" w:line="151" w:lineRule="exact"/>
              <w:rPr>
                <w:sz w:val="20"/>
                <w:szCs w:val="20"/>
                <w:color w:val="auto"/>
              </w:rPr>
            </w:pPr>
            <w:r>
              <w:rPr>
                <w:rFonts w:ascii="Arial" w:cs="Arial" w:eastAsia="Arial" w:hAnsi="Arial"/>
                <w:sz w:val="14"/>
                <w:szCs w:val="14"/>
                <w:color w:val="auto"/>
              </w:rPr>
              <w:t>756</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b w:val="1"/>
                <w:bCs w:val="1"/>
                <w:color w:val="auto"/>
              </w:rPr>
              <w:t>8</w:t>
            </w: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(4)</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(2)</w:t>
            </w: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b w:val="1"/>
                <w:bCs w:val="1"/>
                <w:color w:val="auto"/>
              </w:rPr>
              <w:t>12</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(226)</w:t>
            </w: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(42)</w:t>
            </w: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230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b w:val="1"/>
                <w:bCs w:val="1"/>
                <w:color w:val="auto"/>
              </w:rPr>
              <w:t>230</w:t>
            </w:r>
          </w:p>
        </w:tc>
      </w:tr>
      <w:tr>
        <w:trPr>
          <w:trHeight w:val="168"/>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June 30, 2021</w:t>
            </w:r>
          </w:p>
        </w:tc>
        <w:tc>
          <w:tcPr>
            <w:tcW w:w="700" w:type="dxa"/>
            <w:vAlign w:val="bottom"/>
            <w:tcBorders>
              <w:top w:val="single" w:sz="8" w:color="auto"/>
              <w:bottom w:val="single" w:sz="8" w:color="auto"/>
            </w:tcBorders>
            <w:shd w:val="clear" w:color="auto" w:fill="CFF0FC"/>
          </w:tcPr>
          <w:p>
            <w:pPr>
              <w:jc w:val="right"/>
              <w:ind w:right="552"/>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b w:val="1"/>
                <w:bCs w:val="1"/>
                <w:color w:val="auto"/>
              </w:rPr>
              <w:t>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1,826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(1,012)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b w:val="1"/>
                <w:bCs w:val="1"/>
                <w:color w:val="auto"/>
              </w:rPr>
              <w:t>732</w:t>
            </w:r>
          </w:p>
        </w:tc>
      </w:tr>
      <w:tr>
        <w:trPr>
          <w:trHeight w:val="20"/>
        </w:trPr>
        <w:tc>
          <w:tcPr>
            <w:tcW w:w="3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OVERVIEW</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Overview</w:t>
      </w:r>
    </w:p>
    <w:p>
      <w:pPr>
        <w:spacing w:after="0" w:line="104" w:lineRule="exact"/>
        <w:rPr>
          <w:sz w:val="20"/>
          <w:szCs w:val="20"/>
          <w:color w:val="auto"/>
        </w:rPr>
      </w:pPr>
    </w:p>
    <w:p>
      <w:pPr>
        <w:ind w:right="220" w:firstLine="528"/>
        <w:spacing w:after="0" w:line="252" w:lineRule="auto"/>
        <w:rPr>
          <w:sz w:val="20"/>
          <w:szCs w:val="20"/>
          <w:color w:val="auto"/>
        </w:rPr>
      </w:pPr>
      <w:r>
        <w:rPr>
          <w:rFonts w:ascii="Arial" w:cs="Arial" w:eastAsia="Arial" w:hAnsi="Arial"/>
          <w:sz w:val="15"/>
          <w:szCs w:val="15"/>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Although approximately 79% of revenues were generated in North America in 2020, the Company has a global presence by serving customers in Europe, Asia, South America and Africa. The Company serves customers through an independent network of approximately 1,400 independent distributor and dealer locations worldwide.</w:t>
      </w:r>
    </w:p>
    <w:p>
      <w:pPr>
        <w:spacing w:after="0" w:line="84" w:lineRule="exact"/>
        <w:rPr>
          <w:sz w:val="20"/>
          <w:szCs w:val="20"/>
          <w:color w:val="auto"/>
        </w:rPr>
      </w:pPr>
    </w:p>
    <w:p>
      <w:pPr>
        <w:ind w:right="120" w:firstLine="528"/>
        <w:spacing w:after="0" w:line="233"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In the first half of 2021, the COVID-19 pandemic continued to cause supply chain, labor and raw material constraints that created volatility in the Company’s business performance and impacted global markets and supply chains. As a result, the Company has experienced raw material and component part price inflation, increased freight costs and increased overtime expense as a result of labor shortages.</w:t>
      </w:r>
    </w:p>
    <w:p>
      <w:pPr>
        <w:spacing w:after="0" w:line="84" w:lineRule="exact"/>
        <w:rPr>
          <w:sz w:val="20"/>
          <w:szCs w:val="20"/>
          <w:color w:val="auto"/>
        </w:rPr>
      </w:pPr>
    </w:p>
    <w:p>
      <w:pPr>
        <w:ind w:firstLine="528"/>
        <w:spacing w:after="0" w:line="233" w:lineRule="auto"/>
        <w:rPr>
          <w:sz w:val="20"/>
          <w:szCs w:val="20"/>
          <w:color w:val="auto"/>
        </w:rPr>
      </w:pPr>
      <w:r>
        <w:rPr>
          <w:rFonts w:ascii="Arial" w:cs="Arial" w:eastAsia="Arial" w:hAnsi="Arial"/>
          <w:sz w:val="16"/>
          <w:szCs w:val="16"/>
          <w:color w:val="auto"/>
        </w:rPr>
        <w:t>To limit the spread of COVID-19, governments continue to take various actions including the administration of vaccinations, travel bans and restrictions, quarantines, curfews, stay-at-home orders, social distancing guidelines and business shutdowns and closures. The Company is also continuing to take a variety of measures to promote the safety and security of its employees and to maintain operations with as minimal impact as possible to its stakeholders, and as a result, the Company has been able to continue its manufacturing operations and deliver its products to customers.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SUMMARY OF SIGNIFICANT ACCOUNTING POLICIES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0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condensed consolidated financial statements should be read in conjunction with the audited consolidated financial statements included in the Company’s Form 10-K for the year ended December 31, 2020 as filed with the Securities and Exchange Commission on February 18, 2021. The interim period financial results for the three- and six-month periods presented are not necessarily indicative of results to be expected for any other interim period or for the entire year.</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rate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continued uncertainty related to the ongoing COVID-19 pandemic, actual results could differ materially from the estimates and assumptions used in preparation of the financial statements including, but not limited to, future cash flows associated with goodwill, indefinite life intangibles, definite life intangibles, long-lived impairment tests, determination of discount rate and other assumptions for pension and other post-retirement benefit expense and income taxes. Changes in estimates are recorded in results of operations in the period that the events or circumstances giving rise to such changes occur.</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4" w:lineRule="exact"/>
        <w:rPr>
          <w:sz w:val="20"/>
          <w:szCs w:val="20"/>
          <w:color w:val="auto"/>
        </w:rPr>
      </w:pPr>
    </w:p>
    <w:p>
      <w:pPr>
        <w:ind w:right="60" w:firstLine="528"/>
        <w:spacing w:after="0" w:line="249" w:lineRule="auto"/>
        <w:rPr>
          <w:sz w:val="20"/>
          <w:szCs w:val="20"/>
          <w:color w:val="auto"/>
        </w:rPr>
      </w:pPr>
      <w:r>
        <w:rPr>
          <w:rFonts w:ascii="Arial" w:cs="Arial" w:eastAsia="Arial" w:hAnsi="Arial"/>
          <w:sz w:val="15"/>
          <w:szCs w:val="15"/>
          <w:color w:val="auto"/>
        </w:rPr>
        <w:t>In March 2020, the Financial Accounting Standards Board (“FASB”) issued authoritative accounting guidance regarding highly effective cash flow hedges affected by reference rate reform, which guidance was subsequently amended. The guidance allows the Company to continue to classify its interest rate hedges as highly effective subsequent to reference rate reform under certain circumstances. The Company adopted this guidance effective January 1, 2021 and will apply the guidance prospectively on all applicable transactions through December 31, 2022. Management expects to be able to elect the optional expedient within this guidance upon the Company’s transition from the London Interbank Offered Rate (“LIBOR”) to an alternative reference rate. The election of the optional expedient is expected to allow for the continuation of the existing contract with no impact on the Company’s condensed consolidated financial statements.</w:t>
      </w:r>
    </w:p>
    <w:p>
      <w:pPr>
        <w:spacing w:after="0" w:line="124"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Company adopted this guidance effective January 1, 2021. The adoption of this guidance did not have a material impact on the Company's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REVENUE</w:t>
      </w:r>
    </w:p>
    <w:p>
      <w:pPr>
        <w:spacing w:after="0" w:line="106" w:lineRule="exact"/>
        <w:rPr>
          <w:sz w:val="20"/>
          <w:szCs w:val="20"/>
          <w:color w:val="auto"/>
        </w:rPr>
      </w:pPr>
    </w:p>
    <w:p>
      <w:pPr>
        <w:ind w:right="80" w:firstLine="522"/>
        <w:spacing w:after="0" w:line="232"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5" w:lineRule="exact"/>
        <w:rPr>
          <w:sz w:val="20"/>
          <w:szCs w:val="20"/>
          <w:color w:val="auto"/>
        </w:rPr>
      </w:pPr>
    </w:p>
    <w:p>
      <w:pPr>
        <w:jc w:val="both"/>
        <w:ind w:right="240" w:firstLine="522"/>
        <w:spacing w:after="0" w:line="234" w:lineRule="auto"/>
        <w:rPr>
          <w:sz w:val="20"/>
          <w:szCs w:val="20"/>
          <w:color w:val="auto"/>
        </w:rPr>
      </w:pPr>
      <w:r>
        <w:rPr>
          <w:rFonts w:ascii="Arial" w:cs="Arial" w:eastAsia="Arial" w:hAnsi="Arial"/>
          <w:sz w:val="16"/>
          <w:szCs w:val="16"/>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8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The Company may also use volume-based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during each of the three and six months ended June 30, 2021 and 2020.</w:t>
      </w:r>
    </w:p>
    <w:p>
      <w:pPr>
        <w:spacing w:after="0" w:line="85" w:lineRule="exact"/>
        <w:rPr>
          <w:sz w:val="20"/>
          <w:szCs w:val="20"/>
          <w:color w:val="auto"/>
        </w:rPr>
      </w:pPr>
    </w:p>
    <w:p>
      <w:pPr>
        <w:ind w:right="120" w:firstLine="522"/>
        <w:spacing w:after="0" w:line="23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2021 and December 31, 2020. See Note J, “Deferred Revenue” for more information, including the amount of revenue earned during each of the three and six months ended June 30, 2021 and 2020 that had been previously deferred. The Company had no material contract assets as of June 30, 2021 and December 31, 2020.</w:t>
      </w:r>
    </w:p>
    <w:p>
      <w:pPr>
        <w:spacing w:after="0" w:line="85" w:lineRule="exact"/>
        <w:rPr>
          <w:sz w:val="20"/>
          <w:szCs w:val="20"/>
          <w:color w:val="auto"/>
        </w:rPr>
      </w:pPr>
    </w:p>
    <w:p>
      <w:pPr>
        <w:ind w:right="200" w:firstLine="522"/>
        <w:spacing w:after="0" w:line="234" w:lineRule="auto"/>
        <w:rPr>
          <w:sz w:val="20"/>
          <w:szCs w:val="20"/>
          <w:color w:val="auto"/>
        </w:rPr>
      </w:pPr>
      <w:r>
        <w:rPr>
          <w:rFonts w:ascii="Arial" w:cs="Arial" w:eastAsia="Arial" w:hAnsi="Arial"/>
          <w:sz w:val="16"/>
          <w:szCs w:val="16"/>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CFF0FC"/>
            </w:tcBorders>
          </w:tcPr>
          <w:p>
            <w:pPr>
              <w:spacing w:after="0"/>
              <w:rPr>
                <w:sz w:val="12"/>
                <w:szCs w:val="12"/>
                <w:color w:val="auto"/>
              </w:rPr>
            </w:pPr>
          </w:p>
        </w:tc>
        <w:tc>
          <w:tcPr>
            <w:tcW w:w="15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51"/>
              <w:spacing w:after="0" w:line="144"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5"/>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4"/>
              <w:spacing w:after="0" w:line="14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15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302</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164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621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9</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15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48</w:t>
            </w: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93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98</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b w:val="1"/>
                <w:bCs w:val="1"/>
                <w:color w:val="auto"/>
              </w:rPr>
              <w:t>182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15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18</w:t>
            </w: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152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128</w:t>
            </w:r>
          </w:p>
        </w:tc>
        <w:tc>
          <w:tcPr>
            <w:tcW w:w="1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250</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15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603</w:t>
            </w: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67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377</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1,191</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20" w:type="dxa"/>
            <w:vAlign w:val="bottom"/>
            <w:vMerge w:val="restart"/>
          </w:tcPr>
          <w:p>
            <w:pPr>
              <w:jc w:val="right"/>
              <w:ind w:right="42"/>
              <w:spacing w:after="0"/>
              <w:rPr>
                <w:sz w:val="20"/>
                <w:szCs w:val="20"/>
                <w:color w:val="auto"/>
              </w:rPr>
            </w:pPr>
            <w:r>
              <w:rPr>
                <w:rFonts w:ascii="Arial" w:cs="Arial" w:eastAsia="Arial" w:hAnsi="Arial"/>
                <w:sz w:val="16"/>
                <w:szCs w:val="16"/>
                <w:color w:val="auto"/>
              </w:rPr>
              <w:t>10</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-26670</wp:posOffset>
            </wp:positionV>
            <wp:extent cx="3302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INVENTORIES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160" w:type="dxa"/>
            <w:vAlign w:val="bottom"/>
          </w:tcPr>
          <w:p>
            <w:pPr>
              <w:jc w:val="right"/>
              <w:ind w:right="70"/>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2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6"/>
              <w:spacing w:after="0"/>
              <w:rPr>
                <w:sz w:val="20"/>
                <w:szCs w:val="20"/>
                <w:color w:val="auto"/>
              </w:rPr>
            </w:pPr>
            <w:r>
              <w:rPr>
                <w:rFonts w:ascii="Arial" w:cs="Arial" w:eastAsia="Arial" w:hAnsi="Arial"/>
                <w:sz w:val="13"/>
                <w:szCs w:val="13"/>
                <w:b w:val="1"/>
                <w:bCs w:val="1"/>
                <w:color w:val="auto"/>
              </w:rPr>
              <w:t>2020</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1160" w:type="dxa"/>
            <w:vAlign w:val="bottom"/>
            <w:shd w:val="clear" w:color="auto" w:fill="CFF0FC"/>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95</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88</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6"/>
              <w:spacing w:after="0"/>
              <w:rPr>
                <w:sz w:val="20"/>
                <w:szCs w:val="20"/>
                <w:color w:val="auto"/>
              </w:rPr>
            </w:pPr>
            <w:r>
              <w:rPr>
                <w:rFonts w:ascii="Arial" w:cs="Arial" w:eastAsia="Arial" w:hAnsi="Arial"/>
                <w:sz w:val="16"/>
                <w:szCs w:val="16"/>
                <w:color w:val="auto"/>
              </w:rPr>
              <w:t>15</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38</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43</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1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61</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35</w:t>
            </w:r>
          </w:p>
        </w:tc>
      </w:tr>
      <w:tr>
        <w:trPr>
          <w:trHeight w:val="180"/>
        </w:trPr>
        <w:tc>
          <w:tcPr>
            <w:tcW w:w="77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1160" w:type="dxa"/>
            <w:vAlign w:val="bottom"/>
            <w:shd w:val="clear" w:color="auto" w:fill="CFF0FC"/>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206</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181</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522"/>
        <w:spacing w:after="0" w:line="234"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GOODWILL AND OTHER INTANGIBLE ASSETS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2021 and December 31, 2020, the carrying value of the Company’s Goodwill was $2,064.</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3"/>
                <w:szCs w:val="13"/>
                <w:b w:val="1"/>
                <w:bCs w:val="1"/>
                <w:color w:val="auto"/>
                <w:w w:val="94"/>
              </w:rPr>
              <w:t>June 30, 2021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5"/>
              </w:rPr>
              <w:t>December 31, 2020</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02"/>
        </w:trPr>
        <w:tc>
          <w:tcPr>
            <w:tcW w:w="3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9"/>
              </w:rPr>
              <w:t>Intangible</w:t>
            </w:r>
          </w:p>
        </w:tc>
        <w:tc>
          <w:tcPr>
            <w:tcW w:w="80" w:type="dxa"/>
            <w:vAlign w:val="bottom"/>
          </w:tcPr>
          <w:p>
            <w:pPr>
              <w:spacing w:after="0"/>
              <w:rPr>
                <w:sz w:val="8"/>
                <w:szCs w:val="8"/>
                <w:color w:val="auto"/>
              </w:rPr>
            </w:pPr>
          </w:p>
        </w:tc>
        <w:tc>
          <w:tcPr>
            <w:tcW w:w="920" w:type="dxa"/>
            <w:vAlign w:val="bottom"/>
          </w:tcPr>
          <w:p>
            <w:pPr>
              <w:jc w:val="center"/>
              <w:ind w:right="128"/>
              <w:spacing w:after="0" w:line="102" w:lineRule="exact"/>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right="168"/>
              <w:spacing w:after="0" w:line="102" w:lineRule="exact"/>
              <w:rPr>
                <w:sz w:val="20"/>
                <w:szCs w:val="20"/>
                <w:color w:val="auto"/>
              </w:rPr>
            </w:pPr>
            <w:r>
              <w:rPr>
                <w:rFonts w:ascii="Arial" w:cs="Arial" w:eastAsia="Arial" w:hAnsi="Arial"/>
                <w:sz w:val="11"/>
                <w:szCs w:val="11"/>
                <w:b w:val="1"/>
                <w:bCs w:val="1"/>
                <w:color w:val="auto"/>
                <w:w w:val="99"/>
              </w:rPr>
              <w:t>Intangible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68"/>
              <w:spacing w:after="0" w:line="102" w:lineRule="exact"/>
              <w:rPr>
                <w:sz w:val="20"/>
                <w:szCs w:val="20"/>
                <w:color w:val="auto"/>
              </w:rPr>
            </w:pPr>
            <w:r>
              <w:rPr>
                <w:rFonts w:ascii="Arial" w:cs="Arial" w:eastAsia="Arial" w:hAnsi="Arial"/>
                <w:sz w:val="11"/>
                <w:szCs w:val="11"/>
                <w:b w:val="1"/>
                <w:bCs w:val="1"/>
                <w:color w:val="auto"/>
              </w:rPr>
              <w:t>Intangible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900" w:type="dxa"/>
            <w:vAlign w:val="bottom"/>
          </w:tcPr>
          <w:p>
            <w:pPr>
              <w:jc w:val="right"/>
              <w:ind w:right="248"/>
              <w:spacing w:after="0" w:line="102" w:lineRule="exact"/>
              <w:rPr>
                <w:sz w:val="20"/>
                <w:szCs w:val="20"/>
                <w:color w:val="auto"/>
              </w:rPr>
            </w:pPr>
            <w:r>
              <w:rPr>
                <w:rFonts w:ascii="Arial" w:cs="Arial" w:eastAsia="Arial" w:hAnsi="Arial"/>
                <w:sz w:val="11"/>
                <w:szCs w:val="11"/>
                <w:b w:val="1"/>
                <w:bCs w:val="1"/>
                <w:color w:val="auto"/>
              </w:rPr>
              <w:t>Intangible</w:t>
            </w:r>
          </w:p>
        </w:tc>
      </w:tr>
      <w:tr>
        <w:trPr>
          <w:trHeight w:val="137"/>
        </w:trPr>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assets, gross</w:t>
            </w:r>
          </w:p>
        </w:tc>
        <w:tc>
          <w:tcPr>
            <w:tcW w:w="80" w:type="dxa"/>
            <w:vAlign w:val="bottom"/>
          </w:tcPr>
          <w:p>
            <w:pPr>
              <w:spacing w:after="0"/>
              <w:rPr>
                <w:sz w:val="11"/>
                <w:szCs w:val="11"/>
                <w:color w:val="auto"/>
              </w:rPr>
            </w:pPr>
          </w:p>
        </w:tc>
        <w:tc>
          <w:tcPr>
            <w:tcW w:w="920" w:type="dxa"/>
            <w:vAlign w:val="bottom"/>
          </w:tcPr>
          <w:p>
            <w:pPr>
              <w:jc w:val="center"/>
              <w:ind w:right="128"/>
              <w:spacing w:after="0"/>
              <w:rPr>
                <w:sz w:val="20"/>
                <w:szCs w:val="20"/>
                <w:color w:val="auto"/>
              </w:rPr>
            </w:pPr>
            <w:r>
              <w:rPr>
                <w:rFonts w:ascii="Arial" w:cs="Arial" w:eastAsia="Arial" w:hAnsi="Arial"/>
                <w:sz w:val="11"/>
                <w:szCs w:val="11"/>
                <w:b w:val="1"/>
                <w:bCs w:val="1"/>
                <w:color w:val="auto"/>
                <w:w w:val="97"/>
              </w:rPr>
              <w:t>amortization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assets, net</w:t>
            </w:r>
          </w:p>
        </w:tc>
        <w:tc>
          <w:tcPr>
            <w:tcW w:w="10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b w:val="1"/>
                <w:bCs w:val="1"/>
                <w:color w:val="auto"/>
              </w:rPr>
              <w:t>assets, net</w:t>
            </w:r>
          </w:p>
        </w:tc>
      </w:tr>
      <w:tr>
        <w:trPr>
          <w:trHeight w:val="180"/>
        </w:trPr>
        <w:tc>
          <w:tcPr>
            <w:tcW w:w="3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Trade name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791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In-process research and development</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25</w:t>
            </w: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839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110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131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478</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1</w:t>
            </w: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15</w:t>
            </w:r>
          </w:p>
        </w:tc>
      </w:tr>
      <w:tr>
        <w:trPr>
          <w:trHeight w:val="180"/>
        </w:trPr>
        <w:tc>
          <w:tcPr>
            <w:tcW w:w="36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2,195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(1,255)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940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2,195</w:t>
            </w:r>
          </w:p>
        </w:tc>
        <w:tc>
          <w:tcPr>
            <w:tcW w:w="26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(1,232)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963</w:t>
            </w: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20" w:firstLine="522"/>
        <w:spacing w:after="0" w:line="237" w:lineRule="auto"/>
        <w:rPr>
          <w:sz w:val="20"/>
          <w:szCs w:val="20"/>
          <w:color w:val="auto"/>
        </w:rPr>
      </w:pPr>
      <w:r>
        <w:rPr>
          <w:rFonts w:ascii="Arial" w:cs="Arial" w:eastAsia="Arial" w:hAnsi="Arial"/>
          <w:sz w:val="16"/>
          <w:szCs w:val="16"/>
          <w:color w:val="auto"/>
        </w:rPr>
        <w:t>As of June 30, 2021 and December 31, 2020, the carrying value of the Company’s Goodwill and Intangible assets, net was $3,004 million and $3,027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fiscal years is expected to be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2026</w:t>
            </w:r>
          </w:p>
        </w:tc>
      </w:tr>
      <w:tr>
        <w:trPr>
          <w:trHeight w:val="180"/>
        </w:trPr>
        <w:tc>
          <w:tcPr>
            <w:tcW w:w="52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expense</w:t>
            </w: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45</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8</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4</w:t>
            </w:r>
          </w:p>
        </w:tc>
        <w:tc>
          <w:tcPr>
            <w:tcW w:w="36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1</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FAIR VALUE OF FINANCIAL INSTRUMENTS</w:t>
      </w:r>
    </w:p>
    <w:p>
      <w:pPr>
        <w:spacing w:after="0" w:line="106"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85" w:lineRule="exact"/>
        <w:rPr>
          <w:sz w:val="20"/>
          <w:szCs w:val="20"/>
          <w:color w:val="auto"/>
        </w:rPr>
      </w:pPr>
    </w:p>
    <w:p>
      <w:pPr>
        <w:ind w:right="420" w:firstLine="522"/>
        <w:spacing w:after="0" w:line="234"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84"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84" w:lineRule="exact"/>
        <w:rPr>
          <w:sz w:val="20"/>
          <w:szCs w:val="20"/>
          <w:color w:val="auto"/>
        </w:rPr>
      </w:pPr>
    </w:p>
    <w:p>
      <w:pPr>
        <w:ind w:right="140" w:firstLine="522"/>
        <w:spacing w:after="0" w:line="233"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2021 and December 31, 2020, the Company did not have any Level 3 financial assets or liabilities.</w:t>
      </w:r>
    </w:p>
    <w:p>
      <w:pPr>
        <w:spacing w:after="0" w:line="84" w:lineRule="exact"/>
        <w:rPr>
          <w:sz w:val="20"/>
          <w:szCs w:val="20"/>
          <w:color w:val="auto"/>
        </w:rPr>
      </w:pPr>
    </w:p>
    <w:p>
      <w:pPr>
        <w:ind w:right="280" w:firstLine="522"/>
        <w:spacing w:after="0" w:line="233"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4" w:lineRule="exact"/>
        <w:rPr>
          <w:sz w:val="20"/>
          <w:szCs w:val="20"/>
          <w:color w:val="auto"/>
        </w:rPr>
      </w:pPr>
    </w:p>
    <w:p>
      <w:pPr>
        <w:ind w:firstLine="522"/>
        <w:spacing w:after="0" w:line="233"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84" w:lineRule="exact"/>
        <w:rPr>
          <w:sz w:val="20"/>
          <w:szCs w:val="20"/>
          <w:color w:val="auto"/>
        </w:rPr>
      </w:pPr>
    </w:p>
    <w:p>
      <w:pPr>
        <w:jc w:val="both"/>
        <w:ind w:firstLine="522"/>
        <w:spacing w:after="0" w:line="234"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LIBOR, which is observable at commonly quoted intervals. The fair values are included in other current and non-current assets and liabilities in the Condensed Consolidated Balance Sheets.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340" w:firstLine="522"/>
        <w:spacing w:after="0" w:line="237" w:lineRule="auto"/>
        <w:rPr>
          <w:sz w:val="20"/>
          <w:szCs w:val="20"/>
          <w:color w:val="auto"/>
        </w:rPr>
      </w:pPr>
      <w:r>
        <w:rPr>
          <w:rFonts w:ascii="Arial" w:cs="Arial" w:eastAsia="Arial" w:hAnsi="Arial"/>
          <w:sz w:val="16"/>
          <w:szCs w:val="16"/>
          <w:color w:val="auto"/>
        </w:rPr>
        <w:t>The following table summarizes the fair value of the Company’s financial assets and (liabilities) as of June 30, 2021 and December 31, 2020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3"/>
                <w:szCs w:val="13"/>
                <w:b w:val="1"/>
                <w:bCs w:val="1"/>
                <w:color w:val="auto"/>
                <w:w w:val="95"/>
              </w:rPr>
              <w:t>Fair Value Measurements Using</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4"/>
          </w:tcPr>
          <w:p>
            <w:pPr>
              <w:jc w:val="center"/>
              <w:ind w:right="266"/>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center"/>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4"/>
          </w:tcPr>
          <w:p>
            <w:pPr>
              <w:jc w:val="center"/>
              <w:ind w:right="246"/>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center"/>
              <w:ind w:right="266"/>
              <w:spacing w:after="0"/>
              <w:rPr>
                <w:sz w:val="20"/>
                <w:szCs w:val="20"/>
                <w:color w:val="auto"/>
              </w:rPr>
            </w:pPr>
            <w:r>
              <w:rPr>
                <w:rFonts w:ascii="Arial" w:cs="Arial" w:eastAsia="Arial" w:hAnsi="Arial"/>
                <w:sz w:val="13"/>
                <w:szCs w:val="13"/>
                <w:b w:val="1"/>
                <w:bCs w:val="1"/>
                <w:color w:val="auto"/>
                <w:w w:val="96"/>
              </w:rPr>
              <w:t>Assets (Level 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1"/>
                <w:szCs w:val="11"/>
                <w:color w:val="auto"/>
              </w:rPr>
            </w:pPr>
          </w:p>
        </w:tc>
        <w:tc>
          <w:tcPr>
            <w:tcW w:w="112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3"/>
                <w:szCs w:val="13"/>
                <w:b w:val="1"/>
                <w:bCs w:val="1"/>
                <w:color w:val="auto"/>
              </w:rPr>
              <w:t>June 30,</w:t>
            </w:r>
          </w:p>
        </w:tc>
        <w:tc>
          <w:tcPr>
            <w:tcW w:w="1260" w:type="dxa"/>
            <w:vAlign w:val="bottom"/>
            <w:gridSpan w:val="3"/>
          </w:tcPr>
          <w:p>
            <w:pPr>
              <w:jc w:val="center"/>
              <w:ind w:right="4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900" w:type="dxa"/>
            <w:vAlign w:val="bottom"/>
            <w:gridSpan w:val="2"/>
          </w:tcPr>
          <w:p>
            <w:pPr>
              <w:ind w:left="360"/>
              <w:spacing w:after="0" w:line="133"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3"/>
                <w:szCs w:val="13"/>
                <w:b w:val="1"/>
                <w:bCs w:val="1"/>
                <w:color w:val="auto"/>
                <w:w w:val="89"/>
              </w:rPr>
              <w:t>2020</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110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110</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
              <w:spacing w:after="0" w:line="180" w:lineRule="exact"/>
              <w:rPr>
                <w:sz w:val="20"/>
                <w:szCs w:val="20"/>
                <w:color w:val="auto"/>
              </w:rPr>
            </w:pPr>
            <w:r>
              <w:rPr>
                <w:rFonts w:ascii="Arial" w:cs="Arial" w:eastAsia="Arial" w:hAnsi="Arial"/>
                <w:sz w:val="16"/>
                <w:szCs w:val="16"/>
                <w:color w:val="auto"/>
              </w:rPr>
              <w:t>160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Rabbi trust assets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obligation</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Derivative liabilities</w:t>
            </w:r>
          </w:p>
        </w:tc>
        <w:tc>
          <w:tcPr>
            <w:tcW w:w="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110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(45)</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65</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
              <w:spacing w:after="0" w:line="180" w:lineRule="exact"/>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G. DEBT</w:t>
            </w: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gridSpan w:val="7"/>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4"/>
          </w:tcPr>
          <w:p>
            <w:pPr>
              <w:ind w:left="20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4"/>
          </w:tcPr>
          <w:p>
            <w:pPr>
              <w:ind w:lef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00" w:type="dxa"/>
            <w:vAlign w:val="bottom"/>
            <w:gridSpan w:val="5"/>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left="230"/>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b w:val="1"/>
                <w:bCs w:val="1"/>
                <w:color w:val="auto"/>
              </w:rPr>
              <w:t>635</w:t>
            </w:r>
          </w:p>
        </w:tc>
        <w:tc>
          <w:tcPr>
            <w:tcW w:w="60" w:type="dxa"/>
            <w:vAlign w:val="bottom"/>
          </w:tcPr>
          <w:p>
            <w:pPr>
              <w:spacing w:after="0"/>
              <w:rPr>
                <w:sz w:val="16"/>
                <w:szCs w:val="16"/>
                <w:color w:val="auto"/>
              </w:rPr>
            </w:pPr>
          </w:p>
        </w:tc>
        <w:tc>
          <w:tcPr>
            <w:tcW w:w="42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638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4.75%, due 2027</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400</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5.875%, due 2029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b w:val="1"/>
                <w:bCs w:val="1"/>
                <w:color w:val="auto"/>
              </w:rPr>
              <w:t>500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3.75%, due 2031</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1,000</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jc w:val="center"/>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45"/>
              <w:spacing w:after="0" w:line="180" w:lineRule="exact"/>
              <w:rPr>
                <w:sz w:val="20"/>
                <w:szCs w:val="20"/>
                <w:color w:val="auto"/>
              </w:rPr>
            </w:pPr>
            <w:r>
              <w:rPr>
                <w:rFonts w:ascii="Arial" w:cs="Arial" w:eastAsia="Arial" w:hAnsi="Arial"/>
                <w:sz w:val="16"/>
                <w:szCs w:val="16"/>
                <w:b w:val="1"/>
                <w:bCs w:val="1"/>
                <w:color w:val="auto"/>
              </w:rPr>
              <w:t>2,535</w:t>
            </w:r>
          </w:p>
        </w:tc>
        <w:tc>
          <w:tcPr>
            <w:tcW w:w="60" w:type="dxa"/>
            <w:vAlign w:val="bottom"/>
          </w:tcPr>
          <w:p>
            <w:pPr>
              <w:spacing w:after="0"/>
              <w:rPr>
                <w:sz w:val="15"/>
                <w:szCs w:val="15"/>
                <w:color w:val="auto"/>
              </w:rPr>
            </w:pPr>
          </w:p>
        </w:tc>
        <w:tc>
          <w:tcPr>
            <w:tcW w:w="420" w:type="dxa"/>
            <w:vAlign w:val="bottom"/>
            <w:gridSpan w:val="2"/>
          </w:tcPr>
          <w:p>
            <w:pPr>
              <w:jc w:val="right"/>
              <w:ind w:right="157"/>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45"/>
              <w:spacing w:after="0" w:line="180" w:lineRule="exact"/>
              <w:rPr>
                <w:sz w:val="20"/>
                <w:szCs w:val="20"/>
                <w:color w:val="auto"/>
              </w:rPr>
            </w:pPr>
            <w:r>
              <w:rPr>
                <w:rFonts w:ascii="Arial" w:cs="Arial" w:eastAsia="Arial" w:hAnsi="Arial"/>
                <w:sz w:val="16"/>
                <w:szCs w:val="16"/>
                <w:color w:val="auto"/>
              </w:rPr>
              <w:t>2,538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w w:val="99"/>
              </w:rPr>
              <w:t>Less: current maturities of long-term debt</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6</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deferred financing costs, net</w:t>
            </w:r>
          </w:p>
        </w:tc>
        <w:tc>
          <w:tcPr>
            <w:tcW w:w="6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11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11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24</w:t>
            </w:r>
          </w:p>
        </w:tc>
        <w:tc>
          <w:tcPr>
            <w:tcW w:w="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jc w:val="center"/>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2,505</w:t>
            </w:r>
          </w:p>
        </w:tc>
        <w:tc>
          <w:tcPr>
            <w:tcW w:w="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57"/>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2,507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522"/>
        <w:spacing w:after="0" w:line="232" w:lineRule="auto"/>
        <w:rPr>
          <w:sz w:val="20"/>
          <w:szCs w:val="20"/>
          <w:color w:val="auto"/>
        </w:rPr>
      </w:pPr>
      <w:r>
        <w:rPr>
          <w:rFonts w:ascii="Arial" w:cs="Arial" w:eastAsia="Arial" w:hAnsi="Arial"/>
          <w:sz w:val="16"/>
          <w:szCs w:val="16"/>
          <w:color w:val="auto"/>
        </w:rPr>
        <w:t>As of June 30, 2021, the Company had $2,535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$635 million due March 2026 (“Term Loan”) and ATI’s revolving credit facility with commitments in the amount of $650 million due September 2025 (“Revolving Credit Facility” and, together with the Term Loan, the “Senior Secured Credit Facility”).</w:t>
      </w:r>
    </w:p>
    <w:p>
      <w:pPr>
        <w:spacing w:after="0" w:line="84" w:lineRule="exact"/>
        <w:rPr>
          <w:sz w:val="20"/>
          <w:szCs w:val="20"/>
          <w:color w:val="auto"/>
        </w:rPr>
      </w:pPr>
    </w:p>
    <w:p>
      <w:pPr>
        <w:ind w:right="20" w:firstLine="522"/>
        <w:spacing w:after="0" w:line="234" w:lineRule="auto"/>
        <w:rPr>
          <w:sz w:val="20"/>
          <w:szCs w:val="20"/>
          <w:color w:val="auto"/>
        </w:rPr>
      </w:pPr>
      <w:r>
        <w:rPr>
          <w:rFonts w:ascii="Arial" w:cs="Arial" w:eastAsia="Arial" w:hAnsi="Arial"/>
          <w:sz w:val="16"/>
          <w:szCs w:val="16"/>
          <w:color w:val="auto"/>
        </w:rPr>
        <w:t>The fair value of the Company’s long-term debt obligations as of June 30, 2021 was $2,592 million. The fair value is based on quoted Level 2 market prices of the Company’s debt as of June 30, 2021.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04" w:lineRule="exact"/>
        <w:rPr>
          <w:sz w:val="20"/>
          <w:szCs w:val="20"/>
          <w:color w:val="auto"/>
        </w:rPr>
      </w:pPr>
    </w:p>
    <w:p>
      <w:pPr>
        <w:ind w:right="260" w:firstLine="522"/>
        <w:spacing w:after="0" w:line="266" w:lineRule="auto"/>
        <w:rPr>
          <w:sz w:val="20"/>
          <w:szCs w:val="20"/>
          <w:color w:val="auto"/>
        </w:rPr>
      </w:pPr>
      <w:r>
        <w:rPr>
          <w:rFonts w:ascii="Arial" w:cs="Arial" w:eastAsia="Arial" w:hAnsi="Arial"/>
          <w:sz w:val="15"/>
          <w:szCs w:val="15"/>
          <w:color w:val="auto"/>
        </w:rPr>
        <w:t>In November 2020, the Company and ATI entered into an amendment to the Credit Agreement to increase the commitments under the Revolving Credit Facility by $50 million to $650 million. The amendment also extended the Revolving Credit Facility termination date from September 2024 to September 2025.</w:t>
      </w:r>
    </w:p>
    <w:p>
      <w:pPr>
        <w:spacing w:after="0" w:line="64" w:lineRule="exact"/>
        <w:rPr>
          <w:sz w:val="20"/>
          <w:szCs w:val="20"/>
          <w:color w:val="auto"/>
        </w:rPr>
      </w:pPr>
    </w:p>
    <w:p>
      <w:pPr>
        <w:ind w:right="20" w:firstLine="522"/>
        <w:spacing w:after="0" w:line="233" w:lineRule="auto"/>
        <w:rPr>
          <w:sz w:val="20"/>
          <w:szCs w:val="20"/>
          <w:color w:val="auto"/>
        </w:rPr>
      </w:pPr>
      <w:r>
        <w:rPr>
          <w:rFonts w:ascii="Arial" w:cs="Arial" w:eastAsia="Arial" w:hAnsi="Arial"/>
          <w:sz w:val="16"/>
          <w:szCs w:val="16"/>
          <w:color w:val="auto"/>
        </w:rPr>
        <w:t>The borrowings under the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 w:name="page14"/>
    <w:bookmarkEnd w:id="13"/>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6"/>
        <w:spacing w:after="0" w:line="231" w:lineRule="auto"/>
        <w:rPr>
          <w:sz w:val="20"/>
          <w:szCs w:val="20"/>
          <w:color w:val="auto"/>
        </w:rPr>
      </w:pPr>
      <w:r>
        <w:rPr>
          <w:rFonts w:ascii="Arial" w:cs="Arial" w:eastAsia="Arial" w:hAnsi="Arial"/>
          <w:sz w:val="16"/>
          <w:szCs w:val="16"/>
          <w:color w:val="auto"/>
        </w:rPr>
        <w:t>Loan, as of June 30, 2021,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June 30, 2021, the Company elected to pay the lowest all-in rate of LIBOR plus the applicable margin, or 1.85%,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June 30, 2021, there had been no payments required for certain net cash proceeds of non-ordinary course asset sales and casualty and condemnation events. The remaining principal balance is due upon maturity.</w:t>
      </w:r>
    </w:p>
    <w:p>
      <w:pPr>
        <w:spacing w:after="0" w:line="85" w:lineRule="exact"/>
        <w:rPr>
          <w:sz w:val="20"/>
          <w:szCs w:val="20"/>
          <w:color w:val="auto"/>
        </w:rPr>
      </w:pPr>
    </w:p>
    <w:p>
      <w:pPr>
        <w:ind w:left="6" w:right="100" w:firstLine="522"/>
        <w:spacing w:after="0" w:line="245" w:lineRule="auto"/>
        <w:rPr>
          <w:sz w:val="20"/>
          <w:szCs w:val="20"/>
          <w:color w:val="auto"/>
        </w:rPr>
      </w:pPr>
      <w:r>
        <w:rPr>
          <w:rFonts w:ascii="Arial" w:cs="Arial" w:eastAsia="Arial" w:hAnsi="Arial"/>
          <w:sz w:val="15"/>
          <w:szCs w:val="15"/>
          <w:color w:val="auto"/>
        </w:rPr>
        <w:t>The Senior Secured Credit Facility also provides a Revolving Credit Facility, net of an allowance for up to $75 million in outstanding letters of credit commitments. As of June 30, 2021,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LIBOR Rate; when the Company’s first lien net leverage ratio is equal to or less than 4.00x and above 3.50x, interest on the Revolving Credit Facility is (i) 0.50% over the Base Rate or (ii) 1.50% over the LIBOR Rate; and when the Company’s first lien net leverage ratio is equal to or below 3.50x, interest on the Revolving Credit Facility is</w:t>
      </w:r>
    </w:p>
    <w:p>
      <w:pPr>
        <w:ind w:left="6" w:right="80" w:hanging="6"/>
        <w:spacing w:after="0" w:line="233"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0.25% over the Base Rate or (z) 1.25% over the LIBOR Rate. As of June 30, 2021, the applicable margin for the Revolving Credit Facility was 1.25%. In addition, there is an annual commitment fee, based on the Company’s first lien net leverage ratio, on the average unused revolving credit borrowings available under the Revolving Credit Facility. As of June 30, 2021, the commitment fee is 0.25%. Borrowings under the Revolving Credit Facility are payable at the option of the Company throughout the term of the Senior Secured Credit Facility with the balance due in September 2025.</w:t>
      </w:r>
    </w:p>
    <w:p>
      <w:pPr>
        <w:spacing w:after="0" w:line="84" w:lineRule="exact"/>
        <w:rPr>
          <w:sz w:val="20"/>
          <w:szCs w:val="20"/>
          <w:color w:val="auto"/>
        </w:rPr>
      </w:pPr>
    </w:p>
    <w:p>
      <w:pPr>
        <w:ind w:left="6" w:right="140" w:firstLine="522"/>
        <w:spacing w:after="0" w:line="232" w:lineRule="auto"/>
        <w:rPr>
          <w:sz w:val="20"/>
          <w:szCs w:val="20"/>
          <w:color w:val="auto"/>
        </w:rPr>
      </w:pPr>
      <w:r>
        <w:rPr>
          <w:rFonts w:ascii="Arial" w:cs="Arial" w:eastAsia="Arial" w:hAnsi="Arial"/>
          <w:sz w:val="16"/>
          <w:szCs w:val="16"/>
          <w:color w:val="auto"/>
        </w:rPr>
        <w:t>The Senior Secured Credit Facility requires the Company to maintain a specified maximum first lien net leverage ratio of 5.50x when revolving loan commitments remain outstanding on the Revolving Credit Facility at the end of a fiscal quarter. As of June 30, 2021, the Company had no amounts outstanding under the Revolving Credit Facility; however, the Company would have been in compliance with the maximum first lien net leverage ratio, achieving a 0.50x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85" w:lineRule="exact"/>
        <w:rPr>
          <w:sz w:val="20"/>
          <w:szCs w:val="20"/>
          <w:color w:val="auto"/>
        </w:rPr>
      </w:pPr>
    </w:p>
    <w:p>
      <w:pPr>
        <w:ind w:left="6" w:right="360" w:firstLine="522"/>
        <w:spacing w:after="0" w:line="255" w:lineRule="auto"/>
        <w:rPr>
          <w:sz w:val="20"/>
          <w:szCs w:val="20"/>
          <w:color w:val="auto"/>
        </w:rPr>
      </w:pPr>
      <w:r>
        <w:rPr>
          <w:rFonts w:ascii="Arial" w:cs="Arial" w:eastAsia="Arial" w:hAnsi="Arial"/>
          <w:sz w:val="15"/>
          <w:szCs w:val="15"/>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2021, the Company was in compliance with all covenants under the Credit Agreement.</w:t>
      </w:r>
    </w:p>
    <w:p>
      <w:pPr>
        <w:spacing w:after="0" w:line="16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17550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6"/>
          </w:cols>
          <w:pgMar w:left="314" w:top="140" w:right="3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2021, the Company was in compliance with all covenants under the indenture governing the 4.75%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2021, the Company was in compliance with all covenants under the indenture governing the 5.875%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3.75% Senior Notes</w:t>
      </w:r>
    </w:p>
    <w:p>
      <w:pPr>
        <w:spacing w:after="0" w:line="151" w:lineRule="exact"/>
        <w:rPr>
          <w:sz w:val="20"/>
          <w:szCs w:val="20"/>
          <w:color w:val="auto"/>
        </w:rPr>
      </w:pPr>
    </w:p>
    <w:p>
      <w:pPr>
        <w:ind w:right="60" w:firstLine="522"/>
        <w:spacing w:after="0" w:line="233" w:lineRule="auto"/>
        <w:rPr>
          <w:sz w:val="20"/>
          <w:szCs w:val="20"/>
          <w:color w:val="auto"/>
        </w:rPr>
      </w:pPr>
      <w:r>
        <w:rPr>
          <w:rFonts w:ascii="Arial" w:cs="Arial" w:eastAsia="Arial" w:hAnsi="Arial"/>
          <w:sz w:val="16"/>
          <w:szCs w:val="16"/>
          <w:color w:val="auto"/>
        </w:rPr>
        <w:t>In November 2020, ATI completed an offering of $1,000 million of the 3.75% Senior Notes. The 3.75% Senior Notes were offered in a private placement exempt from registration under the Securities Act of 1933, as amended. The net proceeds from the offering, together with cash on hand, were used to redeem all of ATI’s outstanding 5.0% Senior Notes due 2024 plus accrued and unpaid interest and related transaction expenses. As a result of the offering, the Company recorded $10 million as deferred financing fees in the Consolidated Balance Sheet as of December 31, 2020.</w:t>
      </w:r>
    </w:p>
    <w:p>
      <w:pPr>
        <w:spacing w:after="0" w:line="8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3.75%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3.75% Senior Notes. The indenture governing the 3.75%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2021, the Company was in compliance with all covenants under the indenture governing the 3.75% Senior Notes.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DERIVATIVES</w:t>
      </w:r>
    </w:p>
    <w:p>
      <w:pPr>
        <w:spacing w:after="0" w:line="106" w:lineRule="exact"/>
        <w:rPr>
          <w:sz w:val="20"/>
          <w:szCs w:val="20"/>
          <w:color w:val="auto"/>
        </w:rPr>
      </w:pPr>
    </w:p>
    <w:p>
      <w:pPr>
        <w:ind w:right="80" w:firstLine="522"/>
        <w:spacing w:after="0" w:line="248" w:lineRule="auto"/>
        <w:rPr>
          <w:sz w:val="20"/>
          <w:szCs w:val="20"/>
          <w:color w:val="auto"/>
        </w:rPr>
      </w:pPr>
      <w:r>
        <w:rPr>
          <w:rFonts w:ascii="Arial" w:cs="Arial" w:eastAsia="Arial" w:hAnsi="Arial"/>
          <w:sz w:val="15"/>
          <w:szCs w:val="15"/>
          <w:color w:val="auto"/>
        </w:rPr>
        <w:t>The Company is subject to interest rate risk related to the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net of tax (“AOCL”) in the Condensed Consolidated Balance Sheets. Balances in AOCL are reclassified to earnings when transactions related to the underlying risk are settled. As of June 30, 2021,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77" w:lineRule="exact"/>
        <w:rPr>
          <w:sz w:val="20"/>
          <w:szCs w:val="20"/>
          <w:color w:val="auto"/>
        </w:rPr>
      </w:pPr>
    </w:p>
    <w:p>
      <w:pPr>
        <w:ind w:right="160" w:firstLine="522"/>
        <w:spacing w:after="0" w:line="237"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Fair Value</w:t>
            </w:r>
          </w:p>
        </w:tc>
        <w:tc>
          <w:tcPr>
            <w:tcW w:w="1260" w:type="dxa"/>
            <w:vAlign w:val="bottom"/>
            <w:tcBorders>
              <w:bottom w:val="single" w:sz="8" w:color="auto"/>
            </w:tcBorders>
          </w:tcPr>
          <w:p>
            <w:pPr>
              <w:spacing w:after="0"/>
              <w:rPr>
                <w:sz w:val="13"/>
                <w:szCs w:val="13"/>
                <w:color w:val="auto"/>
              </w:rPr>
            </w:pPr>
          </w:p>
        </w:tc>
      </w:tr>
      <w:tr>
        <w:trPr>
          <w:trHeight w:val="133"/>
        </w:trPr>
        <w:tc>
          <w:tcPr>
            <w:tcW w:w="4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70"/>
              <w:spacing w:after="0" w:line="133"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328"/>
              <w:spacing w:after="0" w:line="133" w:lineRule="exact"/>
              <w:rPr>
                <w:sz w:val="20"/>
                <w:szCs w:val="20"/>
                <w:color w:val="auto"/>
              </w:rPr>
            </w:pPr>
            <w:r>
              <w:rPr>
                <w:rFonts w:ascii="Arial" w:cs="Arial" w:eastAsia="Arial" w:hAnsi="Arial"/>
                <w:sz w:val="13"/>
                <w:szCs w:val="13"/>
                <w:b w:val="1"/>
                <w:bCs w:val="1"/>
                <w:color w:val="auto"/>
                <w:w w:val="99"/>
              </w:rPr>
              <w:t>December 31,</w:t>
            </w:r>
          </w:p>
        </w:tc>
      </w:tr>
      <w:tr>
        <w:trPr>
          <w:trHeight w:val="153"/>
        </w:trPr>
        <w:tc>
          <w:tcPr>
            <w:tcW w:w="4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60" w:type="dxa"/>
            <w:vAlign w:val="bottom"/>
          </w:tcPr>
          <w:p>
            <w:pPr>
              <w:ind w:left="760"/>
              <w:spacing w:after="0"/>
              <w:rPr>
                <w:sz w:val="20"/>
                <w:szCs w:val="20"/>
                <w:color w:val="auto"/>
              </w:rPr>
            </w:pPr>
            <w:r>
              <w:rPr>
                <w:rFonts w:ascii="Arial" w:cs="Arial" w:eastAsia="Arial" w:hAnsi="Arial"/>
                <w:sz w:val="13"/>
                <w:szCs w:val="13"/>
                <w:b w:val="1"/>
                <w:bCs w:val="1"/>
                <w:color w:val="auto"/>
              </w:rPr>
              <w:t>Balance Sheet Location</w:t>
            </w:r>
          </w:p>
        </w:tc>
        <w:tc>
          <w:tcPr>
            <w:tcW w:w="1220" w:type="dxa"/>
            <w:vAlign w:val="bottom"/>
            <w:gridSpan w:val="2"/>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88"/>
              <w:spacing w:after="0"/>
              <w:rPr>
                <w:sz w:val="20"/>
                <w:szCs w:val="20"/>
                <w:color w:val="auto"/>
              </w:rPr>
            </w:pPr>
            <w:r>
              <w:rPr>
                <w:rFonts w:ascii="Arial" w:cs="Arial" w:eastAsia="Arial" w:hAnsi="Arial"/>
                <w:sz w:val="13"/>
                <w:szCs w:val="13"/>
                <w:b w:val="1"/>
                <w:bCs w:val="1"/>
                <w:color w:val="auto"/>
              </w:rPr>
              <w:t>2020</w:t>
            </w:r>
          </w:p>
        </w:tc>
      </w:tr>
      <w:tr>
        <w:trPr>
          <w:trHeight w:val="180"/>
        </w:trPr>
        <w:tc>
          <w:tcPr>
            <w:tcW w:w="43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740" w:type="dxa"/>
            <w:vAlign w:val="bottom"/>
            <w:tcBorders>
              <w:top w:val="single" w:sz="8" w:color="CFF0FC"/>
            </w:tcBorders>
            <w:shd w:val="clear" w:color="auto" w:fill="CFF0FC"/>
          </w:tcPr>
          <w:p>
            <w:pPr>
              <w:spacing w:after="0"/>
              <w:rPr>
                <w:sz w:val="15"/>
                <w:szCs w:val="15"/>
                <w:color w:val="auto"/>
              </w:rPr>
            </w:pPr>
          </w:p>
        </w:tc>
        <w:tc>
          <w:tcPr>
            <w:tcW w:w="29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r>
      <w:tr>
        <w:trPr>
          <w:trHeight w:val="188"/>
        </w:trPr>
        <w:tc>
          <w:tcPr>
            <w:tcW w:w="43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3700" w:type="dxa"/>
            <w:vAlign w:val="bottom"/>
            <w:gridSpan w:val="2"/>
          </w:tcPr>
          <w:p>
            <w:pPr>
              <w:ind w:left="740"/>
              <w:spacing w:after="0"/>
              <w:rPr>
                <w:sz w:val="20"/>
                <w:szCs w:val="20"/>
                <w:color w:val="auto"/>
              </w:rPr>
            </w:pPr>
            <w:r>
              <w:rPr>
                <w:rFonts w:ascii="Arial" w:cs="Arial" w:eastAsia="Arial" w:hAnsi="Arial"/>
                <w:sz w:val="16"/>
                <w:szCs w:val="16"/>
                <w:color w:val="auto"/>
              </w:rPr>
              <w:t>Other current liabilities</w:t>
            </w:r>
          </w:p>
        </w:tc>
        <w:tc>
          <w:tcPr>
            <w:tcW w:w="1220" w:type="dxa"/>
            <w:vAlign w:val="bottom"/>
            <w:gridSpan w:val="2"/>
          </w:tcPr>
          <w:p>
            <w:pPr>
              <w:jc w:val="right"/>
              <w:ind w:right="91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ind w:left="120"/>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6"/>
                <w:szCs w:val="16"/>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8"/>
              <w:spacing w:after="0"/>
              <w:rPr>
                <w:sz w:val="20"/>
                <w:szCs w:val="20"/>
                <w:color w:val="auto"/>
              </w:rPr>
            </w:pPr>
            <w:r>
              <w:rPr>
                <w:rFonts w:ascii="Arial" w:cs="Arial" w:eastAsia="Arial" w:hAnsi="Arial"/>
                <w:sz w:val="16"/>
                <w:szCs w:val="16"/>
                <w:color w:val="auto"/>
              </w:rPr>
              <w:t>14</w:t>
            </w:r>
          </w:p>
        </w:tc>
      </w:tr>
      <w:tr>
        <w:trPr>
          <w:trHeight w:val="188"/>
        </w:trPr>
        <w:tc>
          <w:tcPr>
            <w:tcW w:w="4320" w:type="dxa"/>
            <w:vAlign w:val="bottom"/>
            <w:shd w:val="clear" w:color="auto" w:fill="CFF0FC"/>
          </w:tcPr>
          <w:p>
            <w:pPr>
              <w:spacing w:after="0"/>
              <w:rPr>
                <w:sz w:val="16"/>
                <w:szCs w:val="16"/>
                <w:color w:val="auto"/>
              </w:rPr>
            </w:pPr>
          </w:p>
        </w:tc>
        <w:tc>
          <w:tcPr>
            <w:tcW w:w="3700" w:type="dxa"/>
            <w:vAlign w:val="bottom"/>
            <w:gridSpan w:val="2"/>
            <w:shd w:val="clear" w:color="auto" w:fill="CFF0FC"/>
          </w:tcPr>
          <w:p>
            <w:pPr>
              <w:ind w:left="740"/>
              <w:spacing w:after="0"/>
              <w:rPr>
                <w:sz w:val="20"/>
                <w:szCs w:val="20"/>
                <w:color w:val="auto"/>
              </w:rPr>
            </w:pPr>
            <w:r>
              <w:rPr>
                <w:rFonts w:ascii="Arial" w:cs="Arial" w:eastAsia="Arial" w:hAnsi="Arial"/>
                <w:sz w:val="16"/>
                <w:szCs w:val="16"/>
                <w:color w:val="auto"/>
              </w:rPr>
              <w:t>Other non-current liabilities</w:t>
            </w:r>
          </w:p>
        </w:tc>
        <w:tc>
          <w:tcPr>
            <w:tcW w:w="14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32</w:t>
            </w:r>
          </w:p>
        </w:tc>
        <w:tc>
          <w:tcPr>
            <w:tcW w:w="1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46</w:t>
            </w:r>
          </w:p>
        </w:tc>
      </w:tr>
      <w:tr>
        <w:trPr>
          <w:trHeight w:val="180"/>
        </w:trPr>
        <w:tc>
          <w:tcPr>
            <w:tcW w:w="432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right"/>
              <w:ind w:right="91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ind w:left="120"/>
              <w:spacing w:after="0" w:line="180" w:lineRule="exact"/>
              <w:rPr>
                <w:sz w:val="20"/>
                <w:szCs w:val="20"/>
                <w:color w:val="auto"/>
              </w:rPr>
            </w:pPr>
            <w:r>
              <w:rPr>
                <w:rFonts w:ascii="Arial" w:cs="Arial" w:eastAsia="Arial" w:hAnsi="Arial"/>
                <w:sz w:val="16"/>
                <w:szCs w:val="16"/>
                <w:b w:val="1"/>
                <w:bCs w:val="1"/>
                <w:color w:val="auto"/>
              </w:rPr>
              <w:t>45</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60</w:t>
            </w:r>
          </w:p>
        </w:tc>
      </w:tr>
      <w:tr>
        <w:trPr>
          <w:trHeight w:val="20"/>
        </w:trPr>
        <w:tc>
          <w:tcPr>
            <w:tcW w:w="4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40" w:firstLine="522"/>
        <w:spacing w:after="0" w:line="234" w:lineRule="auto"/>
        <w:rPr>
          <w:sz w:val="20"/>
          <w:szCs w:val="20"/>
          <w:color w:val="auto"/>
        </w:rPr>
      </w:pPr>
      <w:r>
        <w:rPr>
          <w:rFonts w:ascii="Arial" w:cs="Arial" w:eastAsia="Arial" w:hAnsi="Arial"/>
          <w:sz w:val="16"/>
          <w:szCs w:val="16"/>
          <w:color w:val="auto"/>
        </w:rPr>
        <w:t>The balance of derivative losses recorded in AOCL as of June 30, 2021 was $ 45 million. See NOTE O, “Accumulated Other Comprehensive Loss” for information regarding activity recorded as a component of AOCL during the three and six months ended June 30, 2021 and 2020. As of June 30, 2021, the Company had $14 million of derivative losses recorded in AOCL expected to be reclassified to earnings within the next twelve months.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PRODUCT WARRANTY LIABILITIES</w:t>
      </w:r>
    </w:p>
    <w:p>
      <w:pPr>
        <w:spacing w:after="0" w:line="106" w:lineRule="exact"/>
        <w:rPr>
          <w:sz w:val="20"/>
          <w:szCs w:val="20"/>
          <w:color w:val="auto"/>
        </w:rPr>
      </w:pPr>
    </w:p>
    <w:p>
      <w:pPr>
        <w:ind w:right="260" w:firstLine="522"/>
        <w:spacing w:after="0" w:line="237" w:lineRule="auto"/>
        <w:rPr>
          <w:sz w:val="20"/>
          <w:szCs w:val="20"/>
          <w:color w:val="auto"/>
        </w:rPr>
      </w:pPr>
      <w:r>
        <w:rPr>
          <w:rFonts w:ascii="Arial" w:cs="Arial" w:eastAsia="Arial" w:hAnsi="Arial"/>
          <w:sz w:val="16"/>
          <w:szCs w:val="16"/>
          <w:color w:val="auto"/>
        </w:rPr>
        <w:t>As of June 30, 2021, current and non-current product warranty liabilities were $29 million and $31 million, respectively. As of June 30, 2020, current and non-current product warranty liabilities were $29 million and $19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Product warranty liability activities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2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Six Months Ended</w:t>
            </w:r>
          </w:p>
        </w:tc>
        <w:tc>
          <w:tcPr>
            <w:tcW w:w="860" w:type="dxa"/>
            <w:vAlign w:val="bottom"/>
          </w:tcPr>
          <w:p>
            <w:pPr>
              <w:spacing w:after="0"/>
              <w:rPr>
                <w:sz w:val="13"/>
                <w:szCs w:val="13"/>
                <w:color w:val="auto"/>
              </w:rPr>
            </w:pPr>
          </w:p>
        </w:tc>
      </w:tr>
      <w:tr>
        <w:trPr>
          <w:trHeight w:val="153"/>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gridSpan w:val="3"/>
          </w:tcPr>
          <w:p>
            <w:pPr>
              <w:jc w:val="right"/>
              <w:ind w:right="637"/>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June 30,</w:t>
            </w:r>
          </w:p>
        </w:tc>
        <w:tc>
          <w:tcPr>
            <w:tcW w:w="860" w:type="dxa"/>
            <w:vAlign w:val="bottom"/>
          </w:tcPr>
          <w:p>
            <w:pPr>
              <w:spacing w:after="0"/>
              <w:rPr>
                <w:sz w:val="13"/>
                <w:szCs w:val="13"/>
                <w:color w:val="auto"/>
              </w:rPr>
            </w:pPr>
          </w:p>
        </w:tc>
      </w:tr>
      <w:tr>
        <w:trPr>
          <w:trHeight w:val="153"/>
        </w:trPr>
        <w:tc>
          <w:tcPr>
            <w:tcW w:w="466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w w:val="89"/>
              </w:rPr>
              <w:t>2020</w:t>
            </w:r>
          </w:p>
        </w:tc>
      </w:tr>
      <w:tr>
        <w:trPr>
          <w:trHeight w:val="180"/>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62</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47"/>
              <w:spacing w:after="0" w:line="180" w:lineRule="exact"/>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66</w:t>
            </w:r>
          </w:p>
        </w:tc>
        <w:tc>
          <w:tcPr>
            <w:tcW w:w="56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52</w:t>
            </w: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Payments</w:t>
            </w: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(16)</w:t>
            </w: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1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8</w:t>
            </w:r>
          </w:p>
        </w:tc>
      </w:tr>
      <w:tr>
        <w:trPr>
          <w:trHeight w:val="188"/>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116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w:t>
            </w:r>
          </w:p>
        </w:tc>
      </w:tr>
      <w:tr>
        <w:trPr>
          <w:trHeight w:val="180"/>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1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60</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47"/>
              <w:spacing w:after="0" w:line="180" w:lineRule="exact"/>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60</w:t>
            </w:r>
          </w:p>
        </w:tc>
        <w:tc>
          <w:tcPr>
            <w:tcW w:w="56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48</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DEFERRED REVENUE</w:t>
      </w:r>
    </w:p>
    <w:p>
      <w:pPr>
        <w:spacing w:after="0" w:line="106" w:lineRule="exact"/>
        <w:rPr>
          <w:sz w:val="20"/>
          <w:szCs w:val="20"/>
          <w:color w:val="auto"/>
        </w:rPr>
      </w:pPr>
    </w:p>
    <w:p>
      <w:pPr>
        <w:ind w:right="480" w:firstLine="522"/>
        <w:spacing w:after="0" w:line="237" w:lineRule="auto"/>
        <w:rPr>
          <w:sz w:val="20"/>
          <w:szCs w:val="20"/>
          <w:color w:val="auto"/>
        </w:rPr>
      </w:pPr>
      <w:r>
        <w:rPr>
          <w:rFonts w:ascii="Arial" w:cs="Arial" w:eastAsia="Arial" w:hAnsi="Arial"/>
          <w:sz w:val="16"/>
          <w:szCs w:val="16"/>
          <w:color w:val="auto"/>
        </w:rPr>
        <w:t>As of June 30, 2021, current and non-current deferred revenue was $39 million and $103 million, respectively. As of June 30, 2020, current and non-current deferred revenue was $34 million and $111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activity consists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Six Months Ended</w:t>
            </w:r>
          </w:p>
        </w:tc>
        <w:tc>
          <w:tcPr>
            <w:tcW w:w="840" w:type="dxa"/>
            <w:vAlign w:val="bottom"/>
          </w:tcPr>
          <w:p>
            <w:pPr>
              <w:spacing w:after="0"/>
              <w:rPr>
                <w:sz w:val="13"/>
                <w:szCs w:val="13"/>
                <w:color w:val="auto"/>
              </w:rPr>
            </w:pPr>
          </w:p>
        </w:tc>
      </w:tr>
      <w:tr>
        <w:trPr>
          <w:trHeight w:val="153"/>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3"/>
          </w:tcPr>
          <w:p>
            <w:pPr>
              <w:jc w:val="right"/>
              <w:ind w:right="591"/>
              <w:spacing w:after="0"/>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ind w:right="222"/>
              <w:spacing w:after="0"/>
              <w:rPr>
                <w:sz w:val="20"/>
                <w:szCs w:val="20"/>
                <w:color w:val="auto"/>
              </w:rPr>
            </w:pPr>
            <w:r>
              <w:rPr>
                <w:rFonts w:ascii="Arial" w:cs="Arial" w:eastAsia="Arial" w:hAnsi="Arial"/>
                <w:sz w:val="13"/>
                <w:szCs w:val="13"/>
                <w:b w:val="1"/>
                <w:bCs w:val="1"/>
                <w:color w:val="auto"/>
              </w:rPr>
              <w:t>June 30,</w:t>
            </w:r>
          </w:p>
        </w:tc>
        <w:tc>
          <w:tcPr>
            <w:tcW w:w="840" w:type="dxa"/>
            <w:vAlign w:val="bottom"/>
          </w:tcPr>
          <w:p>
            <w:pPr>
              <w:spacing w:after="0"/>
              <w:rPr>
                <w:sz w:val="13"/>
                <w:szCs w:val="13"/>
                <w:color w:val="auto"/>
              </w:rPr>
            </w:pPr>
          </w:p>
        </w:tc>
      </w:tr>
      <w:tr>
        <w:trPr>
          <w:trHeight w:val="153"/>
        </w:trPr>
        <w:tc>
          <w:tcPr>
            <w:tcW w:w="3560" w:type="dxa"/>
            <w:vAlign w:val="bottom"/>
          </w:tcPr>
          <w:p>
            <w:pPr>
              <w:spacing w:after="0"/>
              <w:rPr>
                <w:sz w:val="13"/>
                <w:szCs w:val="13"/>
                <w:color w:val="auto"/>
              </w:rPr>
            </w:pPr>
          </w:p>
        </w:tc>
        <w:tc>
          <w:tcPr>
            <w:tcW w:w="306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ind w:right="485"/>
              <w:spacing w:after="0"/>
              <w:rPr>
                <w:sz w:val="20"/>
                <w:szCs w:val="20"/>
                <w:color w:val="auto"/>
              </w:rPr>
            </w:pPr>
            <w:r>
              <w:rPr>
                <w:rFonts w:ascii="Arial" w:cs="Arial" w:eastAsia="Arial" w:hAnsi="Arial"/>
                <w:sz w:val="13"/>
                <w:szCs w:val="13"/>
                <w:b w:val="1"/>
                <w:bCs w:val="1"/>
                <w:color w:val="auto"/>
                <w:w w:val="89"/>
              </w:rPr>
              <w:t>2020</w:t>
            </w:r>
          </w:p>
        </w:tc>
      </w:tr>
      <w:tr>
        <w:trPr>
          <w:trHeight w:val="180"/>
        </w:trPr>
        <w:tc>
          <w:tcPr>
            <w:tcW w:w="35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228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631"/>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142</w:t>
            </w:r>
          </w:p>
        </w:tc>
        <w:tc>
          <w:tcPr>
            <w:tcW w:w="14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140</w:t>
            </w:r>
          </w:p>
        </w:tc>
        <w:tc>
          <w:tcPr>
            <w:tcW w:w="12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143</w:t>
            </w:r>
          </w:p>
        </w:tc>
        <w:tc>
          <w:tcPr>
            <w:tcW w:w="120" w:type="dxa"/>
            <w:vAlign w:val="bottom"/>
            <w:tcBorders>
              <w:top w:val="single" w:sz="8" w:color="CFF0FC"/>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jc w:val="right"/>
              <w:ind w:right="262"/>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139</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Increases</w:t>
            </w:r>
          </w:p>
        </w:tc>
        <w:tc>
          <w:tcPr>
            <w:tcW w:w="2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5"/>
              <w:spacing w:after="0"/>
              <w:rPr>
                <w:sz w:val="20"/>
                <w:szCs w:val="20"/>
                <w:color w:val="auto"/>
              </w:rPr>
            </w:pPr>
            <w:r>
              <w:rPr>
                <w:rFonts w:ascii="Arial" w:cs="Arial" w:eastAsia="Arial" w:hAnsi="Arial"/>
                <w:sz w:val="16"/>
                <w:szCs w:val="16"/>
                <w:b w:val="1"/>
                <w:bCs w:val="1"/>
                <w:color w:val="auto"/>
              </w:rPr>
              <w:t>9</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jc w:val="right"/>
              <w:ind w:right="47"/>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color w:val="auto"/>
              </w:rPr>
              <w:t>24</w:t>
            </w:r>
          </w:p>
        </w:tc>
      </w:tr>
      <w:tr>
        <w:trPr>
          <w:trHeight w:val="188"/>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2280" w:type="dxa"/>
            <w:vAlign w:val="bottom"/>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180"/>
        </w:trPr>
        <w:tc>
          <w:tcPr>
            <w:tcW w:w="356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2280" w:type="dxa"/>
            <w:vAlign w:val="bottom"/>
          </w:tcPr>
          <w:p>
            <w:pPr>
              <w:spacing w:after="0"/>
              <w:rPr>
                <w:sz w:val="15"/>
                <w:szCs w:val="15"/>
                <w:color w:val="auto"/>
              </w:rPr>
            </w:pPr>
          </w:p>
        </w:tc>
        <w:tc>
          <w:tcPr>
            <w:tcW w:w="780" w:type="dxa"/>
            <w:vAlign w:val="bottom"/>
            <w:tcBorders>
              <w:bottom w:val="single" w:sz="8" w:color="auto"/>
            </w:tcBorders>
          </w:tcPr>
          <w:p>
            <w:pPr>
              <w:jc w:val="right"/>
              <w:ind w:right="631"/>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b w:val="1"/>
                <w:bCs w:val="1"/>
                <w:color w:val="auto"/>
              </w:rPr>
              <w:t>142</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145</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142</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2"/>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145</w:t>
            </w:r>
          </w:p>
        </w:tc>
      </w:tr>
      <w:tr>
        <w:trPr>
          <w:trHeight w:val="20"/>
        </w:trPr>
        <w:tc>
          <w:tcPr>
            <w:tcW w:w="3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522"/>
        <w:spacing w:after="0" w:line="237" w:lineRule="auto"/>
        <w:rPr>
          <w:sz w:val="20"/>
          <w:szCs w:val="20"/>
          <w:color w:val="auto"/>
        </w:rPr>
      </w:pPr>
      <w:r>
        <w:rPr>
          <w:rFonts w:ascii="Arial" w:cs="Arial" w:eastAsia="Arial" w:hAnsi="Arial"/>
          <w:sz w:val="16"/>
          <w:szCs w:val="16"/>
          <w:color w:val="auto"/>
        </w:rPr>
        <w:t>Deferred revenue recorded in current and non-current liabilities related to ETC as of June 30, 2021 was $30 million and $87 million, respectively. Deferred revenue recorded in current and non-current liabilities related to ETC as of June 30, 2020 was $27 million and $93 million,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LEASES</w:t>
      </w:r>
    </w:p>
    <w:p>
      <w:pPr>
        <w:spacing w:after="0" w:line="106"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June 30, 2021,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4" w:lineRule="exact"/>
        <w:rPr>
          <w:sz w:val="20"/>
          <w:szCs w:val="20"/>
          <w:color w:val="auto"/>
        </w:rPr>
      </w:pPr>
    </w:p>
    <w:p>
      <w:pPr>
        <w:jc w:val="both"/>
        <w:ind w:right="60" w:firstLine="522"/>
        <w:spacing w:after="0" w:line="234" w:lineRule="auto"/>
        <w:rPr>
          <w:sz w:val="20"/>
          <w:szCs w:val="20"/>
          <w:color w:val="auto"/>
        </w:rPr>
      </w:pPr>
      <w:r>
        <w:rPr>
          <w:rFonts w:ascii="Arial" w:cs="Arial" w:eastAsia="Arial" w:hAnsi="Arial"/>
          <w:sz w:val="16"/>
          <w:szCs w:val="16"/>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8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Term Loan. The Company believes this rate effectively represents a borrowing rate the Company could obtain on a debt instrument possessing similar terms as the lease. Any lease liability is classified between current and non-current liabilities based on the terms of the underlying leases. The weighted average discount rate on operating leases as of June 30, 2021 and December 31, 2020 was 4.36% and 4.37%, respectively.</w:t>
      </w:r>
    </w:p>
    <w:p>
      <w:pPr>
        <w:spacing w:after="0" w:line="85" w:lineRule="exact"/>
        <w:rPr>
          <w:sz w:val="20"/>
          <w:szCs w:val="20"/>
          <w:color w:val="auto"/>
        </w:rPr>
      </w:pPr>
    </w:p>
    <w:p>
      <w:pPr>
        <w:ind w:right="520" w:firstLine="522"/>
        <w:spacing w:after="0" w:line="234" w:lineRule="auto"/>
        <w:rPr>
          <w:sz w:val="20"/>
          <w:szCs w:val="20"/>
          <w:color w:val="auto"/>
        </w:rPr>
      </w:pPr>
      <w:r>
        <w:rPr>
          <w:rFonts w:ascii="Arial" w:cs="Arial" w:eastAsia="Arial" w:hAnsi="Arial"/>
          <w:sz w:val="16"/>
          <w:szCs w:val="16"/>
          <w:color w:val="auto"/>
        </w:rPr>
        <w:t>As of June 30, 2021, the Company recorded current and non-current operating lease liabilities of $4 million and $15 million, respectively. As of December 31, 2020, the Company recorded current and non-current operating lease liabilities of $4 million and $17 million, respectively. The following table reconciles total operating lease liabilities as of June 30, 2021 to future undiscounted cash flows for operating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ind w:right="725"/>
              <w:spacing w:after="0"/>
              <w:rPr>
                <w:sz w:val="20"/>
                <w:szCs w:val="20"/>
                <w:color w:val="auto"/>
              </w:rPr>
            </w:pPr>
            <w:r>
              <w:rPr>
                <w:rFonts w:ascii="Arial" w:cs="Arial" w:eastAsia="Arial" w:hAnsi="Arial"/>
                <w:sz w:val="13"/>
                <w:szCs w:val="13"/>
                <w:b w:val="1"/>
                <w:bCs w:val="1"/>
                <w:color w:val="auto"/>
              </w:rPr>
              <w:t>June 30,</w:t>
            </w:r>
          </w:p>
        </w:tc>
      </w:tr>
      <w:tr>
        <w:trPr>
          <w:trHeight w:val="153"/>
        </w:trPr>
        <w:tc>
          <w:tcPr>
            <w:tcW w:w="9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45"/>
              <w:spacing w:after="0"/>
              <w:rPr>
                <w:sz w:val="20"/>
                <w:szCs w:val="20"/>
                <w:color w:val="auto"/>
              </w:rPr>
            </w:pPr>
            <w:r>
              <w:rPr>
                <w:rFonts w:ascii="Arial" w:cs="Arial" w:eastAsia="Arial" w:hAnsi="Arial"/>
                <w:sz w:val="13"/>
                <w:szCs w:val="13"/>
                <w:b w:val="1"/>
                <w:bCs w:val="1"/>
                <w:color w:val="auto"/>
              </w:rPr>
              <w:t>2021</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2021</w:t>
            </w:r>
          </w:p>
        </w:tc>
        <w:tc>
          <w:tcPr>
            <w:tcW w:w="400" w:type="dxa"/>
            <w:vAlign w:val="bottom"/>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2022</w:t>
            </w:r>
          </w:p>
        </w:tc>
        <w:tc>
          <w:tcPr>
            <w:tcW w:w="400" w:type="dxa"/>
            <w:vAlign w:val="bottom"/>
          </w:tcPr>
          <w:p>
            <w:pPr>
              <w:spacing w:after="0"/>
              <w:rPr>
                <w:sz w:val="16"/>
                <w:szCs w:val="16"/>
                <w:color w:val="auto"/>
              </w:rPr>
            </w:pPr>
          </w:p>
        </w:tc>
        <w:tc>
          <w:tcPr>
            <w:tcW w:w="1600" w:type="dxa"/>
            <w:vAlign w:val="bottom"/>
          </w:tcPr>
          <w:p>
            <w:pPr>
              <w:jc w:val="right"/>
              <w:ind w:right="45"/>
              <w:spacing w:after="0"/>
              <w:rPr>
                <w:sz w:val="20"/>
                <w:szCs w:val="20"/>
                <w:color w:val="auto"/>
              </w:rPr>
            </w:pPr>
            <w:r>
              <w:rPr>
                <w:rFonts w:ascii="Arial" w:cs="Arial" w:eastAsia="Arial" w:hAnsi="Arial"/>
                <w:sz w:val="16"/>
                <w:szCs w:val="16"/>
                <w:b w:val="1"/>
                <w:bCs w:val="1"/>
                <w:color w:val="auto"/>
              </w:rPr>
              <w:t>5</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0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2024</w:t>
            </w:r>
          </w:p>
        </w:tc>
        <w:tc>
          <w:tcPr>
            <w:tcW w:w="400" w:type="dxa"/>
            <w:vAlign w:val="bottom"/>
          </w:tcPr>
          <w:p>
            <w:pPr>
              <w:spacing w:after="0"/>
              <w:rPr>
                <w:sz w:val="16"/>
                <w:szCs w:val="16"/>
                <w:color w:val="auto"/>
              </w:rPr>
            </w:pPr>
          </w:p>
        </w:tc>
        <w:tc>
          <w:tcPr>
            <w:tcW w:w="1600" w:type="dxa"/>
            <w:vAlign w:val="bottom"/>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0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8</w:t>
            </w:r>
          </w:p>
        </w:tc>
      </w:tr>
      <w:tr>
        <w:trPr>
          <w:trHeight w:val="180"/>
        </w:trPr>
        <w:tc>
          <w:tcPr>
            <w:tcW w:w="92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400" w:type="dxa"/>
            <w:vAlign w:val="bottom"/>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23</w:t>
            </w:r>
          </w:p>
        </w:tc>
      </w:tr>
      <w:tr>
        <w:trPr>
          <w:trHeight w:val="188"/>
        </w:trPr>
        <w:tc>
          <w:tcPr>
            <w:tcW w:w="92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4</w:t>
            </w:r>
          </w:p>
        </w:tc>
      </w:tr>
      <w:tr>
        <w:trPr>
          <w:trHeight w:val="180"/>
        </w:trPr>
        <w:tc>
          <w:tcPr>
            <w:tcW w:w="92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40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19</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522"/>
        <w:spacing w:after="0" w:line="237"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jc w:val="right"/>
              <w:ind w:right="727"/>
              <w:spacing w:after="0"/>
              <w:rPr>
                <w:sz w:val="20"/>
                <w:szCs w:val="20"/>
                <w:color w:val="auto"/>
              </w:rPr>
            </w:pPr>
            <w:r>
              <w:rPr>
                <w:rFonts w:ascii="Arial" w:cs="Arial" w:eastAsia="Arial" w:hAnsi="Arial"/>
                <w:sz w:val="13"/>
                <w:szCs w:val="13"/>
                <w:b w:val="1"/>
                <w:bCs w:val="1"/>
                <w:color w:val="auto"/>
              </w:rPr>
              <w:t>June 30,</w:t>
            </w:r>
          </w:p>
        </w:tc>
      </w:tr>
      <w:tr>
        <w:trPr>
          <w:trHeight w:val="153"/>
        </w:trPr>
        <w:tc>
          <w:tcPr>
            <w:tcW w:w="9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47"/>
              <w:spacing w:after="0"/>
              <w:rPr>
                <w:sz w:val="20"/>
                <w:szCs w:val="20"/>
                <w:color w:val="auto"/>
              </w:rPr>
            </w:pPr>
            <w:r>
              <w:rPr>
                <w:rFonts w:ascii="Arial" w:cs="Arial" w:eastAsia="Arial" w:hAnsi="Arial"/>
                <w:sz w:val="13"/>
                <w:szCs w:val="13"/>
                <w:b w:val="1"/>
                <w:bCs w:val="1"/>
                <w:color w:val="auto"/>
              </w:rPr>
              <w:t>2021</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400" w:type="dxa"/>
            <w:vAlign w:val="bottom"/>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18</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Land</w:t>
            </w:r>
          </w:p>
        </w:tc>
        <w:tc>
          <w:tcPr>
            <w:tcW w:w="400" w:type="dxa"/>
            <w:vAlign w:val="bottom"/>
          </w:tcPr>
          <w:p>
            <w:pPr>
              <w:spacing w:after="0"/>
              <w:rPr>
                <w:sz w:val="16"/>
                <w:szCs w:val="16"/>
                <w:color w:val="auto"/>
              </w:rPr>
            </w:pPr>
          </w:p>
        </w:tc>
        <w:tc>
          <w:tcPr>
            <w:tcW w:w="160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40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0"/>
        </w:trPr>
        <w:tc>
          <w:tcPr>
            <w:tcW w:w="9260" w:type="dxa"/>
            <w:vAlign w:val="bottom"/>
          </w:tcPr>
          <w:p>
            <w:pPr>
              <w:spacing w:after="0" w:line="180" w:lineRule="exact"/>
              <w:rPr>
                <w:sz w:val="20"/>
                <w:szCs w:val="20"/>
                <w:color w:val="auto"/>
              </w:rPr>
            </w:pPr>
            <w:r>
              <w:rPr>
                <w:rFonts w:ascii="Arial" w:cs="Arial" w:eastAsia="Arial" w:hAnsi="Arial"/>
                <w:sz w:val="16"/>
                <w:szCs w:val="16"/>
                <w:color w:val="auto"/>
              </w:rPr>
              <w:t>Total right-of-use assets</w:t>
            </w:r>
          </w:p>
        </w:tc>
        <w:tc>
          <w:tcPr>
            <w:tcW w:w="400" w:type="dxa"/>
            <w:vAlign w:val="bottom"/>
            <w:tcBorders>
              <w:bottom w:val="single" w:sz="8" w:color="auto"/>
            </w:tcBorders>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20</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remaining lease term as of June 30, 2021 and June 30, 2020 was 7.1 years and 7.5 years, respectively.</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80" w:firstLine="522"/>
        <w:spacing w:after="0" w:line="233" w:lineRule="auto"/>
        <w:rPr>
          <w:sz w:val="20"/>
          <w:szCs w:val="20"/>
          <w:color w:val="auto"/>
        </w:rPr>
      </w:pPr>
      <w:r>
        <w:rPr>
          <w:rFonts w:ascii="Arial" w:cs="Arial" w:eastAsia="Arial" w:hAnsi="Arial"/>
          <w:sz w:val="16"/>
          <w:szCs w:val="16"/>
          <w:color w:val="auto"/>
        </w:rPr>
        <w:t>Operating lease expense was $2 million in each of the three months ended June 30, 2021 and 2020 and $3 million in each of the six months ended June 30, 2021 and 2020, and was recorded within Selling, general and administrative expense and Engineering - research and development on the Company's Condensed Consolidated Statements of Comprehensive Income. There was no short-term operating lease expense for each of the three and six months ended June 30, 2021 and 2020.</w:t>
      </w:r>
    </w:p>
    <w:p>
      <w:pPr>
        <w:spacing w:after="0" w:line="84" w:lineRule="exact"/>
        <w:rPr>
          <w:sz w:val="20"/>
          <w:szCs w:val="20"/>
          <w:color w:val="auto"/>
        </w:rPr>
      </w:pPr>
    </w:p>
    <w:p>
      <w:pPr>
        <w:ind w:right="100" w:firstLine="522"/>
        <w:spacing w:after="0" w:line="266" w:lineRule="auto"/>
        <w:rPr>
          <w:sz w:val="20"/>
          <w:szCs w:val="20"/>
          <w:color w:val="auto"/>
        </w:rPr>
      </w:pPr>
      <w:r>
        <w:rPr>
          <w:rFonts w:ascii="Arial" w:cs="Arial" w:eastAsia="Arial" w:hAnsi="Arial"/>
          <w:sz w:val="15"/>
          <w:szCs w:val="15"/>
          <w:color w:val="auto"/>
        </w:rPr>
        <w:t>The calculation of the Company's ROU assets and lease liabilities did not include cash consideration as of June 30, 2021 and December 31, 2020. During each of the six months ended June 30, 2021 and 2020, the Company recorded $1 million of new ROU assets obtained in exchange for lease obligations.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OTHER CURRENT LIABILITIES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160" w:type="dxa"/>
            <w:vAlign w:val="bottom"/>
          </w:tcPr>
          <w:p>
            <w:pPr>
              <w:jc w:val="right"/>
              <w:ind w:right="70"/>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24"/>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2020</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Payroll and related costs</w:t>
            </w:r>
          </w:p>
        </w:tc>
        <w:tc>
          <w:tcPr>
            <w:tcW w:w="1160" w:type="dxa"/>
            <w:vAlign w:val="bottom"/>
            <w:shd w:val="clear" w:color="auto" w:fill="CFF0FC"/>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47</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Accrued interest payable</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12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Sales allowances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26</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20</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Vendor buyback obligation</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16</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13</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14</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Taxes payable</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11</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4</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Non-trade payables</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116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15</w:t>
            </w:r>
          </w:p>
        </w:tc>
        <w:tc>
          <w:tcPr>
            <w:tcW w:w="1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14</w:t>
            </w:r>
          </w:p>
        </w:tc>
      </w:tr>
      <w:tr>
        <w:trPr>
          <w:trHeight w:val="180"/>
        </w:trPr>
        <w:tc>
          <w:tcPr>
            <w:tcW w:w="77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188</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color w:val="auto"/>
              </w:rPr>
              <w:t>140</w:t>
            </w:r>
          </w:p>
        </w:tc>
      </w:tr>
      <w:tr>
        <w:trPr>
          <w:trHeight w:val="20"/>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M. EMPLOYEE BENEFIT PLANS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net periodic benefit cost (credit) consist of the following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center"/>
              <w:ind w:right="304"/>
              <w:spacing w:after="0"/>
              <w:rPr>
                <w:sz w:val="20"/>
                <w:szCs w:val="20"/>
                <w:color w:val="auto"/>
              </w:rPr>
            </w:pPr>
            <w:r>
              <w:rPr>
                <w:rFonts w:ascii="Arial" w:cs="Arial" w:eastAsia="Arial" w:hAnsi="Arial"/>
                <w:sz w:val="13"/>
                <w:szCs w:val="13"/>
                <w:b w:val="1"/>
                <w:bCs w:val="1"/>
                <w:color w:val="auto"/>
                <w:w w:val="96"/>
              </w:rPr>
              <w:t>Post-retirement Benefits</w:t>
            </w:r>
          </w:p>
        </w:tc>
      </w:tr>
      <w:tr>
        <w:trPr>
          <w:trHeight w:val="133"/>
        </w:trPr>
        <w:tc>
          <w:tcPr>
            <w:tcW w:w="4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20" w:type="dxa"/>
            <w:vAlign w:val="bottom"/>
            <w:gridSpan w:val="4"/>
          </w:tcPr>
          <w:p>
            <w:pPr>
              <w:jc w:val="center"/>
              <w:ind w:left="232"/>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324"/>
              <w:spacing w:after="0" w:line="133" w:lineRule="exact"/>
              <w:rPr>
                <w:sz w:val="20"/>
                <w:szCs w:val="20"/>
                <w:color w:val="auto"/>
              </w:rPr>
            </w:pPr>
            <w:r>
              <w:rPr>
                <w:rFonts w:ascii="Arial" w:cs="Arial" w:eastAsia="Arial" w:hAnsi="Arial"/>
                <w:sz w:val="13"/>
                <w:szCs w:val="13"/>
                <w:b w:val="1"/>
                <w:bCs w:val="1"/>
                <w:color w:val="auto"/>
                <w:w w:val="96"/>
              </w:rPr>
              <w:t>For the Three Months</w:t>
            </w:r>
          </w:p>
        </w:tc>
      </w:tr>
      <w:tr>
        <w:trPr>
          <w:trHeight w:val="153"/>
        </w:trPr>
        <w:tc>
          <w:tcPr>
            <w:tcW w:w="4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60" w:type="dxa"/>
            <w:vAlign w:val="bottom"/>
            <w:gridSpan w:val="3"/>
          </w:tcPr>
          <w:p>
            <w:pPr>
              <w:jc w:val="center"/>
              <w:ind w:right="391"/>
              <w:spacing w:after="0"/>
              <w:rPr>
                <w:sz w:val="20"/>
                <w:szCs w:val="20"/>
                <w:color w:val="auto"/>
              </w:rPr>
            </w:pPr>
            <w:r>
              <w:rPr>
                <w:rFonts w:ascii="Arial" w:cs="Arial" w:eastAsia="Arial" w:hAnsi="Arial"/>
                <w:sz w:val="13"/>
                <w:szCs w:val="13"/>
                <w:b w:val="1"/>
                <w:bCs w:val="1"/>
                <w:color w:val="auto"/>
                <w:w w:val="96"/>
              </w:rPr>
              <w:t>Ended 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09"/>
              <w:spacing w:after="0"/>
              <w:rPr>
                <w:sz w:val="20"/>
                <w:szCs w:val="20"/>
                <w:color w:val="auto"/>
              </w:rPr>
            </w:pPr>
            <w:r>
              <w:rPr>
                <w:rFonts w:ascii="Arial" w:cs="Arial" w:eastAsia="Arial" w:hAnsi="Arial"/>
                <w:sz w:val="13"/>
                <w:szCs w:val="13"/>
                <w:b w:val="1"/>
                <w:bCs w:val="1"/>
                <w:color w:val="auto"/>
                <w:w w:val="96"/>
              </w:rPr>
              <w:t>Ended June 30,</w:t>
            </w:r>
          </w:p>
        </w:tc>
        <w:tc>
          <w:tcPr>
            <w:tcW w:w="880" w:type="dxa"/>
            <w:vAlign w:val="bottom"/>
          </w:tcPr>
          <w:p>
            <w:pPr>
              <w:spacing w:after="0"/>
              <w:rPr>
                <w:sz w:val="13"/>
                <w:szCs w:val="13"/>
                <w:color w:val="auto"/>
              </w:rPr>
            </w:pPr>
          </w:p>
        </w:tc>
      </w:tr>
      <w:tr>
        <w:trPr>
          <w:trHeight w:val="153"/>
        </w:trPr>
        <w:tc>
          <w:tcPr>
            <w:tcW w:w="4040" w:type="dxa"/>
            <w:vAlign w:val="bottom"/>
          </w:tcPr>
          <w:p>
            <w:pPr>
              <w:spacing w:after="0"/>
              <w:rPr>
                <w:sz w:val="13"/>
                <w:szCs w:val="13"/>
                <w:color w:val="auto"/>
              </w:rPr>
            </w:pPr>
          </w:p>
        </w:tc>
        <w:tc>
          <w:tcPr>
            <w:tcW w:w="2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84"/>
              <w:spacing w:after="0"/>
              <w:rPr>
                <w:sz w:val="20"/>
                <w:szCs w:val="20"/>
                <w:color w:val="auto"/>
              </w:rPr>
            </w:pPr>
            <w:r>
              <w:rPr>
                <w:rFonts w:ascii="Arial" w:cs="Arial" w:eastAsia="Arial" w:hAnsi="Arial"/>
                <w:sz w:val="13"/>
                <w:szCs w:val="13"/>
                <w:b w:val="1"/>
                <w:bCs w:val="1"/>
                <w:color w:val="auto"/>
              </w:rPr>
              <w:t>2020</w:t>
            </w:r>
          </w:p>
        </w:tc>
      </w:tr>
      <w:tr>
        <w:trPr>
          <w:trHeight w:val="180"/>
        </w:trPr>
        <w:tc>
          <w:tcPr>
            <w:tcW w:w="40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8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6"/>
                <w:szCs w:val="16"/>
                <w:color w:val="auto"/>
              </w:rPr>
              <w:t>Service cost</w:t>
            </w:r>
          </w:p>
        </w:tc>
        <w:tc>
          <w:tcPr>
            <w:tcW w:w="2560" w:type="dxa"/>
            <w:vAlign w:val="bottom"/>
            <w:gridSpan w:val="2"/>
          </w:tcPr>
          <w:p>
            <w:pPr>
              <w:jc w:val="right"/>
              <w:ind w:right="61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6"/>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188"/>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8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r>
      <w:tr>
        <w:trPr>
          <w:trHeight w:val="188"/>
        </w:trPr>
        <w:tc>
          <w:tcPr>
            <w:tcW w:w="404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188"/>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8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180"/>
        </w:trPr>
        <w:tc>
          <w:tcPr>
            <w:tcW w:w="404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8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2"/>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w:t>
            </w:r>
          </w:p>
        </w:tc>
      </w:tr>
      <w:tr>
        <w:trPr>
          <w:trHeight w:val="20"/>
        </w:trPr>
        <w:tc>
          <w:tcPr>
            <w:tcW w:w="4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386"/>
        </w:trPr>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center"/>
              <w:ind w:right="304"/>
              <w:spacing w:after="0"/>
              <w:rPr>
                <w:sz w:val="20"/>
                <w:szCs w:val="20"/>
                <w:color w:val="auto"/>
              </w:rPr>
            </w:pPr>
            <w:r>
              <w:rPr>
                <w:rFonts w:ascii="Arial" w:cs="Arial" w:eastAsia="Arial" w:hAnsi="Arial"/>
                <w:sz w:val="13"/>
                <w:szCs w:val="13"/>
                <w:b w:val="1"/>
                <w:bCs w:val="1"/>
                <w:color w:val="auto"/>
                <w:w w:val="96"/>
              </w:rPr>
              <w:t>Post-retirement Benefits</w:t>
            </w:r>
          </w:p>
        </w:tc>
      </w:tr>
      <w:tr>
        <w:trPr>
          <w:trHeight w:val="133"/>
        </w:trPr>
        <w:tc>
          <w:tcPr>
            <w:tcW w:w="4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20" w:type="dxa"/>
            <w:vAlign w:val="bottom"/>
            <w:gridSpan w:val="4"/>
          </w:tcPr>
          <w:p>
            <w:pPr>
              <w:jc w:val="center"/>
              <w:ind w:left="232"/>
              <w:spacing w:after="0" w:line="133" w:lineRule="exact"/>
              <w:rPr>
                <w:sz w:val="20"/>
                <w:szCs w:val="20"/>
                <w:color w:val="auto"/>
              </w:rPr>
            </w:pPr>
            <w:r>
              <w:rPr>
                <w:rFonts w:ascii="Arial" w:cs="Arial" w:eastAsia="Arial" w:hAnsi="Arial"/>
                <w:sz w:val="13"/>
                <w:szCs w:val="13"/>
                <w:b w:val="1"/>
                <w:bCs w:val="1"/>
                <w:color w:val="auto"/>
                <w:w w:val="95"/>
              </w:rPr>
              <w:t>For the Six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304"/>
              <w:spacing w:after="0" w:line="133" w:lineRule="exact"/>
              <w:rPr>
                <w:sz w:val="20"/>
                <w:szCs w:val="20"/>
                <w:color w:val="auto"/>
              </w:rPr>
            </w:pPr>
            <w:r>
              <w:rPr>
                <w:rFonts w:ascii="Arial" w:cs="Arial" w:eastAsia="Arial" w:hAnsi="Arial"/>
                <w:sz w:val="13"/>
                <w:szCs w:val="13"/>
                <w:b w:val="1"/>
                <w:bCs w:val="1"/>
                <w:color w:val="auto"/>
                <w:w w:val="97"/>
              </w:rPr>
              <w:t>For the Six Months</w:t>
            </w:r>
          </w:p>
        </w:tc>
      </w:tr>
      <w:tr>
        <w:trPr>
          <w:trHeight w:val="153"/>
        </w:trPr>
        <w:tc>
          <w:tcPr>
            <w:tcW w:w="4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60" w:type="dxa"/>
            <w:vAlign w:val="bottom"/>
            <w:gridSpan w:val="3"/>
          </w:tcPr>
          <w:p>
            <w:pPr>
              <w:jc w:val="center"/>
              <w:ind w:right="391"/>
              <w:spacing w:after="0"/>
              <w:rPr>
                <w:sz w:val="20"/>
                <w:szCs w:val="20"/>
                <w:color w:val="auto"/>
              </w:rPr>
            </w:pPr>
            <w:r>
              <w:rPr>
                <w:rFonts w:ascii="Arial" w:cs="Arial" w:eastAsia="Arial" w:hAnsi="Arial"/>
                <w:sz w:val="13"/>
                <w:szCs w:val="13"/>
                <w:b w:val="1"/>
                <w:bCs w:val="1"/>
                <w:color w:val="auto"/>
                <w:w w:val="96"/>
              </w:rPr>
              <w:t>Ended 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09"/>
              <w:spacing w:after="0"/>
              <w:rPr>
                <w:sz w:val="20"/>
                <w:szCs w:val="20"/>
                <w:color w:val="auto"/>
              </w:rPr>
            </w:pPr>
            <w:r>
              <w:rPr>
                <w:rFonts w:ascii="Arial" w:cs="Arial" w:eastAsia="Arial" w:hAnsi="Arial"/>
                <w:sz w:val="13"/>
                <w:szCs w:val="13"/>
                <w:b w:val="1"/>
                <w:bCs w:val="1"/>
                <w:color w:val="auto"/>
                <w:w w:val="96"/>
              </w:rPr>
              <w:t>Ended June 30,</w:t>
            </w:r>
          </w:p>
        </w:tc>
        <w:tc>
          <w:tcPr>
            <w:tcW w:w="880" w:type="dxa"/>
            <w:vAlign w:val="bottom"/>
          </w:tcPr>
          <w:p>
            <w:pPr>
              <w:spacing w:after="0"/>
              <w:rPr>
                <w:sz w:val="13"/>
                <w:szCs w:val="13"/>
                <w:color w:val="auto"/>
              </w:rPr>
            </w:pPr>
          </w:p>
        </w:tc>
      </w:tr>
      <w:tr>
        <w:trPr>
          <w:trHeight w:val="153"/>
        </w:trPr>
        <w:tc>
          <w:tcPr>
            <w:tcW w:w="4040" w:type="dxa"/>
            <w:vAlign w:val="bottom"/>
          </w:tcPr>
          <w:p>
            <w:pPr>
              <w:spacing w:after="0"/>
              <w:rPr>
                <w:sz w:val="13"/>
                <w:szCs w:val="13"/>
                <w:color w:val="auto"/>
              </w:rPr>
            </w:pPr>
          </w:p>
        </w:tc>
        <w:tc>
          <w:tcPr>
            <w:tcW w:w="2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84"/>
              <w:spacing w:after="0"/>
              <w:rPr>
                <w:sz w:val="20"/>
                <w:szCs w:val="20"/>
                <w:color w:val="auto"/>
              </w:rPr>
            </w:pPr>
            <w:r>
              <w:rPr>
                <w:rFonts w:ascii="Arial" w:cs="Arial" w:eastAsia="Arial" w:hAnsi="Arial"/>
                <w:sz w:val="13"/>
                <w:szCs w:val="13"/>
                <w:b w:val="1"/>
                <w:bCs w:val="1"/>
                <w:color w:val="auto"/>
              </w:rPr>
              <w:t>2020</w:t>
            </w:r>
          </w:p>
        </w:tc>
      </w:tr>
      <w:tr>
        <w:trPr>
          <w:trHeight w:val="180"/>
        </w:trPr>
        <w:tc>
          <w:tcPr>
            <w:tcW w:w="40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8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6"/>
                <w:szCs w:val="16"/>
                <w:color w:val="auto"/>
              </w:rPr>
              <w:t>Service cost</w:t>
            </w:r>
          </w:p>
        </w:tc>
        <w:tc>
          <w:tcPr>
            <w:tcW w:w="2560" w:type="dxa"/>
            <w:vAlign w:val="bottom"/>
            <w:gridSpan w:val="2"/>
          </w:tcPr>
          <w:p>
            <w:pPr>
              <w:jc w:val="right"/>
              <w:ind w:right="61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6"/>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188"/>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8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r>
      <w:tr>
        <w:trPr>
          <w:trHeight w:val="188"/>
        </w:trPr>
        <w:tc>
          <w:tcPr>
            <w:tcW w:w="404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188"/>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8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r>
      <w:tr>
        <w:trPr>
          <w:trHeight w:val="180"/>
        </w:trPr>
        <w:tc>
          <w:tcPr>
            <w:tcW w:w="404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8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4</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2"/>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w:t>
            </w:r>
          </w:p>
        </w:tc>
      </w:tr>
      <w:tr>
        <w:trPr>
          <w:trHeight w:val="20"/>
        </w:trPr>
        <w:tc>
          <w:tcPr>
            <w:tcW w:w="4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60" w:firstLine="522"/>
        <w:spacing w:after="0" w:line="237" w:lineRule="auto"/>
        <w:rPr>
          <w:sz w:val="20"/>
          <w:szCs w:val="20"/>
          <w:color w:val="auto"/>
        </w:rPr>
      </w:pPr>
      <w:r>
        <w:rPr>
          <w:rFonts w:ascii="Arial" w:cs="Arial" w:eastAsia="Arial" w:hAnsi="Arial"/>
          <w:sz w:val="16"/>
          <w:szCs w:val="16"/>
          <w:color w:val="auto"/>
        </w:rPr>
        <w:t>The components of net periodic benefit cost (credit) other than the service cost component are included in Other income, net in the Condensed Consolidated Statements of Comprehensive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INCOME TAXES</w:t>
      </w:r>
    </w:p>
    <w:p>
      <w:pPr>
        <w:spacing w:after="0" w:line="106" w:lineRule="exact"/>
        <w:rPr>
          <w:sz w:val="20"/>
          <w:szCs w:val="20"/>
          <w:color w:val="auto"/>
        </w:rPr>
      </w:pPr>
    </w:p>
    <w:p>
      <w:pPr>
        <w:ind w:right="220" w:firstLine="522"/>
        <w:spacing w:after="0" w:line="233" w:lineRule="auto"/>
        <w:rPr>
          <w:sz w:val="20"/>
          <w:szCs w:val="20"/>
          <w:color w:val="auto"/>
        </w:rPr>
      </w:pPr>
      <w:r>
        <w:rPr>
          <w:rFonts w:ascii="Arial" w:cs="Arial" w:eastAsia="Arial" w:hAnsi="Arial"/>
          <w:sz w:val="16"/>
          <w:szCs w:val="16"/>
          <w:color w:val="auto"/>
        </w:rPr>
        <w:t>For the three and six months ended June 30, 2021, the Company recorded total income tax expense of $30 million and $64 million, respectively. The effective tax rate for the three and six months ended June 30, 2021 was 21% and 22%, respectively. For the three and six months ended June 30, 2020, the Company recorded total income tax expense of $7 million and $49 million, respectively. The effective tax rate for both the three and six months ended June 30, 2020 was 23%.</w:t>
      </w:r>
    </w:p>
    <w:p>
      <w:pPr>
        <w:spacing w:after="0" w:line="84"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97"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84"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In accordance with the FASB’s authoritative guidance on accounting for income taxes, the Company has recorded a liability for unrecognized tax benefits related to a 2010 Research and Development Credit as of June 30, 2021 and December 31, 2020.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ACCUMULATED OTHER COMPREHENSIVE LOSS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reconcile changes in AOCL by component (net of tax,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5"/>
              </w:rPr>
              <w:t>Three months ended</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33"/>
        </w:trPr>
        <w:tc>
          <w:tcPr>
            <w:tcW w:w="5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7"/>
              </w:rPr>
              <w:t>and OPEB</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8"/>
              </w:rPr>
              <w:t>liability</w:t>
            </w:r>
          </w:p>
        </w:tc>
        <w:tc>
          <w:tcPr>
            <w:tcW w:w="160" w:type="dxa"/>
            <w:vAlign w:val="bottom"/>
          </w:tcPr>
          <w:p>
            <w:pPr>
              <w:spacing w:after="0"/>
              <w:rPr>
                <w:sz w:val="12"/>
                <w:szCs w:val="12"/>
                <w:color w:val="auto"/>
              </w:rPr>
            </w:pPr>
          </w:p>
        </w:tc>
        <w:tc>
          <w:tcPr>
            <w:tcW w:w="1100" w:type="dxa"/>
            <w:vAlign w:val="bottom"/>
          </w:tcPr>
          <w:p>
            <w:pPr>
              <w:jc w:val="center"/>
              <w:ind w:right="205"/>
              <w:spacing w:after="0" w:line="141"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50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6"/>
              </w:rPr>
              <w:t>adjustments</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March 31, 2020</w:t>
            </w:r>
          </w:p>
        </w:tc>
        <w:tc>
          <w:tcPr>
            <w:tcW w:w="9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(49)</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(81)</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188"/>
        </w:trPr>
        <w:tc>
          <w:tcPr>
            <w:tcW w:w="50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 benefit</w:t>
            </w:r>
          </w:p>
        </w:tc>
        <w:tc>
          <w:tcPr>
            <w:tcW w:w="7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7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w:t>
            </w:r>
          </w:p>
        </w:tc>
      </w:tr>
      <w:tr>
        <w:trPr>
          <w:trHeight w:val="220"/>
        </w:trPr>
        <w:tc>
          <w:tcPr>
            <w:tcW w:w="50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AOCL as of June 30, 2020</w:t>
            </w:r>
          </w:p>
        </w:tc>
        <w:tc>
          <w:tcPr>
            <w:tcW w:w="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(85)</w:t>
            </w:r>
          </w:p>
        </w:tc>
      </w:tr>
      <w:tr>
        <w:trPr>
          <w:trHeight w:val="163"/>
        </w:trPr>
        <w:tc>
          <w:tcPr>
            <w:tcW w:w="508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March 31, 2021</w:t>
            </w:r>
          </w:p>
        </w:tc>
        <w:tc>
          <w:tcPr>
            <w:tcW w:w="90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7"/>
              <w:spacing w:after="0" w:line="163"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(35)</w:t>
            </w:r>
          </w:p>
        </w:tc>
        <w:tc>
          <w:tcPr>
            <w:tcW w:w="320" w:type="dxa"/>
            <w:vAlign w:val="bottom"/>
            <w:gridSpan w:val="2"/>
            <w:shd w:val="clear" w:color="auto" w:fill="CFF0FC"/>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(86)</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income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2</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Income tax benefit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1</w:t>
            </w:r>
          </w:p>
        </w:tc>
      </w:tr>
      <w:tr>
        <w:trPr>
          <w:trHeight w:val="180"/>
        </w:trPr>
        <w:tc>
          <w:tcPr>
            <w:tcW w:w="50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7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4</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w:t>
            </w:r>
          </w:p>
        </w:tc>
      </w:tr>
      <w:tr>
        <w:trPr>
          <w:trHeight w:val="180"/>
        </w:trPr>
        <w:tc>
          <w:tcPr>
            <w:tcW w:w="5080" w:type="dxa"/>
            <w:vAlign w:val="bottom"/>
          </w:tcPr>
          <w:p>
            <w:pPr>
              <w:spacing w:after="0" w:line="180" w:lineRule="exact"/>
              <w:rPr>
                <w:sz w:val="20"/>
                <w:szCs w:val="20"/>
                <w:color w:val="auto"/>
              </w:rPr>
            </w:pPr>
            <w:r>
              <w:rPr>
                <w:rFonts w:ascii="Arial" w:cs="Arial" w:eastAsia="Arial" w:hAnsi="Arial"/>
                <w:sz w:val="16"/>
                <w:szCs w:val="16"/>
                <w:color w:val="auto"/>
              </w:rPr>
              <w:t>AOCL as of June 30, 2021</w:t>
            </w:r>
          </w:p>
        </w:tc>
        <w:tc>
          <w:tcPr>
            <w:tcW w:w="7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(23)</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(83)</w:t>
            </w:r>
          </w:p>
        </w:tc>
      </w:tr>
      <w:tr>
        <w:trPr>
          <w:trHeight w:val="20"/>
        </w:trPr>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8"/>
        </w:trPr>
        <w:tc>
          <w:tcPr>
            <w:tcW w:w="5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4"/>
              </w:rPr>
              <w:t>Six months ended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3"/>
        </w:trPr>
        <w:tc>
          <w:tcPr>
            <w:tcW w:w="5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7"/>
              </w:rPr>
              <w:t>and OPEB</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8"/>
              </w:rPr>
              <w:t>liability</w:t>
            </w:r>
          </w:p>
        </w:tc>
        <w:tc>
          <w:tcPr>
            <w:tcW w:w="160" w:type="dxa"/>
            <w:vAlign w:val="bottom"/>
          </w:tcPr>
          <w:p>
            <w:pPr>
              <w:spacing w:after="0"/>
              <w:rPr>
                <w:sz w:val="12"/>
                <w:szCs w:val="12"/>
                <w:color w:val="auto"/>
              </w:rPr>
            </w:pPr>
          </w:p>
        </w:tc>
        <w:tc>
          <w:tcPr>
            <w:tcW w:w="1100" w:type="dxa"/>
            <w:vAlign w:val="bottom"/>
          </w:tcPr>
          <w:p>
            <w:pPr>
              <w:jc w:val="center"/>
              <w:ind w:right="205"/>
              <w:spacing w:after="0" w:line="141"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50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6"/>
              </w:rPr>
              <w:t>adjustments</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December 31, 2019</w:t>
            </w:r>
          </w:p>
        </w:tc>
        <w:tc>
          <w:tcPr>
            <w:tcW w:w="9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(26)</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(52)</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188"/>
        </w:trPr>
        <w:tc>
          <w:tcPr>
            <w:tcW w:w="50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 benefit</w:t>
            </w:r>
          </w:p>
        </w:tc>
        <w:tc>
          <w:tcPr>
            <w:tcW w:w="7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7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(33)</w:t>
            </w:r>
          </w:p>
        </w:tc>
      </w:tr>
      <w:tr>
        <w:trPr>
          <w:trHeight w:val="220"/>
        </w:trPr>
        <w:tc>
          <w:tcPr>
            <w:tcW w:w="50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AOCL as of June 30, 2020</w:t>
            </w:r>
          </w:p>
        </w:tc>
        <w:tc>
          <w:tcPr>
            <w:tcW w:w="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(85)</w:t>
            </w:r>
          </w:p>
        </w:tc>
      </w:tr>
      <w:tr>
        <w:trPr>
          <w:trHeight w:val="163"/>
        </w:trPr>
        <w:tc>
          <w:tcPr>
            <w:tcW w:w="508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December 31, 2020</w:t>
            </w:r>
          </w:p>
        </w:tc>
        <w:tc>
          <w:tcPr>
            <w:tcW w:w="90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7"/>
              <w:spacing w:after="0" w:line="163"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(46)</w:t>
            </w:r>
          </w:p>
        </w:tc>
        <w:tc>
          <w:tcPr>
            <w:tcW w:w="320" w:type="dxa"/>
            <w:vAlign w:val="bottom"/>
            <w:gridSpan w:val="2"/>
            <w:shd w:val="clear" w:color="auto" w:fill="CFF0FC"/>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(89)</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6</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180"/>
        </w:trPr>
        <w:tc>
          <w:tcPr>
            <w:tcW w:w="50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7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12</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w:t>
            </w:r>
          </w:p>
        </w:tc>
      </w:tr>
      <w:tr>
        <w:trPr>
          <w:trHeight w:val="180"/>
        </w:trPr>
        <w:tc>
          <w:tcPr>
            <w:tcW w:w="5080" w:type="dxa"/>
            <w:vAlign w:val="bottom"/>
          </w:tcPr>
          <w:p>
            <w:pPr>
              <w:spacing w:after="0" w:line="180" w:lineRule="exact"/>
              <w:rPr>
                <w:sz w:val="20"/>
                <w:szCs w:val="20"/>
                <w:color w:val="auto"/>
              </w:rPr>
            </w:pPr>
            <w:r>
              <w:rPr>
                <w:rFonts w:ascii="Arial" w:cs="Arial" w:eastAsia="Arial" w:hAnsi="Arial"/>
                <w:sz w:val="16"/>
                <w:szCs w:val="16"/>
                <w:color w:val="auto"/>
              </w:rPr>
              <w:t>AOCL as of June 30, 2021</w:t>
            </w:r>
          </w:p>
        </w:tc>
        <w:tc>
          <w:tcPr>
            <w:tcW w:w="7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(23)</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(83)</w:t>
            </w:r>
          </w:p>
        </w:tc>
      </w:tr>
      <w:tr>
        <w:trPr>
          <w:trHeight w:val="20"/>
        </w:trPr>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3"/>
                <w:szCs w:val="13"/>
                <w:b w:val="1"/>
                <w:bCs w:val="1"/>
                <w:color w:val="auto"/>
              </w:rPr>
              <w:t>Amounts reclassified from AOCL</w:t>
            </w:r>
          </w:p>
        </w:tc>
        <w:tc>
          <w:tcPr>
            <w:tcW w:w="34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68"/>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3360" w:type="dxa"/>
            <w:vAlign w:val="bottom"/>
          </w:tcPr>
          <w:p>
            <w:pPr>
              <w:jc w:val="center"/>
              <w:ind w:left="68"/>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June 30, 2021</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June 30, 2020</w:t>
            </w:r>
          </w:p>
        </w:tc>
        <w:tc>
          <w:tcPr>
            <w:tcW w:w="34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68"/>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Interest rate swaps</w:t>
            </w:r>
          </w:p>
        </w:tc>
        <w:tc>
          <w:tcPr>
            <w:tcW w:w="1580" w:type="dxa"/>
            <w:vAlign w:val="bottom"/>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Interest expense, net</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80" w:type="dxa"/>
            <w:vAlign w:val="bottom"/>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Arial" w:cs="Arial" w:eastAsia="Arial" w:hAnsi="Arial"/>
                <w:sz w:val="16"/>
                <w:szCs w:val="16"/>
                <w:color w:val="auto"/>
              </w:rPr>
              <w:t>Income tax expense</w:t>
            </w:r>
          </w:p>
        </w:tc>
        <w:tc>
          <w:tcPr>
            <w:tcW w:w="1580" w:type="dxa"/>
            <w:vAlign w:val="bottom"/>
          </w:tcPr>
          <w:p>
            <w:pPr>
              <w:spacing w:after="0"/>
              <w:rPr>
                <w:sz w:val="16"/>
                <w:szCs w:val="16"/>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360" w:type="dxa"/>
            <w:vAlign w:val="bottom"/>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net of tax</w:t>
            </w:r>
          </w:p>
        </w:tc>
        <w:tc>
          <w:tcPr>
            <w:tcW w:w="1580" w:type="dxa"/>
            <w:vAlign w:val="bottom"/>
            <w:tcBorders>
              <w:top w:val="single" w:sz="8" w:color="auto"/>
              <w:bottom w:val="single" w:sz="8" w:color="auto"/>
            </w:tcBorders>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580" w:type="dxa"/>
            <w:vAlign w:val="bottom"/>
            <w:tcBorders>
              <w:top w:val="single" w:sz="8" w:color="auto"/>
              <w:bottom w:val="single" w:sz="8" w:color="auto"/>
            </w:tcBorders>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w:t>
            </w:r>
          </w:p>
        </w:tc>
        <w:tc>
          <w:tcPr>
            <w:tcW w:w="336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3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-26670</wp:posOffset>
            </wp:positionV>
            <wp:extent cx="3302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3"/>
                <w:szCs w:val="13"/>
                <w:b w:val="1"/>
                <w:bCs w:val="1"/>
                <w:color w:val="auto"/>
              </w:rPr>
              <w:t>Amounts reclassified from AOCL</w:t>
            </w:r>
          </w:p>
        </w:tc>
        <w:tc>
          <w:tcPr>
            <w:tcW w:w="38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68"/>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40" w:type="dxa"/>
            <w:vAlign w:val="bottom"/>
          </w:tcPr>
          <w:p>
            <w:pPr>
              <w:jc w:val="right"/>
              <w:ind w:right="32"/>
              <w:spacing w:after="0" w:line="141" w:lineRule="exact"/>
              <w:rPr>
                <w:sz w:val="20"/>
                <w:szCs w:val="20"/>
                <w:color w:val="auto"/>
              </w:rPr>
            </w:pPr>
            <w:r>
              <w:rPr>
                <w:rFonts w:ascii="Arial" w:cs="Arial" w:eastAsia="Arial" w:hAnsi="Arial"/>
                <w:sz w:val="13"/>
                <w:szCs w:val="13"/>
                <w:b w:val="1"/>
                <w:bCs w:val="1"/>
                <w:color w:val="auto"/>
              </w:rPr>
              <w:t>Six months 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right"/>
              <w:ind w:right="31"/>
              <w:spacing w:after="0" w:line="141" w:lineRule="exact"/>
              <w:rPr>
                <w:sz w:val="20"/>
                <w:szCs w:val="20"/>
                <w:color w:val="auto"/>
              </w:rPr>
            </w:pPr>
            <w:r>
              <w:rPr>
                <w:rFonts w:ascii="Arial" w:cs="Arial" w:eastAsia="Arial" w:hAnsi="Arial"/>
                <w:sz w:val="13"/>
                <w:szCs w:val="13"/>
                <w:b w:val="1"/>
                <w:bCs w:val="1"/>
                <w:color w:val="auto"/>
              </w:rPr>
              <w:t>Six months ended</w:t>
            </w:r>
          </w:p>
        </w:tc>
        <w:tc>
          <w:tcPr>
            <w:tcW w:w="380" w:type="dxa"/>
            <w:vAlign w:val="bottom"/>
          </w:tcPr>
          <w:p>
            <w:pPr>
              <w:spacing w:after="0"/>
              <w:rPr>
                <w:sz w:val="12"/>
                <w:szCs w:val="12"/>
                <w:color w:val="auto"/>
              </w:rPr>
            </w:pPr>
          </w:p>
        </w:tc>
        <w:tc>
          <w:tcPr>
            <w:tcW w:w="3360" w:type="dxa"/>
            <w:vAlign w:val="bottom"/>
          </w:tcPr>
          <w:p>
            <w:pPr>
              <w:jc w:val="center"/>
              <w:ind w:left="68"/>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June 30, 2021</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June 30, 2020</w:t>
            </w:r>
          </w:p>
        </w:tc>
        <w:tc>
          <w:tcPr>
            <w:tcW w:w="38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68"/>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Interest rate swaps</w:t>
            </w:r>
          </w:p>
        </w:tc>
        <w:tc>
          <w:tcPr>
            <w:tcW w:w="1540" w:type="dxa"/>
            <w:vAlign w:val="bottom"/>
            <w:shd w:val="clear" w:color="auto" w:fill="CFF0FC"/>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39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Interest expense, net</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w:t>
            </w:r>
          </w:p>
        </w:tc>
        <w:tc>
          <w:tcPr>
            <w:tcW w:w="180" w:type="dxa"/>
            <w:vAlign w:val="bottom"/>
            <w:tcBorders>
              <w:bottom w:val="single" w:sz="8" w:color="CFF0FC"/>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40" w:type="dxa"/>
            <w:vAlign w:val="bottom"/>
            <w:shd w:val="clear" w:color="auto" w:fill="CFF0FC"/>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39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20"/>
                <w:szCs w:val="20"/>
                <w:color w:val="auto"/>
              </w:rPr>
            </w:pPr>
            <w:r>
              <w:rPr>
                <w:rFonts w:ascii="Arial" w:cs="Arial" w:eastAsia="Arial" w:hAnsi="Arial"/>
                <w:sz w:val="16"/>
                <w:szCs w:val="16"/>
                <w:color w:val="auto"/>
              </w:rPr>
              <w:t>Income tax expense</w:t>
            </w:r>
          </w:p>
        </w:tc>
        <w:tc>
          <w:tcPr>
            <w:tcW w:w="1540" w:type="dxa"/>
            <w:vAlign w:val="bottom"/>
          </w:tcPr>
          <w:p>
            <w:pPr>
              <w:spacing w:after="0"/>
              <w:rPr>
                <w:sz w:val="16"/>
                <w:szCs w:val="16"/>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3360" w:type="dxa"/>
            <w:vAlign w:val="bottom"/>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540" w:type="dxa"/>
            <w:vAlign w:val="bottom"/>
            <w:tcBorders>
              <w:top w:val="single" w:sz="8" w:color="auto"/>
              <w:bottom w:val="single" w:sz="8" w:color="auto"/>
            </w:tcBorders>
            <w:shd w:val="clear" w:color="auto" w:fill="CFF0FC"/>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540" w:type="dxa"/>
            <w:vAlign w:val="bottom"/>
            <w:tcBorders>
              <w:top w:val="single" w:sz="8" w:color="auto"/>
              <w:bottom w:val="single" w:sz="8" w:color="auto"/>
            </w:tcBorders>
            <w:shd w:val="clear" w:color="auto" w:fill="CFF0FC"/>
          </w:tcPr>
          <w:p>
            <w:pPr>
              <w:jc w:val="right"/>
              <w:ind w:right="1391"/>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336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522"/>
        <w:spacing w:after="0" w:line="237"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(credit). See NOTE M, “Employee Benefit Plans” for additional details.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COMMITMENTS AND CONTINGENCIES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04" w:lineRule="exact"/>
        <w:rPr>
          <w:sz w:val="20"/>
          <w:szCs w:val="20"/>
          <w:color w:val="auto"/>
        </w:rPr>
      </w:pPr>
    </w:p>
    <w:p>
      <w:pPr>
        <w:ind w:right="320" w:firstLine="522"/>
        <w:spacing w:after="0" w:line="234"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As of June 30, 2021, the Company had a liability recorded in the amount of $3 million.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04" w:lineRule="exact"/>
        <w:rPr>
          <w:sz w:val="20"/>
          <w:szCs w:val="20"/>
          <w:color w:val="auto"/>
        </w:rPr>
      </w:pPr>
    </w:p>
    <w:p>
      <w:pPr>
        <w:ind w:right="120" w:firstLine="522"/>
        <w:spacing w:after="0" w:line="252" w:lineRule="auto"/>
        <w:rPr>
          <w:sz w:val="20"/>
          <w:szCs w:val="20"/>
          <w:color w:val="auto"/>
        </w:rPr>
      </w:pPr>
      <w:r>
        <w:rPr>
          <w:rFonts w:ascii="Arial" w:cs="Arial" w:eastAsia="Arial" w:hAnsi="Arial"/>
          <w:sz w:val="15"/>
          <w:szCs w:val="15"/>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EARNINGS PER SHARE</w:t>
      </w:r>
    </w:p>
    <w:p>
      <w:pPr>
        <w:spacing w:after="0" w:line="106" w:lineRule="exact"/>
        <w:rPr>
          <w:sz w:val="20"/>
          <w:szCs w:val="20"/>
          <w:color w:val="auto"/>
        </w:rPr>
      </w:pPr>
    </w:p>
    <w:p>
      <w:pPr>
        <w:ind w:right="60" w:firstLine="522"/>
        <w:spacing w:after="0" w:line="23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each of the three and six months ended June 30, 2021 and 2020, there were 1 million outstanding stock options excluded from the diluted EPS calculation because they were anti-dilutive.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gridSpan w:val="4"/>
          </w:tcPr>
          <w:p>
            <w:pPr>
              <w:jc w:val="right"/>
              <w:ind w:right="19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Six Months Ended</w:t>
            </w:r>
          </w:p>
        </w:tc>
        <w:tc>
          <w:tcPr>
            <w:tcW w:w="840" w:type="dxa"/>
            <w:vAlign w:val="bottom"/>
          </w:tcPr>
          <w:p>
            <w:pPr>
              <w:spacing w:after="0"/>
              <w:rPr>
                <w:sz w:val="13"/>
                <w:szCs w:val="13"/>
                <w:color w:val="auto"/>
              </w:rPr>
            </w:pPr>
          </w:p>
        </w:tc>
      </w:tr>
      <w:tr>
        <w:trPr>
          <w:trHeight w:val="153"/>
        </w:trPr>
        <w:tc>
          <w:tcPr>
            <w:tcW w:w="5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ind w:right="222"/>
              <w:spacing w:after="0"/>
              <w:rPr>
                <w:sz w:val="20"/>
                <w:szCs w:val="20"/>
                <w:color w:val="auto"/>
              </w:rPr>
            </w:pPr>
            <w:r>
              <w:rPr>
                <w:rFonts w:ascii="Arial" w:cs="Arial" w:eastAsia="Arial" w:hAnsi="Arial"/>
                <w:sz w:val="13"/>
                <w:szCs w:val="13"/>
                <w:b w:val="1"/>
                <w:bCs w:val="1"/>
                <w:color w:val="auto"/>
              </w:rPr>
              <w:t>June 30,</w:t>
            </w:r>
          </w:p>
        </w:tc>
        <w:tc>
          <w:tcPr>
            <w:tcW w:w="840" w:type="dxa"/>
            <w:vAlign w:val="bottom"/>
          </w:tcPr>
          <w:p>
            <w:pPr>
              <w:spacing w:after="0"/>
              <w:rPr>
                <w:sz w:val="13"/>
                <w:szCs w:val="13"/>
                <w:color w:val="auto"/>
              </w:rPr>
            </w:pPr>
          </w:p>
        </w:tc>
      </w:tr>
      <w:tr>
        <w:trPr>
          <w:trHeight w:val="153"/>
        </w:trPr>
        <w:tc>
          <w:tcPr>
            <w:tcW w:w="522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ind w:right="484"/>
              <w:spacing w:after="0"/>
              <w:rPr>
                <w:sz w:val="20"/>
                <w:szCs w:val="20"/>
                <w:color w:val="auto"/>
              </w:rPr>
            </w:pPr>
            <w:r>
              <w:rPr>
                <w:rFonts w:ascii="Arial" w:cs="Arial" w:eastAsia="Arial" w:hAnsi="Arial"/>
                <w:sz w:val="13"/>
                <w:szCs w:val="13"/>
                <w:b w:val="1"/>
                <w:bCs w:val="1"/>
                <w:color w:val="auto"/>
                <w:w w:val="89"/>
              </w:rPr>
              <w:t>2020</w:t>
            </w:r>
          </w:p>
        </w:tc>
      </w:tr>
      <w:tr>
        <w:trPr>
          <w:trHeight w:val="180"/>
        </w:trPr>
        <w:tc>
          <w:tcPr>
            <w:tcW w:w="522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62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110</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230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jc w:val="right"/>
              <w:ind w:right="262"/>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162</w:t>
            </w:r>
          </w:p>
        </w:tc>
      </w:tr>
      <w:tr>
        <w:trPr>
          <w:trHeight w:val="20"/>
        </w:trPr>
        <w:tc>
          <w:tcPr>
            <w:tcW w:w="5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5220" w:type="dxa"/>
            <w:vAlign w:val="bottom"/>
          </w:tcPr>
          <w:p>
            <w:pPr>
              <w:spacing w:after="0" w:line="163" w:lineRule="exact"/>
              <w:rPr>
                <w:sz w:val="20"/>
                <w:szCs w:val="20"/>
                <w:color w:val="auto"/>
              </w:rPr>
            </w:pPr>
            <w:r>
              <w:rPr>
                <w:rFonts w:ascii="Arial" w:cs="Arial" w:eastAsia="Arial" w:hAnsi="Arial"/>
                <w:sz w:val="16"/>
                <w:szCs w:val="16"/>
                <w:color w:val="auto"/>
              </w:rPr>
              <w:t>Weighted average shares of common stock outstanding</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44"/>
              <w:spacing w:after="0" w:line="163" w:lineRule="exact"/>
              <w:rPr>
                <w:sz w:val="20"/>
                <w:szCs w:val="20"/>
                <w:color w:val="auto"/>
              </w:rPr>
            </w:pPr>
            <w:r>
              <w:rPr>
                <w:rFonts w:ascii="Arial" w:cs="Arial" w:eastAsia="Arial" w:hAnsi="Arial"/>
                <w:sz w:val="16"/>
                <w:szCs w:val="16"/>
                <w:b w:val="1"/>
                <w:bCs w:val="1"/>
                <w:color w:val="auto"/>
              </w:rPr>
              <w:t>109</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ind w:right="42"/>
              <w:spacing w:after="0" w:line="163" w:lineRule="exact"/>
              <w:rPr>
                <w:sz w:val="20"/>
                <w:szCs w:val="20"/>
                <w:color w:val="auto"/>
              </w:rPr>
            </w:pPr>
            <w:r>
              <w:rPr>
                <w:rFonts w:ascii="Arial" w:cs="Arial" w:eastAsia="Arial" w:hAnsi="Arial"/>
                <w:sz w:val="16"/>
                <w:szCs w:val="16"/>
                <w:color w:val="auto"/>
              </w:rPr>
              <w:t>113</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right"/>
              <w:ind w:right="46"/>
              <w:spacing w:after="0" w:line="163" w:lineRule="exact"/>
              <w:rPr>
                <w:sz w:val="20"/>
                <w:szCs w:val="20"/>
                <w:color w:val="auto"/>
              </w:rPr>
            </w:pPr>
            <w:r>
              <w:rPr>
                <w:rFonts w:ascii="Arial" w:cs="Arial" w:eastAsia="Arial" w:hAnsi="Arial"/>
                <w:sz w:val="16"/>
                <w:szCs w:val="16"/>
                <w:b w:val="1"/>
                <w:bCs w:val="1"/>
                <w:color w:val="auto"/>
              </w:rPr>
              <w:t>110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4"/>
              <w:spacing w:after="0" w:line="163" w:lineRule="exact"/>
              <w:rPr>
                <w:sz w:val="20"/>
                <w:szCs w:val="20"/>
                <w:color w:val="auto"/>
              </w:rPr>
            </w:pPr>
            <w:r>
              <w:rPr>
                <w:rFonts w:ascii="Arial" w:cs="Arial" w:eastAsia="Arial" w:hAnsi="Arial"/>
                <w:sz w:val="16"/>
                <w:szCs w:val="16"/>
                <w:color w:val="auto"/>
              </w:rPr>
              <w:t>114</w:t>
            </w:r>
          </w:p>
        </w:tc>
      </w:tr>
      <w:tr>
        <w:trPr>
          <w:trHeight w:val="188"/>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r>
      <w:tr>
        <w:trPr>
          <w:trHeight w:val="220"/>
        </w:trPr>
        <w:tc>
          <w:tcPr>
            <w:tcW w:w="522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6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109</w:t>
            </w:r>
          </w:p>
        </w:tc>
        <w:tc>
          <w:tcPr>
            <w:tcW w:w="1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114</w:t>
            </w:r>
          </w:p>
        </w:tc>
        <w:tc>
          <w:tcPr>
            <w:tcW w:w="12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111</w:t>
            </w: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115</w:t>
            </w:r>
          </w:p>
        </w:tc>
      </w:tr>
      <w:tr>
        <w:trPr>
          <w:trHeight w:val="163"/>
        </w:trPr>
        <w:tc>
          <w:tcPr>
            <w:tcW w:w="5220" w:type="dxa"/>
            <w:vAlign w:val="bottom"/>
            <w:tcBorders>
              <w:bottom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6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10"/>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b w:val="1"/>
                <w:bCs w:val="1"/>
                <w:color w:val="auto"/>
              </w:rPr>
              <w:t>1.01</w:t>
            </w:r>
          </w:p>
        </w:tc>
        <w:tc>
          <w:tcPr>
            <w:tcW w:w="1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0.20</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67"/>
              <w:spacing w:after="0" w:line="163" w:lineRule="exact"/>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ind w:right="46"/>
              <w:spacing w:after="0" w:line="163" w:lineRule="exact"/>
              <w:rPr>
                <w:sz w:val="20"/>
                <w:szCs w:val="20"/>
                <w:color w:val="auto"/>
              </w:rPr>
            </w:pPr>
            <w:r>
              <w:rPr>
                <w:rFonts w:ascii="Arial" w:cs="Arial" w:eastAsia="Arial" w:hAnsi="Arial"/>
                <w:sz w:val="16"/>
                <w:szCs w:val="16"/>
                <w:b w:val="1"/>
                <w:bCs w:val="1"/>
                <w:color w:val="auto"/>
              </w:rPr>
              <w:t>2.09</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262"/>
              <w:spacing w:after="0" w:line="16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1.42</w:t>
            </w:r>
          </w:p>
        </w:tc>
      </w:tr>
      <w:tr>
        <w:trPr>
          <w:trHeight w:val="20"/>
        </w:trPr>
        <w:tc>
          <w:tcPr>
            <w:tcW w:w="5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3"/>
        </w:trPr>
        <w:tc>
          <w:tcPr>
            <w:tcW w:w="5220" w:type="dxa"/>
            <w:vAlign w:val="bottom"/>
          </w:tcPr>
          <w:p>
            <w:pPr>
              <w:ind w:left="200"/>
              <w:spacing w:after="0" w:line="163" w:lineRule="exact"/>
              <w:rPr>
                <w:sz w:val="20"/>
                <w:szCs w:val="20"/>
                <w:color w:val="auto"/>
              </w:rPr>
            </w:pPr>
            <w:r>
              <w:rPr>
                <w:rFonts w:ascii="Arial" w:cs="Arial" w:eastAsia="Arial" w:hAnsi="Arial"/>
                <w:sz w:val="16"/>
                <w:szCs w:val="16"/>
                <w:color w:val="auto"/>
              </w:rPr>
              <w:t>Diluted earnings per share attributable to common stockholders</w:t>
            </w:r>
          </w:p>
        </w:tc>
        <w:tc>
          <w:tcPr>
            <w:tcW w:w="6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10"/>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4"/>
              <w:spacing w:after="0" w:line="163" w:lineRule="exact"/>
              <w:rPr>
                <w:sz w:val="20"/>
                <w:szCs w:val="20"/>
                <w:color w:val="auto"/>
              </w:rPr>
            </w:pPr>
            <w:r>
              <w:rPr>
                <w:rFonts w:ascii="Arial" w:cs="Arial" w:eastAsia="Arial" w:hAnsi="Arial"/>
                <w:sz w:val="16"/>
                <w:szCs w:val="16"/>
                <w:b w:val="1"/>
                <w:bCs w:val="1"/>
                <w:color w:val="auto"/>
              </w:rPr>
              <w:t>1.01</w:t>
            </w: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42"/>
              <w:spacing w:after="0" w:line="163" w:lineRule="exact"/>
              <w:rPr>
                <w:sz w:val="20"/>
                <w:szCs w:val="20"/>
                <w:color w:val="auto"/>
              </w:rPr>
            </w:pPr>
            <w:r>
              <w:rPr>
                <w:rFonts w:ascii="Arial" w:cs="Arial" w:eastAsia="Arial" w:hAnsi="Arial"/>
                <w:sz w:val="16"/>
                <w:szCs w:val="16"/>
                <w:color w:val="auto"/>
              </w:rPr>
              <w:t>0.20</w:t>
            </w:r>
          </w:p>
        </w:tc>
        <w:tc>
          <w:tcPr>
            <w:tcW w:w="1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67"/>
              <w:spacing w:after="0" w:line="163" w:lineRule="exact"/>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ind w:right="46"/>
              <w:spacing w:after="0" w:line="163" w:lineRule="exact"/>
              <w:rPr>
                <w:sz w:val="20"/>
                <w:szCs w:val="20"/>
                <w:color w:val="auto"/>
              </w:rPr>
            </w:pPr>
            <w:r>
              <w:rPr>
                <w:rFonts w:ascii="Arial" w:cs="Arial" w:eastAsia="Arial" w:hAnsi="Arial"/>
                <w:sz w:val="16"/>
                <w:szCs w:val="16"/>
                <w:b w:val="1"/>
                <w:bCs w:val="1"/>
                <w:color w:val="auto"/>
              </w:rPr>
              <w:t>2.07</w:t>
            </w: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2"/>
              <w:spacing w:after="0" w:line="16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4"/>
              <w:spacing w:after="0" w:line="163" w:lineRule="exact"/>
              <w:rPr>
                <w:sz w:val="20"/>
                <w:szCs w:val="20"/>
                <w:color w:val="auto"/>
              </w:rPr>
            </w:pPr>
            <w:r>
              <w:rPr>
                <w:rFonts w:ascii="Arial" w:cs="Arial" w:eastAsia="Arial" w:hAnsi="Arial"/>
                <w:sz w:val="16"/>
                <w:szCs w:val="16"/>
                <w:color w:val="auto"/>
              </w:rPr>
              <w:t>1.41</w:t>
            </w:r>
          </w:p>
        </w:tc>
      </w:tr>
      <w:tr>
        <w:trPr>
          <w:trHeight w:val="20"/>
        </w:trPr>
        <w:tc>
          <w:tcPr>
            <w:tcW w:w="5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COMMON STOCK</w:t>
      </w:r>
    </w:p>
    <w:p>
      <w:pPr>
        <w:spacing w:after="0" w:line="106" w:lineRule="exact"/>
        <w:rPr>
          <w:sz w:val="20"/>
          <w:szCs w:val="20"/>
          <w:color w:val="auto"/>
        </w:rPr>
      </w:pPr>
    </w:p>
    <w:p>
      <w:pPr>
        <w:ind w:right="200" w:firstLine="522"/>
        <w:spacing w:after="0" w:line="232" w:lineRule="auto"/>
        <w:rPr>
          <w:sz w:val="20"/>
          <w:szCs w:val="20"/>
          <w:color w:val="auto"/>
        </w:rPr>
      </w:pPr>
      <w:r>
        <w:rPr>
          <w:rFonts w:ascii="Arial" w:cs="Arial" w:eastAsia="Arial" w:hAnsi="Arial"/>
          <w:sz w:val="16"/>
          <w:szCs w:val="16"/>
          <w:color w:val="auto"/>
        </w:rPr>
        <w:t>During the three and six months ended June 30, 2021, the Company repurchased $130 million and $ 226 million, respectively, of its common stock under the current stock repurchase program authorized by the Board of Directors (“Repurchase Program”), leaving $601 million of authorized repurchases remaining under the Repurchase Program as of June 30, 2021.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01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23" w:lineRule="exact"/>
        <w:rPr>
          <w:sz w:val="20"/>
          <w:szCs w:val="20"/>
          <w:color w:val="auto"/>
        </w:rPr>
      </w:pPr>
    </w:p>
    <w:p>
      <w:pPr>
        <w:jc w:val="both"/>
        <w:ind w:firstLine="522"/>
        <w:spacing w:after="0" w:line="242"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6"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2020 as filed with the Securities and Exchange Commission ("SEC") on February 18, 2021. Our actual results may differ materially from those contained in or implied by any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3" w:lineRule="exact"/>
        <w:rPr>
          <w:sz w:val="20"/>
          <w:szCs w:val="20"/>
          <w:color w:val="auto"/>
        </w:rPr>
      </w:pPr>
    </w:p>
    <w:p>
      <w:pPr>
        <w:ind w:firstLine="522"/>
        <w:spacing w:after="0" w:line="252"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60" w:firstLine="528"/>
        <w:spacing w:after="0" w:line="266" w:lineRule="auto"/>
        <w:rPr>
          <w:sz w:val="20"/>
          <w:szCs w:val="20"/>
          <w:color w:val="auto"/>
        </w:rPr>
      </w:pPr>
      <w:r>
        <w:rPr>
          <w:rFonts w:ascii="Arial" w:cs="Arial" w:eastAsia="Arial" w:hAnsi="Arial"/>
          <w:sz w:val="15"/>
          <w:szCs w:val="15"/>
          <w:color w:val="auto"/>
        </w:rPr>
        <w:t>Although approximately 79% of revenues were generated in North America in 2020, we have a global presence by serving customers in Europe, Asia, South America and Africa. We serve customers through an independent network of approximately 1,400 independent distributor and dealer locations worldwide.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106"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In the first half of 2021, the COVID-19 pandemic continued to cause supply chain, labor and raw material constraints that created volatility in our business performance and impacted global markets and supply chains. As a result, we have experienced raw material and component price inflation, increased freight cost and increased overtime expense as a result of labor shortages. Our net sales are driven by commercial vehicle production, which tends to be highly correlated to macroeconomic conditions. We expect our net sales for 2021 to increase compared to 2020 principally driven by the global On-Highway, Service Parts, Support Equipment &amp; Other and North America Off-Highway end markets as a result of the ongoing global economic recovery and price increases on certain products. We continue to monitor and proactively mitigate risks in our supply chain, including the global shortage of semiconductors and its impact on the availability of our transmission control modules. We, our suppliers and our customers are all taking actions to reduce the impact of the semiconductor shortage and other supply chain, transport and raw material constraints; however, if these constraints and inflationary costs persist, the impact on our business could be material.</w:t>
      </w:r>
    </w:p>
    <w:p>
      <w:pPr>
        <w:spacing w:after="0" w:line="85" w:lineRule="exact"/>
        <w:rPr>
          <w:sz w:val="20"/>
          <w:szCs w:val="20"/>
          <w:color w:val="auto"/>
        </w:rPr>
      </w:pPr>
    </w:p>
    <w:p>
      <w:pPr>
        <w:ind w:right="60" w:firstLine="522"/>
        <w:spacing w:after="0" w:line="233" w:lineRule="auto"/>
        <w:rPr>
          <w:sz w:val="20"/>
          <w:szCs w:val="20"/>
          <w:color w:val="auto"/>
        </w:rPr>
      </w:pPr>
      <w:r>
        <w:rPr>
          <w:rFonts w:ascii="Arial" w:cs="Arial" w:eastAsia="Arial" w:hAnsi="Arial"/>
          <w:sz w:val="16"/>
          <w:szCs w:val="16"/>
          <w:color w:val="auto"/>
        </w:rPr>
        <w:t>To limit the spread of COVID-19, governments continue to take various actions including the administration of vaccinations, travel bans and restrictions, quarantines, curfews, stay-at-home orders, social distancing guidelines and business shutdowns and closures. We are continuing to take a variety of measures to promote the safety and security of our employees and to maintain operations with as minimal impact as possible to our stakeholders, and as a result, we have been able to continue our manufacturing operations and deliver our products to customers.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Second Quarter Net Sales by End Market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3"/>
                <w:szCs w:val="13"/>
                <w:b w:val="1"/>
                <w:bCs w:val="1"/>
                <w:color w:val="auto"/>
              </w:rPr>
              <w:t>Q2 2021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65"/>
              <w:spacing w:after="0"/>
              <w:rPr>
                <w:sz w:val="20"/>
                <w:szCs w:val="20"/>
                <w:color w:val="auto"/>
              </w:rPr>
            </w:pPr>
            <w:r>
              <w:rPr>
                <w:rFonts w:ascii="Arial" w:cs="Arial" w:eastAsia="Arial" w:hAnsi="Arial"/>
                <w:sz w:val="13"/>
                <w:szCs w:val="13"/>
                <w:b w:val="1"/>
                <w:bCs w:val="1"/>
                <w:color w:val="auto"/>
              </w:rPr>
              <w:t>Q2 2020</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Sales</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 Variance</w:t>
            </w:r>
          </w:p>
        </w:tc>
      </w:tr>
      <w:tr>
        <w:trPr>
          <w:trHeight w:val="180"/>
        </w:trPr>
        <w:tc>
          <w:tcPr>
            <w:tcW w:w="6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980" w:type="dxa"/>
            <w:vAlign w:val="bottom"/>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302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164</w:t>
            </w:r>
          </w:p>
        </w:tc>
        <w:tc>
          <w:tcPr>
            <w:tcW w:w="1680" w:type="dxa"/>
            <w:vAlign w:val="bottom"/>
            <w:gridSpan w:val="2"/>
            <w:shd w:val="clear" w:color="auto" w:fill="CFF0FC"/>
          </w:tcPr>
          <w:p>
            <w:pPr>
              <w:jc w:val="right"/>
              <w:ind w:right="17"/>
              <w:spacing w:after="0" w:line="180" w:lineRule="exact"/>
              <w:rPr>
                <w:sz w:val="20"/>
                <w:szCs w:val="20"/>
                <w:color w:val="auto"/>
              </w:rPr>
            </w:pPr>
            <w:r>
              <w:rPr>
                <w:rFonts w:ascii="Arial" w:cs="Arial" w:eastAsia="Arial" w:hAnsi="Arial"/>
                <w:sz w:val="16"/>
                <w:szCs w:val="16"/>
                <w:color w:val="auto"/>
              </w:rPr>
              <w:t>84%</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w:t>
            </w:r>
          </w:p>
        </w:tc>
        <w:tc>
          <w:tcPr>
            <w:tcW w:w="1680" w:type="dxa"/>
            <w:vAlign w:val="bottom"/>
            <w:gridSpan w:val="2"/>
          </w:tcPr>
          <w:p>
            <w:pPr>
              <w:jc w:val="right"/>
              <w:ind w:right="17"/>
              <w:spacing w:after="0"/>
              <w:rPr>
                <w:sz w:val="20"/>
                <w:szCs w:val="20"/>
                <w:color w:val="auto"/>
              </w:rPr>
            </w:pPr>
            <w:r>
              <w:rPr>
                <w:rFonts w:ascii="Arial" w:cs="Arial" w:eastAsia="Arial" w:hAnsi="Arial"/>
                <w:sz w:val="16"/>
                <w:szCs w:val="16"/>
                <w:color w:val="auto"/>
              </w:rPr>
              <w:t>200%</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42</w:t>
            </w:r>
          </w:p>
        </w:tc>
        <w:tc>
          <w:tcPr>
            <w:tcW w:w="1680" w:type="dxa"/>
            <w:vAlign w:val="bottom"/>
            <w:gridSpan w:val="2"/>
            <w:shd w:val="clear" w:color="auto" w:fill="CFF0FC"/>
          </w:tcPr>
          <w:p>
            <w:pPr>
              <w:jc w:val="right"/>
              <w:ind w:right="17"/>
              <w:spacing w:after="0"/>
              <w:rPr>
                <w:sz w:val="20"/>
                <w:szCs w:val="20"/>
                <w:color w:val="auto"/>
              </w:rPr>
            </w:pPr>
            <w:r>
              <w:rPr>
                <w:rFonts w:ascii="Arial" w:cs="Arial" w:eastAsia="Arial" w:hAnsi="Arial"/>
                <w:sz w:val="16"/>
                <w:szCs w:val="16"/>
                <w:color w:val="auto"/>
              </w:rPr>
              <w:t>14%</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98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60</w:t>
            </w:r>
          </w:p>
        </w:tc>
        <w:tc>
          <w:tcPr>
            <w:tcW w:w="1680" w:type="dxa"/>
            <w:vAlign w:val="bottom"/>
            <w:gridSpan w:val="2"/>
          </w:tcPr>
          <w:p>
            <w:pPr>
              <w:jc w:val="right"/>
              <w:ind w:right="17"/>
              <w:spacing w:after="0"/>
              <w:rPr>
                <w:sz w:val="20"/>
                <w:szCs w:val="20"/>
                <w:color w:val="auto"/>
              </w:rPr>
            </w:pPr>
            <w:r>
              <w:rPr>
                <w:rFonts w:ascii="Arial" w:cs="Arial" w:eastAsia="Arial" w:hAnsi="Arial"/>
                <w:sz w:val="16"/>
                <w:szCs w:val="16"/>
                <w:color w:val="auto"/>
              </w:rPr>
              <w:t>63%</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19</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188"/>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128</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89</w:t>
            </w:r>
          </w:p>
        </w:tc>
        <w:tc>
          <w:tcPr>
            <w:tcW w:w="1680" w:type="dxa"/>
            <w:vAlign w:val="bottom"/>
            <w:tcBorders>
              <w:bottom w:val="single" w:sz="8" w:color="CFF0FC"/>
            </w:tcBorders>
            <w:gridSpan w:val="2"/>
          </w:tcPr>
          <w:p>
            <w:pPr>
              <w:jc w:val="right"/>
              <w:ind w:right="17"/>
              <w:spacing w:after="0"/>
              <w:rPr>
                <w:sz w:val="20"/>
                <w:szCs w:val="20"/>
                <w:color w:val="auto"/>
              </w:rPr>
            </w:pPr>
            <w:r>
              <w:rPr>
                <w:rFonts w:ascii="Arial" w:cs="Arial" w:eastAsia="Arial" w:hAnsi="Arial"/>
                <w:sz w:val="16"/>
                <w:szCs w:val="16"/>
                <w:color w:val="auto"/>
              </w:rPr>
              <w:t>44%</w:t>
            </w:r>
          </w:p>
        </w:tc>
      </w:tr>
      <w:tr>
        <w:trPr>
          <w:trHeight w:val="180"/>
        </w:trPr>
        <w:tc>
          <w:tcPr>
            <w:tcW w:w="65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98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603</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377</w:t>
            </w:r>
          </w:p>
        </w:tc>
        <w:tc>
          <w:tcPr>
            <w:tcW w:w="1680" w:type="dxa"/>
            <w:vAlign w:val="bottom"/>
            <w:tcBorders>
              <w:bottom w:val="single" w:sz="8" w:color="CFF0FC"/>
            </w:tcBorders>
            <w:gridSpan w:val="2"/>
            <w:shd w:val="clear" w:color="auto" w:fill="CFF0FC"/>
          </w:tcPr>
          <w:p>
            <w:pPr>
              <w:jc w:val="right"/>
              <w:ind w:right="17"/>
              <w:spacing w:after="0" w:line="180" w:lineRule="exact"/>
              <w:rPr>
                <w:sz w:val="20"/>
                <w:szCs w:val="20"/>
                <w:color w:val="auto"/>
              </w:rPr>
            </w:pPr>
            <w:r>
              <w:rPr>
                <w:rFonts w:ascii="Arial" w:cs="Arial" w:eastAsia="Arial" w:hAnsi="Arial"/>
                <w:sz w:val="16"/>
                <w:szCs w:val="16"/>
                <w:color w:val="auto"/>
              </w:rPr>
              <w:t>60%</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522"/>
        <w:spacing w:after="0" w:line="249" w:lineRule="auto"/>
        <w:rPr>
          <w:sz w:val="20"/>
          <w:szCs w:val="20"/>
          <w:color w:val="auto"/>
        </w:rPr>
      </w:pPr>
      <w:r>
        <w:rPr>
          <w:rFonts w:ascii="Arial" w:cs="Arial" w:eastAsia="Arial" w:hAnsi="Arial"/>
          <w:sz w:val="16"/>
          <w:szCs w:val="16"/>
          <w:color w:val="auto"/>
        </w:rPr>
        <w:t>North America On-Highway end market net sales were up 84% for the second quarter 2021 compared to the second quarter 2020, principally driven by the continuing recovery in customer demand following the pandemic-related disruptions experienced in 2020.</w:t>
      </w:r>
    </w:p>
    <w:p>
      <w:pPr>
        <w:spacing w:after="0" w:line="76" w:lineRule="exact"/>
        <w:rPr>
          <w:sz w:val="20"/>
          <w:szCs w:val="20"/>
          <w:color w:val="auto"/>
        </w:rPr>
      </w:pPr>
    </w:p>
    <w:p>
      <w:pPr>
        <w:ind w:right="160" w:firstLine="522"/>
        <w:spacing w:after="0" w:line="237" w:lineRule="auto"/>
        <w:rPr>
          <w:sz w:val="20"/>
          <w:szCs w:val="20"/>
          <w:color w:val="auto"/>
        </w:rPr>
      </w:pPr>
      <w:r>
        <w:rPr>
          <w:rFonts w:ascii="Arial" w:cs="Arial" w:eastAsia="Arial" w:hAnsi="Arial"/>
          <w:sz w:val="16"/>
          <w:szCs w:val="16"/>
          <w:color w:val="auto"/>
        </w:rPr>
        <w:t>North America Off-Highway end market net sales were up $6 million for the second quarter 2021 compared to the second quarter 2020, principally driven by higher demand for hydraulic fracturing applications.</w:t>
      </w:r>
    </w:p>
    <w:p>
      <w:pPr>
        <w:spacing w:after="0" w:line="83" w:lineRule="exact"/>
        <w:rPr>
          <w:sz w:val="20"/>
          <w:szCs w:val="20"/>
          <w:color w:val="auto"/>
        </w:rPr>
      </w:pPr>
    </w:p>
    <w:p>
      <w:pPr>
        <w:ind w:right="320" w:firstLine="522"/>
        <w:spacing w:after="0" w:line="237" w:lineRule="auto"/>
        <w:rPr>
          <w:sz w:val="20"/>
          <w:szCs w:val="20"/>
          <w:color w:val="auto"/>
        </w:rPr>
      </w:pPr>
      <w:r>
        <w:rPr>
          <w:rFonts w:ascii="Arial" w:cs="Arial" w:eastAsia="Arial" w:hAnsi="Arial"/>
          <w:sz w:val="16"/>
          <w:szCs w:val="16"/>
          <w:color w:val="auto"/>
        </w:rPr>
        <w:t>Defense end market net sales were up 14% for the second quarter 2021 compared to the second quarter 2020, principally driven by higher demand for Tracked vehicle applications.</w:t>
      </w:r>
    </w:p>
    <w:p>
      <w:pPr>
        <w:spacing w:after="0" w:line="83" w:lineRule="exact"/>
        <w:rPr>
          <w:sz w:val="20"/>
          <w:szCs w:val="20"/>
          <w:color w:val="auto"/>
        </w:rPr>
      </w:pPr>
    </w:p>
    <w:p>
      <w:pPr>
        <w:ind w:right="400" w:firstLine="522"/>
        <w:spacing w:after="0" w:line="237" w:lineRule="auto"/>
        <w:rPr>
          <w:sz w:val="20"/>
          <w:szCs w:val="20"/>
          <w:color w:val="auto"/>
        </w:rPr>
      </w:pPr>
      <w:r>
        <w:rPr>
          <w:rFonts w:ascii="Arial" w:cs="Arial" w:eastAsia="Arial" w:hAnsi="Arial"/>
          <w:sz w:val="16"/>
          <w:szCs w:val="16"/>
          <w:color w:val="auto"/>
        </w:rPr>
        <w:t>Outside North America On-Highway end market net sales were up 63% for the second quarter 2021 compared to the second quarter 2020, principally driven by the continuing recovery in customer demand following the pandemic-related disruptions experienced in 2020.</w:t>
      </w:r>
    </w:p>
    <w:p>
      <w:pPr>
        <w:spacing w:after="0" w:line="83" w:lineRule="exact"/>
        <w:rPr>
          <w:sz w:val="20"/>
          <w:szCs w:val="20"/>
          <w:color w:val="auto"/>
        </w:rPr>
      </w:pPr>
    </w:p>
    <w:p>
      <w:pPr>
        <w:ind w:right="300" w:firstLine="522"/>
        <w:spacing w:after="0" w:line="237" w:lineRule="auto"/>
        <w:rPr>
          <w:sz w:val="20"/>
          <w:szCs w:val="20"/>
          <w:color w:val="auto"/>
        </w:rPr>
      </w:pPr>
      <w:r>
        <w:rPr>
          <w:rFonts w:ascii="Arial" w:cs="Arial" w:eastAsia="Arial" w:hAnsi="Arial"/>
          <w:sz w:val="16"/>
          <w:szCs w:val="16"/>
          <w:color w:val="auto"/>
        </w:rPr>
        <w:t>Outside North America Off-Highway end market net sales were down 5% for the second quarter 2021 compared to the second quarter 2020, principally driven by lower demand in the energy sector, partially offset by higher demand in the mining and construction sectors.</w:t>
      </w:r>
    </w:p>
    <w:p>
      <w:pPr>
        <w:spacing w:after="0" w:line="83" w:lineRule="exact"/>
        <w:rPr>
          <w:sz w:val="20"/>
          <w:szCs w:val="20"/>
          <w:color w:val="auto"/>
        </w:rPr>
      </w:pPr>
    </w:p>
    <w:p>
      <w:pPr>
        <w:ind w:right="540" w:firstLine="522"/>
        <w:spacing w:after="0" w:line="237" w:lineRule="auto"/>
        <w:rPr>
          <w:sz w:val="20"/>
          <w:szCs w:val="20"/>
          <w:color w:val="auto"/>
        </w:rPr>
      </w:pPr>
      <w:r>
        <w:rPr>
          <w:rFonts w:ascii="Arial" w:cs="Arial" w:eastAsia="Arial" w:hAnsi="Arial"/>
          <w:sz w:val="16"/>
          <w:szCs w:val="16"/>
          <w:color w:val="auto"/>
        </w:rPr>
        <w:t>Service Parts, Support Equipment and Other end market net sales were up 44% for the second quarter 2021 compared to the second quarter 2020, principally driven by higher demand for North America service parts, aluminum die cast components and support equipment.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120" w:firstLine="522"/>
        <w:spacing w:after="0" w:line="232" w:lineRule="auto"/>
        <w:rPr>
          <w:sz w:val="20"/>
          <w:szCs w:val="20"/>
          <w:color w:val="auto"/>
        </w:rPr>
      </w:pPr>
      <w:r>
        <w:rPr>
          <w:rFonts w:ascii="Arial" w:cs="Arial" w:eastAsia="Arial" w:hAnsi="Arial"/>
          <w:sz w:val="16"/>
          <w:szCs w:val="16"/>
          <w:color w:val="auto"/>
        </w:rPr>
        <w:t>Our primary components of cost of sales are purchased parts, overhead expense related to our manufacturing operations and direct labor associated with the manufacture and assembly of transmissions and parts. For the six months ended June 30, 2021, direct material costs were approximately 67%, overhead costs were approximately 25%, and direct labor costs were approximately 8% of total cost of sales. We are subject to changes in our cost of sales caused by movements in underlying commodity prices. We seek to hedge against this risk by using long-term agreements, as appropriate. See Part I, Item 3 “Quantitative and Qualitative Disclosures about Market Risk —Commodity Price Risk” included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480" w:firstLine="522"/>
        <w:spacing w:after="0" w:line="266" w:lineRule="auto"/>
        <w:rPr>
          <w:sz w:val="20"/>
          <w:szCs w:val="20"/>
          <w:color w:val="auto"/>
        </w:rPr>
      </w:pPr>
      <w:r>
        <w:rPr>
          <w:rFonts w:ascii="Arial" w:cs="Arial" w:eastAsia="Arial" w:hAnsi="Arial"/>
          <w:sz w:val="15"/>
          <w:szCs w:val="15"/>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0900"/>
          </w:cols>
          <w:pgMar w:left="320" w:top="140" w:right="6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51" w:lineRule="exact"/>
        <w:rPr>
          <w:sz w:val="20"/>
          <w:szCs w:val="20"/>
          <w:color w:val="auto"/>
        </w:rPr>
      </w:pPr>
    </w:p>
    <w:p>
      <w:pPr>
        <w:ind w:right="20" w:firstLine="522"/>
        <w:spacing w:after="0" w:line="247" w:lineRule="auto"/>
        <w:rPr>
          <w:sz w:val="20"/>
          <w:szCs w:val="20"/>
          <w:color w:val="auto"/>
        </w:rPr>
      </w:pPr>
      <w:r>
        <w:rPr>
          <w:rFonts w:ascii="Arial" w:cs="Arial" w:eastAsia="Arial" w:hAnsi="Arial"/>
          <w:sz w:val="15"/>
          <w:szCs w:val="15"/>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$635 million due March 2026 (“Term Loan”). Adjusted EBITDA as a percent of net sales is calculated as Adjusted EBITDA divided by net sales.</w:t>
      </w:r>
    </w:p>
    <w:p>
      <w:pPr>
        <w:spacing w:after="0" w:line="128"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excluding non-recurring restructuring charges, after additions of long-lived assets.</w:t>
      </w:r>
    </w:p>
    <w:p>
      <w:pPr>
        <w:spacing w:after="0" w:line="84" w:lineRule="exact"/>
        <w:rPr>
          <w:sz w:val="20"/>
          <w:szCs w:val="20"/>
          <w:color w:val="auto"/>
        </w:rPr>
      </w:pPr>
    </w:p>
    <w:p>
      <w:pPr>
        <w:ind w:right="340" w:firstLine="522"/>
        <w:spacing w:after="0" w:line="237"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30"/>
        </w:trPr>
        <w:tc>
          <w:tcPr>
            <w:tcW w:w="4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gridSpan w:val="4"/>
          </w:tcPr>
          <w:p>
            <w:pPr>
              <w:jc w:val="right"/>
              <w:ind w:right="212"/>
              <w:spacing w:after="0" w:line="131" w:lineRule="exact"/>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3"/>
          </w:tcPr>
          <w:p>
            <w:pPr>
              <w:jc w:val="right"/>
              <w:spacing w:after="0" w:line="131" w:lineRule="exact"/>
              <w:rPr>
                <w:sz w:val="20"/>
                <w:szCs w:val="20"/>
                <w:color w:val="auto"/>
              </w:rPr>
            </w:pPr>
            <w:r>
              <w:rPr>
                <w:rFonts w:ascii="Arial" w:cs="Arial" w:eastAsia="Arial" w:hAnsi="Arial"/>
                <w:sz w:val="13"/>
                <w:szCs w:val="13"/>
                <w:b w:val="1"/>
                <w:bCs w:val="1"/>
                <w:color w:val="auto"/>
              </w:rPr>
              <w:t>Six Months Ended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00" w:type="dxa"/>
            <w:vAlign w:val="bottom"/>
            <w:vMerge w:val="restart"/>
          </w:tcPr>
          <w:p>
            <w:pPr>
              <w:spacing w:after="0"/>
              <w:rPr>
                <w:sz w:val="20"/>
                <w:szCs w:val="20"/>
                <w:color w:val="auto"/>
              </w:rPr>
            </w:pPr>
            <w:r>
              <w:rPr>
                <w:rFonts w:ascii="Arial" w:cs="Arial" w:eastAsia="Arial" w:hAnsi="Arial"/>
                <w:sz w:val="13"/>
                <w:szCs w:val="13"/>
                <w:b w:val="1"/>
                <w:bCs w:val="1"/>
                <w:color w:val="auto"/>
              </w:rPr>
              <w:t>(unaudited, dollars in millions)</w:t>
            </w:r>
          </w:p>
        </w:tc>
        <w:tc>
          <w:tcPr>
            <w:tcW w:w="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3"/>
                <w:szCs w:val="13"/>
                <w:b w:val="1"/>
                <w:bCs w:val="1"/>
                <w:color w:val="auto"/>
              </w:rPr>
              <w:t>June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00" w:type="dxa"/>
            <w:vAlign w:val="bottom"/>
            <w:tcBorders>
              <w:bottom w:val="single" w:sz="8" w:color="CFF0FC"/>
            </w:tcBorders>
            <w:vMerge w:val="continue"/>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80"/>
        </w:trPr>
        <w:tc>
          <w:tcPr>
            <w:tcW w:w="49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8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91"/>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b w:val="1"/>
                <w:bCs w:val="1"/>
                <w:color w:val="auto"/>
              </w:rPr>
              <w:t>110</w:t>
            </w:r>
          </w:p>
        </w:tc>
        <w:tc>
          <w:tcPr>
            <w:tcW w:w="880" w:type="dxa"/>
            <w:vAlign w:val="bottom"/>
            <w:gridSpan w:val="2"/>
            <w:shd w:val="clear" w:color="auto" w:fill="CFF0FC"/>
          </w:tcPr>
          <w:p>
            <w:pPr>
              <w:jc w:val="right"/>
              <w:ind w:right="612"/>
              <w:spacing w:after="0" w:line="180"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230</w:t>
            </w:r>
          </w:p>
        </w:tc>
        <w:tc>
          <w:tcPr>
            <w:tcW w:w="540" w:type="dxa"/>
            <w:vAlign w:val="bottom"/>
            <w:gridSpan w:val="2"/>
            <w:shd w:val="clear" w:color="auto" w:fill="CFF0FC"/>
          </w:tcPr>
          <w:p>
            <w:pPr>
              <w:jc w:val="right"/>
              <w:ind w:right="267"/>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20"/>
                <w:szCs w:val="20"/>
                <w:color w:val="auto"/>
              </w:rPr>
            </w:pPr>
            <w:r>
              <w:rPr>
                <w:rFonts w:ascii="Arial" w:cs="Arial" w:eastAsia="Arial" w:hAnsi="Arial"/>
                <w:sz w:val="16"/>
                <w:szCs w:val="16"/>
                <w:color w:val="auto"/>
              </w:rPr>
              <w:t>plus:</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8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64</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8"/>
        </w:trPr>
        <w:tc>
          <w:tcPr>
            <w:tcW w:w="490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ind w:right="103"/>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right"/>
              <w:ind w:right="102"/>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59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8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51</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8"/>
        </w:trPr>
        <w:tc>
          <w:tcPr>
            <w:tcW w:w="490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ind w:right="103"/>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right"/>
              <w:ind w:right="10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 (a)</w:t>
            </w:r>
          </w:p>
        </w:tc>
        <w:tc>
          <w:tcPr>
            <w:tcW w:w="8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4900" w:type="dxa"/>
            <w:vAlign w:val="bottom"/>
          </w:tcPr>
          <w:p>
            <w:pPr>
              <w:ind w:left="200"/>
              <w:spacing w:after="0"/>
              <w:rPr>
                <w:sz w:val="20"/>
                <w:szCs w:val="20"/>
                <w:color w:val="auto"/>
              </w:rPr>
            </w:pPr>
            <w:r>
              <w:rPr>
                <w:rFonts w:ascii="Arial" w:cs="Arial" w:eastAsia="Arial" w:hAnsi="Arial"/>
                <w:sz w:val="16"/>
                <w:szCs w:val="16"/>
                <w:color w:val="auto"/>
              </w:rPr>
              <w:t>Unrealized loss on foreign exchange (b)</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ind w:right="103"/>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charges (c)</w:t>
            </w:r>
          </w:p>
        </w:tc>
        <w:tc>
          <w:tcPr>
            <w:tcW w:w="8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Acquisition-related earnouts (d)</w:t>
            </w:r>
          </w:p>
        </w:tc>
        <w:tc>
          <w:tcPr>
            <w:tcW w:w="8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490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8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591"/>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b w:val="1"/>
                <w:bCs w:val="1"/>
                <w:color w:val="auto"/>
              </w:rPr>
              <w:t>213</w:t>
            </w:r>
          </w:p>
        </w:tc>
        <w:tc>
          <w:tcPr>
            <w:tcW w:w="1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Arial" w:cs="Arial" w:eastAsia="Arial" w:hAnsi="Arial"/>
                <w:sz w:val="16"/>
                <w:szCs w:val="16"/>
                <w:color w:val="auto"/>
              </w:rPr>
              <w:t>115</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435</w:t>
            </w:r>
          </w:p>
        </w:tc>
        <w:tc>
          <w:tcPr>
            <w:tcW w:w="1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b w:val="1"/>
                <w:bCs w:val="1"/>
                <w:color w:val="auto"/>
              </w:rPr>
              <w:t>Net sales (GAAP)</w:t>
            </w:r>
          </w:p>
        </w:tc>
        <w:tc>
          <w:tcPr>
            <w:tcW w:w="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right"/>
              <w:ind w:right="591"/>
              <w:spacing w:after="0" w:line="163" w:lineRule="exact"/>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ind w:right="103"/>
              <w:spacing w:after="0" w:line="163" w:lineRule="exact"/>
              <w:rPr>
                <w:sz w:val="20"/>
                <w:szCs w:val="20"/>
                <w:color w:val="auto"/>
              </w:rPr>
            </w:pPr>
            <w:r>
              <w:rPr>
                <w:rFonts w:ascii="Arial" w:cs="Arial" w:eastAsia="Arial" w:hAnsi="Arial"/>
                <w:sz w:val="16"/>
                <w:szCs w:val="16"/>
                <w:b w:val="1"/>
                <w:bCs w:val="1"/>
                <w:color w:val="auto"/>
              </w:rPr>
              <w:t>603</w:t>
            </w:r>
          </w:p>
        </w:tc>
        <w:tc>
          <w:tcPr>
            <w:tcW w:w="880" w:type="dxa"/>
            <w:vAlign w:val="bottom"/>
            <w:gridSpan w:val="2"/>
          </w:tcPr>
          <w:p>
            <w:pPr>
              <w:jc w:val="right"/>
              <w:ind w:right="612"/>
              <w:spacing w:after="0" w:line="163"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102"/>
              <w:spacing w:after="0" w:line="163" w:lineRule="exact"/>
              <w:rPr>
                <w:sz w:val="20"/>
                <w:szCs w:val="20"/>
                <w:color w:val="auto"/>
              </w:rPr>
            </w:pPr>
            <w:r>
              <w:rPr>
                <w:rFonts w:ascii="Arial" w:cs="Arial" w:eastAsia="Arial" w:hAnsi="Arial"/>
                <w:sz w:val="16"/>
                <w:szCs w:val="16"/>
                <w:color w:val="auto"/>
              </w:rPr>
              <w:t>377</w:t>
            </w:r>
          </w:p>
        </w:tc>
        <w:tc>
          <w:tcPr>
            <w:tcW w:w="120" w:type="dxa"/>
            <w:vAlign w:val="bottom"/>
          </w:tcPr>
          <w:p>
            <w:pPr>
              <w:spacing w:after="0"/>
              <w:rPr>
                <w:sz w:val="14"/>
                <w:szCs w:val="14"/>
                <w:color w:val="auto"/>
              </w:rPr>
            </w:pPr>
          </w:p>
        </w:tc>
        <w:tc>
          <w:tcPr>
            <w:tcW w:w="260" w:type="dxa"/>
            <w:vAlign w:val="bottom"/>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104"/>
              <w:spacing w:after="0" w:line="163" w:lineRule="exact"/>
              <w:rPr>
                <w:sz w:val="20"/>
                <w:szCs w:val="20"/>
                <w:color w:val="auto"/>
              </w:rPr>
            </w:pPr>
            <w:r>
              <w:rPr>
                <w:rFonts w:ascii="Arial" w:cs="Arial" w:eastAsia="Arial" w:hAnsi="Arial"/>
                <w:sz w:val="16"/>
                <w:szCs w:val="16"/>
                <w:b w:val="1"/>
                <w:bCs w:val="1"/>
                <w:color w:val="auto"/>
              </w:rPr>
              <w:t>1,191</w:t>
            </w:r>
          </w:p>
        </w:tc>
        <w:tc>
          <w:tcPr>
            <w:tcW w:w="540" w:type="dxa"/>
            <w:vAlign w:val="bottom"/>
            <w:gridSpan w:val="2"/>
          </w:tcPr>
          <w:p>
            <w:pPr>
              <w:jc w:val="right"/>
              <w:ind w:right="267"/>
              <w:spacing w:after="0" w:line="16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03"/>
              <w:spacing w:after="0" w:line="163" w:lineRule="exact"/>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8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18.2%</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19.3%</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35.3%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1560" w:type="dxa"/>
            <w:vAlign w:val="bottom"/>
            <w:gridSpan w:val="2"/>
            <w:shd w:val="clear" w:color="auto" w:fill="CFF0FC"/>
          </w:tcPr>
          <w:p>
            <w:pPr>
              <w:jc w:val="right"/>
              <w:ind w:right="591"/>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143</w:t>
            </w:r>
          </w:p>
        </w:tc>
        <w:tc>
          <w:tcPr>
            <w:tcW w:w="880" w:type="dxa"/>
            <w:vAlign w:val="bottom"/>
            <w:gridSpan w:val="2"/>
            <w:shd w:val="clear" w:color="auto" w:fill="CFF0FC"/>
          </w:tcPr>
          <w:p>
            <w:pPr>
              <w:jc w:val="right"/>
              <w:ind w:right="61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271</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20"/>
                <w:szCs w:val="20"/>
                <w:color w:val="auto"/>
              </w:rPr>
            </w:pPr>
            <w:r>
              <w:rPr>
                <w:rFonts w:ascii="Arial" w:cs="Arial" w:eastAsia="Arial" w:hAnsi="Arial"/>
                <w:sz w:val="16"/>
                <w:szCs w:val="16"/>
                <w:color w:val="auto"/>
              </w:rPr>
              <w:t>Deductions to reconcile to Adjusted free cash flow:</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Additions of long-lived assets</w:t>
            </w:r>
          </w:p>
        </w:tc>
        <w:tc>
          <w:tcPr>
            <w:tcW w:w="8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(69)</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Restructuring charges (c)</w:t>
            </w:r>
          </w:p>
        </w:tc>
        <w:tc>
          <w:tcPr>
            <w:tcW w:w="8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49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8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91"/>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b w:val="1"/>
                <w:bCs w:val="1"/>
                <w:color w:val="auto"/>
              </w:rPr>
              <w:t>95</w:t>
            </w:r>
          </w:p>
        </w:tc>
        <w:tc>
          <w:tcPr>
            <w:tcW w:w="880" w:type="dxa"/>
            <w:vAlign w:val="bottom"/>
            <w:gridSpan w:val="2"/>
            <w:shd w:val="clear" w:color="auto" w:fill="CFF0FC"/>
          </w:tcPr>
          <w:p>
            <w:pPr>
              <w:jc w:val="right"/>
              <w:ind w:right="612"/>
              <w:spacing w:after="0" w:line="180"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color w:val="auto"/>
              </w:rPr>
              <w:t>67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202</w:t>
            </w:r>
          </w:p>
        </w:tc>
        <w:tc>
          <w:tcPr>
            <w:tcW w:w="540" w:type="dxa"/>
            <w:vAlign w:val="bottom"/>
            <w:gridSpan w:val="2"/>
            <w:shd w:val="clear" w:color="auto" w:fill="CFF0FC"/>
          </w:tcPr>
          <w:p>
            <w:pPr>
              <w:jc w:val="right"/>
              <w:ind w:right="267"/>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right="700" w:hanging="388"/>
        <w:spacing w:after="0" w:line="237"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640" w:hanging="38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losses (recorded in Other income, net) on intercompany financing transactions related to investments in plant assets for our India facility.</w:t>
      </w:r>
    </w:p>
    <w:p>
      <w:pPr>
        <w:spacing w:after="0" w:line="3" w:lineRule="exact"/>
        <w:rPr>
          <w:rFonts w:ascii="Arial" w:cs="Arial" w:eastAsia="Arial" w:hAnsi="Arial"/>
          <w:sz w:val="16"/>
          <w:szCs w:val="16"/>
          <w:color w:val="auto"/>
        </w:rPr>
      </w:pPr>
    </w:p>
    <w:p>
      <w:pPr>
        <w:ind w:left="640" w:hanging="388"/>
        <w:spacing w:after="0" w:line="229"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restructuring charges (recorded in Cost of sales, Selling, general and administrative, and Engineering - research and development) related to voluntary and involuntary separation programs for both hourly and salaried employees in the second quarter of 2020.</w:t>
      </w:r>
    </w:p>
    <w:p>
      <w:pPr>
        <w:spacing w:after="0" w:line="1" w:lineRule="exact"/>
        <w:rPr>
          <w:rFonts w:ascii="Arial" w:cs="Arial" w:eastAsia="Arial" w:hAnsi="Arial"/>
          <w:sz w:val="16"/>
          <w:szCs w:val="16"/>
          <w:color w:val="auto"/>
        </w:rPr>
      </w:pPr>
    </w:p>
    <w:p>
      <w:pPr>
        <w:ind w:left="640" w:right="640" w:hanging="388"/>
        <w:spacing w:after="0" w:line="23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expenses (recorded in Selling, general and administrative and Engineering – research and development) for earnouts related to our acquisition of Vantage Power Limited.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three months ended June 30, 2021 and 2020</w:t>
      </w:r>
    </w:p>
    <w:p>
      <w:pPr>
        <w:spacing w:after="0" w:line="104" w:lineRule="exact"/>
        <w:rPr>
          <w:sz w:val="20"/>
          <w:szCs w:val="20"/>
          <w:color w:val="auto"/>
        </w:rPr>
      </w:pPr>
    </w:p>
    <w:p>
      <w:pPr>
        <w:ind w:right="180" w:firstLine="522"/>
        <w:spacing w:after="0" w:line="234" w:lineRule="auto"/>
        <w:rPr>
          <w:sz w:val="20"/>
          <w:szCs w:val="20"/>
          <w:color w:val="auto"/>
        </w:rPr>
      </w:pPr>
      <w:r>
        <w:rPr>
          <w:rFonts w:ascii="Arial" w:cs="Arial" w:eastAsia="Arial" w:hAnsi="Arial"/>
          <w:sz w:val="16"/>
          <w:szCs w:val="16"/>
          <w:color w:val="auto"/>
        </w:rPr>
        <w:t>The following table sets forth certain financial information for the three months ended June 30, 2021 and 2020.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Three Months Ended June 30,</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603</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377</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315</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56</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288</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165</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44</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80</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19</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10</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121</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107</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29</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167</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58</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15</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(8)</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1</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140</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23</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30</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8</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110</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23</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6%</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60" w:firstLine="522"/>
        <w:spacing w:after="0" w:line="249" w:lineRule="auto"/>
        <w:rPr>
          <w:sz w:val="20"/>
          <w:szCs w:val="20"/>
          <w:color w:val="auto"/>
        </w:rPr>
      </w:pPr>
      <w:r>
        <w:rPr>
          <w:rFonts w:ascii="Arial" w:cs="Arial" w:eastAsia="Arial" w:hAnsi="Arial"/>
          <w:sz w:val="15"/>
          <w:szCs w:val="15"/>
          <w:color w:val="auto"/>
        </w:rPr>
        <w:t>Net sales for the quarter ended June 30, 2021 were $603 million compared to $377 million for the quarter ended June 30, 2020, an increase of 60%. The increase was principally driven by a $138 million, or 84%, increase in net sales in the North America On-Highway end market principally driven by the continuing recovery in customer demand following the pandemic-related disruptions experienced in 2020, a $39 million, or 44%, increase in net sales in the Service Parts, Support Equipment and Other end market principally driven by higher demand for North America service parts, aluminum die cast components and support equipment, a $38 million, or 63%, increase in net sales in the Outside North America On-Highway end market principally driven by the continuing recovery in customer demand following the pandemic-related disruptions experienced in 2020, a $6 million, or 200%, increase in net sales in the North America Off-Highway end market principally driven by higher demand for hydraulic fracturing applications and a $ 6 million, or 14%, increase in net sales in the Defense end market principally driven by higher demand for Tracked vehicle applications, partially offset by a $1 million, or 5%, decrease in net sales in the Outside North America Off-Highway end market principally driven by lower demand in the energy sector, partially offset by higher demand in the mining and construction sectors.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200" w:firstLine="522"/>
        <w:spacing w:after="0" w:line="234" w:lineRule="auto"/>
        <w:rPr>
          <w:sz w:val="20"/>
          <w:szCs w:val="20"/>
          <w:color w:val="auto"/>
        </w:rPr>
      </w:pPr>
      <w:r>
        <w:rPr>
          <w:rFonts w:ascii="Arial" w:cs="Arial" w:eastAsia="Arial" w:hAnsi="Arial"/>
          <w:sz w:val="16"/>
          <w:szCs w:val="16"/>
          <w:color w:val="auto"/>
        </w:rPr>
        <w:t>Cost of sales for the quarter ended June 30, 2021 was $ 315 million compared to $212 million for the quarter ended June 30, 2020, an increase of 49%. The increase was principally driven by increased direct material and manufacturing expense commensurate with increased net sales, unfavorable material costs and higher incentive compensation expense, partially offset by restructuring charges in the second quarter of 2020 that did not recur in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jc w:val="both"/>
        <w:ind w:right="80" w:firstLine="522"/>
        <w:spacing w:after="0" w:line="233" w:lineRule="auto"/>
        <w:rPr>
          <w:sz w:val="20"/>
          <w:szCs w:val="20"/>
          <w:color w:val="auto"/>
        </w:rPr>
      </w:pPr>
      <w:r>
        <w:rPr>
          <w:rFonts w:ascii="Arial" w:cs="Arial" w:eastAsia="Arial" w:hAnsi="Arial"/>
          <w:sz w:val="16"/>
          <w:szCs w:val="16"/>
          <w:color w:val="auto"/>
        </w:rPr>
        <w:t>Gross profit for the quarter ended June 30, 2021 was $288 million compared to $165 million for the quarter ended June 30, 2020, an increase of 75%. The increase was principally driven by $156 million related to increased net sales, $5 million of restructuring charges in the second quarter of 2020 that did not recur in 2021 and price increases on certain products, partially offset by $24 million of higher manufacturing expense commensurate with increased net sales, $11 million of unfavorable material costs and higher incentive compensation expense. Gross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profit as a percent of net sales for the three months ended June 30, 2021 increased 400 basis points compared to the same period in 2020 principally driven by increased net sales, restructuring charges in the second quarter of 2020 that did not recur in 2021 and price increases on certain products, partially offset by unfavorable material costs and higher incentive compensation expense.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20" w:firstLine="522"/>
        <w:spacing w:after="0" w:line="233" w:lineRule="auto"/>
        <w:rPr>
          <w:sz w:val="20"/>
          <w:szCs w:val="20"/>
          <w:color w:val="auto"/>
        </w:rPr>
      </w:pPr>
      <w:r>
        <w:rPr>
          <w:rFonts w:ascii="Arial" w:cs="Arial" w:eastAsia="Arial" w:hAnsi="Arial"/>
          <w:sz w:val="16"/>
          <w:szCs w:val="16"/>
          <w:color w:val="auto"/>
        </w:rPr>
        <w:t>Selling, general and administrative expenses for the quarter ended June 30, 2021 were $ 80 million compared to $69 million for the quarter ended June 30, 2020, an increase of 16%. The increase was principally driven by higher incentive compensation expense, $3 million of higher commercial activities spending and higher stock compensation expense, partially offset by $3 million of restructuring charges in the second quarter of 2020 that did not recur in 2021 and lower intangible amortization expense.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120" w:firstLine="522"/>
        <w:spacing w:after="0" w:line="234" w:lineRule="auto"/>
        <w:rPr>
          <w:sz w:val="20"/>
          <w:szCs w:val="20"/>
          <w:color w:val="auto"/>
        </w:rPr>
      </w:pPr>
      <w:r>
        <w:rPr>
          <w:rFonts w:ascii="Arial" w:cs="Arial" w:eastAsia="Arial" w:hAnsi="Arial"/>
          <w:sz w:val="16"/>
          <w:szCs w:val="16"/>
          <w:color w:val="auto"/>
        </w:rPr>
        <w:t>Engineering expenses for the quarter ended June 30, 2021 were $41 million compared to $38 million for the quarter ended June 30, 2020, an increase of 8%. The increase was principally driven by increased product initiatives spending, partially offset by $4 million of restructuring charges in the second quarter of 2020 that did not recur in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firstLine="522"/>
        <w:spacing w:after="0" w:line="234" w:lineRule="auto"/>
        <w:rPr>
          <w:sz w:val="20"/>
          <w:szCs w:val="20"/>
          <w:color w:val="auto"/>
        </w:rPr>
      </w:pPr>
      <w:r>
        <w:rPr>
          <w:rFonts w:ascii="Arial" w:cs="Arial" w:eastAsia="Arial" w:hAnsi="Arial"/>
          <w:sz w:val="16"/>
          <w:szCs w:val="16"/>
          <w:color w:val="auto"/>
        </w:rPr>
        <w:t>Interest expense, net for the quarter ended June 30, 2021 was $30 million compared to $33 million for the quarter ended June 30, 2020, a decrease of 9%. The decrease was principally driven by $3 million of decreased interest expense due to lower interest rates as a result of our long-term debt refinancing in the fourth quarter of 2020 that extended maturities at lower fixed interest rates.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ind w:right="500" w:firstLine="522"/>
        <w:spacing w:after="0" w:line="237" w:lineRule="auto"/>
        <w:rPr>
          <w:sz w:val="20"/>
          <w:szCs w:val="20"/>
          <w:color w:val="auto"/>
        </w:rPr>
      </w:pPr>
      <w:r>
        <w:rPr>
          <w:rFonts w:ascii="Arial" w:cs="Arial" w:eastAsia="Arial" w:hAnsi="Arial"/>
          <w:sz w:val="16"/>
          <w:szCs w:val="16"/>
          <w:color w:val="auto"/>
        </w:rPr>
        <w:t>Other income, net for the quarter ended June 30, 2021 was $3 million compared to $5 million for the quarter ended June 30, 2020. The change was principally driven by $1 million of unfavorable foreign exchange and $1 million of unfavorable change associated with assets held in a rabbi trust.</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jc w:val="both"/>
        <w:ind w:right="60" w:firstLine="522"/>
        <w:spacing w:after="0" w:line="234" w:lineRule="auto"/>
        <w:rPr>
          <w:sz w:val="20"/>
          <w:szCs w:val="20"/>
          <w:color w:val="auto"/>
        </w:rPr>
      </w:pPr>
      <w:r>
        <w:rPr>
          <w:rFonts w:ascii="Arial" w:cs="Arial" w:eastAsia="Arial" w:hAnsi="Arial"/>
          <w:sz w:val="16"/>
          <w:szCs w:val="16"/>
          <w:color w:val="auto"/>
        </w:rPr>
        <w:t>Income tax expense for the three months ended June 30, 2021 was $30 million, resulting in an effective tax rate of 21%, compared to $7 million of income tax expense and an effective tax rate of 23% for the three months ended June 30, 2020. The increase in income tax expense was principally driven by increased taxable income. The decrease in the effective tax rate was principally driven by increased estimated U.S. federal income tax deductions.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six months ended June 30, 2021 and 2020</w:t>
      </w:r>
    </w:p>
    <w:p>
      <w:pPr>
        <w:spacing w:after="0" w:line="104" w:lineRule="exact"/>
        <w:rPr>
          <w:sz w:val="20"/>
          <w:szCs w:val="20"/>
          <w:color w:val="auto"/>
        </w:rPr>
      </w:pPr>
    </w:p>
    <w:p>
      <w:pPr>
        <w:ind w:right="120" w:firstLine="522"/>
        <w:spacing w:after="0" w:line="234" w:lineRule="auto"/>
        <w:rPr>
          <w:sz w:val="20"/>
          <w:szCs w:val="20"/>
          <w:color w:val="auto"/>
        </w:rPr>
      </w:pPr>
      <w:r>
        <w:rPr>
          <w:rFonts w:ascii="Arial" w:cs="Arial" w:eastAsia="Arial" w:hAnsi="Arial"/>
          <w:sz w:val="16"/>
          <w:szCs w:val="16"/>
          <w:color w:val="auto"/>
        </w:rPr>
        <w:t>The following table sets forth certain financial information for the six months ended June 30, 2021 and 2020.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rPr>
              <w:t>Six Months Ended June 30,</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1,191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1,014</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612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52</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579</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491</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48</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153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14</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79</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7</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232</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218</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21</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347</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273</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27</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(6)</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294</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25</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211</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21</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230</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19%</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162</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16%</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60" w:firstLine="522"/>
        <w:spacing w:after="0" w:line="231" w:lineRule="auto"/>
        <w:rPr>
          <w:sz w:val="20"/>
          <w:szCs w:val="20"/>
          <w:color w:val="auto"/>
        </w:rPr>
      </w:pPr>
      <w:r>
        <w:rPr>
          <w:rFonts w:ascii="Arial" w:cs="Arial" w:eastAsia="Arial" w:hAnsi="Arial"/>
          <w:sz w:val="16"/>
          <w:szCs w:val="16"/>
          <w:color w:val="auto"/>
        </w:rPr>
        <w:t>Net sales for the six months ended June 30, 2021 were $1,191 million compared to $1,014 million for the six months ended June 30, 2020, an increase of 17%. The increase was principally driven by a $105 million, or 20%, increase in net sales in the North America On-Highway end market and a $50 million, or 38%, increase in net sales in the Outside North America On-Highway end market both of which were principally driven by the continuing recovery in customer demand following the pandemic-related disruptions experienced in 2020, a $23 million, or 10%, increase in net sales in the Service Parts, Support Equipment and Other end market principally driven by higher demand for aluminum die cast components, support equipment and service parts and an $11 million, or 13%, increase in net sales in the Defense end market principally driven by higher demand for Tracked vehicle applications, partially offset by a $12 million, or 26%, decrease in net sales in the Outside North America Off-Highway end market principally driven by lower demand in the energy sector.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jc w:val="both"/>
        <w:ind w:right="200" w:firstLine="522"/>
        <w:spacing w:after="0" w:line="255" w:lineRule="auto"/>
        <w:rPr>
          <w:sz w:val="20"/>
          <w:szCs w:val="20"/>
          <w:color w:val="auto"/>
        </w:rPr>
      </w:pPr>
      <w:r>
        <w:rPr>
          <w:rFonts w:ascii="Arial" w:cs="Arial" w:eastAsia="Arial" w:hAnsi="Arial"/>
          <w:sz w:val="15"/>
          <w:szCs w:val="15"/>
          <w:color w:val="auto"/>
        </w:rPr>
        <w:t>Cost of sales for the six months ended June 30, 2021 was $612 million compared to $523 million for the six months ended June 30, 2020, an increase of 17%. The increase was principally driven by increased direct material and manufacturing expense commensurate with increased net sales, unfavorable material costs and higher incentive compensation expense, partially offset by restructuring charges in the second quarter of 2020 that did not recur in 2021.</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right="60" w:firstLine="522"/>
        <w:spacing w:after="0" w:line="231" w:lineRule="auto"/>
        <w:rPr>
          <w:sz w:val="20"/>
          <w:szCs w:val="20"/>
          <w:color w:val="auto"/>
        </w:rPr>
      </w:pPr>
      <w:r>
        <w:rPr>
          <w:rFonts w:ascii="Arial" w:cs="Arial" w:eastAsia="Arial" w:hAnsi="Arial"/>
          <w:sz w:val="16"/>
          <w:szCs w:val="16"/>
          <w:color w:val="auto"/>
        </w:rPr>
        <w:t>Gross profit for the six months ended June 30, 2021 was $579 million compared to $ 491 million for the six months ended June 30, 2020, an increase of 18%. The increase was principally driven by $ 122 million related to increased net sales, $13 million of price increases on certain products and $5 million of restructuring charges in the second quarter of 2020 that did not recur 2021, partially offset by $23 million of higher manufacturing expense commensurate with increased net sales, $ 18 million of unfavorable material costs, and $11 million of higher incentive compensation expense. Gross profit as a percent of net sales for the six months ended June 30, 2021 increased 20 basis points compared to the same period in 2020 principally driven by increased net sales, price increases on certain products and restructuring charges in the second quarter of 2020 that did not recur in 2021, partially offset by unfavorable material costs and higher incentive compensation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240" w:firstLine="522"/>
        <w:spacing w:after="0" w:line="233" w:lineRule="auto"/>
        <w:rPr>
          <w:sz w:val="20"/>
          <w:szCs w:val="20"/>
          <w:color w:val="auto"/>
        </w:rPr>
      </w:pPr>
      <w:r>
        <w:rPr>
          <w:rFonts w:ascii="Arial" w:cs="Arial" w:eastAsia="Arial" w:hAnsi="Arial"/>
          <w:sz w:val="16"/>
          <w:szCs w:val="16"/>
          <w:color w:val="auto"/>
        </w:rPr>
        <w:t>Selling, general and administrative expenses for the six months ended June 30, 2021 were $153 million compared to $144 million for six months ended June 30, 2020, an increase of 6%. The increase was principally driven by higher incentive compensation expense and higher stock compensation expense, partially offset by $6 million of lower intangible amortization expense, $3 million of restructuring charges in the second quarter of 2020 that did not recur in 2021 and lower commercial activities spending.</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260" w:firstLine="522"/>
        <w:spacing w:after="0" w:line="234" w:lineRule="auto"/>
        <w:rPr>
          <w:sz w:val="20"/>
          <w:szCs w:val="20"/>
          <w:color w:val="auto"/>
        </w:rPr>
      </w:pPr>
      <w:r>
        <w:rPr>
          <w:rFonts w:ascii="Arial" w:cs="Arial" w:eastAsia="Arial" w:hAnsi="Arial"/>
          <w:sz w:val="16"/>
          <w:szCs w:val="16"/>
          <w:color w:val="auto"/>
        </w:rPr>
        <w:t>Engineering expenses for the six months ended June 30, 2021 were $79 million compared to $74 million for the six months ended June 30, 2020, an increase of 7%. The increase was principally driven by higher incentive compensation expense and increased product initiatives spending, partially offset by $4 million of restructuring charges in the second quarter of 2020 that did not recur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jc w:val="both"/>
        <w:ind w:firstLine="522"/>
        <w:spacing w:after="0" w:line="234" w:lineRule="auto"/>
        <w:rPr>
          <w:sz w:val="20"/>
          <w:szCs w:val="20"/>
          <w:color w:val="auto"/>
        </w:rPr>
      </w:pPr>
      <w:r>
        <w:rPr>
          <w:rFonts w:ascii="Arial" w:cs="Arial" w:eastAsia="Arial" w:hAnsi="Arial"/>
          <w:sz w:val="16"/>
          <w:szCs w:val="16"/>
          <w:color w:val="auto"/>
        </w:rPr>
        <w:t>Interest expense, net for the six months ended June 30, 2021 was $59 million compared to $66 million for the six months ended June 30, 2020, a decrease of 11%. The decrease was principally driven by $6 million of decreased interest expense due to lower interest rates as a result of our long-term debt refinancing in the fourth quarter of 2020 that extended maturities at lower fixed interest rates.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ind w:right="20" w:firstLine="522"/>
        <w:spacing w:after="0" w:line="234" w:lineRule="auto"/>
        <w:rPr>
          <w:sz w:val="20"/>
          <w:szCs w:val="20"/>
          <w:color w:val="auto"/>
        </w:rPr>
      </w:pPr>
      <w:r>
        <w:rPr>
          <w:rFonts w:ascii="Arial" w:cs="Arial" w:eastAsia="Arial" w:hAnsi="Arial"/>
          <w:sz w:val="16"/>
          <w:szCs w:val="16"/>
          <w:color w:val="auto"/>
        </w:rPr>
        <w:t>Other income, net for the six months ended June 30, 2021 was $6 million compared to $4 million for the six months ended June 30, 2020. The change was principally driven by $2 million of favorable foreign exchange on intercompany financing and $1 million of favorable change associated with assets held in a rabbi trust.</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ind w:right="160" w:firstLine="522"/>
        <w:spacing w:after="0" w:line="234" w:lineRule="auto"/>
        <w:rPr>
          <w:sz w:val="20"/>
          <w:szCs w:val="20"/>
          <w:color w:val="auto"/>
        </w:rPr>
      </w:pPr>
      <w:r>
        <w:rPr>
          <w:rFonts w:ascii="Arial" w:cs="Arial" w:eastAsia="Arial" w:hAnsi="Arial"/>
          <w:sz w:val="16"/>
          <w:szCs w:val="16"/>
          <w:color w:val="auto"/>
        </w:rPr>
        <w:t>Income tax expense for the six months ended June 30, 2021 was $64 million, resulting in an effective tax rate of 22%, compared to $49 million of income tax expense and an effective tax rate of 23% for the six months ended June 30, 2020. The increase in income tax expense was principally driven by increased taxable income. The decrease in the effective tax rate was principally driven by increased estimated U.S. federal income tax deductions.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acquisitions. Our ability to generate cash in the future and our future uses of cash are subject to general economic, financial, competitive, legislative, regulatory and other factors that may be beyond our control. We had total available cash and cash equivalents of $238 million and $310 million as of June 30, 2021 and December 31, 2020, respectively. Of the available cash and cash equivalents, $128 million and $150 million were deposited in operating accounts as of June 30, 2021 and December 31, 2020, respectively, while $110 million and $160 million were invested in U.S. government backed securities as of June 30, 2021 and December 31, 2020, respectively.</w:t>
      </w:r>
    </w:p>
    <w:p>
      <w:pPr>
        <w:spacing w:after="0" w:line="87" w:lineRule="exact"/>
        <w:rPr>
          <w:sz w:val="20"/>
          <w:szCs w:val="20"/>
          <w:color w:val="auto"/>
        </w:rPr>
      </w:pPr>
    </w:p>
    <w:p>
      <w:pPr>
        <w:ind w:right="100" w:firstLine="522"/>
        <w:spacing w:after="0" w:line="233" w:lineRule="auto"/>
        <w:rPr>
          <w:sz w:val="20"/>
          <w:szCs w:val="20"/>
          <w:color w:val="auto"/>
        </w:rPr>
      </w:pPr>
      <w:r>
        <w:rPr>
          <w:rFonts w:ascii="Arial" w:cs="Arial" w:eastAsia="Arial" w:hAnsi="Arial"/>
          <w:sz w:val="16"/>
          <w:szCs w:val="16"/>
          <w:color w:val="auto"/>
        </w:rPr>
        <w:t>As of June 30, 2021, the total of cash and cash equivalents held by foreign subsidiaries was $95 million, the majority of which was at our subsidiaries located in China and the Netherlands.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31" w:lineRule="exact"/>
        <w:rPr>
          <w:sz w:val="20"/>
          <w:szCs w:val="20"/>
          <w:color w:val="auto"/>
        </w:rPr>
      </w:pPr>
    </w:p>
    <w:p>
      <w:pPr>
        <w:jc w:val="both"/>
        <w:ind w:right="20" w:firstLine="522"/>
        <w:spacing w:after="0" w:line="233"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31" w:lineRule="exact"/>
        <w:rPr>
          <w:sz w:val="20"/>
          <w:szCs w:val="20"/>
          <w:color w:val="auto"/>
        </w:rPr>
      </w:pPr>
    </w:p>
    <w:p>
      <w:pPr>
        <w:ind w:right="140" w:firstLine="522"/>
        <w:spacing w:after="0" w:line="245" w:lineRule="auto"/>
        <w:rPr>
          <w:sz w:val="20"/>
          <w:szCs w:val="20"/>
          <w:color w:val="auto"/>
        </w:rPr>
      </w:pPr>
      <w:r>
        <w:rPr>
          <w:rFonts w:ascii="Arial" w:cs="Arial" w:eastAsia="Arial" w:hAnsi="Arial"/>
          <w:sz w:val="15"/>
          <w:szCs w:val="15"/>
          <w:color w:val="auto"/>
        </w:rPr>
        <w:t>Our liquidity requirements are significant, primarily due to our debt service requirements. As of June 30, 2021, we had $635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w:t>
      </w:r>
    </w:p>
    <w:p>
      <w:pPr>
        <w:ind w:right="20"/>
        <w:spacing w:after="0" w:line="232" w:lineRule="auto"/>
        <w:rPr>
          <w:sz w:val="20"/>
          <w:szCs w:val="20"/>
          <w:color w:val="auto"/>
        </w:rPr>
      </w:pPr>
      <w:r>
        <w:rPr>
          <w:rFonts w:ascii="Arial" w:cs="Arial" w:eastAsia="Arial" w:hAnsi="Arial"/>
          <w:sz w:val="16"/>
          <w:szCs w:val="16"/>
          <w:color w:val="auto"/>
        </w:rPr>
        <w:t>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ATI’s Senior Notes. Long-term debt service liquidity requirements also consist of the payment in full of any remaining principal balance of ATI’s Term Loan and the Senior Notes upon their respective maturity dates.</w:t>
      </w:r>
    </w:p>
    <w:p>
      <w:pPr>
        <w:spacing w:after="0" w:line="132" w:lineRule="exact"/>
        <w:rPr>
          <w:sz w:val="20"/>
          <w:szCs w:val="20"/>
          <w:color w:val="auto"/>
        </w:rPr>
      </w:pPr>
    </w:p>
    <w:p>
      <w:pPr>
        <w:ind w:right="160" w:firstLine="522"/>
        <w:spacing w:after="0" w:line="266" w:lineRule="auto"/>
        <w:rPr>
          <w:sz w:val="20"/>
          <w:szCs w:val="20"/>
          <w:color w:val="auto"/>
        </w:rPr>
      </w:pPr>
      <w:r>
        <w:rPr>
          <w:rFonts w:ascii="Arial" w:cs="Arial" w:eastAsia="Arial" w:hAnsi="Arial"/>
          <w:sz w:val="15"/>
          <w:szCs w:val="15"/>
          <w:color w:val="auto"/>
        </w:rPr>
        <w:t>We made $3 million of principal payments on the Term Loan during each of the six months ended June 30, 2021 and 2020. Our ability to make payments on and refinance our indebtedness and to fund planned capital expenditures and growth initiatives will depend on our ability to generate cash in the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Senior Secured Credit Facility provides for a $650 million Revolving Credit Facility, net of an allowance for up to $75 million in outstanding letter of credit commitments. As of June 30, 2021, we had $645 million available under the Revolving Credit Facility, net of $5 million in letters of credit.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June 30, 2021, our first lien net leverage ratio was 0.50x.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2" w:lineRule="exact"/>
        <w:rPr>
          <w:sz w:val="20"/>
          <w:szCs w:val="20"/>
          <w:color w:val="auto"/>
        </w:rPr>
      </w:pPr>
    </w:p>
    <w:p>
      <w:pPr>
        <w:ind w:right="20" w:firstLine="522"/>
        <w:spacing w:after="0" w:line="249" w:lineRule="auto"/>
        <w:rPr>
          <w:sz w:val="20"/>
          <w:szCs w:val="20"/>
          <w:color w:val="auto"/>
        </w:rPr>
      </w:pPr>
      <w:r>
        <w:rPr>
          <w:rFonts w:ascii="Arial" w:cs="Arial" w:eastAsia="Arial" w:hAnsi="Arial"/>
          <w:sz w:val="15"/>
          <w:szCs w:val="15"/>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2021, we are in compliance with all covenants under the Senior Secured Credit Facility and indentures governing the Senior Notes.</w:t>
      </w:r>
    </w:p>
    <w:p>
      <w:pPr>
        <w:spacing w:after="0" w:line="124" w:lineRule="exact"/>
        <w:rPr>
          <w:sz w:val="20"/>
          <w:szCs w:val="20"/>
          <w:color w:val="auto"/>
        </w:rPr>
      </w:pPr>
    </w:p>
    <w:p>
      <w:pPr>
        <w:ind w:right="100" w:firstLine="522"/>
        <w:spacing w:after="0" w:line="234"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the Term Loan at ‘Baa3’, the 4.75% Senior Notes at ‘Ba3’, the 5.875% Senior Notes at 'Ba3' and the 3.75% Senior Notes at ‘Ba3’. Fitch rates our corporate credit at ‘BB’, the Term Loan at ‘BB+’, the 4.75% Senior Notes at ‘BB’, the 5.875% Senior Notes at 'BB' and the 3.75% Senior Notes at ‘BB’.</w:t>
      </w:r>
    </w:p>
    <w:p>
      <w:pPr>
        <w:spacing w:after="0" w:line="84" w:lineRule="exact"/>
        <w:rPr>
          <w:sz w:val="20"/>
          <w:szCs w:val="20"/>
          <w:color w:val="auto"/>
        </w:rPr>
      </w:pPr>
    </w:p>
    <w:p>
      <w:pPr>
        <w:ind w:right="240" w:firstLine="522"/>
        <w:spacing w:after="0" w:line="233" w:lineRule="auto"/>
        <w:rPr>
          <w:sz w:val="20"/>
          <w:szCs w:val="20"/>
          <w:color w:val="auto"/>
        </w:rPr>
      </w:pPr>
      <w:r>
        <w:rPr>
          <w:rFonts w:ascii="Arial" w:cs="Arial" w:eastAsia="Arial" w:hAnsi="Arial"/>
          <w:sz w:val="16"/>
          <w:szCs w:val="16"/>
          <w:color w:val="auto"/>
        </w:rPr>
        <w:t>Our Board of Directors has authorized us to repurchase up to a certain amount of our common stock pursuant to a stock repurchase program (the "Repurchase Program"). During the six months ended June 30, 2021, we repurchased $226 million of our common stock under the Repurchase Program. All of the repurchase transactions during the six months ended June 30, 2021 were settled in cash during the same period. As of June 30, 2021, we had $601 million available under the Repurchase Program.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six months ended June 30, 2021 and 2020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1160" w:type="dxa"/>
            <w:vAlign w:val="bottom"/>
          </w:tcPr>
          <w:p>
            <w:pPr>
              <w:spacing w:after="0"/>
              <w:rPr>
                <w:sz w:val="13"/>
                <w:szCs w:val="13"/>
                <w:color w:val="auto"/>
              </w:rPr>
            </w:pPr>
          </w:p>
        </w:tc>
      </w:tr>
      <w:tr>
        <w:trPr>
          <w:trHeight w:val="153"/>
        </w:trPr>
        <w:tc>
          <w:tcPr>
            <w:tcW w:w="7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June 30,</w:t>
            </w:r>
          </w:p>
        </w:tc>
        <w:tc>
          <w:tcPr>
            <w:tcW w:w="1160" w:type="dxa"/>
            <w:vAlign w:val="bottom"/>
            <w:tcBorders>
              <w:bottom w:val="single" w:sz="8" w:color="auto"/>
            </w:tcBorders>
          </w:tcPr>
          <w:p>
            <w:pPr>
              <w:spacing w:after="0"/>
              <w:rPr>
                <w:sz w:val="13"/>
                <w:szCs w:val="13"/>
                <w:color w:val="auto"/>
              </w:rPr>
            </w:pPr>
          </w:p>
        </w:tc>
      </w:tr>
      <w:tr>
        <w:trPr>
          <w:trHeight w:val="144"/>
        </w:trPr>
        <w:tc>
          <w:tcPr>
            <w:tcW w:w="774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b w:val="1"/>
                <w:bCs w:val="1"/>
                <w:i w:val="1"/>
                <w:iCs w:val="1"/>
                <w:color w:val="auto"/>
              </w:rPr>
              <w:t>Statements of Cash Flows Data</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0"/>
              <w:spacing w:after="0" w:line="144"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06"/>
              <w:spacing w:after="0" w:line="144" w:lineRule="exact"/>
              <w:rPr>
                <w:sz w:val="20"/>
                <w:szCs w:val="20"/>
                <w:color w:val="auto"/>
              </w:rPr>
            </w:pPr>
            <w:r>
              <w:rPr>
                <w:rFonts w:ascii="Arial" w:cs="Arial" w:eastAsia="Arial" w:hAnsi="Arial"/>
                <w:sz w:val="13"/>
                <w:szCs w:val="13"/>
                <w:b w:val="1"/>
                <w:bCs w:val="1"/>
                <w:color w:val="auto"/>
              </w:rPr>
              <w:t>2020</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360" w:type="dxa"/>
            <w:vAlign w:val="bottom"/>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271</w:t>
            </w:r>
          </w:p>
        </w:tc>
        <w:tc>
          <w:tcPr>
            <w:tcW w:w="700" w:type="dxa"/>
            <w:vAlign w:val="bottom"/>
            <w:gridSpan w:val="2"/>
            <w:shd w:val="clear" w:color="auto" w:fill="CFF0FC"/>
          </w:tcPr>
          <w:p>
            <w:pPr>
              <w:jc w:val="right"/>
              <w:ind w:right="44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240</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360" w:type="dxa"/>
            <w:vAlign w:val="bottom"/>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7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
              <w:spacing w:after="0"/>
              <w:rPr>
                <w:sz w:val="20"/>
                <w:szCs w:val="20"/>
                <w:color w:val="auto"/>
              </w:rPr>
            </w:pPr>
            <w:r>
              <w:rPr>
                <w:rFonts w:ascii="Arial" w:cs="Arial" w:eastAsia="Arial" w:hAnsi="Arial"/>
                <w:sz w:val="16"/>
                <w:szCs w:val="16"/>
                <w:color w:val="auto"/>
              </w:rPr>
              <w:t>(45)</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provided by financing activities</w:t>
            </w: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(274)</w:t>
            </w:r>
          </w:p>
        </w:tc>
        <w:tc>
          <w:tcPr>
            <w:tcW w:w="70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49</w:t>
            </w:r>
          </w:p>
        </w:tc>
      </w:tr>
    </w:tbl>
    <w:p>
      <w:pPr>
        <w:spacing w:after="0" w:line="211" w:lineRule="exact"/>
        <w:rPr>
          <w:sz w:val="20"/>
          <w:szCs w:val="20"/>
          <w:color w:val="auto"/>
        </w:rPr>
      </w:pPr>
    </w:p>
    <w:p>
      <w:pPr>
        <w:ind w:right="100" w:firstLine="522"/>
        <w:spacing w:after="0" w:line="233" w:lineRule="auto"/>
        <w:rPr>
          <w:sz w:val="20"/>
          <w:szCs w:val="20"/>
          <w:color w:val="auto"/>
        </w:rPr>
      </w:pPr>
      <w:r>
        <w:rPr>
          <w:rFonts w:ascii="Arial" w:cs="Arial" w:eastAsia="Arial" w:hAnsi="Arial"/>
          <w:sz w:val="16"/>
          <w:szCs w:val="16"/>
          <w:color w:val="auto"/>
        </w:rPr>
        <w:t>Generally, cash provided by operating activities has been adequate to fund our operations. We have significant liquidity, including $ 238 million of cash and cash equivalents and $645 million available under the Revolving Credit Facility, net of $5 million of letters of credit, as of June 30, 2021. At this time, we believe cash provided by operating activities, cash and cash equivalents and borrowing capacity under the Senior Secured Credit Facility will be sufficient to meet our cash requirements for the next twelve months.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04" w:lineRule="exact"/>
        <w:rPr>
          <w:sz w:val="20"/>
          <w:szCs w:val="20"/>
          <w:color w:val="auto"/>
        </w:rPr>
      </w:pPr>
    </w:p>
    <w:p>
      <w:pPr>
        <w:jc w:val="both"/>
        <w:ind w:right="200" w:firstLine="522"/>
        <w:spacing w:after="0" w:line="234" w:lineRule="auto"/>
        <w:rPr>
          <w:sz w:val="20"/>
          <w:szCs w:val="20"/>
          <w:color w:val="auto"/>
        </w:rPr>
      </w:pPr>
      <w:r>
        <w:rPr>
          <w:rFonts w:ascii="Arial" w:cs="Arial" w:eastAsia="Arial" w:hAnsi="Arial"/>
          <w:sz w:val="16"/>
          <w:szCs w:val="16"/>
          <w:color w:val="auto"/>
        </w:rPr>
        <w:t>Operating activities for the six months ended June 30, 2021 generated $271 million of cash compared to $ 240 million for the six months ended June 30, 2020. The increase was principally driven by higher gross profit, lower cash incentive compensation expense and lower cash interest expense, partially offset by higher operating working capital requirements and higher cash income taxes.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04"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Investing activities for the six months ended June 30, 2021 used $69 million of cash compared to $45 million for the six months ended June 30, 2020. The increase was principally driven by an $20 million increase in capital expenditures, partially offset by a $4 million net working capital settlement related to the acquisition of Walker Die Casting in 2020 that did not recur in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provided by financing activities</w:t>
      </w:r>
    </w:p>
    <w:p>
      <w:pPr>
        <w:spacing w:after="0" w:line="104" w:lineRule="exact"/>
        <w:rPr>
          <w:sz w:val="20"/>
          <w:szCs w:val="20"/>
          <w:color w:val="auto"/>
        </w:rPr>
      </w:pPr>
    </w:p>
    <w:p>
      <w:pPr>
        <w:ind w:right="40" w:firstLine="522"/>
        <w:spacing w:after="0" w:line="234" w:lineRule="auto"/>
        <w:rPr>
          <w:sz w:val="20"/>
          <w:szCs w:val="20"/>
          <w:color w:val="auto"/>
        </w:rPr>
      </w:pPr>
      <w:r>
        <w:rPr>
          <w:rFonts w:ascii="Arial" w:cs="Arial" w:eastAsia="Arial" w:hAnsi="Arial"/>
          <w:sz w:val="16"/>
          <w:szCs w:val="16"/>
          <w:color w:val="auto"/>
        </w:rPr>
        <w:t>Financing activities for the six months ended June 30, 2021 used $ 274 million of cash compared to providing $49 million for the six months ended June 30, 2020. The change was principally driven by $275 of net borrowings on the revolving credit facility in 2020 that did not recur in 2021 and $46 million of increased stock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06" w:lineRule="exact"/>
        <w:rPr>
          <w:sz w:val="20"/>
          <w:szCs w:val="20"/>
          <w:color w:val="auto"/>
        </w:rPr>
      </w:pPr>
    </w:p>
    <w:p>
      <w:pPr>
        <w:ind w:right="120" w:firstLine="522"/>
        <w:spacing w:after="0" w:line="233"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06"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2020 as filed with the Securities and Exchange Commission on February 18, 2021.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six months ended June 30, 2021.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B, “Summary of Significant Accounting Policies” in Part I, Item 1, of this 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6" w:lineRule="exact"/>
        <w:rPr>
          <w:sz w:val="20"/>
          <w:szCs w:val="20"/>
          <w:color w:val="auto"/>
        </w:rPr>
      </w:pPr>
    </w:p>
    <w:p>
      <w:pPr>
        <w:ind w:right="80" w:firstLine="522"/>
        <w:spacing w:after="0" w:line="246" w:lineRule="auto"/>
        <w:rPr>
          <w:sz w:val="20"/>
          <w:szCs w:val="20"/>
          <w:color w:val="auto"/>
        </w:rPr>
      </w:pPr>
      <w:r>
        <w:rPr>
          <w:rFonts w:ascii="Arial" w:cs="Arial" w:eastAsia="Arial" w:hAnsi="Arial"/>
          <w:sz w:val="15"/>
          <w:szCs w:val="15"/>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pandemic, including new variants of the virus and the pace and availability of vaccines, mitigating efforts deployed by government agencies and the public at large, and the overall impact from such outbreak on economic conditions, financial market volatility and our business, including but not limited to the operations of our manufacturing and other facilities, our supply chain, our distribution processes and demand for our products and the corresponding impacts to our net sales and cash flow; increases in cost, disruption of supply or shortage of labor, freight, raw materials or components used to manufacture or transport our products, including as a result of the COVID-19 pandemic;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our ability to identify, consummate and effectively integrate acquisitions; labor stoppages, labor strikes, work stoppages or similar labor disputes, which could significantly disrupt our operations or those of our principal customers or suppliers; and our intention to pay dividends and repurchase shares of our common stock.</w:t>
      </w:r>
    </w:p>
    <w:p>
      <w:pPr>
        <w:spacing w:after="0" w:line="268"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in Part I, Item 1A of our Annual Report on Form 10-K for the year ended December 31, 2020 as filed with the SEC on February 18, 2021.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01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27"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39" w:lineRule="exact"/>
        <w:rPr>
          <w:sz w:val="20"/>
          <w:szCs w:val="20"/>
          <w:color w:val="auto"/>
        </w:rPr>
      </w:pPr>
    </w:p>
    <w:p>
      <w:pPr>
        <w:ind w:left="260" w:right="1280" w:firstLine="259"/>
        <w:spacing w:after="0" w:line="352" w:lineRule="auto"/>
        <w:rPr>
          <w:sz w:val="20"/>
          <w:szCs w:val="20"/>
          <w:color w:val="auto"/>
        </w:rPr>
      </w:pPr>
      <w:r>
        <w:rPr>
          <w:rFonts w:ascii="Arial" w:cs="Arial" w:eastAsia="Arial" w:hAnsi="Arial"/>
          <w:sz w:val="16"/>
          <w:szCs w:val="16"/>
          <w:color w:val="auto"/>
        </w:rPr>
        <w:t xml:space="preserve">Our exposure to market risk consists of changes in interest rates, foreign currency rate fluctuations and movements in commodity prices. </w:t>
      </w:r>
      <w:r>
        <w:rPr>
          <w:rFonts w:ascii="Arial" w:cs="Arial" w:eastAsia="Arial" w:hAnsi="Arial"/>
          <w:sz w:val="16"/>
          <w:szCs w:val="16"/>
          <w:b w:val="1"/>
          <w:bCs w:val="1"/>
          <w:i w:val="1"/>
          <w:iCs w:val="1"/>
          <w:color w:val="auto"/>
        </w:rPr>
        <w:t>Interest Rate Risk</w:t>
      </w:r>
    </w:p>
    <w:p>
      <w:pPr>
        <w:ind w:left="520"/>
        <w:spacing w:after="0" w:line="230"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w:t>
      </w:r>
    </w:p>
    <w:p>
      <w:pPr>
        <w:spacing w:after="0" w:line="230" w:lineRule="auto"/>
        <w:rPr>
          <w:sz w:val="20"/>
          <w:szCs w:val="20"/>
          <w:color w:val="auto"/>
        </w:rPr>
      </w:pPr>
      <w:r>
        <w:rPr>
          <w:rFonts w:ascii="Arial" w:cs="Arial" w:eastAsia="Arial" w:hAnsi="Arial"/>
          <w:sz w:val="16"/>
          <w:szCs w:val="16"/>
          <w:color w:val="auto"/>
        </w:rPr>
        <w:t>amounts under our Senior Secured Credit Facility. Our Senior Secured Credit Facility provides for variable rate borrowings of up to $1,280 million, including</w:t>
      </w:r>
    </w:p>
    <w:p>
      <w:pPr>
        <w:spacing w:after="0"/>
        <w:rPr>
          <w:sz w:val="20"/>
          <w:szCs w:val="20"/>
          <w:color w:val="auto"/>
        </w:rPr>
      </w:pPr>
      <w:r>
        <w:rPr>
          <w:rFonts w:ascii="Arial" w:cs="Arial" w:eastAsia="Arial" w:hAnsi="Arial"/>
          <w:sz w:val="15"/>
          <w:szCs w:val="15"/>
          <w:color w:val="auto"/>
        </w:rPr>
        <w:t>$645 million under our Revolving Credit Facility, net of $5 million of letters of credit. A one-eighth percent increase or decrease in assumed interest rates for the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Senior Secured Credit Facility, if fully drawn as of June 30, 2021, would have an impact of approximately $1 million on interest expense per year. As of June 30,</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2021, we had no outstanding borrowings against the Revolving Credit Facility.</w:t>
      </w:r>
    </w:p>
    <w:p>
      <w:pPr>
        <w:spacing w:after="0" w:line="86"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From time to time, we enter into interest rate swap agreements to hedge the risk associated with our variable interest rate debt. As of June 30, 2021, we held interest rate swaps effective from (i) September 2019 to September 2022 with notional values totaling $250 million and a weighted average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04" w:lineRule="exact"/>
        <w:rPr>
          <w:sz w:val="20"/>
          <w:szCs w:val="20"/>
          <w:color w:val="auto"/>
        </w:rPr>
      </w:pPr>
    </w:p>
    <w:p>
      <w:pPr>
        <w:ind w:right="60" w:firstLine="528"/>
        <w:spacing w:after="0" w:line="233"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84" w:lineRule="exact"/>
        <w:rPr>
          <w:sz w:val="20"/>
          <w:szCs w:val="20"/>
          <w:color w:val="auto"/>
        </w:rPr>
      </w:pPr>
    </w:p>
    <w:p>
      <w:pPr>
        <w:ind w:right="40" w:firstLine="528"/>
        <w:spacing w:after="0" w:line="234"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$4 million per year. We believe our other exposure to foreign currencies is immaterial.</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0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As of June 30, 2021, approximately 67%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84" w:lineRule="exact"/>
        <w:rPr>
          <w:sz w:val="20"/>
          <w:szCs w:val="20"/>
          <w:color w:val="auto"/>
        </w:rPr>
      </w:pPr>
    </w:p>
    <w:p>
      <w:pPr>
        <w:ind w:right="480" w:firstLine="528"/>
        <w:spacing w:after="0" w:line="237"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$4 million and $6 million per year, respectively.</w:t>
      </w:r>
    </w:p>
    <w:p>
      <w:pPr>
        <w:spacing w:after="0" w:line="83" w:lineRule="exact"/>
        <w:rPr>
          <w:sz w:val="20"/>
          <w:szCs w:val="20"/>
          <w:color w:val="auto"/>
        </w:rPr>
      </w:pPr>
    </w:p>
    <w:p>
      <w:pPr>
        <w:ind w:right="300" w:firstLine="528"/>
        <w:spacing w:after="0" w:line="237"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01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6" w:lineRule="exact"/>
        <w:rPr>
          <w:sz w:val="20"/>
          <w:szCs w:val="20"/>
          <w:color w:val="auto"/>
        </w:rPr>
      </w:pPr>
    </w:p>
    <w:p>
      <w:pPr>
        <w:ind w:right="100" w:firstLine="528"/>
        <w:spacing w:after="0" w:line="23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6"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6" w:lineRule="exact"/>
        <w:rPr>
          <w:sz w:val="20"/>
          <w:szCs w:val="20"/>
          <w:color w:val="auto"/>
        </w:rPr>
      </w:pPr>
    </w:p>
    <w:p>
      <w:pPr>
        <w:ind w:right="80" w:firstLine="528"/>
        <w:spacing w:after="0" w:line="233"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6" w:lineRule="exact"/>
        <w:rPr>
          <w:sz w:val="20"/>
          <w:szCs w:val="20"/>
          <w:color w:val="auto"/>
        </w:rPr>
      </w:pPr>
    </w:p>
    <w:p>
      <w:pPr>
        <w:ind w:right="80" w:firstLine="528"/>
        <w:spacing w:after="0" w:line="237" w:lineRule="auto"/>
        <w:rPr>
          <w:sz w:val="20"/>
          <w:szCs w:val="20"/>
          <w:color w:val="auto"/>
        </w:rPr>
      </w:pPr>
      <w:r>
        <w:rPr>
          <w:rFonts w:ascii="Arial" w:cs="Arial" w:eastAsia="Arial" w:hAnsi="Arial"/>
          <w:sz w:val="16"/>
          <w:szCs w:val="16"/>
          <w:color w:val="auto"/>
        </w:rPr>
        <w:t>There have been no material changes from our risk factors as previously reported in Part I, Item 1A of our Annual Report on Form 10-K for the year ended December 31, 2020 as filed with the Securities and Exchange Commission on February 18,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June 30,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52"/>
              <w:spacing w:after="0"/>
              <w:rPr>
                <w:sz w:val="20"/>
                <w:szCs w:val="20"/>
                <w:color w:val="auto"/>
              </w:rPr>
            </w:pPr>
            <w:r>
              <w:rPr>
                <w:rFonts w:ascii="Arial" w:cs="Arial" w:eastAsia="Arial" w:hAnsi="Arial"/>
                <w:sz w:val="13"/>
                <w:szCs w:val="13"/>
                <w:b w:val="1"/>
                <w:bCs w:val="1"/>
                <w:color w:val="auto"/>
                <w:w w:val="93"/>
              </w:rPr>
              <w:t>Total Number</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of Shares</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3"/>
              </w:rPr>
              <w:t>Purchased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as Part of</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2"/>
              </w:rPr>
              <w:t>Publicly</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48"/>
              <w:spacing w:after="0" w:line="141" w:lineRule="exact"/>
              <w:rPr>
                <w:sz w:val="20"/>
                <w:szCs w:val="20"/>
                <w:color w:val="auto"/>
              </w:rPr>
            </w:pPr>
            <w:r>
              <w:rPr>
                <w:rFonts w:ascii="Arial" w:cs="Arial" w:eastAsia="Arial" w:hAnsi="Arial"/>
                <w:sz w:val="13"/>
                <w:szCs w:val="13"/>
                <w:b w:val="1"/>
                <w:bCs w:val="1"/>
                <w:color w:val="auto"/>
                <w:w w:val="95"/>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3"/>
              </w:rPr>
              <w:t>Average</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Announced</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28"/>
              <w:spacing w:after="0" w:line="141" w:lineRule="exact"/>
              <w:rPr>
                <w:sz w:val="20"/>
                <w:szCs w:val="20"/>
                <w:color w:val="auto"/>
              </w:rPr>
            </w:pPr>
            <w:r>
              <w:rPr>
                <w:rFonts w:ascii="Arial" w:cs="Arial" w:eastAsia="Arial" w:hAnsi="Arial"/>
                <w:sz w:val="13"/>
                <w:szCs w:val="13"/>
                <w:b w:val="1"/>
                <w:bCs w:val="1"/>
                <w:color w:val="auto"/>
                <w:w w:val="97"/>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5"/>
              </w:rPr>
              <w:t>Price Paid</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Plans or</w:t>
            </w:r>
          </w:p>
        </w:tc>
        <w:tc>
          <w:tcPr>
            <w:tcW w:w="14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4"/>
              </w:rPr>
              <w:t>Yet Be Purchased</w:t>
            </w:r>
          </w:p>
        </w:tc>
      </w:tr>
      <w:tr>
        <w:trPr>
          <w:trHeight w:val="153"/>
        </w:trPr>
        <w:tc>
          <w:tcPr>
            <w:tcW w:w="58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Purchased</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8"/>
              <w:spacing w:after="0"/>
              <w:rPr>
                <w:sz w:val="20"/>
                <w:szCs w:val="20"/>
                <w:color w:val="auto"/>
              </w:rPr>
            </w:pPr>
            <w:r>
              <w:rPr>
                <w:rFonts w:ascii="Arial" w:cs="Arial" w:eastAsia="Arial" w:hAnsi="Arial"/>
                <w:sz w:val="13"/>
                <w:szCs w:val="13"/>
                <w:b w:val="1"/>
                <w:bCs w:val="1"/>
                <w:color w:val="auto"/>
                <w:w w:val="96"/>
              </w:rPr>
              <w:t>per Share</w:t>
            </w:r>
          </w:p>
        </w:tc>
        <w:tc>
          <w:tcPr>
            <w:tcW w:w="1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6"/>
              </w:rPr>
              <w:t>Programs(1)</w:t>
            </w:r>
          </w:p>
        </w:tc>
        <w:tc>
          <w:tcPr>
            <w:tcW w:w="2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jc w:val="center"/>
              <w:ind w:right="151"/>
              <w:spacing w:after="0"/>
              <w:rPr>
                <w:sz w:val="20"/>
                <w:szCs w:val="20"/>
                <w:color w:val="auto"/>
              </w:rPr>
            </w:pPr>
            <w:r>
              <w:rPr>
                <w:rFonts w:ascii="Arial" w:cs="Arial" w:eastAsia="Arial" w:hAnsi="Arial"/>
                <w:sz w:val="13"/>
                <w:szCs w:val="13"/>
                <w:b w:val="1"/>
                <w:bCs w:val="1"/>
                <w:color w:val="auto"/>
                <w:w w:val="95"/>
              </w:rPr>
              <w:t>Under Plans(1)</w:t>
            </w:r>
          </w:p>
        </w:tc>
      </w:tr>
      <w:tr>
        <w:trPr>
          <w:trHeight w:val="180"/>
        </w:trPr>
        <w:tc>
          <w:tcPr>
            <w:tcW w:w="5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April 1 – April 30, 2021</w:t>
            </w:r>
          </w:p>
        </w:tc>
        <w:tc>
          <w:tcPr>
            <w:tcW w:w="124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845,660</w:t>
            </w:r>
          </w:p>
        </w:tc>
        <w:tc>
          <w:tcPr>
            <w:tcW w:w="32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42.66</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845,660</w:t>
            </w:r>
          </w:p>
        </w:tc>
        <w:tc>
          <w:tcPr>
            <w:tcW w:w="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line="180" w:lineRule="exact"/>
              <w:rPr>
                <w:sz w:val="20"/>
                <w:szCs w:val="20"/>
                <w:color w:val="auto"/>
              </w:rPr>
            </w:pPr>
            <w:r>
              <w:rPr>
                <w:rFonts w:ascii="Arial" w:cs="Arial" w:eastAsia="Arial" w:hAnsi="Arial"/>
                <w:sz w:val="16"/>
                <w:szCs w:val="16"/>
                <w:color w:val="auto"/>
              </w:rPr>
              <w:t>694,427,957</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May 1 – May 31, 2021</w:t>
            </w: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622,764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rPr>
                <w:sz w:val="20"/>
                <w:szCs w:val="20"/>
                <w:color w:val="auto"/>
              </w:rPr>
            </w:pPr>
            <w:r>
              <w:rPr>
                <w:rFonts w:ascii="Arial" w:cs="Arial" w:eastAsia="Arial" w:hAnsi="Arial"/>
                <w:sz w:val="16"/>
                <w:szCs w:val="16"/>
                <w:color w:val="auto"/>
              </w:rPr>
              <w:t>43.30</w:t>
            </w:r>
          </w:p>
        </w:tc>
        <w:tc>
          <w:tcPr>
            <w:tcW w:w="12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Arial" w:cs="Arial" w:eastAsia="Arial" w:hAnsi="Arial"/>
                <w:sz w:val="16"/>
                <w:szCs w:val="16"/>
                <w:color w:val="auto"/>
              </w:rPr>
              <w:t>622,764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
              <w:spacing w:after="0"/>
              <w:rPr>
                <w:sz w:val="20"/>
                <w:szCs w:val="20"/>
                <w:color w:val="auto"/>
              </w:rPr>
            </w:pPr>
            <w:r>
              <w:rPr>
                <w:rFonts w:ascii="Arial" w:cs="Arial" w:eastAsia="Arial" w:hAnsi="Arial"/>
                <w:sz w:val="16"/>
                <w:szCs w:val="16"/>
                <w:color w:val="auto"/>
              </w:rPr>
              <w:t>667,463,786</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June 1 – June 30, 2021</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1,653,819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40.41</w:t>
            </w:r>
          </w:p>
        </w:tc>
        <w:tc>
          <w:tcPr>
            <w:tcW w:w="120" w:type="dxa"/>
            <w:vAlign w:val="bottom"/>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1,653,819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600,626,368</w:t>
            </w:r>
          </w:p>
        </w:tc>
      </w:tr>
      <w:tr>
        <w:trPr>
          <w:trHeight w:val="180"/>
        </w:trPr>
        <w:tc>
          <w:tcPr>
            <w:tcW w:w="58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3,122,243</w:t>
            </w:r>
          </w:p>
        </w:tc>
        <w:tc>
          <w:tcPr>
            <w:tcW w:w="3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line="180" w:lineRule="exact"/>
              <w:rPr>
                <w:sz w:val="20"/>
                <w:szCs w:val="20"/>
                <w:color w:val="auto"/>
              </w:rPr>
            </w:pPr>
            <w:r>
              <w:rPr>
                <w:rFonts w:ascii="Arial" w:cs="Arial" w:eastAsia="Arial" w:hAnsi="Arial"/>
                <w:sz w:val="16"/>
                <w:szCs w:val="16"/>
                <w:color w:val="auto"/>
              </w:rPr>
              <w:t>41.60</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52"/>
              <w:spacing w:after="0" w:line="180" w:lineRule="exact"/>
              <w:rPr>
                <w:sz w:val="20"/>
                <w:szCs w:val="20"/>
                <w:color w:val="auto"/>
              </w:rPr>
            </w:pPr>
            <w:r>
              <w:rPr>
                <w:rFonts w:ascii="Arial" w:cs="Arial" w:eastAsia="Arial" w:hAnsi="Arial"/>
                <w:sz w:val="16"/>
                <w:szCs w:val="16"/>
                <w:color w:val="auto"/>
              </w:rPr>
              <w:t>3,122,243</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180" w:hanging="396"/>
        <w:spacing w:after="0" w:line="23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values reflect the amounts that may be repurchased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01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Item 6.</w:t>
            </w:r>
          </w:p>
        </w:tc>
        <w:tc>
          <w:tcPr>
            <w:tcW w:w="7500" w:type="dxa"/>
            <w:vAlign w:val="bottom"/>
            <w:gridSpan w:val="6"/>
          </w:tcPr>
          <w:p>
            <w:pPr>
              <w:ind w:left="20"/>
              <w:spacing w:after="0"/>
              <w:rPr>
                <w:sz w:val="20"/>
                <w:szCs w:val="20"/>
                <w:color w:val="auto"/>
              </w:rPr>
            </w:pPr>
            <w:r>
              <w:rPr>
                <w:rFonts w:ascii="Arial" w:cs="Arial" w:eastAsia="Arial" w:hAnsi="Arial"/>
                <w:sz w:val="16"/>
                <w:szCs w:val="16"/>
                <w:b w:val="1"/>
                <w:bCs w:val="1"/>
                <w:color w:val="auto"/>
              </w:rPr>
              <w:t>Exhibits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400" w:type="dxa"/>
            <w:vAlign w:val="bottom"/>
            <w:gridSpan w:val="3"/>
          </w:tcPr>
          <w:p>
            <w:pPr>
              <w:spacing w:after="0"/>
              <w:rPr>
                <w:sz w:val="20"/>
                <w:szCs w:val="20"/>
                <w:color w:val="auto"/>
              </w:rPr>
            </w:pPr>
            <w:r>
              <w:rPr>
                <w:rFonts w:ascii="Arial" w:cs="Arial" w:eastAsia="Arial" w:hAnsi="Arial"/>
                <w:sz w:val="16"/>
                <w:szCs w:val="16"/>
                <w:color w:val="auto"/>
              </w:rPr>
              <w:t>(a) Exhibits</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vMerge w:val="restart"/>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6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5"/>
              </w:rPr>
              <w:t>Number</w:t>
            </w: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20" w:type="dxa"/>
            <w:vAlign w:val="bottom"/>
            <w:tcBorders>
              <w:lef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10.1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60" w:type="dxa"/>
            <w:vAlign w:val="bottom"/>
            <w:gridSpan w:val="11"/>
          </w:tcPr>
          <w:p>
            <w:pPr>
              <w:spacing w:after="0"/>
              <w:rPr>
                <w:rFonts w:ascii="Arial" w:cs="Arial" w:eastAsia="Arial" w:hAnsi="Arial"/>
                <w:sz w:val="16"/>
                <w:szCs w:val="16"/>
                <w:color w:val="0000EE"/>
              </w:rPr>
            </w:pPr>
            <w:hyperlink r:id="rId63">
              <w:r>
                <w:rPr>
                  <w:rFonts w:ascii="Arial" w:cs="Arial" w:eastAsia="Arial" w:hAnsi="Arial"/>
                  <w:sz w:val="16"/>
                  <w:szCs w:val="16"/>
                  <w:color w:val="0000EE"/>
                </w:rPr>
                <w:t>Separation Agreement between the Registrant and Randall R. Kirk, dated May 26, 2021 (incorporated by reference to Exhibit 10.1 to the</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0" w:type="dxa"/>
            <w:vAlign w:val="bottom"/>
            <w:tcBorders>
              <w:top w:val="single" w:sz="8" w:color="0000EE"/>
              <w:bottom w:val="single" w:sz="8" w:color="0000EE"/>
            </w:tcBorders>
            <w:gridSpan w:val="3"/>
          </w:tcPr>
          <w:p>
            <w:pPr>
              <w:spacing w:after="0" w:line="156" w:lineRule="exact"/>
              <w:rPr>
                <w:rFonts w:ascii="Arial" w:cs="Arial" w:eastAsia="Arial" w:hAnsi="Arial"/>
                <w:sz w:val="16"/>
                <w:szCs w:val="16"/>
                <w:color w:val="0000EE"/>
                <w:w w:val="97"/>
              </w:rPr>
            </w:pPr>
            <w:hyperlink r:id="rId63">
              <w:r>
                <w:rPr>
                  <w:rFonts w:ascii="Arial" w:cs="Arial" w:eastAsia="Arial" w:hAnsi="Arial"/>
                  <w:sz w:val="16"/>
                  <w:szCs w:val="16"/>
                  <w:color w:val="0000EE"/>
                  <w:w w:val="97"/>
                </w:rPr>
                <w:t>Registrant’s Current Report on Form 8-K filed May 27, 2021)</w:t>
              </w:r>
            </w:hyperlink>
          </w:p>
        </w:tc>
        <w:tc>
          <w:tcPr>
            <w:tcW w:w="3300" w:type="dxa"/>
            <w:vAlign w:val="bottom"/>
            <w:tcBorders>
              <w:top w:val="single" w:sz="8" w:color="0000EE"/>
            </w:tcBorders>
            <w:gridSpan w:val="3"/>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31.1</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00" w:type="dxa"/>
            <w:vAlign w:val="bottom"/>
            <w:gridSpan w:val="6"/>
          </w:tcPr>
          <w:p>
            <w:pPr>
              <w:spacing w:after="0"/>
              <w:rPr>
                <w:rFonts w:ascii="Arial" w:cs="Arial" w:eastAsia="Arial" w:hAnsi="Arial"/>
                <w:sz w:val="16"/>
                <w:szCs w:val="16"/>
                <w:color w:val="0000EE"/>
                <w:w w:val="97"/>
              </w:rPr>
            </w:pPr>
            <w:hyperlink w:anchor="page43">
              <w:r>
                <w:rPr>
                  <w:rFonts w:ascii="Arial" w:cs="Arial" w:eastAsia="Arial" w:hAnsi="Arial"/>
                  <w:sz w:val="16"/>
                  <w:szCs w:val="16"/>
                  <w:color w:val="0000EE"/>
                  <w:w w:val="97"/>
                </w:rPr>
                <w:t>Certification of Chief Executive Officer pursuant to Rule 13a-14(a)/15d-14(a) as adopted pursuant to Section</w:t>
              </w:r>
            </w:hyperlink>
          </w:p>
        </w:tc>
        <w:tc>
          <w:tcPr>
            <w:tcW w:w="2360" w:type="dxa"/>
            <w:vAlign w:val="bottom"/>
            <w:gridSpan w:val="5"/>
          </w:tcPr>
          <w:p>
            <w:pPr>
              <w:ind w:left="60"/>
              <w:spacing w:after="0"/>
              <w:rPr>
                <w:rFonts w:ascii="Arial" w:cs="Arial" w:eastAsia="Arial" w:hAnsi="Arial"/>
                <w:sz w:val="16"/>
                <w:szCs w:val="16"/>
                <w:color w:val="0000EE"/>
              </w:rPr>
            </w:pPr>
            <w:hyperlink w:anchor="page43">
              <w:r>
                <w:rPr>
                  <w:rFonts w:ascii="Arial" w:cs="Arial" w:eastAsia="Arial" w:hAnsi="Arial"/>
                  <w:sz w:val="16"/>
                  <w:szCs w:val="16"/>
                  <w:color w:val="0000EE"/>
                </w:rPr>
                <w:t>302 of the Sarbanes-Oxley Act</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Borders>
              <w:top w:val="single" w:sz="8" w:color="0000EE"/>
              <w:bottom w:val="single" w:sz="8" w:color="0000EE"/>
            </w:tcBorders>
            <w:gridSpan w:val="2"/>
          </w:tcPr>
          <w:p>
            <w:pPr>
              <w:spacing w:after="0" w:line="156" w:lineRule="exact"/>
              <w:rPr>
                <w:rFonts w:ascii="Arial" w:cs="Arial" w:eastAsia="Arial" w:hAnsi="Arial"/>
                <w:sz w:val="16"/>
                <w:szCs w:val="16"/>
                <w:color w:val="0000EE"/>
                <w:w w:val="97"/>
              </w:rPr>
            </w:pPr>
            <w:hyperlink w:anchor="page43">
              <w:r>
                <w:rPr>
                  <w:rFonts w:ascii="Arial" w:cs="Arial" w:eastAsia="Arial" w:hAnsi="Arial"/>
                  <w:sz w:val="16"/>
                  <w:szCs w:val="16"/>
                  <w:color w:val="0000EE"/>
                  <w:w w:val="97"/>
                </w:rPr>
                <w:t>of 2002 (filed herewith)</w:t>
              </w:r>
            </w:hyperlink>
          </w:p>
        </w:tc>
        <w:tc>
          <w:tcPr>
            <w:tcW w:w="5900" w:type="dxa"/>
            <w:vAlign w:val="bottom"/>
            <w:tcBorders>
              <w:top w:val="single" w:sz="8" w:color="0000EE"/>
            </w:tcBorders>
            <w:gridSpan w:val="4"/>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31.2</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00" w:type="dxa"/>
            <w:vAlign w:val="bottom"/>
            <w:gridSpan w:val="6"/>
          </w:tcPr>
          <w:p>
            <w:pPr>
              <w:spacing w:after="0"/>
              <w:rPr>
                <w:rFonts w:ascii="Arial" w:cs="Arial" w:eastAsia="Arial" w:hAnsi="Arial"/>
                <w:sz w:val="16"/>
                <w:szCs w:val="16"/>
                <w:color w:val="0000EE"/>
                <w:w w:val="98"/>
              </w:rPr>
            </w:pPr>
            <w:hyperlink w:anchor="page44">
              <w:r>
                <w:rPr>
                  <w:rFonts w:ascii="Arial" w:cs="Arial" w:eastAsia="Arial" w:hAnsi="Arial"/>
                  <w:sz w:val="16"/>
                  <w:szCs w:val="16"/>
                  <w:color w:val="0000EE"/>
                  <w:w w:val="98"/>
                </w:rPr>
                <w:t>Certification of Chief Financial Officer pursuant to Rule 13a-14(a)/15d-14(a) as adopted pursuant to Section</w:t>
              </w:r>
            </w:hyperlink>
          </w:p>
        </w:tc>
        <w:tc>
          <w:tcPr>
            <w:tcW w:w="2360" w:type="dxa"/>
            <w:vAlign w:val="bottom"/>
            <w:gridSpan w:val="5"/>
          </w:tcPr>
          <w:p>
            <w:pPr>
              <w:ind w:left="20"/>
              <w:spacing w:after="0"/>
              <w:rPr>
                <w:rFonts w:ascii="Arial" w:cs="Arial" w:eastAsia="Arial" w:hAnsi="Arial"/>
                <w:sz w:val="16"/>
                <w:szCs w:val="16"/>
                <w:color w:val="0000EE"/>
                <w:w w:val="98"/>
              </w:rPr>
            </w:pPr>
            <w:hyperlink w:anchor="page44">
              <w:r>
                <w:rPr>
                  <w:rFonts w:ascii="Arial" w:cs="Arial" w:eastAsia="Arial" w:hAnsi="Arial"/>
                  <w:sz w:val="16"/>
                  <w:szCs w:val="16"/>
                  <w:color w:val="0000EE"/>
                  <w:w w:val="98"/>
                </w:rPr>
                <w:t>302 of the Sarbanes-Oxley Act of</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6"/>
          </w:tcPr>
          <w:p>
            <w:pPr>
              <w:spacing w:after="0" w:line="156" w:lineRule="exact"/>
              <w:rPr>
                <w:rFonts w:ascii="Arial" w:cs="Arial" w:eastAsia="Arial" w:hAnsi="Arial"/>
                <w:sz w:val="16"/>
                <w:szCs w:val="16"/>
                <w:color w:val="0000EE"/>
              </w:rPr>
            </w:pPr>
            <w:hyperlink w:anchor="page44">
              <w:r>
                <w:rPr>
                  <w:rFonts w:ascii="Arial" w:cs="Arial" w:eastAsia="Arial" w:hAnsi="Arial"/>
                  <w:sz w:val="16"/>
                  <w:szCs w:val="16"/>
                  <w:color w:val="0000EE"/>
                </w:rPr>
                <w:t>2002 (filed herewith)</w:t>
              </w:r>
            </w:hyperlink>
          </w:p>
        </w:tc>
        <w:tc>
          <w:tcPr>
            <w:tcW w:w="17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32.1</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11"/>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6"/>
          </w:tcPr>
          <w:p>
            <w:pPr>
              <w:spacing w:after="0" w:line="156" w:lineRule="exact"/>
              <w:rPr>
                <w:rFonts w:ascii="Arial" w:cs="Arial" w:eastAsia="Arial" w:hAnsi="Arial"/>
                <w:sz w:val="16"/>
                <w:szCs w:val="16"/>
                <w:color w:val="0000EE"/>
              </w:rPr>
            </w:pPr>
            <w:hyperlink w:anchor="page45">
              <w:r>
                <w:rPr>
                  <w:rFonts w:ascii="Arial" w:cs="Arial" w:eastAsia="Arial" w:hAnsi="Arial"/>
                  <w:sz w:val="16"/>
                  <w:szCs w:val="16"/>
                  <w:color w:val="0000EE"/>
                </w:rPr>
                <w:t>pursuant to Section 906 of the Sarbanes-Oxley Act of 2002 (filed herewith)</w:t>
              </w:r>
            </w:hyperlink>
          </w:p>
        </w:tc>
        <w:tc>
          <w:tcPr>
            <w:tcW w:w="17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00" w:right="260" w:hanging="1359"/>
        <w:spacing w:after="0" w:line="233" w:lineRule="auto"/>
        <w:tabs>
          <w:tab w:leader="none" w:pos="1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June 30, 2021,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96" w:lineRule="exact"/>
        <w:rPr>
          <w:sz w:val="20"/>
          <w:szCs w:val="20"/>
          <w:color w:val="auto"/>
        </w:rPr>
      </w:pPr>
    </w:p>
    <w:p>
      <w:pPr>
        <w:ind w:left="1400" w:right="40" w:hanging="1359"/>
        <w:spacing w:after="0" w:line="237" w:lineRule="auto"/>
        <w:tabs>
          <w:tab w:leader="none" w:pos="1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Quarterly Report on Form 10-Q for the quarter ended June 30, 2021, formatted in Inline XBRL and contained in Exhibit 101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ALLISON TRANSMISSION HOLDINGS, INC.</w:t>
            </w:r>
          </w:p>
        </w:tc>
      </w:tr>
      <w:tr>
        <w:trPr>
          <w:trHeight w:val="447"/>
        </w:trPr>
        <w:tc>
          <w:tcPr>
            <w:tcW w:w="1960" w:type="dxa"/>
            <w:vAlign w:val="bottom"/>
          </w:tcPr>
          <w:p>
            <w:pPr>
              <w:spacing w:after="0"/>
              <w:rPr>
                <w:sz w:val="20"/>
                <w:szCs w:val="20"/>
                <w:color w:val="auto"/>
              </w:rPr>
            </w:pPr>
            <w:r>
              <w:rPr>
                <w:rFonts w:ascii="Arial" w:cs="Arial" w:eastAsia="Arial" w:hAnsi="Arial"/>
                <w:sz w:val="16"/>
                <w:szCs w:val="16"/>
                <w:color w:val="auto"/>
              </w:rPr>
              <w:t>Date: July 29, 2021</w:t>
            </w:r>
          </w:p>
        </w:tc>
        <w:tc>
          <w:tcPr>
            <w:tcW w:w="1080" w:type="dxa"/>
            <w:vAlign w:val="bottom"/>
          </w:tcPr>
          <w:p>
            <w:pPr>
              <w:ind w:left="62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David S. Graziosi</w:t>
            </w:r>
          </w:p>
        </w:tc>
      </w:tr>
      <w:tr>
        <w:trPr>
          <w:trHeight w:val="367"/>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David S. Graziosi</w:t>
            </w:r>
          </w:p>
        </w:tc>
      </w:tr>
      <w:tr>
        <w:trPr>
          <w:trHeight w:val="259"/>
        </w:trPr>
        <w:tc>
          <w:tcPr>
            <w:tcW w:w="1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Chairman, President and Chief Executive Officer</w:t>
            </w:r>
          </w:p>
        </w:tc>
      </w:tr>
      <w:tr>
        <w:trPr>
          <w:trHeight w:val="188"/>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(Principal Executive Officer)</w:t>
            </w:r>
          </w:p>
        </w:tc>
      </w:tr>
      <w:tr>
        <w:trPr>
          <w:trHeight w:val="564"/>
        </w:trPr>
        <w:tc>
          <w:tcPr>
            <w:tcW w:w="1960" w:type="dxa"/>
            <w:vAlign w:val="bottom"/>
          </w:tcPr>
          <w:p>
            <w:pPr>
              <w:spacing w:after="0"/>
              <w:rPr>
                <w:sz w:val="20"/>
                <w:szCs w:val="20"/>
                <w:color w:val="auto"/>
              </w:rPr>
            </w:pPr>
            <w:r>
              <w:rPr>
                <w:rFonts w:ascii="Arial" w:cs="Arial" w:eastAsia="Arial" w:hAnsi="Arial"/>
                <w:sz w:val="16"/>
                <w:szCs w:val="16"/>
                <w:color w:val="auto"/>
              </w:rPr>
              <w:t>Date: July 29, 2021</w:t>
            </w:r>
          </w:p>
        </w:tc>
        <w:tc>
          <w:tcPr>
            <w:tcW w:w="1080" w:type="dxa"/>
            <w:vAlign w:val="bottom"/>
          </w:tcPr>
          <w:p>
            <w:pPr>
              <w:ind w:left="62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G. Frederick Bohley</w:t>
            </w:r>
          </w:p>
        </w:tc>
      </w:tr>
      <w:tr>
        <w:trPr>
          <w:trHeight w:val="367"/>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G. Frederick Bohley</w:t>
            </w:r>
          </w:p>
        </w:tc>
      </w:tr>
      <w:tr>
        <w:trPr>
          <w:trHeight w:val="223"/>
        </w:trPr>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188"/>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(Principal Financial Officer and Principal Accounting Officer)</w:t>
            </w:r>
          </w:p>
        </w:tc>
      </w:tr>
      <w:tr>
        <w:trPr>
          <w:trHeight w:val="775"/>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ind w:left="1380"/>
              <w:spacing w:after="0"/>
              <w:rPr>
                <w:sz w:val="20"/>
                <w:szCs w:val="20"/>
                <w:color w:val="auto"/>
              </w:rPr>
            </w:pPr>
            <w:r>
              <w:rPr>
                <w:rFonts w:ascii="Arial" w:cs="Arial" w:eastAsia="Arial" w:hAnsi="Arial"/>
                <w:sz w:val="16"/>
                <w:szCs w:val="16"/>
                <w:color w:val="auto"/>
              </w:rPr>
              <w:t>42</w:t>
            </w:r>
          </w:p>
        </w:tc>
      </w:tr>
    </w:tbl>
    <w:p>
      <w:pPr>
        <w:sectPr>
          <w:pgSz w:w="11900" w:h="16838" w:orient="portrait"/>
          <w:cols w:equalWidth="0" w:num="1">
            <w:col w:w="10440"/>
          </w:cols>
          <w:pgMar w:left="320" w:top="140" w:right="11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45"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I, David S. Graziosi, certify that:</w:t>
      </w:r>
    </w:p>
    <w:p>
      <w:pPr>
        <w:spacing w:after="0" w:line="192" w:lineRule="exact"/>
        <w:rPr>
          <w:sz w:val="20"/>
          <w:szCs w:val="20"/>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July 29, 2021</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88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7886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tab/>
        <w:t>Chairman, 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6"/>
          </w:cols>
          <w:pgMar w:left="314" w:top="123"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74"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 Frederick Bohley, certify that:</w:t>
      </w:r>
    </w:p>
    <w:p>
      <w:pPr>
        <w:spacing w:after="0" w:line="192" w:lineRule="exact"/>
        <w:rPr>
          <w:sz w:val="20"/>
          <w:szCs w:val="20"/>
          <w:color w:val="auto"/>
        </w:rPr>
      </w:pPr>
    </w:p>
    <w:p>
      <w:pPr>
        <w:ind w:left="746" w:hanging="746"/>
        <w:spacing w:after="0"/>
        <w:tabs>
          <w:tab w:leader="none" w:pos="7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July 29, 2021</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17512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4175125" cy="7620"/>
                    </a:xfrm>
                    <a:prstGeom prst="rect">
                      <a:avLst/>
                    </a:prstGeom>
                    <a:noFill/>
                  </pic:spPr>
                </pic:pic>
              </a:graphicData>
            </a:graphic>
          </wp:anchor>
        </w:drawing>
      </w:r>
    </w:p>
    <w:p>
      <w:pPr>
        <w:ind w:left="6"/>
        <w:spacing w:after="0"/>
        <w:tabs>
          <w:tab w:leader="none" w:pos="42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6"/>
          </w:cols>
          <w:pgMar w:left="314" w:top="123"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left="6" w:firstLine="751"/>
        <w:spacing w:after="0" w:line="251"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June 30, 2021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70" w:lineRule="exact"/>
        <w:rPr>
          <w:sz w:val="20"/>
          <w:szCs w:val="20"/>
          <w:color w:val="auto"/>
        </w:rPr>
      </w:pPr>
    </w:p>
    <w:p>
      <w:pPr>
        <w:ind w:left="746" w:hanging="746"/>
        <w:spacing w:after="0"/>
        <w:tabs>
          <w:tab w:leader="none" w:pos="7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3" w:lineRule="exact"/>
        <w:rPr>
          <w:rFonts w:ascii="Arial" w:cs="Arial" w:eastAsia="Arial" w:hAnsi="Arial"/>
          <w:sz w:val="16"/>
          <w:szCs w:val="16"/>
          <w:color w:val="auto"/>
        </w:rPr>
      </w:pPr>
    </w:p>
    <w:p>
      <w:pPr>
        <w:ind w:left="746" w:hanging="746"/>
        <w:spacing w:after="0"/>
        <w:tabs>
          <w:tab w:leader="none" w:pos="7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July 29, 2021</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Chairman, 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July 29, 2021</w:t>
      </w:r>
    </w:p>
    <w:p>
      <w:pPr>
        <w:spacing w:after="0" w:line="3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66"/>
      </w:cols>
      <w:pgMar w:left="314"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25"/>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3" Type="http://schemas.openxmlformats.org/officeDocument/2006/relationships/hyperlink" Target="http://www.sec.gov/Archives/edgar/data/1411207/000119312521175396/d1592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2021-07-29T16:10:32Z</dcterms:created>
  <dcterms:modified xsi:type="dcterms:W3CDTF">2021-07-29T16:10:32Z</dcterms:modified>
</cp:coreProperties>
</file>