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13"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001-35456</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ALLISON TRANSMISSION HOLDINGS,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53340</wp:posOffset>
            </wp:positionV>
            <wp:extent cx="1878330"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7833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tbl>
      <w:tblPr>
        <w:tblLayout w:type="fixed"/>
        <w:tblInd w:w="1740" w:type="dxa"/>
        <w:tblCellMar>
          <w:top w:w="0" w:type="dxa"/>
          <w:left w:w="0" w:type="dxa"/>
          <w:bottom w:w="0" w:type="dxa"/>
          <w:right w:w="0" w:type="dxa"/>
        </w:tblCellMar>
      </w:tblPr>
      <w:tr>
        <w:trPr>
          <w:trHeight w:val="218"/>
        </w:trPr>
        <w:tc>
          <w:tcPr>
            <w:tcW w:w="2380" w:type="dxa"/>
            <w:vAlign w:val="bottom"/>
          </w:tcPr>
          <w:p>
            <w:pPr>
              <w:jc w:val="center"/>
              <w:ind w:right="2"/>
              <w:spacing w:after="0"/>
              <w:rPr>
                <w:sz w:val="20"/>
                <w:szCs w:val="20"/>
                <w:color w:val="auto"/>
              </w:rPr>
            </w:pPr>
            <w:r>
              <w:rPr>
                <w:rFonts w:ascii="Arial" w:cs="Arial" w:eastAsia="Arial" w:hAnsi="Arial"/>
                <w:sz w:val="18"/>
                <w:szCs w:val="18"/>
                <w:b w:val="1"/>
                <w:bCs w:val="1"/>
                <w:color w:val="auto"/>
                <w:w w:val="88"/>
              </w:rPr>
              <w:t>Delaware</w:t>
            </w:r>
          </w:p>
        </w:tc>
        <w:tc>
          <w:tcPr>
            <w:tcW w:w="5200" w:type="dxa"/>
            <w:vAlign w:val="bottom"/>
          </w:tcPr>
          <w:p>
            <w:pPr>
              <w:jc w:val="right"/>
              <w:ind w:right="164"/>
              <w:spacing w:after="0"/>
              <w:rPr>
                <w:sz w:val="20"/>
                <w:szCs w:val="20"/>
                <w:color w:val="auto"/>
              </w:rPr>
            </w:pPr>
            <w:r>
              <w:rPr>
                <w:rFonts w:ascii="Arial" w:cs="Arial" w:eastAsia="Arial" w:hAnsi="Arial"/>
                <w:sz w:val="18"/>
                <w:szCs w:val="18"/>
                <w:b w:val="1"/>
                <w:bCs w:val="1"/>
                <w:color w:val="auto"/>
              </w:rPr>
              <w:t>26-0414014</w:t>
            </w:r>
          </w:p>
        </w:tc>
      </w:tr>
      <w:tr>
        <w:trPr>
          <w:trHeight w:val="149"/>
        </w:trPr>
        <w:tc>
          <w:tcPr>
            <w:tcW w:w="23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200" w:type="dxa"/>
            <w:vAlign w:val="bottom"/>
          </w:tcPr>
          <w:p>
            <w:pPr>
              <w:jc w:val="center"/>
              <w:ind w:left="37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200" w:type="dxa"/>
            <w:vAlign w:val="bottom"/>
          </w:tcPr>
          <w:p>
            <w:pPr>
              <w:jc w:val="center"/>
              <w:ind w:left="3784"/>
              <w:spacing w:after="0"/>
              <w:rPr>
                <w:sz w:val="20"/>
                <w:szCs w:val="20"/>
                <w:color w:val="auto"/>
              </w:rPr>
            </w:pPr>
            <w:r>
              <w:rPr>
                <w:rFonts w:ascii="Arial" w:cs="Arial" w:eastAsia="Arial" w:hAnsi="Arial"/>
                <w:sz w:val="14"/>
                <w:szCs w:val="14"/>
                <w:b w:val="1"/>
                <w:bCs w:val="1"/>
                <w:color w:val="auto"/>
                <w:w w:val="90"/>
              </w:rPr>
              <w:t>Identification Number)</w:t>
            </w:r>
          </w:p>
        </w:tc>
      </w:tr>
      <w:tr>
        <w:trPr>
          <w:trHeight w:val="418"/>
        </w:trPr>
        <w:tc>
          <w:tcPr>
            <w:tcW w:w="2380" w:type="dxa"/>
            <w:vAlign w:val="bottom"/>
          </w:tcPr>
          <w:p>
            <w:pPr>
              <w:jc w:val="center"/>
              <w:ind w:right="2"/>
              <w:spacing w:after="0"/>
              <w:rPr>
                <w:sz w:val="20"/>
                <w:szCs w:val="20"/>
                <w:color w:val="auto"/>
              </w:rPr>
            </w:pPr>
            <w:r>
              <w:rPr>
                <w:rFonts w:ascii="Arial" w:cs="Arial" w:eastAsia="Arial" w:hAnsi="Arial"/>
                <w:sz w:val="18"/>
                <w:szCs w:val="18"/>
                <w:b w:val="1"/>
                <w:bCs w:val="1"/>
                <w:color w:val="auto"/>
                <w:w w:val="88"/>
              </w:rPr>
              <w:t>One Allison Way</w:t>
            </w:r>
          </w:p>
        </w:tc>
        <w:tc>
          <w:tcPr>
            <w:tcW w:w="5200" w:type="dxa"/>
            <w:vAlign w:val="bottom"/>
          </w:tcPr>
          <w:p>
            <w:pPr>
              <w:spacing w:after="0"/>
              <w:rPr>
                <w:sz w:val="24"/>
                <w:szCs w:val="24"/>
                <w:color w:val="auto"/>
              </w:rPr>
            </w:pPr>
          </w:p>
        </w:tc>
      </w:tr>
      <w:tr>
        <w:trPr>
          <w:trHeight w:val="231"/>
        </w:trPr>
        <w:tc>
          <w:tcPr>
            <w:tcW w:w="2380" w:type="dxa"/>
            <w:vAlign w:val="bottom"/>
          </w:tcPr>
          <w:p>
            <w:pPr>
              <w:jc w:val="center"/>
              <w:ind w:right="2"/>
              <w:spacing w:after="0"/>
              <w:rPr>
                <w:sz w:val="20"/>
                <w:szCs w:val="20"/>
                <w:color w:val="auto"/>
              </w:rPr>
            </w:pPr>
            <w:r>
              <w:rPr>
                <w:rFonts w:ascii="Arial" w:cs="Arial" w:eastAsia="Arial" w:hAnsi="Arial"/>
                <w:sz w:val="18"/>
                <w:szCs w:val="18"/>
                <w:b w:val="1"/>
                <w:bCs w:val="1"/>
                <w:color w:val="auto"/>
                <w:w w:val="91"/>
              </w:rPr>
              <w:t>Indianapolis, IN</w:t>
            </w:r>
          </w:p>
        </w:tc>
        <w:tc>
          <w:tcPr>
            <w:tcW w:w="5200" w:type="dxa"/>
            <w:vAlign w:val="bottom"/>
          </w:tcPr>
          <w:p>
            <w:pPr>
              <w:jc w:val="right"/>
              <w:ind w:right="364"/>
              <w:spacing w:after="0"/>
              <w:rPr>
                <w:sz w:val="20"/>
                <w:szCs w:val="20"/>
                <w:color w:val="auto"/>
              </w:rPr>
            </w:pPr>
            <w:r>
              <w:rPr>
                <w:rFonts w:ascii="Arial" w:cs="Arial" w:eastAsia="Arial" w:hAnsi="Arial"/>
                <w:sz w:val="18"/>
                <w:szCs w:val="18"/>
                <w:b w:val="1"/>
                <w:bCs w:val="1"/>
                <w:color w:val="auto"/>
              </w:rPr>
              <w:t>46222</w:t>
            </w:r>
          </w:p>
        </w:tc>
      </w:tr>
      <w:tr>
        <w:trPr>
          <w:trHeight w:val="174"/>
        </w:trPr>
        <w:tc>
          <w:tcPr>
            <w:tcW w:w="2380" w:type="dxa"/>
            <w:vAlign w:val="bottom"/>
          </w:tcPr>
          <w:p>
            <w:pPr>
              <w:jc w:val="center"/>
              <w:ind w:right="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5200" w:type="dxa"/>
            <w:vAlign w:val="bottom"/>
          </w:tcPr>
          <w:p>
            <w:pPr>
              <w:jc w:val="center"/>
              <w:ind w:left="378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380" w:type="dxa"/>
            <w:vAlign w:val="bottom"/>
          </w:tcPr>
          <w:p>
            <w:pPr>
              <w:spacing w:after="0"/>
              <w:rPr>
                <w:sz w:val="24"/>
                <w:szCs w:val="24"/>
                <w:color w:val="auto"/>
              </w:rPr>
            </w:pPr>
          </w:p>
        </w:tc>
        <w:tc>
          <w:tcPr>
            <w:tcW w:w="5200" w:type="dxa"/>
            <w:vAlign w:val="bottom"/>
          </w:tcPr>
          <w:p>
            <w:pPr>
              <w:jc w:val="right"/>
              <w:ind w:right="2984"/>
              <w:spacing w:after="0"/>
              <w:rPr>
                <w:sz w:val="20"/>
                <w:szCs w:val="20"/>
                <w:color w:val="auto"/>
              </w:rPr>
            </w:pPr>
            <w:r>
              <w:rPr>
                <w:rFonts w:ascii="Arial" w:cs="Arial" w:eastAsia="Arial" w:hAnsi="Arial"/>
                <w:sz w:val="18"/>
                <w:szCs w:val="18"/>
                <w:b w:val="1"/>
                <w:bCs w:val="1"/>
                <w:color w:val="auto"/>
              </w:rPr>
              <w:t>(317) 242-5000</w:t>
            </w:r>
          </w:p>
        </w:tc>
      </w:tr>
      <w:tr>
        <w:trPr>
          <w:trHeight w:val="174"/>
        </w:trPr>
        <w:tc>
          <w:tcPr>
            <w:tcW w:w="2380" w:type="dxa"/>
            <w:vAlign w:val="bottom"/>
          </w:tcPr>
          <w:p>
            <w:pPr>
              <w:spacing w:after="0"/>
              <w:rPr>
                <w:sz w:val="15"/>
                <w:szCs w:val="15"/>
                <w:color w:val="auto"/>
              </w:rPr>
            </w:pPr>
          </w:p>
        </w:tc>
        <w:tc>
          <w:tcPr>
            <w:tcW w:w="5200" w:type="dxa"/>
            <w:vAlign w:val="bottom"/>
          </w:tcPr>
          <w:p>
            <w:pPr>
              <w:jc w:val="center"/>
              <w:ind w:right="194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141"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8440" w:space="160"/>
            <w:col w:w="260" w:space="100"/>
            <w:col w:w="140" w:space="200"/>
            <w:col w:w="2120"/>
          </w:cols>
          <w:pgMar w:left="240" w:top="230" w:right="23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the number of shares outstanding of each of the issuer’s classes of common stock, as of the latest practicable date.</w:t>
      </w:r>
    </w:p>
    <w:p>
      <w:pPr>
        <w:spacing w:after="0" w:line="20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October 15, 2014, there were 177,527,712 shares of Common Stock outstanding.</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720" w:type="dxa"/>
            <w:vAlign w:val="bottom"/>
            <w:gridSpan w:val="9"/>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720" w:type="dxa"/>
            <w:vAlign w:val="bottom"/>
            <w:gridSpan w:val="9"/>
            <w:vMerge w:val="continue"/>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00" w:type="dxa"/>
            <w:vAlign w:val="bottom"/>
            <w:gridSpan w:val="3"/>
          </w:tcPr>
          <w:p>
            <w:pPr>
              <w:spacing w:after="0"/>
              <w:rPr>
                <w:sz w:val="20"/>
                <w:szCs w:val="20"/>
                <w:color w:val="auto"/>
              </w:rPr>
            </w:pPr>
            <w:r>
              <w:rPr>
                <w:rFonts w:ascii="Arial" w:cs="Arial" w:eastAsia="Arial" w:hAnsi="Arial"/>
                <w:sz w:val="18"/>
                <w:szCs w:val="18"/>
                <w:color w:val="auto"/>
              </w:rPr>
              <w:t>Item 1.</w:t>
            </w:r>
          </w:p>
        </w:tc>
        <w:tc>
          <w:tcPr>
            <w:tcW w:w="3420" w:type="dxa"/>
            <w:vAlign w:val="bottom"/>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980" w:type="dxa"/>
            <w:vAlign w:val="bottom"/>
            <w:tcBorders>
              <w:top w:val="single" w:sz="8" w:color="0000EE"/>
            </w:tcBorders>
            <w:gridSpan w:val="8"/>
          </w:tcPr>
          <w:p>
            <w:pPr>
              <w:spacing w:after="0"/>
              <w:rPr>
                <w:sz w:val="24"/>
                <w:szCs w:val="24"/>
                <w:color w:val="auto"/>
              </w:rPr>
            </w:pPr>
          </w:p>
        </w:tc>
        <w:tc>
          <w:tcPr>
            <w:tcW w:w="374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2"/>
              </w:rPr>
              <w:t>3-5</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7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8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Comprehensive Income</w:t>
              </w:r>
            </w:hyperlink>
          </w:p>
        </w:tc>
        <w:tc>
          <w:tcPr>
            <w:tcW w:w="5240" w:type="dxa"/>
            <w:vAlign w:val="bottom"/>
            <w:gridSpan w:val="4"/>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72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90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Condensed Consolidated Financial Statements</w:t>
              </w:r>
            </w:hyperlink>
          </w:p>
        </w:tc>
        <w:tc>
          <w:tcPr>
            <w:tcW w:w="5820" w:type="dxa"/>
            <w:vAlign w:val="bottom"/>
            <w:gridSpan w:val="5"/>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8"/>
              </w:rPr>
              <w:t>6-20</w:t>
            </w:r>
          </w:p>
        </w:tc>
        <w:tc>
          <w:tcPr>
            <w:tcW w:w="0" w:type="dxa"/>
            <w:vAlign w:val="bottom"/>
          </w:tcPr>
          <w:p>
            <w:pPr>
              <w:spacing w:after="0"/>
              <w:rPr>
                <w:sz w:val="1"/>
                <w:szCs w:val="1"/>
                <w:color w:val="auto"/>
              </w:rPr>
            </w:pPr>
          </w:p>
        </w:tc>
      </w:tr>
      <w:tr>
        <w:trPr>
          <w:trHeight w:val="304"/>
        </w:trPr>
        <w:tc>
          <w:tcPr>
            <w:tcW w:w="800" w:type="dxa"/>
            <w:vAlign w:val="bottom"/>
            <w:gridSpan w:val="3"/>
          </w:tcPr>
          <w:p>
            <w:pPr>
              <w:spacing w:after="0"/>
              <w:rPr>
                <w:sz w:val="20"/>
                <w:szCs w:val="20"/>
                <w:color w:val="auto"/>
              </w:rPr>
            </w:pPr>
            <w:r>
              <w:rPr>
                <w:rFonts w:ascii="Arial" w:cs="Arial" w:eastAsia="Arial" w:hAnsi="Arial"/>
                <w:sz w:val="18"/>
                <w:szCs w:val="18"/>
                <w:color w:val="auto"/>
              </w:rPr>
              <w:t>Item 2.</w:t>
            </w:r>
          </w:p>
        </w:tc>
        <w:tc>
          <w:tcPr>
            <w:tcW w:w="1014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6"/>
              </w:rPr>
              <w:t>21-31</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gridSpan w:val="3"/>
          </w:tcPr>
          <w:p>
            <w:pPr>
              <w:spacing w:after="0"/>
              <w:rPr>
                <w:sz w:val="20"/>
                <w:szCs w:val="20"/>
                <w:color w:val="auto"/>
              </w:rPr>
            </w:pPr>
            <w:r>
              <w:rPr>
                <w:rFonts w:ascii="Arial" w:cs="Arial" w:eastAsia="Arial" w:hAnsi="Arial"/>
                <w:sz w:val="18"/>
                <w:szCs w:val="18"/>
                <w:color w:val="auto"/>
              </w:rPr>
              <w:t>Item 3.</w:t>
            </w:r>
          </w:p>
        </w:tc>
        <w:tc>
          <w:tcPr>
            <w:tcW w:w="10140" w:type="dxa"/>
            <w:vAlign w:val="bottom"/>
            <w:gridSpan w:val="1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6"/>
              </w:rPr>
              <w:t>32-33</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014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304"/>
        </w:trPr>
        <w:tc>
          <w:tcPr>
            <w:tcW w:w="5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00" w:type="dxa"/>
            <w:vAlign w:val="bottom"/>
            <w:tcBorders>
              <w:bottom w:val="single" w:sz="8" w:color="0000EE"/>
            </w:tcBorders>
            <w:gridSpan w:val="6"/>
          </w:tcPr>
          <w:p>
            <w:pPr>
              <w:spacing w:after="0"/>
              <w:rPr>
                <w:rFonts w:ascii="Arial" w:cs="Arial" w:eastAsia="Arial" w:hAnsi="Arial"/>
                <w:sz w:val="18"/>
                <w:szCs w:val="18"/>
                <w:b w:val="1"/>
                <w:bCs w:val="1"/>
                <w:color w:val="0000EE"/>
                <w:w w:val="99"/>
              </w:rPr>
            </w:pPr>
            <w:hyperlink w:anchor="page34">
              <w:r>
                <w:rPr>
                  <w:rFonts w:ascii="Arial" w:cs="Arial" w:eastAsia="Arial" w:hAnsi="Arial"/>
                  <w:sz w:val="18"/>
                  <w:szCs w:val="18"/>
                  <w:b w:val="1"/>
                  <w:bCs w:val="1"/>
                  <w:color w:val="0000EE"/>
                  <w:w w:val="99"/>
                </w:rPr>
                <w:t>PART II. OTHER INFORMATION</w:t>
              </w:r>
            </w:hyperlink>
          </w:p>
        </w:tc>
        <w:tc>
          <w:tcPr>
            <w:tcW w:w="378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0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014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4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Item 1A.</w:t>
            </w:r>
          </w:p>
        </w:tc>
        <w:tc>
          <w:tcPr>
            <w:tcW w:w="160" w:type="dxa"/>
            <w:vAlign w:val="bottom"/>
          </w:tcPr>
          <w:p>
            <w:pPr>
              <w:spacing w:after="0"/>
              <w:rPr>
                <w:sz w:val="24"/>
                <w:szCs w:val="24"/>
                <w:color w:val="auto"/>
              </w:rPr>
            </w:pPr>
          </w:p>
        </w:tc>
        <w:tc>
          <w:tcPr>
            <w:tcW w:w="88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Risk Factors</w:t>
              </w:r>
            </w:hyperlink>
          </w:p>
        </w:tc>
        <w:tc>
          <w:tcPr>
            <w:tcW w:w="9260" w:type="dxa"/>
            <w:vAlign w:val="bottom"/>
            <w:gridSpan w:val="14"/>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304"/>
        </w:trPr>
        <w:tc>
          <w:tcPr>
            <w:tcW w:w="80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014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0" w:type="dxa"/>
            <w:vAlign w:val="bottom"/>
            <w:gridSpan w:val="1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Borders>
              <w:bottom w:val="single" w:sz="8" w:color="0000EE"/>
            </w:tcBorders>
            <w:gridSpan w:val="3"/>
          </w:tcPr>
          <w:p>
            <w:pPr>
              <w:spacing w:after="0"/>
              <w:rPr>
                <w:rFonts w:ascii="Arial" w:cs="Arial" w:eastAsia="Arial" w:hAnsi="Arial"/>
                <w:sz w:val="18"/>
                <w:szCs w:val="18"/>
                <w:color w:val="0000EE"/>
                <w:w w:val="83"/>
              </w:rPr>
            </w:pPr>
            <w:hyperlink w:anchor="page35">
              <w:r>
                <w:rPr>
                  <w:rFonts w:ascii="Arial" w:cs="Arial" w:eastAsia="Arial" w:hAnsi="Arial"/>
                  <w:sz w:val="18"/>
                  <w:szCs w:val="18"/>
                  <w:color w:val="0000EE"/>
                  <w:w w:val="83"/>
                </w:rPr>
                <w:t>Signatures</w:t>
              </w:r>
            </w:hyperlink>
          </w:p>
        </w:tc>
        <w:tc>
          <w:tcPr>
            <w:tcW w:w="9400" w:type="dxa"/>
            <w:vAlign w:val="bottom"/>
            <w:gridSpan w:val="15"/>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383"/>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00" w:type="dxa"/>
            <w:vAlign w:val="bottom"/>
            <w:gridSpan w:val="15"/>
          </w:tcPr>
          <w:p>
            <w:pPr>
              <w:ind w:left="48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2014</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208.1</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Accounts receivables — net of allowance for doubtful accounts of $0.4 and $0.4, respectively</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240.0</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161.5</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Deferred income taxes, net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103.8</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w:t>
            </w:r>
          </w:p>
        </w:tc>
        <w:tc>
          <w:tcPr>
            <w:tcW w:w="9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742.9</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526.7</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1,536.7</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1,941.0</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75.9</w:t>
            </w:r>
          </w:p>
        </w:tc>
        <w:tc>
          <w:tcPr>
            <w:tcW w:w="9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4,824.2</w:t>
            </w:r>
          </w:p>
        </w:tc>
        <w:tc>
          <w:tcPr>
            <w:tcW w:w="90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182.9</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Product warranty liability</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23.2</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21.2</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141.6</w:t>
            </w:r>
          </w:p>
        </w:tc>
        <w:tc>
          <w:tcPr>
            <w:tcW w:w="9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386.8</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 liability</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62.2</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47.9</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2,572.0</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212.1</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189.7</w:t>
            </w:r>
          </w:p>
        </w:tc>
        <w:tc>
          <w:tcPr>
            <w:tcW w:w="9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3,470.7</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3,373.8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O)</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Common stock, $0.01 par value, 1,880,000,000 shares authorized, 177,524,277 shares issued and</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outstanding and 183,375,436 shares issued and outstanding, respectively</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Non-voting common stock, $0.01 par value, 20,000,000 shares authorized, none issued and</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vMerge w:val="restart"/>
          </w:tcPr>
          <w:p>
            <w:pPr>
              <w:jc w:val="right"/>
              <w:ind w:right="9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640"/>
              <w:spacing w:after="0"/>
              <w:rPr>
                <w:sz w:val="20"/>
                <w:szCs w:val="20"/>
                <w:color w:val="auto"/>
              </w:rPr>
            </w:pPr>
            <w:r>
              <w:rPr>
                <w:rFonts w:ascii="Arial" w:cs="Arial" w:eastAsia="Arial" w:hAnsi="Arial"/>
                <w:sz w:val="18"/>
                <w:szCs w:val="18"/>
                <w:color w:val="auto"/>
              </w:rPr>
              <w:t>outstanding and 1,185 shares issued and outstanding, respectively</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100,000,000 shares authorized, none issued and outstanding</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Paid in capital</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1,618.1</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(239.1)</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(27.3)</w:t>
            </w:r>
          </w:p>
        </w:tc>
        <w:tc>
          <w:tcPr>
            <w:tcW w:w="3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1,353.5</w:t>
            </w:r>
          </w:p>
        </w:tc>
        <w:tc>
          <w:tcPr>
            <w:tcW w:w="90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TOTAL LIABILITIES &amp; STOCKHOLDERS’ EQUITY</w:t>
            </w:r>
          </w:p>
        </w:tc>
        <w:tc>
          <w:tcPr>
            <w:tcW w:w="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4,824.2</w:t>
            </w:r>
          </w:p>
        </w:tc>
        <w:tc>
          <w:tcPr>
            <w:tcW w:w="90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85"/>
              </w:rPr>
              <w:t>Three months ended 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85"/>
              </w:rPr>
              <w:t>Nine months ended 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553.3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294.0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260.2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862.7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805.3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87.5</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255.8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Engineering — research and development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147.3</w:t>
            </w:r>
          </w:p>
        </w:tc>
        <w:tc>
          <w:tcPr>
            <w:tcW w:w="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394.3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310.3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0.3</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2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(29.6)</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(101.7)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(1.7)</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116.3</w:t>
            </w:r>
          </w:p>
        </w:tc>
        <w:tc>
          <w:tcPr>
            <w:tcW w:w="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290.3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(47.5)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(112.2)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0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68.8</w:t>
            </w:r>
          </w:p>
        </w:tc>
        <w:tc>
          <w:tcPr>
            <w:tcW w:w="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44.5</w:t>
            </w:r>
          </w:p>
        </w:tc>
        <w:tc>
          <w:tcPr>
            <w:tcW w:w="1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178.1</w:t>
            </w:r>
          </w:p>
        </w:tc>
        <w:tc>
          <w:tcPr>
            <w:tcW w:w="240" w:type="dxa"/>
            <w:vAlign w:val="bottom"/>
          </w:tcPr>
          <w:p>
            <w:pPr>
              <w:spacing w:after="0"/>
              <w:rPr>
                <w:sz w:val="19"/>
                <w:szCs w:val="19"/>
                <w:color w:val="auto"/>
              </w:rPr>
            </w:pPr>
          </w:p>
        </w:tc>
        <w:tc>
          <w:tcPr>
            <w:tcW w:w="3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 attributable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0.38</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0.99</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per share attributable to common stockholders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0.38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0.24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0.97</w:t>
            </w:r>
          </w:p>
        </w:tc>
        <w:tc>
          <w:tcPr>
            <w:tcW w:w="240" w:type="dxa"/>
            <w:vAlign w:val="bottom"/>
          </w:tcPr>
          <w:p>
            <w:pPr>
              <w:spacing w:after="0"/>
              <w:rPr>
                <w:sz w:val="18"/>
                <w:szCs w:val="18"/>
                <w:color w:val="auto"/>
              </w:rPr>
            </w:pPr>
          </w:p>
        </w:tc>
        <w:tc>
          <w:tcPr>
            <w:tcW w:w="3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0.36</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Comprehensive income, net of tax</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60.6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47.0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171.8</w:t>
            </w:r>
          </w:p>
        </w:tc>
        <w:tc>
          <w:tcPr>
            <w:tcW w:w="240" w:type="dxa"/>
            <w:vAlign w:val="bottom"/>
          </w:tcPr>
          <w:p>
            <w:pPr>
              <w:spacing w:after="0"/>
              <w:rPr>
                <w:sz w:val="18"/>
                <w:szCs w:val="18"/>
                <w:color w:val="auto"/>
              </w:rPr>
            </w:pPr>
          </w:p>
        </w:tc>
        <w:tc>
          <w:tcPr>
            <w:tcW w:w="3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61"/>
        </w:trPr>
        <w:tc>
          <w:tcPr>
            <w:tcW w:w="6980" w:type="dxa"/>
            <w:vAlign w:val="bottom"/>
            <w:tcBorders>
              <w:bottom w:val="single" w:sz="8" w:color="CCEEFF"/>
            </w:tcBorders>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Net income</w:t>
            </w:r>
          </w:p>
        </w:tc>
        <w:tc>
          <w:tcPr>
            <w:tcW w:w="21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178.1</w:t>
            </w:r>
          </w:p>
        </w:tc>
        <w:tc>
          <w:tcPr>
            <w:tcW w:w="3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Add (deduct) items included in net income not using (providing) cash:</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105.2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Depreciation of property, plant and equipment</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71.0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gain on derivatives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Excess tax benefit from stock-based compensation</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Amortization of deferred financing costs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(67.4)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3"/>
        </w:trPr>
        <w:tc>
          <w:tcPr>
            <w:tcW w:w="6980" w:type="dxa"/>
            <w:vAlign w:val="bottom"/>
          </w:tcPr>
          <w:p>
            <w:pPr>
              <w:ind w:left="440"/>
              <w:spacing w:after="0"/>
              <w:rPr>
                <w:sz w:val="20"/>
                <w:szCs w:val="20"/>
                <w:color w:val="auto"/>
              </w:rPr>
            </w:pPr>
            <w:r>
              <w:rPr>
                <w:rFonts w:ascii="Arial" w:cs="Arial" w:eastAsia="Arial" w:hAnsi="Arial"/>
                <w:sz w:val="18"/>
                <w:szCs w:val="18"/>
                <w:color w:val="auto"/>
              </w:rPr>
              <w:t>Other assets and liabilities</w:t>
            </w: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28.2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2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416.0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Additions of long-lived assets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(37.6)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Investments in technology-related initiatives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Collateral for interest rate derivatives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6980" w:type="dxa"/>
            <w:vAlign w:val="bottom"/>
          </w:tcPr>
          <w:p>
            <w:pPr>
              <w:ind w:left="440"/>
              <w:spacing w:after="0"/>
              <w:rPr>
                <w:sz w:val="20"/>
                <w:szCs w:val="20"/>
                <w:color w:val="auto"/>
              </w:rPr>
            </w:pPr>
            <w:r>
              <w:rPr>
                <w:rFonts w:ascii="Arial" w:cs="Arial" w:eastAsia="Arial" w:hAnsi="Arial"/>
                <w:sz w:val="18"/>
                <w:szCs w:val="18"/>
                <w:color w:val="auto"/>
              </w:rPr>
              <w:t>Proceeds from disposal of assets</w:t>
            </w:r>
          </w:p>
        </w:tc>
        <w:tc>
          <w:tcPr>
            <w:tcW w:w="20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for investing activities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(41.4)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Repurchase of common stock</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(249.8)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Dividend payments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(64.7)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exercise of stock options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Payments on long-term debt</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(88.4)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Excess tax benefit from stock-based compensation</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Taxes paid related to net share settlement of equity awards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financing fees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880"/>
              <w:spacing w:after="0"/>
              <w:rPr>
                <w:sz w:val="20"/>
                <w:szCs w:val="20"/>
                <w:color w:val="auto"/>
              </w:rPr>
            </w:pPr>
            <w:r>
              <w:rPr>
                <w:rFonts w:ascii="Arial" w:cs="Arial" w:eastAsia="Arial" w:hAnsi="Arial"/>
                <w:sz w:val="18"/>
                <w:szCs w:val="18"/>
                <w:color w:val="auto"/>
              </w:rPr>
              <w:t>Net cash used for financing activities</w:t>
            </w:r>
          </w:p>
        </w:tc>
        <w:tc>
          <w:tcPr>
            <w:tcW w:w="2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80" w:type="dxa"/>
            <w:vAlign w:val="bottom"/>
            <w:vMerge w:val="continue"/>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(357.6)</w:t>
            </w:r>
          </w:p>
        </w:tc>
        <w:tc>
          <w:tcPr>
            <w:tcW w:w="3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80" w:type="dxa"/>
            <w:vAlign w:val="bottom"/>
          </w:tcPr>
          <w:p>
            <w:pPr>
              <w:ind w:left="880"/>
              <w:spacing w:after="0"/>
              <w:rPr>
                <w:sz w:val="20"/>
                <w:szCs w:val="20"/>
                <w:color w:val="auto"/>
              </w:rPr>
            </w:pPr>
            <w:r>
              <w:rPr>
                <w:rFonts w:ascii="Arial" w:cs="Arial" w:eastAsia="Arial" w:hAnsi="Arial"/>
                <w:sz w:val="18"/>
                <w:szCs w:val="18"/>
                <w:color w:val="auto"/>
              </w:rPr>
              <w:t>Net increase in cash and cash equivalents</w:t>
            </w: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23.4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0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208.1</w:t>
            </w:r>
          </w:p>
        </w:tc>
        <w:tc>
          <w:tcPr>
            <w:tcW w:w="32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Interest paid</w:t>
            </w:r>
          </w:p>
        </w:tc>
        <w:tc>
          <w:tcPr>
            <w:tcW w:w="21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103.3</w:t>
            </w:r>
          </w:p>
        </w:tc>
        <w:tc>
          <w:tcPr>
            <w:tcW w:w="3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 taxes paid</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Allison Transmission Holdings, Inc. and its subsidiaries (the “Company” or “Allison”), design and manufacture commercial and defense fully-automatic transmissions.</w:t>
      </w:r>
    </w:p>
    <w:p>
      <w:pPr>
        <w:spacing w:after="0" w:line="13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business was founded in 1915 and has been headquartered in Indianapolis, Indiana since inception. The Company has 13 different transmission product lines. Although approximately 77% of revenues were generated in North America in 2013, the Company has a global presence by serving customers in Europe, Asia, South America and Africa. The Company serves customers through an independent network of approximately 1,400 independent distributor and dealer locations worldwide.</w:t>
      </w:r>
    </w:p>
    <w:p>
      <w:pPr>
        <w:spacing w:after="0" w:line="143"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Since the introduction of the Company’s first fully-automatic transmission over 60 years ago, the Company’s products have gained acceptance in a wide variety of applications, including on-highway trucks (distribution, refuse, construction, fire and emergency), buses (primarily school, transit and hybrid-transit), motorhomes, off-highway vehicles and equipment (primarily energy, mining and construction) and defense vehicles (wheeled and tracked). The Company has developed over 100 different product models that are used in more than 2,500 different vehicle configurations, which are compatible with more than 500 combinations of engine brands, models and ratings. The Company also sells support equipment and Allison-branded replacement parts for the Company’s transmissions and remanufactured transmissions for use in the vehicle aftermarket.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condensed consolidated financial statements as of and for the three and nine months ended September 30, 2014 and 2013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 of the results for the periods presented. The condensed consolidated financial statements herein consist of all wholly-owned domestic and foreign subsidiaries with all significant intercompany transactions eliminated.</w:t>
      </w:r>
    </w:p>
    <w:p>
      <w:pPr>
        <w:spacing w:after="0" w:line="12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These condensed consolidated financial statements present the financial position, results of operations and cash flows of the Company. The condensed consolidated financial statements should be read in conjunction with the audited consolidated financial statements included in the Company’s Form 10-K for the year ended December 31, 2013 as filed with the Securities and Exchange Commission (“SEC”) on February 24, 2014. Certain immaterial reclassifications have been made in the condensed consolidated financial statements of prior periods to conform to the current period presentation. These reclassifications have no impact on previously reported net income, total stockholders’ equity or cash flows. The interim period financial results for the three and nine month periods presented are not necessarily indicative of results to be expected for any other interim period or for the entire year.</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Significant estimates include, but are not limited to, allowance for doubtful accounts, sales allowances, government price adjustments, fair market values and future cash flows associated with goodwill, indefinite life intangibles, long-lived asset impairment tests, useful lives for depreciation and amortization, warranty liability, determination of discount and other assumptions for pension and other postretirement benefit expense, income taxes and deferred tax valuation allowances, derivative valuation, and contingencies. The Company’s accounting policies involve the application of judgments and assumptions made by management that include inherent risks and uncertainties. Actual results could differ materially from these estimates. Changes in estimates are recorded in results of operations in the period that the events or circumstances giving rise to such changes occur.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August 2014, the Financial Accounting Standards Board (“FASB”) issued authoritative accounting guidance on the disclosure of uncertainties about an entity’s ability to continue as a going concern. The guidance requires management to evaluate whether there is substantial doubt about an entity’s ability to continue as a going concern within one year after the date that the financial statements are issued (or within one year after the date that financial statements are available to be issued when applicable) and to provide related footnote disclosures. The guidance is effective prospectively for fiscal years beginning after December 15, 2016, but can be early-adopted. While the adoption of this guidance is not expected to have an effect on the Company’s consolidated financial statements, it could affect the disclosure applied under these circumstances in the future.</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May 2014, the FASB issued authoritative accounting guidance on a company’s accounting for revenue from contracts with customers. The guidance applies to all companies that enter into contracts with customers to transfer goods, service or nonfinancial assets. The guidance requires these companies to recognize revenue to depict the transfer of promised goods or services to customers in an amount that reflects the consideration to which the entity expects to be entitled in exchange for those goods or services. The guidance also requires improved disclosures regarding the nature, timing, amount and uncertainty of revenue that is recognized. The guidance is effective prospectively for fiscal years beginning after December 15, 2016. Management is currently assessing the potential impact of the adoption of this guidance on the Company’s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INVENTORIES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consisted of the following components (dollars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7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660" w:type="dxa"/>
            <w:vAlign w:val="bottom"/>
            <w:gridSpan w:val="4"/>
          </w:tcPr>
          <w:p>
            <w:pPr>
              <w:ind w:left="76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4300" w:type="dxa"/>
            <w:vAlign w:val="bottom"/>
            <w:tcBorders>
              <w:bottom w:val="single" w:sz="8" w:color="CCEEFF"/>
            </w:tcBorders>
          </w:tcPr>
          <w:p>
            <w:pPr>
              <w:spacing w:after="0"/>
              <w:rPr>
                <w:sz w:val="14"/>
                <w:szCs w:val="14"/>
                <w:color w:val="auto"/>
              </w:rPr>
            </w:pPr>
          </w:p>
        </w:tc>
        <w:tc>
          <w:tcPr>
            <w:tcW w:w="19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Purchased parts and raw materials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84.2</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Work in progress</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Service parts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44.9</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8"/>
                <w:szCs w:val="18"/>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Finished goods</w:t>
            </w:r>
          </w:p>
        </w:tc>
        <w:tc>
          <w:tcPr>
            <w:tcW w:w="19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inventories</w:t>
            </w:r>
          </w:p>
        </w:tc>
        <w:tc>
          <w:tcPr>
            <w:tcW w:w="20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161.5</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shd w:val="clear" w:color="auto" w:fill="CCEEFF"/>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Inventory components shipped to third parties, primarily cores, parts to re-manufacturers, and parts to contract manufacturers, in which the Company has an obligation to buy back, are included in purchased parts and raw materials, with an offsetting liability in Other current liabilities.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GOODWILL AND OTHER INTANGIBLE ASSETS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As of September 30, 2014 and December 31, 2013, the carrying amount of the Company’s Goodwill was $1,941.0 million. The following presents a summary of other intangible assets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gridSpan w:val="4"/>
          </w:tcPr>
          <w:p>
            <w:pPr>
              <w:jc w:val="right"/>
              <w:ind w:right="318"/>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gridSpan w:val="4"/>
          </w:tcPr>
          <w:p>
            <w:pPr>
              <w:jc w:val="center"/>
              <w:ind w:left="19"/>
              <w:spacing w:after="0"/>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2013</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Intangible</w:t>
            </w:r>
          </w:p>
        </w:tc>
        <w:tc>
          <w:tcPr>
            <w:tcW w:w="40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6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0"/>
              </w:rPr>
              <w:t>Intangible</w:t>
            </w:r>
          </w:p>
        </w:tc>
        <w:tc>
          <w:tcPr>
            <w:tcW w:w="380" w:type="dxa"/>
            <w:vAlign w:val="bottom"/>
          </w:tcPr>
          <w:p>
            <w:pPr>
              <w:spacing w:after="0"/>
              <w:rPr>
                <w:sz w:val="11"/>
                <w:szCs w:val="11"/>
                <w:color w:val="auto"/>
              </w:rPr>
            </w:pPr>
          </w:p>
        </w:tc>
        <w:tc>
          <w:tcPr>
            <w:tcW w:w="7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Intangible</w:t>
            </w:r>
          </w:p>
        </w:tc>
        <w:tc>
          <w:tcPr>
            <w:tcW w:w="400" w:type="dxa"/>
            <w:vAlign w:val="bottom"/>
          </w:tcPr>
          <w:p>
            <w:pPr>
              <w:spacing w:after="0"/>
              <w:rPr>
                <w:sz w:val="11"/>
                <w:szCs w:val="11"/>
                <w:color w:val="auto"/>
              </w:rPr>
            </w:pPr>
          </w:p>
        </w:tc>
        <w:tc>
          <w:tcPr>
            <w:tcW w:w="1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Intangible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73"/>
              </w:rPr>
              <w:t>assets, gross</w:t>
            </w:r>
          </w:p>
        </w:tc>
        <w:tc>
          <w:tcPr>
            <w:tcW w:w="4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assets, net</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75"/>
              </w:rPr>
              <w:t>assets, gross</w:t>
            </w:r>
          </w:p>
        </w:tc>
        <w:tc>
          <w:tcPr>
            <w:tcW w:w="4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assets, net</w:t>
            </w:r>
          </w:p>
        </w:tc>
        <w:tc>
          <w:tcPr>
            <w:tcW w:w="0" w:type="dxa"/>
            <w:vAlign w:val="bottom"/>
          </w:tcPr>
          <w:p>
            <w:pPr>
              <w:spacing w:after="0"/>
              <w:rPr>
                <w:sz w:val="1"/>
                <w:szCs w:val="1"/>
                <w:color w:val="auto"/>
              </w:rPr>
            </w:pPr>
          </w:p>
        </w:tc>
      </w:tr>
      <w:tr>
        <w:trPr>
          <w:trHeight w:val="196"/>
        </w:trPr>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intangible 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Trade name</w:t>
            </w:r>
          </w:p>
        </w:tc>
        <w:tc>
          <w:tcPr>
            <w:tcW w:w="1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870.0</w:t>
            </w:r>
          </w:p>
        </w:tc>
        <w:tc>
          <w:tcPr>
            <w:tcW w:w="540" w:type="dxa"/>
            <w:vAlign w:val="bottom"/>
            <w:gridSpan w:val="2"/>
          </w:tcPr>
          <w:p>
            <w:pPr>
              <w:ind w:left="40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318"/>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870.0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870.0</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 defense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b w:val="1"/>
                <w:bCs w:val="1"/>
                <w:color w:val="auto"/>
              </w:rPr>
              <w:t>(27.0)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35.3</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Customer relationships — commercial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831.8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58"/>
              <w:spacing w:after="0"/>
              <w:rPr>
                <w:sz w:val="20"/>
                <w:szCs w:val="20"/>
                <w:color w:val="auto"/>
              </w:rPr>
            </w:pPr>
            <w:r>
              <w:rPr>
                <w:rFonts w:ascii="Arial" w:cs="Arial" w:eastAsia="Arial" w:hAnsi="Arial"/>
                <w:sz w:val="18"/>
                <w:szCs w:val="18"/>
                <w:b w:val="1"/>
                <w:bCs w:val="1"/>
                <w:color w:val="auto"/>
              </w:rPr>
              <w:t>(413.8)</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418.0</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831.8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(374.9)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Proprietary technology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476.3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b w:val="1"/>
                <w:bCs w:val="1"/>
                <w:color w:val="auto"/>
              </w:rPr>
              <w:t>(272.5)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203.8</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Non-compete agreement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58"/>
              <w:spacing w:after="0"/>
              <w:rPr>
                <w:sz w:val="20"/>
                <w:szCs w:val="20"/>
                <w:color w:val="auto"/>
              </w:rPr>
            </w:pPr>
            <w:r>
              <w:rPr>
                <w:rFonts w:ascii="Arial" w:cs="Arial" w:eastAsia="Arial" w:hAnsi="Arial"/>
                <w:sz w:val="18"/>
                <w:szCs w:val="18"/>
                <w:b w:val="1"/>
                <w:bCs w:val="1"/>
                <w:color w:val="auto"/>
              </w:rPr>
              <w:t>(12.4)</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4.9</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Patented technology — defense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b w:val="1"/>
                <w:bCs w:val="1"/>
                <w:color w:val="auto"/>
              </w:rPr>
              <w:t>(23.7)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4.5</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Tooling rights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58"/>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0.2</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Patented technology — commercial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b w:val="1"/>
                <w:bCs w:val="1"/>
                <w:color w:val="auto"/>
              </w:rPr>
              <w:t>(260.6)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vMerge w:val="restart"/>
          </w:tcPr>
          <w:p>
            <w:pPr>
              <w:jc w:val="right"/>
              <w:ind w:right="258"/>
              <w:spacing w:after="0"/>
              <w:rPr>
                <w:sz w:val="20"/>
                <w:szCs w:val="20"/>
                <w:color w:val="auto"/>
              </w:rPr>
            </w:pPr>
            <w:r>
              <w:rPr>
                <w:rFonts w:ascii="Arial" w:cs="Arial" w:eastAsia="Arial" w:hAnsi="Arial"/>
                <w:sz w:val="16"/>
                <w:szCs w:val="16"/>
                <w:b w:val="1"/>
                <w:bCs w:val="1"/>
                <w:color w:val="auto"/>
                <w:w w:val="74"/>
              </w:rPr>
              <w:t>)</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9"/>
              </w:rPr>
              <w:t>2,551.0</w:t>
            </w:r>
          </w:p>
        </w:tc>
        <w:tc>
          <w:tcPr>
            <w:tcW w:w="40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0"/>
              </w:rPr>
              <w:t>(1,014.3</w:t>
            </w:r>
          </w:p>
        </w:tc>
        <w:tc>
          <w:tcPr>
            <w:tcW w:w="4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86"/>
              </w:rPr>
              <w:t>1,536.7</w:t>
            </w:r>
          </w:p>
        </w:tc>
        <w:tc>
          <w:tcPr>
            <w:tcW w:w="38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2,551.0</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(940.2)</w:t>
            </w:r>
          </w:p>
        </w:tc>
        <w:tc>
          <w:tcPr>
            <w:tcW w:w="260" w:type="dxa"/>
            <w:vAlign w:val="bottom"/>
            <w:gridSpan w:val="2"/>
          </w:tcPr>
          <w:p>
            <w:pPr>
              <w:ind w:left="180"/>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1,610.8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As of September 30, 2014 and December 31, 2013, the net carrying value of our Goodwill and other intangibles was $3,477.7 million and $3,551.8 million,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related to other intangible assets for the next five years and thereafter is expected to be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2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Thereafter</w:t>
            </w:r>
          </w:p>
        </w:tc>
      </w:tr>
      <w:tr>
        <w:trPr>
          <w:trHeight w:val="210"/>
        </w:trPr>
        <w:tc>
          <w:tcPr>
            <w:tcW w:w="4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expense</w:t>
            </w:r>
          </w:p>
        </w:tc>
        <w:tc>
          <w:tcPr>
            <w:tcW w:w="28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97.1</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92.4</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89.7</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87.2</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85.7</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  189.9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FAIR VALUE OF FINANCIAL INSTRUMENTS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accordance with the FASB’s authoritative accounting guidance on fair value measurements, fair value is the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2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140"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Level 2 — Pricing inputs are other than quoted prices in active markets included in Level 1, which are either directly or indirectly observable as of the reported date. Level 2 includes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September 30, 2014 and December 31, 2013, the Company did not have any Level 3 financial assets or liabilities.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The Company’s assets and liabilities that are measured at fair value include cash and cash equivalents, available-for-sale securities, derivative instruments, assets held in a rabbi trust and a deferred compensation obligation. The Company’s cash equivalents consist of short-term U.S. government backed securities. The Company’s available-for-sale securities consist of ordinary shares of Torotrak plc (“Torotrak”) associated with a license and exclusivity agreement with Torotrak. Torotrak’s listed shares are traded on the London Stock Exchange under the ticker symbol “TRK.” The Company’s derivative instruments consist of interest rate swaps, foreign currency forward contracts and commodity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Company’s valuation techniques used to calculate the fair value of cash and cash equivalents, available-for-sale securities, assets held in the rabbi trust and the deferred compensation obligation represent a market approach in active markets for identical assets that qualifies as Level 1 in the fair value hierarchy. The Company’s valuation techniques used to calculate the fair value of derivative instruments represent a market approach with observable inputs that qualify as Level 2 in the fair value hierarchy.</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foreign currency contracts consist of forward rate contracts which are intended to hedge exposure of transactions denominated in certain currencies and reduce the impact of currency price volatility on the Company’s financial results. The commodity contracts consist of forward rate contracts which are intended to hedge exposure of transactions involving purchases of component parts and energy to power our facilities, reducing the impact of commodity price volatility on the Company’s financial results.</w:t>
      </w:r>
    </w:p>
    <w:p>
      <w:pPr>
        <w:spacing w:after="0" w:line="143" w:lineRule="exact"/>
        <w:rPr>
          <w:sz w:val="20"/>
          <w:szCs w:val="20"/>
          <w:color w:val="auto"/>
        </w:rPr>
      </w:pPr>
    </w:p>
    <w:p>
      <w:pPr>
        <w:ind w:right="200" w:firstLine="456"/>
        <w:spacing w:after="0" w:line="314" w:lineRule="auto"/>
        <w:rPr>
          <w:sz w:val="20"/>
          <w:szCs w:val="20"/>
          <w:color w:val="auto"/>
        </w:rPr>
      </w:pPr>
      <w:r>
        <w:rPr>
          <w:rFonts w:ascii="Arial" w:cs="Arial" w:eastAsia="Arial" w:hAnsi="Arial"/>
          <w:sz w:val="15"/>
          <w:szCs w:val="15"/>
          <w:color w:val="auto"/>
        </w:rPr>
        <w:t>For the fair value measurement of foreign currency derivatives, the Company uses forward foreign exchange rates received from the issuing financial institution. These rates are periodically corroborated by comparing to third-party broker quotes. The foreign currency hedges are accounted for within the authoritative accounting guidance set forth on accounting for derivative instruments and hedging activities and have been recorded at fair value based upon quoted market rates. The fair values are included in Other current and non-current assets and liabilities in the Condensed Consolidated Balance Sheets. The Company generally does not elect to apply hedge accounting for these foreign currency contracts, and as a result, unrealized fair value adjustments and realized gains and losses are recorded in Other expense, net in the Condensed Consolidated Statements of Comprehensive Income during the period of change.</w:t>
      </w:r>
    </w:p>
    <w:p>
      <w:pPr>
        <w:spacing w:after="0" w:line="10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For the fair value measurement of commodity derivatives, the Company uses forward prices received from the issuing financial institution. These rates are periodically corroborated by comparing to third-party broker quotes. The commodity derivatives are accounted for within the authoritative accounting guidance set forth on accounting for derivative instruments and hedging activities and have been recorded at fair value based upon quoted market rates. The fair values are included in Other current and non-current assets and liabilities in the Condensed Consolidated Balance Sheets. The Company has either not qualified for or not elected hedge accounting treatment for these commodity contracts, and as a result, unrealized fair value adjustments and realized gains and losses are recorded in Other expense, net in the Condensed Consolidated Statements of Comprehensive Income.</w:t>
      </w:r>
    </w:p>
    <w:p>
      <w:pPr>
        <w:spacing w:after="0" w:line="120"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For the fair value measurement of interest rate derivatives, the Company uses valuations from the issuing financial institution. The Company corroborates the valuation through the use of third-party valuation services using a standard replacement valuation model. The floating-to-fixed interest rate swaps are based on the London Interbank Offered Rate (“LIBOR”) which is observable at commonly quoted intervals. The fair values are included in other current and non-current assets and liabilities in the Condensed Consolidated Balance Sheets. The Company has not qualified for hedge accounting treatment for the interest rate swaps and, as a result, fair value adjustments are charged directly to Interest expense in the Condensed Consolidated Statements of Comprehensive Income.</w:t>
      </w:r>
    </w:p>
    <w:p>
      <w:pPr>
        <w:spacing w:after="0" w:line="10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summarizes the fair value of the Company’s financial assets and (liabilities) as of September 30, 2014 and December 31, 2013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center"/>
              <w:ind w:right="600"/>
              <w:spacing w:after="0"/>
              <w:rPr>
                <w:sz w:val="20"/>
                <w:szCs w:val="20"/>
                <w:color w:val="auto"/>
              </w:rPr>
            </w:pPr>
            <w:r>
              <w:rPr>
                <w:rFonts w:ascii="Arial" w:cs="Arial" w:eastAsia="Arial" w:hAnsi="Arial"/>
                <w:sz w:val="14"/>
                <w:szCs w:val="14"/>
                <w:b w:val="1"/>
                <w:bCs w:val="1"/>
                <w:color w:val="auto"/>
                <w:w w:val="86"/>
              </w:rPr>
              <w:t>Fair Value Measurements Using</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40" w:type="dxa"/>
            <w:vAlign w:val="bottom"/>
            <w:gridSpan w:val="6"/>
          </w:tcPr>
          <w:p>
            <w:pPr>
              <w:jc w:val="center"/>
              <w:ind w:right="680"/>
              <w:spacing w:after="0" w:line="129" w:lineRule="exact"/>
              <w:rPr>
                <w:sz w:val="20"/>
                <w:szCs w:val="20"/>
                <w:color w:val="auto"/>
              </w:rPr>
            </w:pPr>
            <w:r>
              <w:rPr>
                <w:rFonts w:ascii="Arial" w:cs="Arial" w:eastAsia="Arial" w:hAnsi="Arial"/>
                <w:sz w:val="14"/>
                <w:szCs w:val="14"/>
                <w:b w:val="1"/>
                <w:bCs w:val="1"/>
                <w:color w:val="auto"/>
                <w:w w:val="86"/>
              </w:rPr>
              <w:t>Quoted Prices in Active</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40" w:type="dxa"/>
            <w:vAlign w:val="bottom"/>
            <w:gridSpan w:val="6"/>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Markets for Identical</w:t>
            </w:r>
          </w:p>
        </w:tc>
        <w:tc>
          <w:tcPr>
            <w:tcW w:w="100" w:type="dxa"/>
            <w:vAlign w:val="bottom"/>
          </w:tcPr>
          <w:p>
            <w:pPr>
              <w:spacing w:after="0"/>
              <w:rPr>
                <w:sz w:val="12"/>
                <w:szCs w:val="12"/>
                <w:color w:val="auto"/>
              </w:rPr>
            </w:pPr>
          </w:p>
        </w:tc>
        <w:tc>
          <w:tcPr>
            <w:tcW w:w="1460" w:type="dxa"/>
            <w:vAlign w:val="bottom"/>
            <w:gridSpan w:val="4"/>
          </w:tcPr>
          <w:p>
            <w:pPr>
              <w:jc w:val="center"/>
              <w:ind w:left="38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3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4"/>
          </w:tcPr>
          <w:p>
            <w:pPr>
              <w:jc w:val="center"/>
              <w:ind w:left="300"/>
              <w:spacing w:after="0"/>
              <w:rPr>
                <w:sz w:val="20"/>
                <w:szCs w:val="20"/>
                <w:color w:val="auto"/>
              </w:rPr>
            </w:pPr>
            <w:r>
              <w:rPr>
                <w:rFonts w:ascii="Arial" w:cs="Arial" w:eastAsia="Arial" w:hAnsi="Arial"/>
                <w:sz w:val="14"/>
                <w:szCs w:val="14"/>
                <w:b w:val="1"/>
                <w:bCs w:val="1"/>
                <w:color w:val="auto"/>
                <w:w w:val="84"/>
              </w:rPr>
              <w:t>Assets (Level 1)</w:t>
            </w: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6"/>
          </w:tcPr>
          <w:p>
            <w:pPr>
              <w:jc w:val="center"/>
              <w:ind w:right="620"/>
              <w:spacing w:after="0"/>
              <w:rPr>
                <w:sz w:val="20"/>
                <w:szCs w:val="20"/>
                <w:color w:val="auto"/>
              </w:rPr>
            </w:pPr>
            <w:r>
              <w:rPr>
                <w:rFonts w:ascii="Arial" w:cs="Arial" w:eastAsia="Arial" w:hAnsi="Arial"/>
                <w:sz w:val="14"/>
                <w:szCs w:val="14"/>
                <w:b w:val="1"/>
                <w:bCs w:val="1"/>
                <w:color w:val="auto"/>
                <w:w w:val="88"/>
              </w:rPr>
              <w:t>Observable Inputs (Level 2)</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TOTAL</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500" w:type="dxa"/>
            <w:vAlign w:val="bottom"/>
          </w:tcPr>
          <w:p>
            <w:pPr>
              <w:spacing w:after="0"/>
              <w:rPr>
                <w:sz w:val="11"/>
                <w:szCs w:val="11"/>
                <w:color w:val="auto"/>
              </w:rPr>
            </w:pPr>
          </w:p>
        </w:tc>
        <w:tc>
          <w:tcPr>
            <w:tcW w:w="11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500" w:type="dxa"/>
            <w:vAlign w:val="bottom"/>
          </w:tcPr>
          <w:p>
            <w:pPr>
              <w:spacing w:after="0"/>
              <w:rPr>
                <w:sz w:val="11"/>
                <w:szCs w:val="11"/>
                <w:color w:val="auto"/>
              </w:rPr>
            </w:pPr>
          </w:p>
        </w:tc>
        <w:tc>
          <w:tcPr>
            <w:tcW w:w="13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r>
      <w:tr>
        <w:trPr>
          <w:trHeight w:val="161"/>
        </w:trPr>
        <w:tc>
          <w:tcPr>
            <w:tcW w:w="31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89"/>
              </w:rPr>
              <w:t>2013</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83"/>
              </w:rPr>
              <w:t>2013</w:t>
            </w: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208.1</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00" w:type="dxa"/>
            <w:vAlign w:val="bottom"/>
            <w:shd w:val="clear" w:color="auto" w:fill="CCEEFF"/>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Rabbi trust assets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Deferred compensation obligation</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372"/>
              <w:spacing w:after="0"/>
              <w:rPr>
                <w:sz w:val="20"/>
                <w:szCs w:val="20"/>
                <w:color w:val="auto"/>
              </w:rPr>
            </w:pPr>
            <w:r>
              <w:rPr>
                <w:rFonts w:ascii="Arial" w:cs="Arial" w:eastAsia="Arial" w:hAnsi="Arial"/>
                <w:sz w:val="18"/>
                <w:szCs w:val="18"/>
                <w:b w:val="1"/>
                <w:bCs w:val="1"/>
                <w:color w:val="auto"/>
              </w:rPr>
              <w:t>(2.8)</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Derivative liabilities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8"/>
                <w:szCs w:val="18"/>
                <w:color w:val="auto"/>
              </w:rPr>
            </w:pPr>
          </w:p>
        </w:tc>
        <w:tc>
          <w:tcPr>
            <w:tcW w:w="1140" w:type="dxa"/>
            <w:vAlign w:val="bottom"/>
            <w:gridSpan w:val="2"/>
          </w:tcPr>
          <w:p>
            <w:pPr>
              <w:jc w:val="right"/>
              <w:ind w:right="372"/>
              <w:spacing w:after="0"/>
              <w:rPr>
                <w:sz w:val="20"/>
                <w:szCs w:val="20"/>
                <w:color w:val="auto"/>
              </w:rPr>
            </w:pPr>
            <w:r>
              <w:rPr>
                <w:rFonts w:ascii="Arial" w:cs="Arial" w:eastAsia="Arial" w:hAnsi="Arial"/>
                <w:sz w:val="18"/>
                <w:szCs w:val="18"/>
                <w:b w:val="1"/>
                <w:bCs w:val="1"/>
                <w:color w:val="auto"/>
              </w:rPr>
              <w:t>(7.8)</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r>
      <w:tr>
        <w:trPr>
          <w:trHeight w:val="27"/>
        </w:trPr>
        <w:tc>
          <w:tcPr>
            <w:tcW w:w="3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217.8</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(7.0)</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173.1</w:t>
            </w:r>
          </w:p>
        </w:tc>
      </w:tr>
      <w:tr>
        <w:trPr>
          <w:trHeight w:val="20"/>
        </w:trPr>
        <w:tc>
          <w:tcPr>
            <w:tcW w:w="3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Of the available Cash and cash equivalents, approximately $203.1 million and $179.7 million was deposited in operating accounts while approximately $5.0 million and $5.0 million was invested in U.S. government backed securities as of September 30, 2014 and December 31, 2013,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and maturities are as follows (dollars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620" w:type="dxa"/>
            <w:vAlign w:val="bottom"/>
            <w:gridSpan w:val="3"/>
          </w:tcPr>
          <w:p>
            <w:pPr>
              <w:ind w:left="800"/>
              <w:spacing w:after="0"/>
              <w:rPr>
                <w:sz w:val="20"/>
                <w:szCs w:val="20"/>
                <w:color w:val="auto"/>
              </w:rPr>
            </w:pPr>
            <w:r>
              <w:rPr>
                <w:rFonts w:ascii="Arial" w:cs="Arial" w:eastAsia="Arial" w:hAnsi="Arial"/>
                <w:sz w:val="14"/>
                <w:szCs w:val="14"/>
                <w:b w:val="1"/>
                <w:bCs w:val="1"/>
                <w:color w:val="auto"/>
                <w:w w:val="83"/>
              </w:rPr>
              <w:t>September 30,</w:t>
            </w:r>
          </w:p>
        </w:tc>
        <w:tc>
          <w:tcPr>
            <w:tcW w:w="1620" w:type="dxa"/>
            <w:vAlign w:val="bottom"/>
            <w:gridSpan w:val="4"/>
          </w:tcPr>
          <w:p>
            <w:pPr>
              <w:ind w:left="72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544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debt:</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Senior Secured Credit Facility Term B-2 Loan, variable, due 2017</w:t>
            </w:r>
          </w:p>
        </w:tc>
        <w:tc>
          <w:tcPr>
            <w:tcW w:w="980" w:type="dxa"/>
            <w:vAlign w:val="bottom"/>
            <w:gridSpan w:val="2"/>
          </w:tcPr>
          <w:p>
            <w:pPr>
              <w:ind w:left="80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348.4</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423.5</w:t>
            </w: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Credit Facility Term B-3 Loan, variable, due 2019</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1,770.2</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1,783.5</w:t>
            </w:r>
          </w:p>
        </w:tc>
        <w:tc>
          <w:tcPr>
            <w:tcW w:w="100" w:type="dxa"/>
            <w:vAlign w:val="bottom"/>
            <w:shd w:val="clear" w:color="auto" w:fill="CCEEFF"/>
          </w:tcPr>
          <w:p>
            <w:pPr>
              <w:spacing w:after="0"/>
              <w:rPr>
                <w:sz w:val="18"/>
                <w:szCs w:val="18"/>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Senior Notes, fixed 7.125%, due 2019</w:t>
            </w:r>
          </w:p>
        </w:tc>
        <w:tc>
          <w:tcPr>
            <w:tcW w:w="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471.3</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471.3</w:t>
            </w:r>
          </w:p>
        </w:tc>
        <w:tc>
          <w:tcPr>
            <w:tcW w:w="100" w:type="dxa"/>
            <w:vAlign w:val="bottom"/>
          </w:tcPr>
          <w:p>
            <w:pPr>
              <w:spacing w:after="0"/>
              <w:rPr>
                <w:sz w:val="19"/>
                <w:szCs w:val="19"/>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long-term debt</w:t>
            </w:r>
          </w:p>
        </w:tc>
        <w:tc>
          <w:tcPr>
            <w:tcW w:w="980" w:type="dxa"/>
            <w:vAlign w:val="bottom"/>
            <w:gridSpan w:val="2"/>
            <w:shd w:val="clear" w:color="auto" w:fill="CCEEFF"/>
          </w:tcPr>
          <w:p>
            <w:pPr>
              <w:ind w:left="80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2,589.9</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2,678.3</w:t>
            </w:r>
          </w:p>
        </w:tc>
        <w:tc>
          <w:tcPr>
            <w:tcW w:w="100" w:type="dxa"/>
            <w:vAlign w:val="bottom"/>
            <w:shd w:val="clear" w:color="auto" w:fill="CCEEFF"/>
          </w:tcPr>
          <w:p>
            <w:pPr>
              <w:spacing w:after="0"/>
              <w:rPr>
                <w:sz w:val="18"/>
                <w:szCs w:val="18"/>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Less: current maturities of long-term debt</w:t>
            </w:r>
          </w:p>
        </w:tc>
        <w:tc>
          <w:tcPr>
            <w:tcW w:w="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long-term debt less current portion</w:t>
            </w:r>
          </w:p>
        </w:tc>
        <w:tc>
          <w:tcPr>
            <w:tcW w:w="980" w:type="dxa"/>
            <w:vAlign w:val="bottom"/>
            <w:gridSpan w:val="2"/>
            <w:shd w:val="clear" w:color="auto" w:fill="CCEEFF"/>
          </w:tcPr>
          <w:p>
            <w:pPr>
              <w:ind w:left="80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2,572.0</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2,660.4</w:t>
            </w:r>
          </w:p>
        </w:tc>
        <w:tc>
          <w:tcPr>
            <w:tcW w:w="100" w:type="dxa"/>
            <w:vAlign w:val="bottom"/>
            <w:shd w:val="clear" w:color="auto" w:fill="CCEEFF"/>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of September 30, 2014, the Company had $348.4 million of indebtedness associated with Allison Transmission, Inc.’s (“ATI”), the Company’s wholly-owned subsidiary, Senior Secured Credit Facility Term B-2 Loan due 2017 (“Term B-2 Loan”) and $1,770.2 million of indebtedness associated with ATI’s Senior Secured Credit Facility Term B-3 Loan due 2019 (“Term B-3 Loan”) (together the Term B-2 Loan, Term B-3 Loan and revolving credit facility defined as the “Senior Secured Credit Facility”). The Company also had indebtedness of $471.3 million of ATI’s 7.125% senior cash pay notes due May 2019 (“7.125% Senior Notes”).</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fair value of the Company’s long-term debt obligations as of September 30, 2014 was $2,588.5 million. The fair value is based on quoted Level 1 market prices of the Company’s debt as of September 30, 2014.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Senior Secured Credit Facility is collateralized by a lien on substantially all assets of the Company including all of ATI’s capital stock and all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capital stock or other equity interest held by the Company, ATI and each of the Company’s existing and future U.S. subsidiary guarantors (subject to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limitations for equity interests of foreign subsidiaries and other exceptions set forth in the terms of the Senior Secured Credit Facility). In the second quarter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2014, ATI entered into an amendment with the term loan lenders under its Senior Secured Credit Facility to refinance Term B-2 Loan. The interest rate margin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to such refinanced loan is at the Company’s option, either (a) 2.75% over the LIBOR or (b) 1.75% over the greater of the prime lending rate provided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the British Banking Association or the federal funds effective rate published by the Federal Reserve Bank of New York plus 0.50%. The Company recorded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$0.3 million of new deferred financing fees in the condensed consolidated financial statements. Interest on the Term B-3 Loan, as of September 30, 2014, is equal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the LIBOR (which may not be less than 1.00%) plus 2.75% based on the Company’s total leverage ratio. As of September 30, 2014, these rates were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approximately 2.91% and 3.75% on the Term B-2 Loan and Term B-3 Loan, respectively, and the weighted average rate on the Senior Secured Credit Facility was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3.61%. The Senior Secured Credit Facility requires minimum quarterly principal payments on the Term B-2 Loan and Term B-3 Loan as well as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prepayments from certain net cash proceeds of non-ordinary course asset sales and casualty and condemnation events and from a percentage of excess cash flow,</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if applicable. Due to voluntary prepayments, the Company has fulfilled all Term B-2 Loan required quarterly payments through its maturity date of 2017.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third quarter of 2014, the Company made a principal payment of $75.0 million on the Term B-2 Loan, resulting in a loss of $0.3 million associated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write off of related deferred debt issuance costs. The minimum required quarterly principal payment on the Term B-3 Loan is $4.5 million and remains through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maturity date of 2019. As of September 30, 2014, there had been no payments required for certain net cash proceeds of non-ordinary course asset sales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casualty and condemnation events. The remaining principal balance on each loan is due upon maturity.</w:t>
      </w:r>
    </w:p>
    <w:p>
      <w:pPr>
        <w:spacing w:after="0" w:line="16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Senior Secured Credit Facility also provides for revolving credit borrowings. In the first quarter of 2014, ATI increased the revolving commitments available under the revolving portion of the Senior Secured Credit Facility to $465.0 million, net of an allowance for up to $75.0 million in outstanding letters of credit commitments. The increase was treated as a modification of debt under GAAP, and thus the Company recorded $0.6 million of new deferred financing fees in the condensed consolidated financial statements. For the nine months ended September 30, 2014, the Company made one withdrawal and payment on the revolving credit facility as part of its debt management plans. The maximum amount outstanding at any time on the revolving credit facility was $40.0 million, and the entire balance was repaid within the quarter it was borrowed. As of September 30, 2014, the Company had $455.1 million available under the revolving credit facility, net of $9.9 million in letters of credit. Revolving credit borrowings bear interest at a variable base rate plus an applicable margin based on the Company’s total leverage ratio. As of September 30, 2014, this rate would have been between approximately 2.16% and 4.25%. In addition, there is an annual commitment fee, based on the Company’s total leverage ratio, which as of September 30, 2014, was equal to 0.375% of the average unused revolving credit borrowings available under the Senior Secured Credit Facility. Revolving credit borrowings are payable at the option of the Company throughout the term of the Senior Secured Credit Facility with the balance due in January 2019.</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revolving portion of the Senior Secured Credit Facility requires the Company to maintain a specified maximum total senior secured leverage ratio of 5.50x when revolving loan commitments remain outstanding at the end of a fiscal quarter. On March 12, 2014, however, the revolving lenders holding a majority of the revolving loan commitments permanently waived and agreed that no event of default would result from any non-compliance so long as there were no revolving loans outstanding as of the last day of any fiscal quarter. As of September 30, 2014, the Company had no revolving loans outstanding, however the Company would have been in compliance with the maximum total senior secured leverage ratio, achieving a 2.70x ratio. Additionally within the terms of the Senior Secured Credit Facility, a senior secured leverage ratio at or below 3.50x results in the elimination of excess cash flow payments on the Senior Secured Credit Facility for the applicable year. The Senior Secured Credit Facility also provides certain financial incentives based on our total leverage ratio. A total leverage ratio at or below 4.00x results in a 25 basis point reduction to the applicable margin on the revolving credit facility, and a total leverage ratio at or below 3.50x results in a 12.5 basis point reduction to the revolving credit facility commitment fee and an additional 25 basis point reduction to the applicable margin on the revolving credit facility. A total leverage ratio at or below 3.25x results in a 25 basis point reduction to the applicable margin on our Term B-3 Loan. These reductions would remain in effect as long as the Company achieves a total leverage ratio at or below the related threshold. As of September 30, 2014, the total leverage ratio was 3.37x.</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Senior Secured Credit Facility, among other things, includes customary restrictions (subject to certain exceptions) on the Company’s ability to incur certain indebtedness, grant certain liens, make certain investments or declare or pay certain dividends. As of September 30, 2014, the Company is in compliance with all covenants under the Senior Secured Credit Facility.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DERIVATIVES</w:t>
      </w:r>
    </w:p>
    <w:p>
      <w:pPr>
        <w:spacing w:after="0" w:line="96" w:lineRule="exact"/>
        <w:rPr>
          <w:sz w:val="20"/>
          <w:szCs w:val="20"/>
          <w:color w:val="auto"/>
        </w:rPr>
      </w:pPr>
    </w:p>
    <w:p>
      <w:pPr>
        <w:jc w:val="both"/>
        <w:ind w:right="440" w:firstLine="456"/>
        <w:spacing w:after="0" w:line="256" w:lineRule="auto"/>
        <w:rPr>
          <w:sz w:val="20"/>
          <w:szCs w:val="20"/>
          <w:color w:val="auto"/>
        </w:rPr>
      </w:pPr>
      <w:r>
        <w:rPr>
          <w:rFonts w:ascii="Arial" w:cs="Arial" w:eastAsia="Arial" w:hAnsi="Arial"/>
          <w:sz w:val="18"/>
          <w:szCs w:val="18"/>
          <w:color w:val="auto"/>
        </w:rPr>
        <w:t>The Company is exposed to certain financial risk from volatility in interest rates, foreign exchange rates and commodity prices. The risk is managed through the use of financial derivative instruments including interest rate swaps, foreign currency forward contracts and commodity swaps. The Company’s current derivative instruments are used strictly as an economic hedge and not for speculative purposes. As necessary, the Company adjusts the values of the derivative instruments for counter-party or credit risk.</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is subject to interest rate risk related to the Senior Secured Credit Facility and enters into interest rate swap contracts that are based on the LIBOR to manage a portion of this exposure. The Company has not elected hedge accounting treatment for these derivatives, and as a result, fair value adjustments are charged directly to Interest expense in the Condensed Consolidated Statements of Comprehensive Income. A summary of the Company’s interest rate derivatives as of September 30, 2014 and December 31, 2013 follows (dollars in millions):</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jc w:val="right"/>
              <w:ind w:right="758"/>
              <w:spacing w:after="0"/>
              <w:rPr>
                <w:sz w:val="20"/>
                <w:szCs w:val="20"/>
                <w:color w:val="auto"/>
              </w:rPr>
            </w:pPr>
            <w:r>
              <w:rPr>
                <w:rFonts w:ascii="Arial" w:cs="Arial" w:eastAsia="Arial" w:hAnsi="Arial"/>
                <w:sz w:val="14"/>
                <w:szCs w:val="14"/>
                <w:b w:val="1"/>
                <w:bCs w:val="1"/>
                <w:color w:val="auto"/>
                <w:w w:val="97"/>
              </w:rPr>
              <w:t>September 30, 2014</w:t>
            </w:r>
          </w:p>
        </w:tc>
        <w:tc>
          <w:tcPr>
            <w:tcW w:w="80" w:type="dxa"/>
            <w:vAlign w:val="bottom"/>
          </w:tcPr>
          <w:p>
            <w:pPr>
              <w:spacing w:after="0"/>
              <w:rPr>
                <w:sz w:val="14"/>
                <w:szCs w:val="14"/>
                <w:color w:val="auto"/>
              </w:rPr>
            </w:pPr>
          </w:p>
        </w:tc>
        <w:tc>
          <w:tcPr>
            <w:tcW w:w="18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5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2"/>
              </w:rPr>
              <w:t>Notional</w:t>
            </w: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Borders>
              <w:top w:val="single" w:sz="8" w:color="auto"/>
            </w:tcBorders>
            <w:gridSpan w:val="3"/>
          </w:tcPr>
          <w:p>
            <w:pPr>
              <w:ind w:left="60"/>
              <w:spacing w:after="0" w:line="129" w:lineRule="exact"/>
              <w:rPr>
                <w:sz w:val="20"/>
                <w:szCs w:val="20"/>
                <w:color w:val="auto"/>
              </w:rPr>
            </w:pPr>
            <w:r>
              <w:rPr>
                <w:rFonts w:ascii="Arial" w:cs="Arial" w:eastAsia="Arial" w:hAnsi="Arial"/>
                <w:sz w:val="14"/>
                <w:szCs w:val="14"/>
                <w:b w:val="1"/>
                <w:bCs w:val="1"/>
                <w:color w:val="auto"/>
              </w:rPr>
              <w:t>Notional</w:t>
            </w:r>
          </w:p>
        </w:tc>
        <w:tc>
          <w:tcPr>
            <w:tcW w:w="2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8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5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0"/>
              </w:rPr>
              <w:t>3.75%</w:t>
            </w:r>
          </w:p>
        </w:tc>
        <w:tc>
          <w:tcPr>
            <w:tcW w:w="5880" w:type="dxa"/>
            <w:vAlign w:val="bottom"/>
            <w:tcBorders>
              <w:top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Rate Swap H, due August 2014</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3.77%</w:t>
            </w:r>
          </w:p>
        </w:tc>
        <w:tc>
          <w:tcPr>
            <w:tcW w:w="5880" w:type="dxa"/>
            <w:vAlign w:val="bottom"/>
          </w:tcPr>
          <w:p>
            <w:pPr>
              <w:ind w:left="20"/>
              <w:spacing w:after="0"/>
              <w:rPr>
                <w:sz w:val="20"/>
                <w:szCs w:val="20"/>
                <w:color w:val="auto"/>
              </w:rPr>
            </w:pPr>
            <w:r>
              <w:rPr>
                <w:rFonts w:ascii="Arial" w:cs="Arial" w:eastAsia="Arial" w:hAnsi="Arial"/>
                <w:sz w:val="18"/>
                <w:szCs w:val="18"/>
                <w:color w:val="auto"/>
              </w:rPr>
              <w:t>Interest Rate Swap I, due August 2014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98"/>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350.0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2.96%</w:t>
            </w:r>
          </w:p>
        </w:tc>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J, due August 2014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98"/>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3.05%</w:t>
            </w:r>
          </w:p>
        </w:tc>
        <w:tc>
          <w:tcPr>
            <w:tcW w:w="5880" w:type="dxa"/>
            <w:vAlign w:val="bottom"/>
          </w:tcPr>
          <w:p>
            <w:pPr>
              <w:ind w:left="20"/>
              <w:spacing w:after="0"/>
              <w:rPr>
                <w:sz w:val="20"/>
                <w:szCs w:val="20"/>
                <w:color w:val="auto"/>
              </w:rPr>
            </w:pPr>
            <w:r>
              <w:rPr>
                <w:rFonts w:ascii="Arial" w:cs="Arial" w:eastAsia="Arial" w:hAnsi="Arial"/>
                <w:sz w:val="18"/>
                <w:szCs w:val="18"/>
                <w:color w:val="auto"/>
              </w:rPr>
              <w:t>Interest Rate Swap K, due August 2014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98"/>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125.0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3.44%</w:t>
            </w:r>
          </w:p>
        </w:tc>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L, due August 2019*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38"/>
              <w:spacing w:after="0"/>
              <w:rPr>
                <w:sz w:val="20"/>
                <w:szCs w:val="20"/>
                <w:color w:val="auto"/>
              </w:rPr>
            </w:pPr>
            <w:r>
              <w:rPr>
                <w:rFonts w:ascii="Arial" w:cs="Arial" w:eastAsia="Arial" w:hAnsi="Arial"/>
                <w:sz w:val="18"/>
                <w:szCs w:val="18"/>
                <w:b w:val="1"/>
                <w:bCs w:val="1"/>
                <w:color w:val="auto"/>
              </w:rPr>
              <w:t>(1.5)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3.43%</w:t>
            </w:r>
          </w:p>
        </w:tc>
        <w:tc>
          <w:tcPr>
            <w:tcW w:w="5880" w:type="dxa"/>
            <w:vAlign w:val="bottom"/>
          </w:tcPr>
          <w:p>
            <w:pPr>
              <w:ind w:left="20"/>
              <w:spacing w:after="0"/>
              <w:rPr>
                <w:sz w:val="20"/>
                <w:szCs w:val="20"/>
                <w:color w:val="auto"/>
              </w:rPr>
            </w:pPr>
            <w:r>
              <w:rPr>
                <w:rFonts w:ascii="Arial" w:cs="Arial" w:eastAsia="Arial" w:hAnsi="Arial"/>
                <w:sz w:val="18"/>
                <w:szCs w:val="18"/>
                <w:color w:val="auto"/>
              </w:rPr>
              <w:t>Interest Rate Swap M, due August 2019*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100.0</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38"/>
              <w:spacing w:after="0"/>
              <w:rPr>
                <w:sz w:val="20"/>
                <w:szCs w:val="20"/>
                <w:color w:val="auto"/>
              </w:rPr>
            </w:pPr>
            <w:r>
              <w:rPr>
                <w:rFonts w:ascii="Arial" w:cs="Arial" w:eastAsia="Arial" w:hAnsi="Arial"/>
                <w:sz w:val="18"/>
                <w:szCs w:val="18"/>
                <w:b w:val="1"/>
                <w:bCs w:val="1"/>
                <w:color w:val="auto"/>
              </w:rPr>
              <w:t>(2.0)</w:t>
            </w: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3.37%</w:t>
            </w:r>
          </w:p>
        </w:tc>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N, due August 2019*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38"/>
              <w:spacing w:after="0"/>
              <w:rPr>
                <w:sz w:val="20"/>
                <w:szCs w:val="20"/>
                <w:color w:val="auto"/>
              </w:rPr>
            </w:pPr>
            <w:r>
              <w:rPr>
                <w:rFonts w:ascii="Arial" w:cs="Arial" w:eastAsia="Arial" w:hAnsi="Arial"/>
                <w:sz w:val="18"/>
                <w:szCs w:val="18"/>
                <w:b w:val="1"/>
                <w:bCs w:val="1"/>
                <w:color w:val="auto"/>
              </w:rPr>
              <w:t>(1.4)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3.19%</w:t>
            </w:r>
          </w:p>
        </w:tc>
        <w:tc>
          <w:tcPr>
            <w:tcW w:w="5880" w:type="dxa"/>
            <w:vAlign w:val="bottom"/>
          </w:tcPr>
          <w:p>
            <w:pPr>
              <w:ind w:left="20"/>
              <w:spacing w:after="0"/>
              <w:rPr>
                <w:sz w:val="20"/>
                <w:szCs w:val="20"/>
                <w:color w:val="auto"/>
              </w:rPr>
            </w:pPr>
            <w:r>
              <w:rPr>
                <w:rFonts w:ascii="Arial" w:cs="Arial" w:eastAsia="Arial" w:hAnsi="Arial"/>
                <w:sz w:val="18"/>
                <w:szCs w:val="18"/>
                <w:color w:val="auto"/>
              </w:rPr>
              <w:t>Interest Rate Swap O, due August 2019*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38"/>
              <w:spacing w:after="0"/>
              <w:rPr>
                <w:sz w:val="20"/>
                <w:szCs w:val="20"/>
                <w:color w:val="auto"/>
              </w:rPr>
            </w:pPr>
            <w:r>
              <w:rPr>
                <w:rFonts w:ascii="Arial" w:cs="Arial" w:eastAsia="Arial" w:hAnsi="Arial"/>
                <w:sz w:val="18"/>
                <w:szCs w:val="18"/>
                <w:b w:val="1"/>
                <w:bCs w:val="1"/>
                <w:color w:val="auto"/>
              </w:rPr>
              <w:t>(1.0)</w:t>
            </w: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75.0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3.08%</w:t>
            </w:r>
          </w:p>
        </w:tc>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P, due August 2019*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38"/>
              <w:spacing w:after="0"/>
              <w:rPr>
                <w:sz w:val="20"/>
                <w:szCs w:val="20"/>
                <w:color w:val="auto"/>
              </w:rPr>
            </w:pPr>
            <w:r>
              <w:rPr>
                <w:rFonts w:ascii="Arial" w:cs="Arial" w:eastAsia="Arial" w:hAnsi="Arial"/>
                <w:sz w:val="18"/>
                <w:szCs w:val="18"/>
                <w:b w:val="1"/>
                <w:bCs w:val="1"/>
                <w:color w:val="auto"/>
              </w:rPr>
              <w:t>(0.7)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2.99%</w:t>
            </w:r>
          </w:p>
        </w:tc>
        <w:tc>
          <w:tcPr>
            <w:tcW w:w="5880" w:type="dxa"/>
            <w:vAlign w:val="bottom"/>
          </w:tcPr>
          <w:p>
            <w:pPr>
              <w:ind w:left="20"/>
              <w:spacing w:after="0"/>
              <w:rPr>
                <w:sz w:val="20"/>
                <w:szCs w:val="20"/>
                <w:color w:val="auto"/>
              </w:rPr>
            </w:pPr>
            <w:r>
              <w:rPr>
                <w:rFonts w:ascii="Arial" w:cs="Arial" w:eastAsia="Arial" w:hAnsi="Arial"/>
                <w:sz w:val="18"/>
                <w:szCs w:val="18"/>
                <w:color w:val="auto"/>
              </w:rPr>
              <w:t>Interest Rate Swap Q, due August 2019*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38"/>
              <w:spacing w:after="0"/>
              <w:rPr>
                <w:sz w:val="20"/>
                <w:szCs w:val="20"/>
                <w:color w:val="auto"/>
              </w:rPr>
            </w:pPr>
            <w:r>
              <w:rPr>
                <w:rFonts w:ascii="Arial" w:cs="Arial" w:eastAsia="Arial" w:hAnsi="Arial"/>
                <w:sz w:val="18"/>
                <w:szCs w:val="18"/>
                <w:b w:val="1"/>
                <w:bCs w:val="1"/>
                <w:color w:val="auto"/>
              </w:rPr>
              <w:t>(0.4)</w:t>
            </w: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2.98%</w:t>
            </w:r>
          </w:p>
        </w:tc>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R, due August 2019*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38"/>
              <w:spacing w:after="0"/>
              <w:rPr>
                <w:sz w:val="20"/>
                <w:szCs w:val="20"/>
                <w:color w:val="auto"/>
              </w:rPr>
            </w:pPr>
            <w:r>
              <w:rPr>
                <w:rFonts w:ascii="Arial" w:cs="Arial" w:eastAsia="Arial" w:hAnsi="Arial"/>
                <w:sz w:val="18"/>
                <w:szCs w:val="18"/>
                <w:b w:val="1"/>
                <w:bCs w:val="1"/>
                <w:color w:val="auto"/>
              </w:rPr>
              <w:t>(0.3)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2.73%</w:t>
            </w:r>
          </w:p>
        </w:tc>
        <w:tc>
          <w:tcPr>
            <w:tcW w:w="5880" w:type="dxa"/>
            <w:vAlign w:val="bottom"/>
          </w:tcPr>
          <w:p>
            <w:pPr>
              <w:ind w:left="20"/>
              <w:spacing w:after="0"/>
              <w:rPr>
                <w:sz w:val="20"/>
                <w:szCs w:val="20"/>
                <w:color w:val="auto"/>
              </w:rPr>
            </w:pPr>
            <w:r>
              <w:rPr>
                <w:rFonts w:ascii="Arial" w:cs="Arial" w:eastAsia="Arial" w:hAnsi="Arial"/>
                <w:sz w:val="18"/>
                <w:szCs w:val="18"/>
                <w:color w:val="auto"/>
              </w:rPr>
              <w:t>Interest Rate Swap S, due August 2019*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9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2.74%</w:t>
            </w:r>
          </w:p>
        </w:tc>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T, due August 2019*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9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2.66%</w:t>
            </w:r>
          </w:p>
        </w:tc>
        <w:tc>
          <w:tcPr>
            <w:tcW w:w="5880" w:type="dxa"/>
            <w:vAlign w:val="bottom"/>
          </w:tcPr>
          <w:p>
            <w:pPr>
              <w:ind w:left="20"/>
              <w:spacing w:after="0"/>
              <w:rPr>
                <w:sz w:val="20"/>
                <w:szCs w:val="20"/>
                <w:color w:val="auto"/>
              </w:rPr>
            </w:pPr>
            <w:r>
              <w:rPr>
                <w:rFonts w:ascii="Arial" w:cs="Arial" w:eastAsia="Arial" w:hAnsi="Arial"/>
                <w:sz w:val="18"/>
                <w:szCs w:val="18"/>
                <w:color w:val="auto"/>
              </w:rPr>
              <w:t>Interest Rate Swap U, due August 2019*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98"/>
              <w:spacing w:after="0"/>
              <w:rPr>
                <w:sz w:val="20"/>
                <w:szCs w:val="20"/>
                <w:color w:val="auto"/>
              </w:rPr>
            </w:pPr>
            <w:r>
              <w:rPr>
                <w:rFonts w:ascii="Arial" w:cs="Arial" w:eastAsia="Arial" w:hAnsi="Arial"/>
                <w:sz w:val="18"/>
                <w:szCs w:val="18"/>
                <w:b w:val="1"/>
                <w:bCs w:val="1"/>
                <w:color w:val="auto"/>
              </w:rPr>
              <w:t>0.1</w:t>
            </w: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2.60%</w:t>
            </w:r>
          </w:p>
        </w:tc>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V, due August 2019*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98"/>
              <w:spacing w:after="0"/>
              <w:rPr>
                <w:sz w:val="20"/>
                <w:szCs w:val="20"/>
                <w:color w:val="auto"/>
              </w:rPr>
            </w:pPr>
            <w:r>
              <w:rPr>
                <w:rFonts w:ascii="Arial" w:cs="Arial" w:eastAsia="Arial" w:hAnsi="Arial"/>
                <w:sz w:val="18"/>
                <w:szCs w:val="18"/>
                <w:b w:val="1"/>
                <w:bCs w:val="1"/>
                <w:color w:val="auto"/>
              </w:rPr>
              <w:t>0.2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 includes LIBOR floor of 1.00%</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vMerge w:val="restart"/>
          </w:tcPr>
          <w:p>
            <w:pPr>
              <w:jc w:val="right"/>
              <w:ind w:right="438"/>
              <w:spacing w:after="0"/>
              <w:rPr>
                <w:sz w:val="20"/>
                <w:szCs w:val="20"/>
                <w:color w:val="auto"/>
              </w:rPr>
            </w:pPr>
            <w:r>
              <w:rPr>
                <w:rFonts w:ascii="Arial" w:cs="Arial" w:eastAsia="Arial" w:hAnsi="Arial"/>
                <w:sz w:val="16"/>
                <w:szCs w:val="16"/>
                <w:b w:val="1"/>
                <w:bCs w:val="1"/>
                <w:color w:val="auto"/>
                <w:w w:val="74"/>
              </w:rPr>
              <w:t>)</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6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725.0</w:t>
            </w:r>
          </w:p>
        </w:tc>
        <w:tc>
          <w:tcPr>
            <w:tcW w:w="56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5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1,450.0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July 2014, the Company entered into two new interest rate swaps to hedge its variable interest rate exposure on the Senior Secured Credit Facility. Interest Rate Swap S has a notional amount of $50.0 million and is effective from August 2016 to August 2019 at an all-in fixed rate of 2.73% and a LIBOR floor of 1.00% with no independent collateral requirement. Interest Rate Swap T has a notional amount of $75.0 million and is effective from August 2016 to August 2019 at an all-in fixed rate of 2.74% and a LIBOR floor of 1.00% with no independent collateral requirement.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August 2014, the Company entered into two new interest rate swaps to hedge its variable interest rate exposure on the Senior Secured Credit Facility. Interest Rate Swap U has a notional amount of $50.0 million and is effective from August 2016 to August 2019 at an all-in fixed rate of 2.66% and a LIBOR floor of 1.00% with no independent collateral requirement. Interest Rate Swap V has a notional amount of $50.0 million and is effective from August 2016 to August 2019 at an all-in fixed rate of 2.60% and a LIBOR floor of 1.00% with no independent collateral requirement.</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of September 30, 2014, the Company did not have any interest rate derivatives subject to credit-risk or collateral requirement. As of December 31, 2013, certain of the Company’s interest rate derivatives contained credit-risk and collateral contingent features under which downgrades in the Company’s credit rating would have required the Company to increase its collateral. As of December 31, 2013, certain interest rate derivatives also contained provisions under which the Company was required to post additional collateral if the LIBOR interest rate curve reached certain levels.</w:t>
      </w:r>
    </w:p>
    <w:p>
      <w:pPr>
        <w:spacing w:after="0" w:line="11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As of September 30, 2014 and December 31, 2013, the Company had recorded cash collateral of $0.0 million and $1.7 million, respectively, in Other current assets in the Condensed Consolidated Balance Sheets, as the balances are subject to frequent change.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Currency Exchange</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Company’s business is subject to foreign exchange rate risk. As a result, the Company enters into various forward rate contracts that qualify as derivatives under the authoritative accounting guidance to manage certain of these exposures. Forward contracts are used to hedge forecasted transactions and known exposure of payables denominated in a foreign currency. The Company generally has not elected to apply hedge accounting under the authoritative accounting guidance and recorded the unrealized fair value adjustments and realized gains and losses associated with these contracts in Other expense, net in the Condensed Consolidated Statements of Comprehensive Income during the period of change.</w:t>
      </w:r>
    </w:p>
    <w:p>
      <w:pPr>
        <w:spacing w:after="0" w:line="11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following table summarizes the outstanding foreign currency forward contracts as of September 30, 2014 and December 31, 2013 (amounts in millions):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240" w:type="dxa"/>
            <w:vAlign w:val="bottom"/>
            <w:gridSpan w:val="6"/>
          </w:tcPr>
          <w:p>
            <w:pPr>
              <w:ind w:left="280"/>
              <w:spacing w:after="0"/>
              <w:rPr>
                <w:sz w:val="20"/>
                <w:szCs w:val="20"/>
                <w:color w:val="auto"/>
              </w:rPr>
            </w:pPr>
            <w:r>
              <w:rPr>
                <w:rFonts w:ascii="Arial" w:cs="Arial" w:eastAsia="Arial" w:hAnsi="Arial"/>
                <w:sz w:val="14"/>
                <w:szCs w:val="14"/>
                <w:b w:val="1"/>
                <w:bCs w:val="1"/>
                <w:color w:val="auto"/>
              </w:rPr>
              <w:t>September 30, 2014</w:t>
            </w:r>
          </w:p>
        </w:tc>
        <w:tc>
          <w:tcPr>
            <w:tcW w:w="1720" w:type="dxa"/>
            <w:vAlign w:val="bottom"/>
            <w:gridSpan w:val="5"/>
          </w:tcPr>
          <w:p>
            <w:pPr>
              <w:ind w:left="260"/>
              <w:spacing w:after="0"/>
              <w:rPr>
                <w:sz w:val="20"/>
                <w:szCs w:val="20"/>
                <w:color w:val="auto"/>
              </w:rPr>
            </w:pPr>
            <w:r>
              <w:rPr>
                <w:rFonts w:ascii="Arial" w:cs="Arial" w:eastAsia="Arial" w:hAnsi="Arial"/>
                <w:sz w:val="14"/>
                <w:szCs w:val="14"/>
                <w:b w:val="1"/>
                <w:bCs w:val="1"/>
                <w:color w:val="auto"/>
              </w:rPr>
              <w:t>December 31, 2013</w:t>
            </w:r>
          </w:p>
        </w:tc>
      </w:tr>
      <w:tr>
        <w:trPr>
          <w:trHeight w:val="129"/>
        </w:trPr>
        <w:tc>
          <w:tcPr>
            <w:tcW w:w="6540" w:type="dxa"/>
            <w:vAlign w:val="bottom"/>
          </w:tcPr>
          <w:p>
            <w:pPr>
              <w:spacing w:after="0"/>
              <w:rPr>
                <w:sz w:val="11"/>
                <w:szCs w:val="11"/>
                <w:color w:val="auto"/>
              </w:rPr>
            </w:pPr>
          </w:p>
        </w:tc>
        <w:tc>
          <w:tcPr>
            <w:tcW w:w="10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Notional</w:t>
            </w:r>
          </w:p>
        </w:tc>
        <w:tc>
          <w:tcPr>
            <w:tcW w:w="2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color w:val="auto"/>
              </w:rPr>
              <w:t>Notional</w:t>
            </w:r>
          </w:p>
        </w:tc>
        <w:tc>
          <w:tcPr>
            <w:tcW w:w="2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54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Fair Value</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680" w:type="dxa"/>
            <w:vAlign w:val="bottom"/>
            <w:gridSpan w:val="3"/>
          </w:tcPr>
          <w:p>
            <w:pPr>
              <w:ind w:left="20"/>
              <w:spacing w:after="0"/>
              <w:rPr>
                <w:sz w:val="20"/>
                <w:szCs w:val="20"/>
                <w:color w:val="auto"/>
              </w:rPr>
            </w:pPr>
            <w:r>
              <w:rPr>
                <w:rFonts w:ascii="Arial" w:cs="Arial" w:eastAsia="Arial" w:hAnsi="Arial"/>
                <w:sz w:val="14"/>
                <w:szCs w:val="14"/>
                <w:color w:val="auto"/>
              </w:rPr>
              <w:t>Fair Value</w:t>
            </w:r>
          </w:p>
        </w:tc>
      </w:tr>
      <w:tr>
        <w:trPr>
          <w:trHeight w:val="210"/>
        </w:trPr>
        <w:tc>
          <w:tcPr>
            <w:tcW w:w="6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Japanese Yen (JPY)</w:t>
            </w: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7"/>
              </w:rPr>
              <w:t>¥600.0</w:t>
            </w:r>
          </w:p>
        </w:tc>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580" w:type="dxa"/>
            <w:vAlign w:val="bottom"/>
            <w:tcBorders>
              <w:top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w w:val="74"/>
              </w:rPr>
              <w:t>)</w:t>
            </w: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¥600.0</w:t>
            </w: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6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5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w w:val="74"/>
              </w:rPr>
              <w:t>)</w:t>
            </w: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(0.3)</w:t>
            </w:r>
          </w:p>
        </w:tc>
      </w:tr>
      <w:tr>
        <w:trPr>
          <w:trHeight w:val="20"/>
        </w:trPr>
        <w:tc>
          <w:tcPr>
            <w:tcW w:w="6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Company’s business is subject to commodity price risk, primarily with component suppliers. As a result, the Company enters into various commodity swap contracts that qualify as derivatives under the authoritative accounting guidance to manage certain of these exposures. Swap contracts are used to hedge forecasted transactions either of the commodity or of components containing the commodity. The Company has not qualified for hedge accounting treatment for these commodity contracts, and as a result, unrealized fair value adjustments and realized gains and losses associated with these contracts were charged directly to Other expense, net in the Condensed Consolidated Statements of Comprehensive Income during the period of change.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outstanding commodity swaps as of September 30, 2014 and December 31, 2013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September 30, 2014</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5"/>
              </w:rPr>
              <w:t>December 31, 2013</w:t>
            </w: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5"/>
              </w:rPr>
              <w:t>Notional</w:t>
            </w: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Notional</w:t>
            </w:r>
          </w:p>
        </w:tc>
        <w:tc>
          <w:tcPr>
            <w:tcW w:w="1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0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Amount</w:t>
            </w:r>
          </w:p>
        </w:tc>
        <w:tc>
          <w:tcPr>
            <w:tcW w:w="3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Quantity</w:t>
            </w:r>
          </w:p>
        </w:tc>
        <w:tc>
          <w:tcPr>
            <w:tcW w:w="2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Fair Value</w:t>
            </w:r>
          </w:p>
        </w:tc>
        <w:tc>
          <w:tcPr>
            <w:tcW w:w="3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Quantity</w:t>
            </w:r>
          </w:p>
        </w:tc>
        <w:tc>
          <w:tcPr>
            <w:tcW w:w="2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Fair Value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Aluminum</w:t>
            </w:r>
          </w:p>
        </w:tc>
        <w:tc>
          <w:tcPr>
            <w:tcW w:w="2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$ 14.8</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7,500 metric tons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$ 23.8</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11,875 metric tons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20"/>
                <w:szCs w:val="20"/>
                <w:color w:val="auto"/>
              </w:rPr>
            </w:pPr>
            <w:r>
              <w:rPr>
                <w:rFonts w:ascii="Arial" w:cs="Arial" w:eastAsia="Arial" w:hAnsi="Arial"/>
                <w:sz w:val="18"/>
                <w:szCs w:val="18"/>
                <w:color w:val="auto"/>
              </w:rPr>
              <w:t>Natural Gas</w:t>
            </w:r>
          </w:p>
        </w:tc>
        <w:tc>
          <w:tcPr>
            <w:tcW w:w="29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0.2</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4"/>
              </w:rPr>
              <w:t>40,000 MMBtu</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9"/>
                <w:szCs w:val="19"/>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90,000 MMBtu</w:t>
            </w: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w:t>
            </w:r>
            <w:r>
              <w:rPr>
                <w:rFonts w:ascii="Arial" w:cs="Arial" w:eastAsia="Arial" w:hAnsi="Arial"/>
                <w:sz w:val="18"/>
                <w:szCs w:val="18"/>
                <w:b w:val="1"/>
                <w:bCs w:val="1"/>
                <w:u w:val="single" w:color="auto"/>
                <w:color w:val="auto"/>
              </w:rPr>
              <w:t>1</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96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12</w:t>
            </w: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000" w:type="dxa"/>
            <w:vAlign w:val="bottom"/>
          </w:tcPr>
          <w:p>
            <w:pPr>
              <w:spacing w:after="0"/>
              <w:rPr>
                <w:sz w:val="24"/>
                <w:szCs w:val="24"/>
                <w:color w:val="auto"/>
              </w:rPr>
            </w:pPr>
          </w:p>
        </w:tc>
        <w:tc>
          <w:tcPr>
            <w:tcW w:w="2960" w:type="dxa"/>
            <w:vAlign w:val="bottom"/>
            <w:gridSpan w:val="3"/>
            <w:vMerge w:val="continue"/>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tabular disclosures further describe the Company’s derivative instruments and their impact on the financial condition of the Company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w w:val="91"/>
              </w:rPr>
              <w:t>September 30, 2014</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w w:val="90"/>
              </w:rPr>
              <w:t>December 31, 2013</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2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100" w:type="dxa"/>
            <w:vAlign w:val="bottom"/>
          </w:tcPr>
          <w:p>
            <w:pPr>
              <w:spacing w:after="0"/>
              <w:rPr>
                <w:sz w:val="12"/>
                <w:szCs w:val="12"/>
                <w:color w:val="auto"/>
              </w:rPr>
            </w:pPr>
          </w:p>
        </w:tc>
        <w:tc>
          <w:tcPr>
            <w:tcW w:w="6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Fair Value</w:t>
            </w:r>
          </w:p>
        </w:tc>
        <w:tc>
          <w:tcPr>
            <w:tcW w:w="440" w:type="dxa"/>
            <w:vAlign w:val="bottom"/>
          </w:tcPr>
          <w:p>
            <w:pPr>
              <w:spacing w:after="0"/>
              <w:rPr>
                <w:sz w:val="12"/>
                <w:szCs w:val="12"/>
                <w:color w:val="auto"/>
              </w:rPr>
            </w:pPr>
          </w:p>
        </w:tc>
        <w:tc>
          <w:tcPr>
            <w:tcW w:w="184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 not designated as hedging instruments</w:t>
            </w:r>
          </w:p>
        </w:tc>
        <w:tc>
          <w:tcPr>
            <w:tcW w:w="90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Foreign currency contracts</w:t>
            </w:r>
          </w:p>
        </w:tc>
        <w:tc>
          <w:tcPr>
            <w:tcW w:w="9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Other current</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920" w:type="dxa"/>
            <w:vAlign w:val="bottom"/>
            <w:gridSpan w:val="3"/>
          </w:tcPr>
          <w:p>
            <w:pPr>
              <w:ind w:left="900"/>
              <w:spacing w:after="0"/>
              <w:rPr>
                <w:sz w:val="20"/>
                <w:szCs w:val="20"/>
                <w:color w:val="auto"/>
              </w:rPr>
            </w:pPr>
            <w:r>
              <w:rPr>
                <w:rFonts w:ascii="Arial" w:cs="Arial" w:eastAsia="Arial" w:hAnsi="Arial"/>
                <w:sz w:val="18"/>
                <w:szCs w:val="18"/>
                <w:b w:val="1"/>
                <w:bCs w:val="1"/>
                <w:color w:val="auto"/>
              </w:rPr>
              <w:t>Other current liabilities</w:t>
            </w:r>
          </w:p>
        </w:tc>
        <w:tc>
          <w:tcPr>
            <w:tcW w:w="30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(0.2)</w:t>
            </w:r>
          </w:p>
        </w:tc>
        <w:tc>
          <w:tcPr>
            <w:tcW w:w="18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420"/>
              <w:spacing w:after="0" w:line="203" w:lineRule="exact"/>
              <w:rPr>
                <w:sz w:val="20"/>
                <w:szCs w:val="20"/>
                <w:color w:val="auto"/>
              </w:rPr>
            </w:pPr>
            <w:r>
              <w:rPr>
                <w:rFonts w:ascii="Arial" w:cs="Arial" w:eastAsia="Arial" w:hAnsi="Arial"/>
                <w:sz w:val="18"/>
                <w:szCs w:val="18"/>
                <w:color w:val="auto"/>
              </w:rPr>
              <w:t>Commodity contracts</w:t>
            </w:r>
          </w:p>
        </w:tc>
        <w:tc>
          <w:tcPr>
            <w:tcW w:w="2920" w:type="dxa"/>
            <w:vAlign w:val="bottom"/>
            <w:gridSpan w:val="3"/>
            <w:shd w:val="clear" w:color="auto" w:fill="CCEEFF"/>
          </w:tcPr>
          <w:p>
            <w:pPr>
              <w:ind w:left="900"/>
              <w:spacing w:after="0" w:line="203" w:lineRule="exact"/>
              <w:rPr>
                <w:sz w:val="20"/>
                <w:szCs w:val="20"/>
                <w:color w:val="auto"/>
              </w:rPr>
            </w:pPr>
            <w:r>
              <w:rPr>
                <w:rFonts w:ascii="Arial" w:cs="Arial" w:eastAsia="Arial" w:hAnsi="Arial"/>
                <w:sz w:val="18"/>
                <w:szCs w:val="18"/>
                <w:b w:val="1"/>
                <w:bCs w:val="1"/>
                <w:color w:val="auto"/>
              </w:rPr>
              <w:t>Other current and</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Other current and</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80" w:type="dxa"/>
            <w:vAlign w:val="bottom"/>
            <w:shd w:val="clear" w:color="auto" w:fill="CCEEFF"/>
          </w:tcPr>
          <w:p>
            <w:pPr>
              <w:spacing w:after="0"/>
              <w:rPr>
                <w:sz w:val="21"/>
                <w:szCs w:val="21"/>
                <w:color w:val="auto"/>
              </w:rPr>
            </w:pPr>
          </w:p>
        </w:tc>
        <w:tc>
          <w:tcPr>
            <w:tcW w:w="2920" w:type="dxa"/>
            <w:vAlign w:val="bottom"/>
            <w:gridSpan w:val="3"/>
            <w:shd w:val="clear" w:color="auto" w:fill="CCEEFF"/>
          </w:tcPr>
          <w:p>
            <w:pPr>
              <w:ind w:left="900"/>
              <w:spacing w:after="0"/>
              <w:rPr>
                <w:sz w:val="20"/>
                <w:szCs w:val="20"/>
                <w:color w:val="auto"/>
              </w:rPr>
            </w:pPr>
            <w:r>
              <w:rPr>
                <w:rFonts w:ascii="Arial" w:cs="Arial" w:eastAsia="Arial" w:hAnsi="Arial"/>
                <w:sz w:val="18"/>
                <w:szCs w:val="18"/>
                <w:b w:val="1"/>
                <w:bCs w:val="1"/>
                <w:color w:val="auto"/>
              </w:rPr>
              <w:t>non-current assets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0.4</w:t>
            </w: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2920" w:type="dxa"/>
            <w:vAlign w:val="bottom"/>
            <w:gridSpan w:val="3"/>
          </w:tcPr>
          <w:p>
            <w:pPr>
              <w:ind w:left="900"/>
              <w:spacing w:after="0" w:line="201" w:lineRule="exact"/>
              <w:rPr>
                <w:sz w:val="20"/>
                <w:szCs w:val="20"/>
                <w:color w:val="auto"/>
              </w:rPr>
            </w:pPr>
            <w:r>
              <w:rPr>
                <w:rFonts w:ascii="Arial" w:cs="Arial" w:eastAsia="Arial" w:hAnsi="Arial"/>
                <w:sz w:val="18"/>
                <w:szCs w:val="18"/>
                <w:b w:val="1"/>
                <w:bCs w:val="1"/>
                <w:color w:val="auto"/>
              </w:rPr>
              <w:t>Other current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gridSpan w:val="2"/>
          </w:tcPr>
          <w:p>
            <w:pPr>
              <w:spacing w:after="0" w:line="201" w:lineRule="exact"/>
              <w:rPr>
                <w:sz w:val="20"/>
                <w:szCs w:val="20"/>
                <w:color w:val="auto"/>
              </w:rPr>
            </w:pPr>
            <w:r>
              <w:rPr>
                <w:rFonts w:ascii="Arial" w:cs="Arial" w:eastAsia="Arial" w:hAnsi="Arial"/>
                <w:sz w:val="18"/>
                <w:szCs w:val="18"/>
                <w:color w:val="auto"/>
              </w:rPr>
              <w:t>Other current and</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2920" w:type="dxa"/>
            <w:vAlign w:val="bottom"/>
            <w:gridSpan w:val="3"/>
          </w:tcPr>
          <w:p>
            <w:pPr>
              <w:ind w:left="90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(0.3)</w:t>
            </w:r>
          </w:p>
        </w:tc>
        <w:tc>
          <w:tcPr>
            <w:tcW w:w="184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21"/>
                <w:szCs w:val="2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420"/>
              <w:spacing w:after="0" w:line="203" w:lineRule="exact"/>
              <w:rPr>
                <w:sz w:val="20"/>
                <w:szCs w:val="20"/>
                <w:color w:val="auto"/>
              </w:rPr>
            </w:pPr>
            <w:r>
              <w:rPr>
                <w:rFonts w:ascii="Arial" w:cs="Arial" w:eastAsia="Arial" w:hAnsi="Arial"/>
                <w:sz w:val="18"/>
                <w:szCs w:val="18"/>
                <w:color w:val="auto"/>
              </w:rPr>
              <w:t>Interest rate contracts</w:t>
            </w:r>
          </w:p>
        </w:tc>
        <w:tc>
          <w:tcPr>
            <w:tcW w:w="2920" w:type="dxa"/>
            <w:vAlign w:val="bottom"/>
            <w:gridSpan w:val="3"/>
            <w:shd w:val="clear" w:color="auto" w:fill="CCEEFF"/>
          </w:tcPr>
          <w:p>
            <w:pPr>
              <w:ind w:left="900"/>
              <w:spacing w:after="0" w:line="203" w:lineRule="exact"/>
              <w:rPr>
                <w:sz w:val="20"/>
                <w:szCs w:val="20"/>
                <w:color w:val="auto"/>
              </w:rPr>
            </w:pPr>
            <w:r>
              <w:rPr>
                <w:rFonts w:ascii="Arial" w:cs="Arial" w:eastAsia="Arial" w:hAnsi="Arial"/>
                <w:sz w:val="18"/>
                <w:szCs w:val="18"/>
                <w:b w:val="1"/>
                <w:bCs w:val="1"/>
                <w:color w:val="auto"/>
              </w:rPr>
              <w:t>Other non-current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Other non-current</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80" w:type="dxa"/>
            <w:vAlign w:val="bottom"/>
            <w:shd w:val="clear" w:color="auto" w:fill="CCEEFF"/>
          </w:tcPr>
          <w:p>
            <w:pPr>
              <w:spacing w:after="0"/>
              <w:rPr>
                <w:sz w:val="21"/>
                <w:szCs w:val="21"/>
                <w:color w:val="auto"/>
              </w:rPr>
            </w:pPr>
          </w:p>
        </w:tc>
        <w:tc>
          <w:tcPr>
            <w:tcW w:w="2920" w:type="dxa"/>
            <w:vAlign w:val="bottom"/>
            <w:gridSpan w:val="3"/>
            <w:shd w:val="clear" w:color="auto" w:fill="CCEEFF"/>
          </w:tcPr>
          <w:p>
            <w:pPr>
              <w:ind w:left="9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0.4</w:t>
            </w: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2920" w:type="dxa"/>
            <w:vAlign w:val="bottom"/>
            <w:gridSpan w:val="3"/>
          </w:tcPr>
          <w:p>
            <w:pPr>
              <w:ind w:left="900"/>
              <w:spacing w:after="0" w:line="201" w:lineRule="exact"/>
              <w:rPr>
                <w:sz w:val="20"/>
                <w:szCs w:val="20"/>
                <w:color w:val="auto"/>
              </w:rPr>
            </w:pPr>
            <w:r>
              <w:rPr>
                <w:rFonts w:ascii="Arial" w:cs="Arial" w:eastAsia="Arial" w:hAnsi="Arial"/>
                <w:sz w:val="18"/>
                <w:szCs w:val="18"/>
                <w:b w:val="1"/>
                <w:bCs w:val="1"/>
                <w:color w:val="auto"/>
              </w:rPr>
              <w:t>Other non-current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gridSpan w:val="2"/>
          </w:tcPr>
          <w:p>
            <w:pPr>
              <w:spacing w:after="0" w:line="201" w:lineRule="exact"/>
              <w:rPr>
                <w:sz w:val="20"/>
                <w:szCs w:val="20"/>
                <w:color w:val="auto"/>
              </w:rPr>
            </w:pPr>
            <w:r>
              <w:rPr>
                <w:rFonts w:ascii="Arial" w:cs="Arial" w:eastAsia="Arial" w:hAnsi="Arial"/>
                <w:sz w:val="18"/>
                <w:szCs w:val="18"/>
                <w:color w:val="auto"/>
              </w:rPr>
              <w:t>Other current and</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2920" w:type="dxa"/>
            <w:vAlign w:val="bottom"/>
            <w:gridSpan w:val="3"/>
          </w:tcPr>
          <w:p>
            <w:pPr>
              <w:ind w:left="90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(7.3)</w:t>
            </w:r>
          </w:p>
        </w:tc>
        <w:tc>
          <w:tcPr>
            <w:tcW w:w="184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21"/>
                <w:szCs w:val="2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 not designated as hedging instruments</w:t>
            </w:r>
          </w:p>
        </w:tc>
        <w:tc>
          <w:tcPr>
            <w:tcW w:w="9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(7.0)</w:t>
            </w: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fair values of the derivatives are recorded between Other current and non-current assets and Other current and non-current liabilities as appropriate in the Condensed Consolidated Balance Sheets. As of September 30, 2014, the amount recorded to Other current liabilities for foreign currency contracts was ($0.2) million. The amount recorded to Other current and non-current assets for commodity contracts was $0.4 million and the amount recorded to Other current liabilities for commodity contracts was ($0.3) million. The amount recorded to Other non-current assets for interest rate contracts was $0.4 million and the amount recorded to Other non-current liabilities for interest rate contracts was ($7.3) million.</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December 31, 2013, the amount recorded to Other current liabilities for foreign currency contracts was ($0.3) million. The amounts recorded to Other current and non-current assets for commodity contracts were $0.1 million and $0.0 million, respectively. The amounts recorded to Other current and non-current liabilities for commodity contracts were ($1.5) million and ($0.2) million, respectively. The amount recorded to Other non-current assets for interest rate contracts was $1.5 million. The amounts recorded to Other current and non-current liabilities for interest rate contracts were ($18.5) million and ($1.0) million, respectively.</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impact on the Company’s Condensed Consolidated Statements of Comprehensive Income related to foreign currency and commodity contracts can be found in NOTE J, and the following tabular disclosure describes the location and impact on the Company’s results of operations related to unrealized gain on interest rate derivatives (dollars in millions):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3"/>
          </w:tcPr>
          <w:p>
            <w:pPr>
              <w:ind w:left="100"/>
              <w:spacing w:after="0"/>
              <w:rPr>
                <w:sz w:val="20"/>
                <w:szCs w:val="20"/>
                <w:color w:val="auto"/>
              </w:rPr>
            </w:pPr>
            <w:r>
              <w:rPr>
                <w:rFonts w:ascii="Arial" w:cs="Arial" w:eastAsia="Arial" w:hAnsi="Arial"/>
                <w:sz w:val="14"/>
                <w:szCs w:val="14"/>
                <w:b w:val="1"/>
                <w:bCs w:val="1"/>
                <w:color w:val="auto"/>
                <w:w w:val="85"/>
              </w:rPr>
              <w:t>Three months ended September 30,</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September 30,</w:t>
            </w:r>
          </w:p>
        </w:tc>
      </w:tr>
      <w:tr>
        <w:trPr>
          <w:trHeight w:val="161"/>
        </w:trPr>
        <w:tc>
          <w:tcPr>
            <w:tcW w:w="4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4"/>
                <w:szCs w:val="14"/>
                <w:b w:val="1"/>
                <w:bCs w:val="1"/>
                <w:color w:val="auto"/>
              </w:rPr>
              <w:t>2014</w:t>
            </w: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4"/>
                <w:szCs w:val="14"/>
                <w:b w:val="1"/>
                <w:bCs w:val="1"/>
                <w:color w:val="auto"/>
              </w:rPr>
              <w:t>2014</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20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210"/>
        </w:trPr>
        <w:tc>
          <w:tcPr>
            <w:tcW w:w="4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9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5.1</w:t>
            </w:r>
          </w:p>
        </w:tc>
        <w:tc>
          <w:tcPr>
            <w:tcW w:w="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top w:val="single" w:sz="8" w:color="CCEEFF"/>
            </w:tcBorders>
            <w:shd w:val="clear" w:color="auto" w:fill="CCEEFF"/>
          </w:tcPr>
          <w:p>
            <w:pPr>
              <w:spacing w:after="0"/>
              <w:rPr>
                <w:sz w:val="18"/>
                <w:szCs w:val="18"/>
                <w:color w:val="auto"/>
              </w:rPr>
            </w:pPr>
          </w:p>
        </w:tc>
      </w:tr>
      <w:tr>
        <w:trPr>
          <w:trHeight w:val="363"/>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ind w:right="2"/>
              <w:spacing w:after="0"/>
              <w:rPr>
                <w:sz w:val="20"/>
                <w:szCs w:val="20"/>
                <w:color w:val="auto"/>
              </w:rPr>
            </w:pPr>
            <w:r>
              <w:rPr>
                <w:rFonts w:ascii="Arial" w:cs="Arial" w:eastAsia="Arial" w:hAnsi="Arial"/>
                <w:sz w:val="18"/>
                <w:szCs w:val="18"/>
                <w:color w:val="auto"/>
              </w:rPr>
              <w:t>13</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PRODUCT WARRANTY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Product warranty liability activities consist of the following (dollars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88"/>
              </w:rPr>
              <w:t>Three months ended September 30,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7"/>
              </w:rPr>
              <w:t>Nine months ended September 30,</w:t>
            </w:r>
          </w:p>
        </w:tc>
      </w:tr>
      <w:tr>
        <w:trPr>
          <w:trHeight w:val="161"/>
        </w:trPr>
        <w:tc>
          <w:tcPr>
            <w:tcW w:w="49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86.7</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90.5</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Payments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(7.9)</w:t>
            </w:r>
          </w:p>
        </w:tc>
        <w:tc>
          <w:tcPr>
            <w:tcW w:w="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(27.0)</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(30.4)</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Increase in liability (warranty issued during period)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7.2</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Net adjustments to liability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(0.7)</w:t>
            </w:r>
          </w:p>
        </w:tc>
        <w:tc>
          <w:tcPr>
            <w:tcW w:w="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Accretion (for Predecessor liabilities)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85.4</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91.7</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85.4</w:t>
            </w:r>
          </w:p>
        </w:tc>
        <w:tc>
          <w:tcPr>
            <w:tcW w:w="68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91.7</w:t>
            </w:r>
          </w:p>
        </w:tc>
      </w:tr>
      <w:tr>
        <w:trPr>
          <w:trHeight w:val="20"/>
        </w:trPr>
        <w:tc>
          <w:tcPr>
            <w:tcW w:w="4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September 30, 2014, the current and non-current liabilities were $23.2 million and $62.2 million, respectively. As of September 30, 2013, the current and non-current liabilities were $38.6 million and $53.1 million, respectively.</w:t>
      </w:r>
    </w:p>
    <w:p>
      <w:pPr>
        <w:spacing w:after="0" w:line="132"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During the third quarter of 2013, the Company completed an analysis of its Dual Power Inverter Module (“DPIM”) extended coverage program and determined, that based on additional claims data and field information, the product warranty liability should be reduced by $8.2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DEFERRED REVENUE</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September 30, 2014, the current and non-current liabilities related to deferred revenue for Extended Transmission Coverage (“ETC”) were $20.1 million and $47.9 million, respectively. As of September 30, 2013, the current and non-current liabilities related to deferred revenue for ETC were $21.3 million and $41.7 million,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revenue for ETC activity (dollars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87"/>
              </w:rPr>
              <w:t>Three months ended September 30,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61"/>
        </w:trPr>
        <w:tc>
          <w:tcPr>
            <w:tcW w:w="49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66.8</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Increases</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6.3</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20.1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Revenue earned</w:t>
            </w: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(5.1)</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(15.7)</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vMerge w:val="continue"/>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68.0</w:t>
            </w:r>
          </w:p>
        </w:tc>
        <w:tc>
          <w:tcPr>
            <w:tcW w:w="2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63.0</w:t>
            </w:r>
          </w:p>
        </w:tc>
        <w:tc>
          <w:tcPr>
            <w:tcW w:w="34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68.0</w:t>
            </w:r>
          </w:p>
        </w:tc>
        <w:tc>
          <w:tcPr>
            <w:tcW w:w="380" w:type="dxa"/>
            <w:vAlign w:val="bottom"/>
            <w:vMerge w:val="continue"/>
          </w:tcPr>
          <w:p>
            <w:pPr>
              <w:spacing w:after="0"/>
              <w:rPr>
                <w:sz w:val="19"/>
                <w:szCs w:val="19"/>
                <w:color w:val="auto"/>
              </w:rPr>
            </w:pPr>
          </w:p>
        </w:tc>
        <w:tc>
          <w:tcPr>
            <w:tcW w:w="52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During 2014 and 2013, the Company recorded deferred revenue for payments received from the U.S. government for certain tracked transmissions that were not shipped at the request of the U.S. government. Deferred revenue recorded in current liabilities related to unearned net sales for defense contracts as of September 30, 2014 and 2013 was approximately $1.1 million and $0.3 million, respectively.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OTHER EXPENSE,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 net consists of the following (dollars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6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w w:val="94"/>
              </w:rPr>
              <w:t>Three months ended September 30,</w:t>
            </w:r>
          </w:p>
        </w:tc>
        <w:tc>
          <w:tcPr>
            <w:tcW w:w="160" w:type="dxa"/>
            <w:vAlign w:val="bottom"/>
          </w:tcPr>
          <w:p>
            <w:pPr>
              <w:spacing w:after="0"/>
              <w:rPr>
                <w:sz w:val="14"/>
                <w:szCs w:val="14"/>
                <w:color w:val="auto"/>
              </w:rPr>
            </w:pPr>
          </w:p>
        </w:tc>
        <w:tc>
          <w:tcPr>
            <w:tcW w:w="23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intercompany foreign exchange</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w w:val="86"/>
              </w:rPr>
              <w:t>(1.6)</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(3.4)</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Grant program income</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0.7</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0.9</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Gain on negotiation of commercial agreement</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2.0</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Impairment loss on investments in technology-related</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vMerge w:val="restart"/>
          </w:tcPr>
          <w:p>
            <w:pPr>
              <w:jc w:val="right"/>
              <w:ind w:right="680"/>
              <w:spacing w:after="0"/>
              <w:rPr>
                <w:sz w:val="20"/>
                <w:szCs w:val="20"/>
                <w:color w:val="auto"/>
              </w:rPr>
            </w:pPr>
            <w:r>
              <w:rPr>
                <w:rFonts w:ascii="Arial" w:cs="Arial" w:eastAsia="Arial" w:hAnsi="Arial"/>
                <w:sz w:val="18"/>
                <w:szCs w:val="18"/>
                <w:b w:val="1"/>
                <w:bCs w:val="1"/>
                <w:color w:val="auto"/>
                <w:w w:val="86"/>
              </w:rPr>
              <w:t>(2.0)</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vMerge w:val="restart"/>
          </w:tcPr>
          <w:p>
            <w:pPr>
              <w:jc w:val="right"/>
              <w:ind w:right="660"/>
              <w:spacing w:after="0"/>
              <w:rPr>
                <w:sz w:val="20"/>
                <w:szCs w:val="20"/>
                <w:color w:val="auto"/>
              </w:rPr>
            </w:pPr>
            <w:r>
              <w:rPr>
                <w:rFonts w:ascii="Arial" w:cs="Arial" w:eastAsia="Arial" w:hAnsi="Arial"/>
                <w:sz w:val="18"/>
                <w:szCs w:val="18"/>
                <w:b w:val="1"/>
                <w:bCs w:val="1"/>
                <w:color w:val="auto"/>
              </w:rPr>
              <w:t>(2.0)</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initiatives</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w w:val="95"/>
              </w:rPr>
              <w:t>Unrealized gain (loss) on derivative contracts (see NOTE G)</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0.2</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Public offering fees and expenses</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w w:val="86"/>
              </w:rPr>
              <w:t>(0.3)</w:t>
            </w:r>
          </w:p>
        </w:tc>
        <w:tc>
          <w:tcPr>
            <w:tcW w:w="2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(1.4)</w:t>
            </w: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derivative contracts (see NOTE G)</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w w:val="86"/>
              </w:rPr>
              <w:t>(0.0)</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Gain (loss) on foreign exchange</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(0.5)</w:t>
            </w: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Loss on repayments and redemptions of long-term debt</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w w:val="86"/>
              </w:rPr>
              <w:t>(0.3)</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(0.3)</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w w:val="86"/>
              </w:rPr>
              <w:t>(0.4)</w:t>
            </w:r>
          </w:p>
        </w:tc>
        <w:tc>
          <w:tcPr>
            <w:tcW w:w="2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(0.2)</w:t>
            </w: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w w:val="86"/>
              </w:rPr>
              <w:t>(1.7)</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(3.0)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For the three months ended September 30, 2014, the Company recorded a loss of $1.6 million resulting from intercompany financing transactions related to our India facility, all of which was from the revaluation of the remaining intercompany liability. For the nine months ended September 30, 2014, the Company recorded a loss of $3.4 million resulting from intercompany financing transactions related to our India facility, of which $0.2 million was foreign exchange loss on an intercompany payment and $3.2 million was from the revaluation of the remaining intercompany liability.</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nine months ended September 30, 2014, the Company completed four secondary public offerings in September, June, April and February of 5,392,499, 40,250,000, 25,000,000, and 28,750,000 shares of its common stock held by investment funds affiliated with The Carlyle Group and Onex Corporation (collectively, the “Sponsors”) at public offering prices, less underwriting discounts and commissions, of $30.46, $29.95, $29.78 and $29.17 per share, respectively. In connection with certain of the offerings, the Company repurchased from the underwriters 5,000,000 shares in June 2014 and 3,428,179 shares in February 2014 at the prices paid by the underwriters and subsequently retired those shares. For the three and nine months ended September 30, 2014, the Company incurred $0.3 million and $1.4 million, respectively, of expenses related to these public offerings.</w:t>
      </w:r>
    </w:p>
    <w:p>
      <w:pPr>
        <w:spacing w:after="0" w:line="12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During the nine months ended September 30, 2013, the Company completed one secondary public offering in September of 23,805,000 shares of its common stock held by investment funds affiliated with the Sponsors at a public offering price, less underwriting discounts and commissions, of $21.175 per share. In connection with the offering, the Company repurchased from the underwriters 4,700,000 shares at the price paid by the underwriters and subsequently retired those shares. For the three and nine months ended September 30, 2013, the Company incurred $0.3 million and $0.9 million, respectively, of expenses related to this public offering and a proposed secondary offering in April 2013.</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2009, the Company was notified by the U.S. Department of Energy that it was selected to receive matching funds from a grant program funded by the American Recovery and Reinvestment Act for the development of Hybrid manufacturing capacity in the U.S. (the “Grant Program”). All applicable costs associated with the Grant Program have been charged to Engineering — research and development while the Government’s matching reimbursement is recorded to Other expense, net in the Condensed Consolidated Statements of Comprehensive Income. Since inception of the Grant Program, the Company has recorded $48.1 million of Grant Program income to Other expense, net in the Condensed Consolidated Statements of Comprehensive Income.</w:t>
      </w:r>
    </w:p>
    <w:p>
      <w:pPr>
        <w:spacing w:after="0" w:line="1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For the three months ended September 30, 2014 and 2013, the Company recorded $0.0 million and $0.2 million, respectively, as a reduction of the basis of capital assets purchased under the Grant Program. For the nine months ended September 30, 2014 and 2013, the Company recorded $0.0 million and $2.9 million, respectively, as a reduction of the basis of capital assets purchased under the Grant Program. Under the Grant Program, the Company has acquired approximately $7.1 million of assets that have been placed in service, resulting in related depreciation of $0.0 million and $0.1 million for the three months ended September 30, 2014 and 2013, respectively, and $0.2 million and $0.2 million for the nine months ended September 30, 2014 and 2013, respectively.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OTHER CURRENT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current liabilities consist of the following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As of</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6"/>
          </w:tcPr>
          <w:p>
            <w:pPr>
              <w:jc w:val="center"/>
              <w:ind w:left="456"/>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680" w:type="dxa"/>
            <w:vAlign w:val="bottom"/>
          </w:tcPr>
          <w:p>
            <w:pPr>
              <w:spacing w:after="0"/>
              <w:rPr>
                <w:sz w:val="12"/>
                <w:szCs w:val="12"/>
                <w:color w:val="auto"/>
              </w:rPr>
            </w:pPr>
          </w:p>
        </w:tc>
        <w:tc>
          <w:tcPr>
            <w:tcW w:w="14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10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Payroll and related costs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48.2</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Sales allowances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25.3</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13.9</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Vendor buyback obligation</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12.6</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Defense price reduction reserve</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Taxes payable</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12.3</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payable</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Derivative liabilities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0.4</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 accruals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15.2</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100" w:type="dxa"/>
            <w:vAlign w:val="bottom"/>
          </w:tcPr>
          <w:p>
            <w:pPr>
              <w:ind w:left="440"/>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141.6</w:t>
            </w:r>
          </w:p>
        </w:tc>
        <w:tc>
          <w:tcPr>
            <w:tcW w:w="80" w:type="dxa"/>
            <w:vAlign w:val="bottom"/>
          </w:tcPr>
          <w:p>
            <w:pPr>
              <w:spacing w:after="0"/>
              <w:rPr>
                <w:sz w:val="19"/>
                <w:szCs w:val="19"/>
                <w:color w:val="auto"/>
              </w:rPr>
            </w:pPr>
          </w:p>
        </w:tc>
        <w:tc>
          <w:tcPr>
            <w:tcW w:w="84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L. EMPLOYEE BENEFIT PLANS</w:t>
            </w: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4480" w:type="dxa"/>
            <w:vAlign w:val="bottom"/>
            <w:gridSpan w:val="3"/>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20" w:type="dxa"/>
            <w:vAlign w:val="bottom"/>
            <w:gridSpan w:val="9"/>
          </w:tcPr>
          <w:p>
            <w:pPr>
              <w:ind w:left="460"/>
              <w:spacing w:after="0"/>
              <w:rPr>
                <w:sz w:val="20"/>
                <w:szCs w:val="20"/>
                <w:color w:val="auto"/>
              </w:rPr>
            </w:pPr>
            <w:r>
              <w:rPr>
                <w:rFonts w:ascii="Arial" w:cs="Arial" w:eastAsia="Arial" w:hAnsi="Arial"/>
                <w:sz w:val="18"/>
                <w:szCs w:val="18"/>
                <w:color w:val="auto"/>
                <w:w w:val="97"/>
              </w:rPr>
              <w:t>Components of net periodic benefit cost consist of the following (dollars in millions):</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3"/>
              </w:rPr>
              <w:t>Pension Plans</w:t>
            </w: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6"/>
          </w:tcPr>
          <w:p>
            <w:pPr>
              <w:jc w:val="center"/>
              <w:ind w:left="19"/>
              <w:spacing w:after="0"/>
              <w:rPr>
                <w:sz w:val="20"/>
                <w:szCs w:val="20"/>
                <w:color w:val="auto"/>
              </w:rPr>
            </w:pPr>
            <w:r>
              <w:rPr>
                <w:rFonts w:ascii="Arial" w:cs="Arial" w:eastAsia="Arial" w:hAnsi="Arial"/>
                <w:sz w:val="14"/>
                <w:szCs w:val="14"/>
                <w:b w:val="1"/>
                <w:bCs w:val="1"/>
                <w:color w:val="auto"/>
                <w:w w:val="86"/>
              </w:rPr>
              <w:t>Post-retirement Benefits</w:t>
            </w: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80" w:type="dxa"/>
            <w:vAlign w:val="bottom"/>
            <w:gridSpan w:val="6"/>
          </w:tcPr>
          <w:p>
            <w:pPr>
              <w:jc w:val="center"/>
              <w:ind w:right="103"/>
              <w:spacing w:after="0" w:line="129" w:lineRule="exact"/>
              <w:rPr>
                <w:sz w:val="20"/>
                <w:szCs w:val="20"/>
                <w:color w:val="auto"/>
              </w:rPr>
            </w:pPr>
            <w:r>
              <w:rPr>
                <w:rFonts w:ascii="Arial" w:cs="Arial" w:eastAsia="Arial" w:hAnsi="Arial"/>
                <w:sz w:val="14"/>
                <w:szCs w:val="14"/>
                <w:b w:val="1"/>
                <w:bCs w:val="1"/>
                <w:color w:val="auto"/>
                <w:w w:val="85"/>
              </w:rPr>
              <w:t>Three months ended September 30,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80" w:type="dxa"/>
            <w:vAlign w:val="bottom"/>
            <w:gridSpan w:val="7"/>
          </w:tcPr>
          <w:p>
            <w:pPr>
              <w:jc w:val="center"/>
              <w:ind w:right="92"/>
              <w:spacing w:after="0" w:line="129" w:lineRule="exact"/>
              <w:rPr>
                <w:sz w:val="20"/>
                <w:szCs w:val="20"/>
                <w:color w:val="auto"/>
              </w:rPr>
            </w:pPr>
            <w:r>
              <w:rPr>
                <w:rFonts w:ascii="Arial" w:cs="Arial" w:eastAsia="Arial" w:hAnsi="Arial"/>
                <w:sz w:val="14"/>
                <w:szCs w:val="14"/>
                <w:b w:val="1"/>
                <w:bCs w:val="1"/>
                <w:color w:val="auto"/>
                <w:w w:val="85"/>
              </w:rPr>
              <w:t>Three months ended 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219"/>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periodic benefit cost:</w:t>
            </w:r>
          </w:p>
        </w:tc>
        <w:tc>
          <w:tcPr>
            <w:tcW w:w="6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Service cost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3.3</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4.1</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cost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Expected return on assets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(1.9)</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72"/>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0.0</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(0.9)</w:t>
            </w: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(0.9)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Loss (gain)</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32"/>
              <w:spacing w:after="0"/>
              <w:rPr>
                <w:sz w:val="20"/>
                <w:szCs w:val="20"/>
                <w:color w:val="auto"/>
              </w:rPr>
            </w:pPr>
            <w:r>
              <w:rPr>
                <w:rFonts w:ascii="Arial" w:cs="Arial" w:eastAsia="Arial" w:hAnsi="Arial"/>
                <w:sz w:val="18"/>
                <w:szCs w:val="18"/>
                <w:b w:val="1"/>
                <w:bCs w:val="1"/>
                <w:color w:val="auto"/>
              </w:rPr>
              <w:t>(0.2)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2.7</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3"/>
              </w:rPr>
              <w:t>Pension Plans</w:t>
            </w: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6"/>
          </w:tcPr>
          <w:p>
            <w:pPr>
              <w:jc w:val="center"/>
              <w:ind w:left="19"/>
              <w:spacing w:after="0"/>
              <w:rPr>
                <w:sz w:val="20"/>
                <w:szCs w:val="20"/>
                <w:color w:val="auto"/>
              </w:rPr>
            </w:pPr>
            <w:r>
              <w:rPr>
                <w:rFonts w:ascii="Arial" w:cs="Arial" w:eastAsia="Arial" w:hAnsi="Arial"/>
                <w:sz w:val="14"/>
                <w:szCs w:val="14"/>
                <w:b w:val="1"/>
                <w:bCs w:val="1"/>
                <w:color w:val="auto"/>
                <w:w w:val="86"/>
              </w:rPr>
              <w:t>Post-retirement Benefits</w:t>
            </w: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80" w:type="dxa"/>
            <w:vAlign w:val="bottom"/>
            <w:gridSpan w:val="6"/>
          </w:tcPr>
          <w:p>
            <w:pPr>
              <w:jc w:val="center"/>
              <w:ind w:right="103"/>
              <w:spacing w:after="0" w:line="129" w:lineRule="exact"/>
              <w:rPr>
                <w:sz w:val="20"/>
                <w:szCs w:val="20"/>
                <w:color w:val="auto"/>
              </w:rPr>
            </w:pPr>
            <w:r>
              <w:rPr>
                <w:rFonts w:ascii="Arial" w:cs="Arial" w:eastAsia="Arial" w:hAnsi="Arial"/>
                <w:sz w:val="14"/>
                <w:szCs w:val="14"/>
                <w:b w:val="1"/>
                <w:bCs w:val="1"/>
                <w:color w:val="auto"/>
                <w:w w:val="85"/>
              </w:rPr>
              <w:t>Nine months ended September 30,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00" w:type="dxa"/>
            <w:vAlign w:val="bottom"/>
            <w:gridSpan w:val="6"/>
          </w:tcPr>
          <w:p>
            <w:pPr>
              <w:jc w:val="center"/>
              <w:ind w:left="19"/>
              <w:spacing w:after="0" w:line="129" w:lineRule="exact"/>
              <w:rPr>
                <w:sz w:val="20"/>
                <w:szCs w:val="20"/>
                <w:color w:val="auto"/>
              </w:rPr>
            </w:pPr>
            <w:r>
              <w:rPr>
                <w:rFonts w:ascii="Arial" w:cs="Arial" w:eastAsia="Arial" w:hAnsi="Arial"/>
                <w:sz w:val="14"/>
                <w:szCs w:val="14"/>
                <w:b w:val="1"/>
                <w:bCs w:val="1"/>
                <w:color w:val="auto"/>
                <w:w w:val="85"/>
              </w:rPr>
              <w:t>Nine months ended September 30,</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219"/>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periodic benefit cost:</w:t>
            </w:r>
          </w:p>
        </w:tc>
        <w:tc>
          <w:tcPr>
            <w:tcW w:w="6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Service cost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9.9</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12.3</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cost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3.8</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Expected return on assets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(5.7)</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(5.0)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72"/>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0.0</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(2.7)</w:t>
            </w: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(2.7)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Loss (gain)</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0.5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32"/>
              <w:spacing w:after="0"/>
              <w:rPr>
                <w:sz w:val="20"/>
                <w:szCs w:val="20"/>
                <w:color w:val="auto"/>
              </w:rPr>
            </w:pPr>
            <w:r>
              <w:rPr>
                <w:rFonts w:ascii="Arial" w:cs="Arial" w:eastAsia="Arial" w:hAnsi="Arial"/>
                <w:sz w:val="18"/>
                <w:szCs w:val="18"/>
                <w:b w:val="1"/>
                <w:bCs w:val="1"/>
                <w:color w:val="auto"/>
              </w:rPr>
              <w:t>(0.6)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INCOME TAXES</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For the three and nine months ended September 30, 2014, the Company recorded total tax expense of $47.5 million and $112.2 million, respectively. The effective tax rate for the three and nine months ended September 30, 2014 was 40.8% and 38.6%, respectively. For the three and nine months ended September 30, 2013, the Company recorded a total tax expense of $27.9 million and $76.1 million, respectively. The effective tax rate for the three and nine months ended September 30, 2013 was 38.5% and 38.3%, respectively.</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losses, forecasts of future profitability, the duration of statutory carryforward periods, experience with tax attributes expiring unused, and tax planning alternatives. The ultimate realization of deferred tax assets is dependent upon the generation of future taxable income during the periods in which those temporary differences become deductible. The Company considers the scheduled reversal of deferred tax liabilities, projected future taxable income, and tax planning strategies in making this assessment.</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 has determined, based on the evaluation of both objective and subjective evidence available, that the domestic valuation allowance is not necessary and that it is more likely than not that the deferred tax assets are fully realizable. The Company has reached a sustained period of profitability and objectively measured positive evidence outweighed the negative evidence. The Company continues to provide for a valuation allowance on certain of its foreign deferred tax assets.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accordance with the FASB’s authoritative guidance on accounting for uncertainty in income taxes, the Company recorded a liability for unrecognized tax benefits related to a 2010 Research &amp; Development Credit as of September 30, 2014 and December 31, 2013. The accounting guidance prescribes a recognition threshold and measurement attributes for the financial statement recognition and measurement of a tax position taken or expected to be taken in a tax return. For the year ended December 31, 2013, the return will remain subject to examination by the various taxing authorities for the duration of the applicable statute of limitations (generally three years from the later of the date of filing or the due date of the return).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ACCUMULATED OTHER COMPREHENSIVE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reconcile changes in Accumulated other comprehensive loss (“AOCL”) by component (net of tax, dollars in millions):</w:t>
      </w:r>
    </w:p>
    <w:p>
      <w:pPr>
        <w:sectPr>
          <w:pgSz w:w="11900" w:h="16838" w:orient="portrait"/>
          <w:cols w:equalWidth="0" w:num="1">
            <w:col w:w="10960"/>
          </w:cols>
          <w:pgMar w:left="240" w:top="459"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AOCL as of June 30, 2013</w:t>
      </w:r>
    </w:p>
    <w:p>
      <w:pPr>
        <w:spacing w:after="0" w:line="50" w:lineRule="exact"/>
        <w:rPr>
          <w:sz w:val="20"/>
          <w:szCs w:val="20"/>
          <w:color w:val="auto"/>
        </w:rPr>
      </w:pPr>
    </w:p>
    <w:p>
      <w:pPr>
        <w:ind w:left="900" w:right="560"/>
        <w:spacing w:after="0" w:line="259" w:lineRule="auto"/>
        <w:rPr>
          <w:sz w:val="20"/>
          <w:szCs w:val="20"/>
          <w:color w:val="auto"/>
        </w:rPr>
      </w:pPr>
      <w:r>
        <w:rPr>
          <w:rFonts w:ascii="Arial" w:cs="Arial" w:eastAsia="Arial" w:hAnsi="Arial"/>
          <w:sz w:val="18"/>
          <w:szCs w:val="18"/>
          <w:color w:val="auto"/>
        </w:rPr>
        <w:t>Other comprehensive income before reclassifications Amounts reclassified from AOCL Income tax</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Three months ended</w:t>
      </w:r>
    </w:p>
    <w:tbl>
      <w:tblPr>
        <w:tblLayout w:type="fixed"/>
        <w:tblInd w:w="0" w:type="dxa"/>
        <w:tblCellMar>
          <w:top w:w="0" w:type="dxa"/>
          <w:left w:w="0" w:type="dxa"/>
          <w:bottom w:w="0" w:type="dxa"/>
          <w:right w:w="0" w:type="dxa"/>
        </w:tblCellMar>
      </w:tblPr>
      <w:tr>
        <w:trPr>
          <w:trHeight w:val="129"/>
        </w:trPr>
        <w:tc>
          <w:tcPr>
            <w:tcW w:w="3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5"/>
              </w:rPr>
              <w:t>Defined</w:t>
            </w:r>
          </w:p>
        </w:tc>
        <w:tc>
          <w:tcPr>
            <w:tcW w:w="3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Available-for-</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benefit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7"/>
              </w:rPr>
              <w:t>Foreign</w:t>
            </w: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78"/>
              </w:rPr>
              <w:t>sale securities</w:t>
            </w:r>
          </w:p>
        </w:tc>
        <w:tc>
          <w:tcPr>
            <w:tcW w:w="66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pension items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currency items</w:t>
            </w:r>
          </w:p>
        </w:tc>
        <w:tc>
          <w:tcPr>
            <w:tcW w:w="300" w:type="dxa"/>
            <w:vAlign w:val="bottom"/>
          </w:tcPr>
          <w:p>
            <w:pPr>
              <w:spacing w:after="0"/>
              <w:rPr>
                <w:sz w:val="14"/>
                <w:szCs w:val="14"/>
                <w:color w:val="auto"/>
              </w:rPr>
            </w:pPr>
          </w:p>
        </w:tc>
        <w:tc>
          <w:tcPr>
            <w:tcW w:w="540" w:type="dxa"/>
            <w:vAlign w:val="bottom"/>
            <w:gridSpan w:val="2"/>
          </w:tcPr>
          <w:p>
            <w:pPr>
              <w:jc w:val="right"/>
              <w:ind w:right="7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6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(37.7)</w:t>
            </w:r>
          </w:p>
        </w:tc>
        <w:tc>
          <w:tcPr>
            <w:tcW w:w="30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(17.3)</w:t>
            </w:r>
          </w:p>
        </w:tc>
        <w:tc>
          <w:tcPr>
            <w:tcW w:w="300" w:type="dxa"/>
            <w:vAlign w:val="bottom"/>
            <w:vMerge w:val="continue"/>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(53.0</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2.9</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-3462020</wp:posOffset>
            </wp:positionH>
            <wp:positionV relativeFrom="paragraph">
              <wp:posOffset>-572770</wp:posOffset>
            </wp:positionV>
            <wp:extent cx="666369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-3462020</wp:posOffset>
            </wp:positionH>
            <wp:positionV relativeFrom="paragraph">
              <wp:posOffset>-272415</wp:posOffset>
            </wp:positionV>
            <wp:extent cx="666369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5200" w:space="720"/>
            <w:col w:w="5040"/>
          </w:cols>
          <w:pgMar w:left="240" w:top="459" w:right="699"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current period other comprehensive income</w:t>
            </w:r>
          </w:p>
        </w:tc>
        <w:tc>
          <w:tcPr>
            <w:tcW w:w="300" w:type="dxa"/>
            <w:vAlign w:val="bottom"/>
            <w:shd w:val="clear" w:color="auto" w:fill="CCEEFF"/>
          </w:tcPr>
          <w:p>
            <w:pPr>
              <w:jc w:val="right"/>
              <w:ind w:right="112"/>
              <w:spacing w:after="0" w:line="205"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line="205" w:lineRule="exact"/>
              <w:rPr>
                <w:sz w:val="20"/>
                <w:szCs w:val="20"/>
                <w:color w:val="auto"/>
              </w:rPr>
            </w:pPr>
            <w:r>
              <w:rPr>
                <w:rFonts w:ascii="Arial" w:cs="Arial" w:eastAsia="Arial" w:hAnsi="Arial"/>
                <w:sz w:val="18"/>
                <w:szCs w:val="18"/>
                <w:color w:val="auto"/>
              </w:rPr>
              <w:t>0.1</w:t>
            </w:r>
          </w:p>
        </w:tc>
        <w:tc>
          <w:tcPr>
            <w:tcW w:w="560" w:type="dxa"/>
            <w:vAlign w:val="bottom"/>
            <w:gridSpan w:val="2"/>
            <w:shd w:val="clear" w:color="auto" w:fill="CCEEFF"/>
          </w:tcPr>
          <w:p>
            <w:pPr>
              <w:jc w:val="right"/>
              <w:ind w:right="103"/>
              <w:spacing w:after="0" w:line="205"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line="205" w:lineRule="exact"/>
              <w:rPr>
                <w:sz w:val="20"/>
                <w:szCs w:val="20"/>
                <w:color w:val="auto"/>
              </w:rPr>
            </w:pPr>
            <w:r>
              <w:rPr>
                <w:rFonts w:ascii="Arial" w:cs="Arial" w:eastAsia="Arial" w:hAnsi="Arial"/>
                <w:sz w:val="18"/>
                <w:szCs w:val="18"/>
                <w:color w:val="auto"/>
              </w:rPr>
              <w:t>(0.5)</w:t>
            </w:r>
          </w:p>
        </w:tc>
        <w:tc>
          <w:tcPr>
            <w:tcW w:w="600" w:type="dxa"/>
            <w:vAlign w:val="bottom"/>
            <w:gridSpan w:val="2"/>
            <w:shd w:val="clear" w:color="auto" w:fill="CCEEFF"/>
          </w:tcPr>
          <w:p>
            <w:pPr>
              <w:jc w:val="right"/>
              <w:ind w:right="143"/>
              <w:spacing w:after="0" w:line="205"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line="205" w:lineRule="exact"/>
              <w:rPr>
                <w:sz w:val="20"/>
                <w:szCs w:val="20"/>
                <w:color w:val="auto"/>
              </w:rPr>
            </w:pPr>
            <w:r>
              <w:rPr>
                <w:rFonts w:ascii="Arial" w:cs="Arial" w:eastAsia="Arial" w:hAnsi="Arial"/>
                <w:sz w:val="18"/>
                <w:szCs w:val="18"/>
                <w:color w:val="auto"/>
              </w:rPr>
              <w:t>2.9</w:t>
            </w:r>
          </w:p>
        </w:tc>
        <w:tc>
          <w:tcPr>
            <w:tcW w:w="40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8"/>
              <w:spacing w:after="0" w:line="205"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AOCL as of September 30, 2013</w:t>
            </w: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60" w:type="dxa"/>
            <w:vAlign w:val="bottom"/>
            <w:gridSpan w:val="2"/>
            <w:vMerge w:val="continue"/>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2.1</w:t>
            </w:r>
          </w:p>
        </w:tc>
        <w:tc>
          <w:tcPr>
            <w:tcW w:w="56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(38.2)</w:t>
            </w:r>
          </w:p>
        </w:tc>
        <w:tc>
          <w:tcPr>
            <w:tcW w:w="60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(14.4)</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9"/>
              </w:rPr>
              <w:t>(50.5)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AOCL as of June 30, 2014</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w:t>
            </w:r>
          </w:p>
        </w:tc>
        <w:tc>
          <w:tcPr>
            <w:tcW w:w="56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w:t>
            </w:r>
          </w:p>
        </w:tc>
        <w:tc>
          <w:tcPr>
            <w:tcW w:w="60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vMerge w:val="restart"/>
          </w:tcPr>
          <w:p>
            <w:pPr>
              <w:ind w:left="420"/>
              <w:spacing w:after="0"/>
              <w:rPr>
                <w:sz w:val="20"/>
                <w:szCs w:val="20"/>
                <w:color w:val="auto"/>
              </w:rPr>
            </w:pPr>
            <w:r>
              <w:rPr>
                <w:rFonts w:ascii="Arial" w:cs="Arial" w:eastAsia="Arial" w:hAnsi="Arial"/>
                <w:sz w:val="18"/>
                <w:szCs w:val="18"/>
                <w:color w:val="auto"/>
              </w:rPr>
              <w:t>Other comprehensive loss before reclassifications</w:t>
            </w: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(8.1)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Amounts reclassified from AOCL</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Income tax</w:t>
            </w:r>
          </w:p>
        </w:tc>
        <w:tc>
          <w:tcPr>
            <w:tcW w:w="3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0.6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0.4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8"/>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loss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(0.9)</w:t>
            </w:r>
          </w:p>
        </w:tc>
        <w:tc>
          <w:tcPr>
            <w:tcW w:w="56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(0.7)</w:t>
            </w:r>
          </w:p>
        </w:tc>
        <w:tc>
          <w:tcPr>
            <w:tcW w:w="60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AOCL as of September 30, 2014</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(27.3</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60"/>
          </w:cols>
          <w:pgMar w:left="240" w:top="459"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AOCL as of December 31, 2012</w:t>
      </w:r>
    </w:p>
    <w:p>
      <w:pPr>
        <w:spacing w:after="0" w:line="50" w:lineRule="exact"/>
        <w:rPr>
          <w:sz w:val="20"/>
          <w:szCs w:val="20"/>
          <w:color w:val="auto"/>
        </w:rPr>
      </w:pPr>
    </w:p>
    <w:p>
      <w:pPr>
        <w:ind w:left="900" w:right="800"/>
        <w:spacing w:after="0" w:line="259" w:lineRule="auto"/>
        <w:rPr>
          <w:sz w:val="20"/>
          <w:szCs w:val="20"/>
          <w:color w:val="auto"/>
        </w:rPr>
      </w:pPr>
      <w:r>
        <w:rPr>
          <w:rFonts w:ascii="Arial" w:cs="Arial" w:eastAsia="Arial" w:hAnsi="Arial"/>
          <w:sz w:val="18"/>
          <w:szCs w:val="18"/>
          <w:color w:val="auto"/>
        </w:rPr>
        <w:t>Other comprehensive loss before reclassifications Amounts reclassified from AOCL Income tax</w:t>
      </w:r>
    </w:p>
    <w:p>
      <w:pPr>
        <w:spacing w:after="0" w:line="20" w:lineRule="exact"/>
        <w:rPr>
          <w:sz w:val="20"/>
          <w:szCs w:val="20"/>
          <w:color w:val="auto"/>
        </w:rPr>
      </w:pPr>
      <w:r>
        <w:rPr>
          <w:sz w:val="20"/>
          <w:szCs w:val="20"/>
          <w:color w:val="auto"/>
        </w:rPr>
        <w:br w:type="column"/>
      </w:r>
    </w:p>
    <w:p>
      <w:pPr>
        <w:ind w:left="1920"/>
        <w:spacing w:after="0"/>
        <w:rPr>
          <w:sz w:val="20"/>
          <w:szCs w:val="20"/>
          <w:color w:val="auto"/>
        </w:rPr>
      </w:pPr>
      <w:r>
        <w:rPr>
          <w:rFonts w:ascii="Arial" w:cs="Arial" w:eastAsia="Arial" w:hAnsi="Arial"/>
          <w:sz w:val="14"/>
          <w:szCs w:val="14"/>
          <w:b w:val="1"/>
          <w:bCs w:val="1"/>
          <w:color w:val="auto"/>
        </w:rPr>
        <w:t>Nine months ended</w:t>
      </w:r>
    </w:p>
    <w:tbl>
      <w:tblPr>
        <w:tblLayout w:type="fixed"/>
        <w:tblInd w:w="0" w:type="dxa"/>
        <w:tblCellMar>
          <w:top w:w="0" w:type="dxa"/>
          <w:left w:w="0" w:type="dxa"/>
          <w:bottom w:w="0" w:type="dxa"/>
          <w:right w:w="0" w:type="dxa"/>
        </w:tblCellMar>
      </w:tblPr>
      <w:tr>
        <w:trPr>
          <w:trHeight w:val="129"/>
        </w:trPr>
        <w:tc>
          <w:tcPr>
            <w:tcW w:w="3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5"/>
              </w:rPr>
              <w:t>Defined</w:t>
            </w:r>
          </w:p>
        </w:tc>
        <w:tc>
          <w:tcPr>
            <w:tcW w:w="3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Available-for-</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benefit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7"/>
              </w:rPr>
              <w:t>Foreign</w:t>
            </w: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78"/>
              </w:rPr>
              <w:t>sale securities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pension items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currency items</w:t>
            </w:r>
          </w:p>
        </w:tc>
        <w:tc>
          <w:tcPr>
            <w:tcW w:w="300" w:type="dxa"/>
            <w:vAlign w:val="bottom"/>
          </w:tcPr>
          <w:p>
            <w:pPr>
              <w:spacing w:after="0"/>
              <w:rPr>
                <w:sz w:val="14"/>
                <w:szCs w:val="14"/>
                <w:color w:val="auto"/>
              </w:rPr>
            </w:pPr>
          </w:p>
        </w:tc>
        <w:tc>
          <w:tcPr>
            <w:tcW w:w="540" w:type="dxa"/>
            <w:vAlign w:val="bottom"/>
            <w:gridSpan w:val="2"/>
          </w:tcPr>
          <w:p>
            <w:pPr>
              <w:jc w:val="right"/>
              <w:ind w:right="7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(36.9)</w:t>
            </w:r>
          </w:p>
        </w:tc>
        <w:tc>
          <w:tcPr>
            <w:tcW w:w="30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(9.2)</w:t>
            </w:r>
          </w:p>
        </w:tc>
        <w:tc>
          <w:tcPr>
            <w:tcW w:w="300" w:type="dxa"/>
            <w:vAlign w:val="bottom"/>
            <w:vMerge w:val="continue"/>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(43.9</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-3462020</wp:posOffset>
            </wp:positionH>
            <wp:positionV relativeFrom="paragraph">
              <wp:posOffset>-572770</wp:posOffset>
            </wp:positionV>
            <wp:extent cx="666369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-3462020</wp:posOffset>
            </wp:positionH>
            <wp:positionV relativeFrom="paragraph">
              <wp:posOffset>-272415</wp:posOffset>
            </wp:positionV>
            <wp:extent cx="666369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5200" w:space="720"/>
            <w:col w:w="5040"/>
          </w:cols>
          <w:pgMar w:left="240" w:top="459" w:right="699"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5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current period other comprehensive loss</w:t>
            </w: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2"/>
              <w:spacing w:after="0" w:line="205"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line="205" w:lineRule="exact"/>
              <w:rPr>
                <w:sz w:val="20"/>
                <w:szCs w:val="20"/>
                <w:color w:val="auto"/>
              </w:rPr>
            </w:pPr>
            <w:r>
              <w:rPr>
                <w:rFonts w:ascii="Arial" w:cs="Arial" w:eastAsia="Arial" w:hAnsi="Arial"/>
                <w:sz w:val="18"/>
                <w:szCs w:val="18"/>
                <w:color w:val="auto"/>
              </w:rPr>
              <w:t>(0.1)</w:t>
            </w:r>
          </w:p>
        </w:tc>
        <w:tc>
          <w:tcPr>
            <w:tcW w:w="560" w:type="dxa"/>
            <w:vAlign w:val="bottom"/>
            <w:gridSpan w:val="2"/>
            <w:shd w:val="clear" w:color="auto" w:fill="CCEEFF"/>
          </w:tcPr>
          <w:p>
            <w:pPr>
              <w:jc w:val="right"/>
              <w:ind w:right="103"/>
              <w:spacing w:after="0" w:line="205"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line="205" w:lineRule="exact"/>
              <w:rPr>
                <w:sz w:val="20"/>
                <w:szCs w:val="20"/>
                <w:color w:val="auto"/>
              </w:rPr>
            </w:pPr>
            <w:r>
              <w:rPr>
                <w:rFonts w:ascii="Arial" w:cs="Arial" w:eastAsia="Arial" w:hAnsi="Arial"/>
                <w:sz w:val="18"/>
                <w:szCs w:val="18"/>
                <w:color w:val="auto"/>
              </w:rPr>
              <w:t>(1.3)</w:t>
            </w:r>
          </w:p>
        </w:tc>
        <w:tc>
          <w:tcPr>
            <w:tcW w:w="600" w:type="dxa"/>
            <w:vAlign w:val="bottom"/>
            <w:gridSpan w:val="2"/>
            <w:shd w:val="clear" w:color="auto" w:fill="CCEEFF"/>
          </w:tcPr>
          <w:p>
            <w:pPr>
              <w:jc w:val="right"/>
              <w:ind w:right="143"/>
              <w:spacing w:after="0" w:line="205"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line="205" w:lineRule="exact"/>
              <w:rPr>
                <w:sz w:val="20"/>
                <w:szCs w:val="20"/>
                <w:color w:val="auto"/>
              </w:rPr>
            </w:pPr>
            <w:r>
              <w:rPr>
                <w:rFonts w:ascii="Arial" w:cs="Arial" w:eastAsia="Arial" w:hAnsi="Arial"/>
                <w:sz w:val="18"/>
                <w:szCs w:val="18"/>
                <w:color w:val="auto"/>
              </w:rPr>
              <w:t>(5.2)</w:t>
            </w:r>
          </w:p>
        </w:tc>
        <w:tc>
          <w:tcPr>
            <w:tcW w:w="40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AOCL as of September 30, 2013</w:t>
            </w:r>
          </w:p>
        </w:tc>
        <w:tc>
          <w:tcPr>
            <w:tcW w:w="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40" w:type="dxa"/>
            <w:vAlign w:val="bottom"/>
            <w:gridSpan w:val="2"/>
            <w:vMerge w:val="continue"/>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2.1</w:t>
            </w:r>
          </w:p>
        </w:tc>
        <w:tc>
          <w:tcPr>
            <w:tcW w:w="56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(38.2)</w:t>
            </w:r>
          </w:p>
        </w:tc>
        <w:tc>
          <w:tcPr>
            <w:tcW w:w="60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(14.4)</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9"/>
              </w:rPr>
              <w:t>(50.5)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AOCL as of December 31, 2013</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56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w:t>
            </w:r>
          </w:p>
        </w:tc>
        <w:tc>
          <w:tcPr>
            <w:tcW w:w="60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420"/>
              <w:spacing w:after="0"/>
              <w:rPr>
                <w:sz w:val="20"/>
                <w:szCs w:val="20"/>
                <w:color w:val="auto"/>
              </w:rPr>
            </w:pPr>
            <w:r>
              <w:rPr>
                <w:rFonts w:ascii="Arial" w:cs="Arial" w:eastAsia="Arial" w:hAnsi="Arial"/>
                <w:sz w:val="18"/>
                <w:szCs w:val="18"/>
                <w:color w:val="auto"/>
              </w:rPr>
              <w:t>Other comprehensive loss before reclassifications</w:t>
            </w:r>
          </w:p>
        </w:tc>
        <w:tc>
          <w:tcPr>
            <w:tcW w:w="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Amounts reclassified from AOCL</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Income tax</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0.8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8"/>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loss</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(1.4)</w:t>
            </w:r>
          </w:p>
        </w:tc>
        <w:tc>
          <w:tcPr>
            <w:tcW w:w="56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(1.9)</w:t>
            </w:r>
          </w:p>
        </w:tc>
        <w:tc>
          <w:tcPr>
            <w:tcW w:w="60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22"/>
        </w:trPr>
        <w:tc>
          <w:tcPr>
            <w:tcW w:w="4540" w:type="dxa"/>
            <w:vAlign w:val="bottom"/>
            <w:gridSpan w:val="2"/>
          </w:tcPr>
          <w:p>
            <w:pPr>
              <w:spacing w:after="0"/>
              <w:rPr>
                <w:sz w:val="20"/>
                <w:szCs w:val="20"/>
                <w:color w:val="auto"/>
              </w:rPr>
            </w:pPr>
            <w:r>
              <w:rPr>
                <w:rFonts w:ascii="Arial" w:cs="Arial" w:eastAsia="Arial" w:hAnsi="Arial"/>
                <w:sz w:val="18"/>
                <w:szCs w:val="18"/>
                <w:color w:val="auto"/>
              </w:rPr>
              <w:t>AOCL as of September 30, 2014</w:t>
            </w:r>
          </w:p>
        </w:tc>
        <w:tc>
          <w:tcPr>
            <w:tcW w:w="9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(27.3</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920" w:type="dxa"/>
            <w:vAlign w:val="bottom"/>
            <w:vMerge w:val="restart"/>
          </w:tcPr>
          <w:p>
            <w:pPr>
              <w:jc w:val="right"/>
              <w:ind w:right="32"/>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tables show the location in the Condensed Consolidated Statements of Comprehensive Income affected by reclassifications from AOCL (dollars in millions):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Amounts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center"/>
              <w:spacing w:after="0" w:line="141" w:lineRule="exact"/>
              <w:rPr>
                <w:sz w:val="20"/>
                <w:szCs w:val="20"/>
                <w:color w:val="auto"/>
              </w:rPr>
            </w:pPr>
            <w:r>
              <w:rPr>
                <w:rFonts w:ascii="Arial" w:cs="Arial" w:eastAsia="Arial" w:hAnsi="Arial"/>
                <w:sz w:val="14"/>
                <w:szCs w:val="14"/>
                <w:b w:val="1"/>
                <w:bCs w:val="1"/>
                <w:color w:val="auto"/>
                <w:w w:val="88"/>
              </w:rPr>
              <w:t>reclassified from AOCL</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60" w:type="dxa"/>
            <w:vAlign w:val="bottom"/>
          </w:tcPr>
          <w:p>
            <w:pPr>
              <w:spacing w:after="0" w:line="141" w:lineRule="exact"/>
              <w:rPr>
                <w:sz w:val="20"/>
                <w:szCs w:val="20"/>
                <w:color w:val="auto"/>
              </w:rPr>
            </w:pPr>
            <w:r>
              <w:rPr>
                <w:rFonts w:ascii="Arial" w:cs="Arial" w:eastAsia="Arial" w:hAnsi="Arial"/>
                <w:sz w:val="14"/>
                <w:szCs w:val="14"/>
                <w:b w:val="1"/>
                <w:bCs w:val="1"/>
                <w:color w:val="auto"/>
                <w:w w:val="85"/>
              </w:rPr>
              <w:t>Affected line item in the Condensed</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134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1"/>
              </w:rPr>
              <w:t>Three months ended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Consolidated Statements of</w:t>
            </w:r>
          </w:p>
        </w:tc>
        <w:tc>
          <w:tcPr>
            <w:tcW w:w="0" w:type="dxa"/>
            <w:vAlign w:val="bottom"/>
          </w:tcPr>
          <w:p>
            <w:pPr>
              <w:spacing w:after="0"/>
              <w:rPr>
                <w:sz w:val="1"/>
                <w:szCs w:val="1"/>
                <w:color w:val="auto"/>
              </w:rPr>
            </w:pPr>
          </w:p>
        </w:tc>
      </w:tr>
      <w:tr>
        <w:trPr>
          <w:trHeight w:val="142"/>
        </w:trPr>
        <w:tc>
          <w:tcPr>
            <w:tcW w:w="4780" w:type="dxa"/>
            <w:vAlign w:val="bottom"/>
            <w:tcBorders>
              <w:bottom w:val="single" w:sz="8" w:color="CCEEFF"/>
            </w:tcBorders>
          </w:tcPr>
          <w:p>
            <w:pPr>
              <w:ind w:left="1760"/>
              <w:spacing w:after="0" w:line="142" w:lineRule="exact"/>
              <w:rPr>
                <w:sz w:val="20"/>
                <w:szCs w:val="20"/>
                <w:color w:val="auto"/>
              </w:rPr>
            </w:pPr>
            <w:r>
              <w:rPr>
                <w:rFonts w:ascii="Arial" w:cs="Arial" w:eastAsia="Arial" w:hAnsi="Arial"/>
                <w:sz w:val="14"/>
                <w:szCs w:val="14"/>
                <w:b w:val="1"/>
                <w:bCs w:val="1"/>
                <w:color w:val="auto"/>
              </w:rPr>
              <w:t>AOCL Components</w:t>
            </w:r>
          </w:p>
        </w:tc>
        <w:tc>
          <w:tcPr>
            <w:tcW w:w="11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7"/>
              </w:rPr>
              <w:t>September 30, 2014</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September 30, 2013</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Comprehensive Income</w:t>
            </w: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Amortization of defined benefit pension items:</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08"/>
        </w:trPr>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08"/>
        </w:trPr>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ind w:left="60"/>
              <w:spacing w:after="0"/>
              <w:rPr>
                <w:sz w:val="20"/>
                <w:szCs w:val="20"/>
                <w:color w:val="auto"/>
              </w:rPr>
            </w:pPr>
            <w:r>
              <w:rPr>
                <w:rFonts w:ascii="Arial" w:cs="Arial" w:eastAsia="Arial" w:hAnsi="Arial"/>
                <w:sz w:val="18"/>
                <w:szCs w:val="18"/>
                <w:color w:val="auto"/>
                <w:w w:val="92"/>
              </w:rPr>
              <w:t>Engineering – research and</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Actuarial loss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08"/>
        </w:trPr>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09"/>
        </w:trPr>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2"/>
              </w:rPr>
              <w:t>Engineering – research and</w:t>
            </w: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Total reclassifications, before tax</w:t>
            </w: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gridSpan w:val="2"/>
            <w:vMerge w:val="restart"/>
          </w:tcPr>
          <w:p>
            <w:pPr>
              <w:ind w:left="60"/>
              <w:spacing w:after="0"/>
              <w:rPr>
                <w:sz w:val="20"/>
                <w:szCs w:val="20"/>
                <w:color w:val="auto"/>
              </w:rPr>
            </w:pPr>
            <w:r>
              <w:rPr>
                <w:rFonts w:ascii="Arial" w:cs="Arial" w:eastAsia="Arial" w:hAnsi="Arial"/>
                <w:sz w:val="18"/>
                <w:szCs w:val="18"/>
                <w:color w:val="auto"/>
                <w:w w:val="90"/>
              </w:rPr>
              <w:t>Income before income taxes</w:t>
            </w:r>
          </w:p>
        </w:tc>
        <w:tc>
          <w:tcPr>
            <w:tcW w:w="0" w:type="dxa"/>
            <w:vAlign w:val="bottom"/>
          </w:tcPr>
          <w:p>
            <w:pPr>
              <w:spacing w:after="0" w:line="20" w:lineRule="exact"/>
              <w:rPr>
                <w:sz w:val="1"/>
                <w:szCs w:val="1"/>
                <w:color w:val="auto"/>
              </w:rPr>
            </w:pPr>
          </w:p>
        </w:tc>
      </w:tr>
      <w:tr>
        <w:trPr>
          <w:trHeight w:val="223"/>
        </w:trPr>
        <w:tc>
          <w:tcPr>
            <w:tcW w:w="478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2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tax</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w:t>
            </w:r>
          </w:p>
        </w:tc>
        <w:tc>
          <w:tcPr>
            <w:tcW w:w="8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Tax expense</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Total reclassifications</w:t>
            </w: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gridSpan w:val="2"/>
            <w:vMerge w:val="restart"/>
          </w:tcPr>
          <w:p>
            <w:pPr>
              <w:ind w:left="6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line="20" w:lineRule="exact"/>
              <w:rPr>
                <w:sz w:val="1"/>
                <w:szCs w:val="1"/>
                <w:color w:val="auto"/>
              </w:rPr>
            </w:pPr>
          </w:p>
        </w:tc>
      </w:tr>
      <w:tr>
        <w:trPr>
          <w:trHeight w:val="223"/>
        </w:trPr>
        <w:tc>
          <w:tcPr>
            <w:tcW w:w="478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2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gridSpan w:val="5"/>
          </w:tcPr>
          <w:p>
            <w:pPr>
              <w:jc w:val="center"/>
              <w:ind w:left="36"/>
              <w:spacing w:after="0"/>
              <w:rPr>
                <w:sz w:val="20"/>
                <w:szCs w:val="20"/>
                <w:color w:val="auto"/>
              </w:rPr>
            </w:pPr>
            <w:r>
              <w:rPr>
                <w:rFonts w:ascii="Arial" w:cs="Arial" w:eastAsia="Arial" w:hAnsi="Arial"/>
                <w:sz w:val="14"/>
                <w:szCs w:val="14"/>
                <w:b w:val="1"/>
                <w:bCs w:val="1"/>
                <w:color w:val="auto"/>
                <w:w w:val="88"/>
              </w:rPr>
              <w:t>Amounts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center"/>
              <w:ind w:left="36"/>
              <w:spacing w:after="0" w:line="141" w:lineRule="exact"/>
              <w:rPr>
                <w:sz w:val="20"/>
                <w:szCs w:val="20"/>
                <w:color w:val="auto"/>
              </w:rPr>
            </w:pPr>
            <w:r>
              <w:rPr>
                <w:rFonts w:ascii="Arial" w:cs="Arial" w:eastAsia="Arial" w:hAnsi="Arial"/>
                <w:sz w:val="14"/>
                <w:szCs w:val="14"/>
                <w:b w:val="1"/>
                <w:bCs w:val="1"/>
                <w:color w:val="auto"/>
                <w:w w:val="88"/>
              </w:rPr>
              <w:t>reclassified from AOCL</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60" w:type="dxa"/>
            <w:vAlign w:val="bottom"/>
          </w:tcPr>
          <w:p>
            <w:pPr>
              <w:spacing w:after="0" w:line="141" w:lineRule="exact"/>
              <w:rPr>
                <w:sz w:val="20"/>
                <w:szCs w:val="20"/>
                <w:color w:val="auto"/>
              </w:rPr>
            </w:pPr>
            <w:r>
              <w:rPr>
                <w:rFonts w:ascii="Arial" w:cs="Arial" w:eastAsia="Arial" w:hAnsi="Arial"/>
                <w:sz w:val="14"/>
                <w:szCs w:val="14"/>
                <w:b w:val="1"/>
                <w:bCs w:val="1"/>
                <w:color w:val="auto"/>
                <w:w w:val="85"/>
              </w:rPr>
              <w:t>Affected line item in the Condensed</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w w:val="92"/>
              </w:rPr>
              <w:t>Nine months ended</w:t>
            </w:r>
          </w:p>
        </w:tc>
        <w:tc>
          <w:tcPr>
            <w:tcW w:w="80" w:type="dxa"/>
            <w:vAlign w:val="bottom"/>
          </w:tcPr>
          <w:p>
            <w:pPr>
              <w:spacing w:after="0"/>
              <w:rPr>
                <w:sz w:val="12"/>
                <w:szCs w:val="12"/>
                <w:color w:val="auto"/>
              </w:rPr>
            </w:pPr>
          </w:p>
        </w:tc>
        <w:tc>
          <w:tcPr>
            <w:tcW w:w="11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Nine months ended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Consolidated Statements of</w:t>
            </w:r>
          </w:p>
        </w:tc>
        <w:tc>
          <w:tcPr>
            <w:tcW w:w="0" w:type="dxa"/>
            <w:vAlign w:val="bottom"/>
          </w:tcPr>
          <w:p>
            <w:pPr>
              <w:spacing w:after="0"/>
              <w:rPr>
                <w:sz w:val="1"/>
                <w:szCs w:val="1"/>
                <w:color w:val="auto"/>
              </w:rPr>
            </w:pPr>
          </w:p>
        </w:tc>
      </w:tr>
      <w:tr>
        <w:trPr>
          <w:trHeight w:val="142"/>
        </w:trPr>
        <w:tc>
          <w:tcPr>
            <w:tcW w:w="4780" w:type="dxa"/>
            <w:vAlign w:val="bottom"/>
            <w:tcBorders>
              <w:bottom w:val="single" w:sz="8" w:color="CCEEFF"/>
            </w:tcBorders>
          </w:tcPr>
          <w:p>
            <w:pPr>
              <w:ind w:left="1820"/>
              <w:spacing w:after="0" w:line="142" w:lineRule="exact"/>
              <w:rPr>
                <w:sz w:val="20"/>
                <w:szCs w:val="20"/>
                <w:color w:val="auto"/>
              </w:rPr>
            </w:pPr>
            <w:r>
              <w:rPr>
                <w:rFonts w:ascii="Arial" w:cs="Arial" w:eastAsia="Arial" w:hAnsi="Arial"/>
                <w:sz w:val="14"/>
                <w:szCs w:val="14"/>
                <w:b w:val="1"/>
                <w:bCs w:val="1"/>
                <w:color w:val="auto"/>
              </w:rPr>
              <w:t>AOCL Components</w:t>
            </w:r>
          </w:p>
        </w:tc>
        <w:tc>
          <w:tcPr>
            <w:tcW w:w="10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85"/>
              </w:rPr>
              <w:t>September 30, 2014</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September 30, 2013</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Comprehensive Income</w:t>
            </w: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Amortization of defined benefit pension items:</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3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08"/>
        </w:trPr>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08"/>
        </w:trPr>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ind w:left="60"/>
              <w:spacing w:after="0"/>
              <w:rPr>
                <w:sz w:val="20"/>
                <w:szCs w:val="20"/>
                <w:color w:val="auto"/>
              </w:rPr>
            </w:pPr>
            <w:r>
              <w:rPr>
                <w:rFonts w:ascii="Arial" w:cs="Arial" w:eastAsia="Arial" w:hAnsi="Arial"/>
                <w:sz w:val="18"/>
                <w:szCs w:val="18"/>
                <w:color w:val="auto"/>
                <w:w w:val="94"/>
              </w:rPr>
              <w:t>Engineering –research and</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Actuarial loss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08"/>
        </w:trPr>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09"/>
        </w:trPr>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Engineering –research and</w:t>
            </w: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Total reclassifications, before tax</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120" w:type="dxa"/>
            <w:vAlign w:val="bottom"/>
            <w:gridSpan w:val="2"/>
          </w:tcPr>
          <w:p>
            <w:pPr>
              <w:ind w:left="60"/>
              <w:spacing w:after="0"/>
              <w:rPr>
                <w:sz w:val="20"/>
                <w:szCs w:val="20"/>
                <w:color w:val="auto"/>
              </w:rPr>
            </w:pPr>
            <w:r>
              <w:rPr>
                <w:rFonts w:ascii="Arial" w:cs="Arial" w:eastAsia="Arial" w:hAnsi="Arial"/>
                <w:sz w:val="18"/>
                <w:szCs w:val="18"/>
                <w:color w:val="auto"/>
                <w:w w:val="90"/>
              </w:rPr>
              <w:t>Income before income taxes</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tax</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w:t>
            </w:r>
          </w:p>
        </w:tc>
        <w:tc>
          <w:tcPr>
            <w:tcW w:w="8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Tax expense</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Total reclassifications</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service cost and actuarial loss are included in the computation of the Company’s net periodic benefit cost. Please see NOTE L for additional details.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Claims, Disputes, and Litigation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CERTAIN RELATIONSHIPS AND RELATED PARTY TRANSACTIONS</w:t>
      </w:r>
    </w:p>
    <w:p>
      <w:pPr>
        <w:spacing w:after="0" w:line="96" w:lineRule="exact"/>
        <w:rPr>
          <w:sz w:val="20"/>
          <w:szCs w:val="20"/>
          <w:color w:val="auto"/>
        </w:rPr>
      </w:pPr>
    </w:p>
    <w:p>
      <w:pPr>
        <w:jc w:val="both"/>
        <w:ind w:right="80" w:firstLine="456"/>
        <w:spacing w:after="0" w:line="335" w:lineRule="auto"/>
        <w:rPr>
          <w:sz w:val="20"/>
          <w:szCs w:val="20"/>
          <w:color w:val="auto"/>
        </w:rPr>
      </w:pPr>
      <w:r>
        <w:rPr>
          <w:rFonts w:ascii="Arial" w:cs="Arial" w:eastAsia="Arial" w:hAnsi="Arial"/>
          <w:sz w:val="15"/>
          <w:szCs w:val="15"/>
          <w:color w:val="auto"/>
        </w:rPr>
        <w:t>As of September 30, 2014, investment funds affiliated with the Sponsors no longer own any shares of the Company’s outstanding common stock. Pursuant to an amended and restated stockholders agreement, a majority of the Board of Directors had previously been designated by the Sponsors; however, as a result of their no longer owning any shares of the Company’s common stock, the Sponsors no longer have the right to designate members of the Board of Directors.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Held by Executive Officers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 of September 30, 2014, Lawrence E. Dewey, our Chairman, President and Chief Executive Officer, and David S. Graziosi, our Executive Vice President, Chief Financial Officer and Treasurer, held approximately $100,000 and $450,000, respectively, in aggregate principal amount of the 7.125% Senior Notes.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Common Stock held by Sponsors</w:t>
      </w:r>
    </w:p>
    <w:p>
      <w:pPr>
        <w:spacing w:after="0" w:line="96"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During the nine months ended September 30, 2014, the Company completed four secondary public offerings in September, June, April and February of 5,392,499, 40,250,000, 25,000,000, and 28,750,000 shares of its common stock held by investment funds affiliated with the Sponsors at public offering prices, less underwriting discounts and commissions, of $30.46, $29.95, $29.78 and $29.17 per share, respectively. In connection with certain of the offerings, the Company repurchased from the underwriters 5,000,000 shares in June 2014 and 3,428,179 shares in February 2014 at the prices paid by the underwriters and subsequently retired those shares.</w:t>
      </w:r>
    </w:p>
    <w:p>
      <w:pPr>
        <w:spacing w:after="0" w:line="143" w:lineRule="exact"/>
        <w:rPr>
          <w:sz w:val="20"/>
          <w:szCs w:val="20"/>
          <w:color w:val="auto"/>
        </w:rPr>
      </w:pPr>
    </w:p>
    <w:p>
      <w:pPr>
        <w:ind w:right="540" w:firstLine="456"/>
        <w:spacing w:after="0" w:line="298" w:lineRule="auto"/>
        <w:rPr>
          <w:sz w:val="20"/>
          <w:szCs w:val="20"/>
          <w:color w:val="auto"/>
        </w:rPr>
      </w:pPr>
      <w:r>
        <w:rPr>
          <w:rFonts w:ascii="Arial" w:cs="Arial" w:eastAsia="Arial" w:hAnsi="Arial"/>
          <w:sz w:val="16"/>
          <w:szCs w:val="16"/>
          <w:color w:val="auto"/>
        </w:rPr>
        <w:t>During the nine months ended September 30, 2013, the Company completed a secondary offering of 23,805,000 shares of its common stock held by investment funds affiliated with the Sponsors to the underwriters in the public offering at the public offering price, less the underwriting discounts and commissions, or $21.175 per share. The Company received no proceeds from the sale. In connection with the offering, the Company repurchased from the underwriters 4,700,000 shares of the 23,805,000 shares at the price paid by the underwriters and subsequently retired those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EARNINGS PER SHARE</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compensation cost for future service that the Company has not yet recognized and any tax benefits that would be credited to additional paid-in-capital when the award generates a tax deduction. If there would be a shortfall resulting in a charge to additional paid-in-capital, such an amount would be a reduction of the proceeds to the extent of the gains. The diluted weighted-average common shares outstanding exclude the anti-dilutive effect of certain stock options since such options had an exercise price in excess of the monthly average market value of our common stock. For the three months ended September 30, 2014, 0.4 million of outstanding stock options were not included in the diluted EPS computation because they were anti-dilutive.</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the numerators and denominators used to calculate basic EPS and diluted EPS (in millions, except per share data):</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5"/>
          </w:tcPr>
          <w:p>
            <w:pPr>
              <w:ind w:left="4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61"/>
        </w:trPr>
        <w:tc>
          <w:tcPr>
            <w:tcW w:w="47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178.1</w:t>
            </w:r>
          </w:p>
        </w:tc>
        <w:tc>
          <w:tcPr>
            <w:tcW w:w="6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178.8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184.4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179.9</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stock-based awards</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6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440"/>
              <w:spacing w:after="0"/>
              <w:rPr>
                <w:sz w:val="20"/>
                <w:szCs w:val="20"/>
                <w:color w:val="auto"/>
              </w:rPr>
            </w:pPr>
            <w:r>
              <w:rPr>
                <w:rFonts w:ascii="Arial" w:cs="Arial" w:eastAsia="Arial" w:hAnsi="Arial"/>
                <w:sz w:val="18"/>
                <w:szCs w:val="18"/>
                <w:color w:val="auto"/>
              </w:rPr>
              <w:t>Diluted weighted average shares of common stock</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180.9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restart"/>
          </w:tcPr>
          <w:p>
            <w:pPr>
              <w:jc w:val="right"/>
              <w:ind w:right="600"/>
              <w:spacing w:after="0"/>
              <w:rPr>
                <w:sz w:val="20"/>
                <w:szCs w:val="20"/>
                <w:color w:val="auto"/>
              </w:rPr>
            </w:pPr>
            <w:r>
              <w:rPr>
                <w:rFonts w:ascii="Arial" w:cs="Arial" w:eastAsia="Arial" w:hAnsi="Arial"/>
                <w:sz w:val="18"/>
                <w:szCs w:val="18"/>
                <w:b w:val="1"/>
                <w:bCs w:val="1"/>
                <w:color w:val="auto"/>
              </w:rPr>
              <w:t>182.8</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660"/>
              <w:spacing w:after="0"/>
              <w:rPr>
                <w:sz w:val="20"/>
                <w:szCs w:val="20"/>
                <w:color w:val="auto"/>
              </w:rPr>
            </w:pPr>
            <w:r>
              <w:rPr>
                <w:rFonts w:ascii="Arial" w:cs="Arial" w:eastAsia="Arial" w:hAnsi="Arial"/>
                <w:sz w:val="18"/>
                <w:szCs w:val="18"/>
                <w:color w:val="auto"/>
              </w:rPr>
              <w:t>outstanding</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188.0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5"/>
              </w:rPr>
              <w:t>Basic earnings per share attributable to common stockholders</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0.38</w:t>
            </w: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0.99</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ind w:left="440"/>
              <w:spacing w:after="0"/>
              <w:rPr>
                <w:sz w:val="20"/>
                <w:szCs w:val="20"/>
                <w:color w:val="auto"/>
              </w:rPr>
            </w:pPr>
            <w:r>
              <w:rPr>
                <w:rFonts w:ascii="Arial" w:cs="Arial" w:eastAsia="Arial" w:hAnsi="Arial"/>
                <w:sz w:val="18"/>
                <w:szCs w:val="18"/>
                <w:color w:val="auto"/>
              </w:rPr>
              <w:t>Diluted earnings per share attributable to common</w:t>
            </w: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740" w:type="dxa"/>
            <w:vAlign w:val="bottom"/>
            <w:vMerge w:val="continue"/>
          </w:tcPr>
          <w:p>
            <w:pPr>
              <w:spacing w:after="0"/>
              <w:rPr>
                <w:sz w:val="17"/>
                <w:szCs w:val="17"/>
                <w:color w:val="auto"/>
              </w:rPr>
            </w:pPr>
          </w:p>
        </w:tc>
        <w:tc>
          <w:tcPr>
            <w:tcW w:w="60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0.38</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vMerge w:val="restart"/>
          </w:tcPr>
          <w:p>
            <w:pPr>
              <w:jc w:val="right"/>
              <w:ind w:right="600"/>
              <w:spacing w:after="0"/>
              <w:rPr>
                <w:sz w:val="20"/>
                <w:szCs w:val="20"/>
                <w:color w:val="auto"/>
              </w:rPr>
            </w:pPr>
            <w:r>
              <w:rPr>
                <w:rFonts w:ascii="Arial" w:cs="Arial" w:eastAsia="Arial" w:hAnsi="Arial"/>
                <w:sz w:val="18"/>
                <w:szCs w:val="18"/>
                <w:b w:val="1"/>
                <w:bCs w:val="1"/>
                <w:color w:val="auto"/>
              </w:rPr>
              <w:t>0.97</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660"/>
              <w:spacing w:after="0"/>
              <w:rPr>
                <w:sz w:val="20"/>
                <w:szCs w:val="20"/>
                <w:color w:val="auto"/>
              </w:rPr>
            </w:pPr>
            <w:r>
              <w:rPr>
                <w:rFonts w:ascii="Arial" w:cs="Arial" w:eastAsia="Arial" w:hAnsi="Arial"/>
                <w:sz w:val="18"/>
                <w:szCs w:val="18"/>
                <w:color w:val="auto"/>
              </w:rPr>
              <w:t>stockholders</w:t>
            </w:r>
          </w:p>
        </w:tc>
        <w:tc>
          <w:tcPr>
            <w:tcW w:w="60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0.24</w:t>
            </w:r>
          </w:p>
        </w:tc>
        <w:tc>
          <w:tcPr>
            <w:tcW w:w="380" w:type="dxa"/>
            <w:vAlign w:val="bottom"/>
            <w:gridSpan w:val="2"/>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740" w:type="dxa"/>
            <w:vAlign w:val="bottom"/>
          </w:tcPr>
          <w:p>
            <w:pPr>
              <w:spacing w:after="0"/>
              <w:rPr>
                <w:sz w:val="24"/>
                <w:szCs w:val="24"/>
                <w:color w:val="auto"/>
              </w:rPr>
            </w:pPr>
          </w:p>
        </w:tc>
        <w:tc>
          <w:tcPr>
            <w:tcW w:w="600" w:type="dxa"/>
            <w:vAlign w:val="bottom"/>
            <w:gridSpan w:val="2"/>
          </w:tcPr>
          <w:p>
            <w:pPr>
              <w:ind w:left="420"/>
              <w:spacing w:after="0"/>
              <w:rPr>
                <w:sz w:val="20"/>
                <w:szCs w:val="20"/>
                <w:color w:val="auto"/>
              </w:rPr>
            </w:pPr>
            <w:r>
              <w:rPr>
                <w:rFonts w:ascii="Arial" w:cs="Arial" w:eastAsia="Arial" w:hAnsi="Arial"/>
                <w:sz w:val="18"/>
                <w:szCs w:val="18"/>
                <w:color w:val="auto"/>
                <w:w w:val="79"/>
              </w:rPr>
              <w:t>20</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140"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Our actual results may differ materially from those contained in or implied by any forward-looking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Allison Transmission Holdings, Inc. and its subsidiaries (“our,” “us,” “we” or the “Company”) design and manufacture fully-automatic transmissions for medium- and heavy-duty commercial vehicles, medium- and heavy-tactical U.S. defense vehicles and hybrid-propulsion systems for transit buses. We generate our net sales primarily from the sale of transmissions, transmission parts, support equipment, defense kits, engineering services and extended transmission coverage to a wide array of original equipment manufacturers (“OEMs”), distributors and the U.S. government. Although approximately 77% of our net sales were generated in North America in 2013, we have a global presence, serving customers in Europe, Asia, South America and Africa. We have 13 different transmission product lines and serve customers through an established network of approximately 1,400 authorized independent distributors and dealers worldwide. Since the introduction of our first fully-automatic transmission over 60 years ago, our products have gained acceptance in a wide variety of applications, including on-highway trucks (distribution, refuse, construction, fire and emergency), buses (primarily school, transit and hybrid-transit), motorhomes, off-highway vehicles and equipment (primarily energy, mining and construction) and defense vehicles (wheeled and tracked).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96"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Our net sales are driven by commercial vehicle production, which tends to be highly correlated to macroeconomic conditions. According to America’s Commercial Transportation Research, commercial truck and bus production volumes in our North American on-highway markets are projected to grow, but to remain below the 1998-2008 average production levels through 2015. In the fourth quarter of 2014, we expect net sales to increase on a year-over-year basis principally driven by higher demand in the North America On-Highway and Off-Highway end markets partially offset by lower demand in the Outside North America On-Highway and North America Hybrid-Propulsion Systems for Transit Bus end markets.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Third Quarter Net Sales by End Market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8"/>
              </w:rPr>
              <w:t>End Market</w:t>
            </w:r>
          </w:p>
        </w:tc>
        <w:tc>
          <w:tcPr>
            <w:tcW w:w="5520" w:type="dxa"/>
            <w:vAlign w:val="bottom"/>
            <w:vMerge w:val="restart"/>
          </w:tcPr>
          <w:p>
            <w:pPr>
              <w:spacing w:after="0"/>
              <w:rPr>
                <w:sz w:val="14"/>
                <w:szCs w:val="14"/>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3"/>
              </w:rPr>
              <w:t>Q3 2014</w:t>
            </w:r>
          </w:p>
        </w:tc>
        <w:tc>
          <w:tcPr>
            <w:tcW w:w="3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Q3 2013</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60" w:type="dxa"/>
            <w:vAlign w:val="bottom"/>
            <w:tcBorders>
              <w:bottom w:val="single" w:sz="8" w:color="auto"/>
            </w:tcBorders>
            <w:vMerge w:val="continue"/>
          </w:tcPr>
          <w:p>
            <w:pPr>
              <w:spacing w:after="0"/>
              <w:rPr>
                <w:sz w:val="12"/>
                <w:szCs w:val="12"/>
                <w:color w:val="auto"/>
              </w:rPr>
            </w:pPr>
          </w:p>
        </w:tc>
        <w:tc>
          <w:tcPr>
            <w:tcW w:w="5520" w:type="dxa"/>
            <w:vAlign w:val="bottom"/>
            <w:vMerge w:val="continue"/>
          </w:tcPr>
          <w:p>
            <w:pPr>
              <w:spacing w:after="0"/>
              <w:rPr>
                <w:sz w:val="12"/>
                <w:szCs w:val="12"/>
                <w:color w:val="auto"/>
              </w:rPr>
            </w:pPr>
          </w:p>
        </w:tc>
        <w:tc>
          <w:tcPr>
            <w:tcW w:w="86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5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2"/>
              </w:rPr>
              <w:t>Net Sales</w:t>
            </w:r>
          </w:p>
        </w:tc>
        <w:tc>
          <w:tcPr>
            <w:tcW w:w="640" w:type="dxa"/>
            <w:vAlign w:val="bottom"/>
          </w:tcPr>
          <w:p>
            <w:pPr>
              <w:spacing w:after="0"/>
              <w:rPr>
                <w:sz w:val="12"/>
                <w:szCs w:val="12"/>
                <w:color w:val="auto"/>
              </w:rPr>
            </w:pPr>
          </w:p>
        </w:tc>
        <w:tc>
          <w:tcPr>
            <w:tcW w:w="94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8"/>
              </w:rPr>
              <w:t>% Variance</w:t>
            </w:r>
          </w:p>
        </w:tc>
        <w:tc>
          <w:tcPr>
            <w:tcW w:w="0" w:type="dxa"/>
            <w:vAlign w:val="bottom"/>
          </w:tcPr>
          <w:p>
            <w:pPr>
              <w:spacing w:after="0"/>
              <w:rPr>
                <w:sz w:val="1"/>
                <w:szCs w:val="1"/>
                <w:color w:val="auto"/>
              </w:rPr>
            </w:pPr>
          </w:p>
        </w:tc>
      </w:tr>
      <w:tr>
        <w:trPr>
          <w:trHeight w:val="20"/>
        </w:trPr>
        <w:tc>
          <w:tcPr>
            <w:tcW w:w="62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North America On-Highway</w:t>
            </w: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256</w:t>
            </w:r>
          </w:p>
        </w:tc>
        <w:tc>
          <w:tcPr>
            <w:tcW w:w="32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212</w:t>
            </w:r>
          </w:p>
        </w:tc>
        <w:tc>
          <w:tcPr>
            <w:tcW w:w="64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North America Hybrid Propulsion Systems for Transit Bus</w:t>
            </w:r>
          </w:p>
        </w:tc>
        <w:tc>
          <w:tcPr>
            <w:tcW w:w="18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 Off-Highway</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Defense</w:t>
            </w:r>
          </w:p>
        </w:tc>
        <w:tc>
          <w:tcPr>
            <w:tcW w:w="18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52</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Outside North America On-Highway</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Outside North America Off-Highway</w:t>
            </w:r>
          </w:p>
        </w:tc>
        <w:tc>
          <w:tcPr>
            <w:tcW w:w="18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Parts, Support Equipment and Other</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2"/>
        </w:trPr>
        <w:tc>
          <w:tcPr>
            <w:tcW w:w="628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553</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North America On-Highway end market net sales were up 21% for the third quarter 2014 compared to the third quarter 2013, principally driven by higher demand for Rugged Duty Series models.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North America Hybrid-Propulsion Systems for Transit Bus end market net sales were up 53% for the third quarter 2014 compared to the third quarter 2013, principally driven by intra-year movement in the timing of orders.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North America Off-Highway end market net sales were up 233% for the third quarter 2014 compared to the third quarter of 2013, principally driven by higher demand from hydraulic fracturing applications.</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Defense end market net sales were down 33% for the third quarter 2014 compared to the third quarter 2013, principally driven by previously considered reductions in U.S. defense spending to longer term averages experienced during periods without active conflicts.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Outside North America On-Highway end market net sales were up 4% for the third quarter 2014 compared to the third quarter 2013, principally driven by improved demand in all regions other than Europe.</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Outside North America Off-Highway end market net sales were up 13% for the third quarter 2014 compared to the third quarter 2013, driven by improved demand in the China energy sector.</w:t>
      </w:r>
    </w:p>
    <w:p>
      <w:pPr>
        <w:spacing w:after="0" w:line="13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Service parts, support equipment and other end market net sales were up 28% for the third quarter 2014 compared to the third quarter 2013, principally driven by higher demand for North America service parts and global On-Highway support equipment commensurate with increased transmission unit volumes.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generate our net sales primarily from the sale of transmissions, transmission parts, support equipment, defense kits, engineering services, royalties and extended transmission coverage to a wide array of OEMs, distributors and the U.S. government.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Our most significant components of cost of sales are purchased parts, the overhead expense related to our manufacturing operations and direct labor associated with the manufacture and assembly of transmissions and parts. For the nine months ended September 30, 2014, direct material costs were approximately 69%, overhead costs were approximately 25%, and direct labor costs were approximately 6% of total cost of sales. We are subject to changes in our cost of sales caused by movements in underlying commodity prices. We seek to hedge against this risk by using commodity swap contracts and long-term supply agreements (“LTSAs”). See Part I, “Item 3 Quantitative and Qualitative Disclosures about Market Risk—Commodity Price Risk” included below.</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incur costs in connection with research and development programs that are expected to contribute to future earnings. Such costs are expensed as incurred. In 2009, we were notified by the U.S. Department of Energy (“DOE”) that we were selected to receive matching funds up to $62.8 million from a cost-share grant program funded by the American Recovery and Reinvestment Act for the development of hybrid-propulsion system manufacturing capacity in the U.S. (the “Grant Program”). Applicable costs associated with the Grant Program have been charged to Engineering — research and development. The DOE’s matching reimbursement is recorded to Other expense, net in the Condensed Consolidated Statements of Comprehensive Income, included in Part I, Item 1 of this Quarterly Report on Form 10-Q, or in the case of capital expenditure, as a reduction in the cost basis of the capital asset.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use Adjusted net income to measure our overall profitability because we believe it better reflects our cash flow generation by capturing the actual cash interest paid and cash taxes paid rather than our interest expense and tax expense as calculated under accounting principles generally accepted in the United States of America (“GAAP”) and excludes the impact of the non-cash annual amortization of certain intangible assets and other certain non-recurring items. We use Adjusted EBITDA, Adjusted EBITDA excluding technology-related license expenses, Adjusted EBITDA margin, Adjusted EBITDA margin excluding technology-related license expenses and Adjusted free cash flow to evaluate and control our cash operating costs and to measure our operating profitability. We believe the presentation of Adjusted net income, Adjusted EBITDA, Adjusted EBITDA excluding technology-related license expenses, Adjusted EBITDA margin, Adjusted EBITDA margin excluding technology-related license expenses and Adjusted free cash flow enhances our investors’ overall understanding of the financial performance and cash flow of our business.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You should not consider Adjusted net income, Adjusted EBITDA, Adjusted EBITDA excluding technology-related license expenses, Adjusted EBITDA margin and Adjusted EBITDA margin excluding technology-related license expenses as an alternative to net income, determined in accordance with GAAP, as an indicator of operating performance. You should not consider Adjusted free cash flow as an alternative to net cash provided by operating activities, determined in accordance with GAAP, as an indicator of our cash flow.</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directly comparable GAAP measure to Adjusted net income, Adjusted EBITDA and Adjusted EBITDA excluding technology-related license expenses is Net income. A directly comparable GAAP measure to Adjusted free cash flow is Net cash provided by operating activities. The following is a reconciliation of Net income to Adjusted net income, Adjusted EBITDA, Adjusted EBITDA excluding technology-related license expenses, Adjusted EBITDA margin and Adjusted EBITDA margin excluding technology-related license expenses, and a reconciliation of Net cash provided by operating activities to Adjusted free cash flow:</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w:t>
            </w: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left="355"/>
              <w:spacing w:after="0"/>
              <w:rPr>
                <w:sz w:val="20"/>
                <w:szCs w:val="20"/>
                <w:color w:val="auto"/>
              </w:rPr>
            </w:pPr>
            <w:r>
              <w:rPr>
                <w:rFonts w:ascii="Arial" w:cs="Arial" w:eastAsia="Arial" w:hAnsi="Arial"/>
                <w:sz w:val="14"/>
                <w:szCs w:val="14"/>
                <w:b w:val="1"/>
                <w:bCs w:val="1"/>
                <w:color w:val="auto"/>
                <w:w w:val="87"/>
              </w:rPr>
              <w:t>For the nine</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5"/>
          </w:tcPr>
          <w:p>
            <w:pPr>
              <w:jc w:val="right"/>
              <w:ind w:right="920"/>
              <w:spacing w:after="0" w:line="149" w:lineRule="exact"/>
              <w:rPr>
                <w:sz w:val="20"/>
                <w:szCs w:val="20"/>
                <w:color w:val="auto"/>
              </w:rPr>
            </w:pPr>
            <w:r>
              <w:rPr>
                <w:rFonts w:ascii="Arial" w:cs="Arial" w:eastAsia="Arial" w:hAnsi="Arial"/>
                <w:sz w:val="14"/>
                <w:szCs w:val="14"/>
                <w:b w:val="1"/>
                <w:bCs w:val="1"/>
                <w:color w:val="auto"/>
              </w:rPr>
              <w:t>months ended</w:t>
            </w:r>
          </w:p>
        </w:tc>
        <w:tc>
          <w:tcPr>
            <w:tcW w:w="100" w:type="dxa"/>
            <w:vAlign w:val="bottom"/>
          </w:tcPr>
          <w:p>
            <w:pPr>
              <w:spacing w:after="0"/>
              <w:rPr>
                <w:sz w:val="12"/>
                <w:szCs w:val="12"/>
                <w:color w:val="auto"/>
              </w:rPr>
            </w:pPr>
          </w:p>
        </w:tc>
        <w:tc>
          <w:tcPr>
            <w:tcW w:w="192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months ended</w:t>
            </w:r>
          </w:p>
        </w:tc>
        <w:tc>
          <w:tcPr>
            <w:tcW w:w="0" w:type="dxa"/>
            <w:vAlign w:val="bottom"/>
          </w:tcPr>
          <w:p>
            <w:pPr>
              <w:spacing w:after="0"/>
              <w:rPr>
                <w:sz w:val="1"/>
                <w:szCs w:val="1"/>
                <w:color w:val="auto"/>
              </w:rPr>
            </w:pPr>
          </w:p>
        </w:tc>
      </w:tr>
      <w:tr>
        <w:trPr>
          <w:trHeight w:val="161"/>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(unaudited, in millions)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9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60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2014</w:t>
            </w: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2013</w:t>
            </w:r>
          </w:p>
        </w:tc>
        <w:tc>
          <w:tcPr>
            <w:tcW w:w="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2014</w:t>
            </w: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68.8</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178.1</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plus: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101.0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Cash interest expense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(34.7)</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3"/>
              </w:rPr>
              <w:t>(33.3)</w:t>
            </w: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8"/>
              </w:rPr>
              <w:t>(103.3)</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expense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47.5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112.2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Cash income taxes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(3.5)</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24.7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74.1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Technology-related investment expense (a)</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2.0</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Public offering expenses (b)</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0.3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w:t>
            </w:r>
          </w:p>
        </w:tc>
        <w:tc>
          <w:tcPr>
            <w:tcW w:w="3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137.5</w:t>
            </w:r>
          </w:p>
        </w:tc>
        <w:tc>
          <w:tcPr>
            <w:tcW w:w="5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101.3</w:t>
            </w:r>
          </w:p>
        </w:tc>
        <w:tc>
          <w:tcPr>
            <w:tcW w:w="5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362.0</w:t>
            </w:r>
          </w:p>
        </w:tc>
        <w:tc>
          <w:tcPr>
            <w:tcW w:w="5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interest expense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34.7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103.3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Cash income taxes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3.5</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71.0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Unrealized loss on foreign exchange (c)</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3.4</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loss on commodity hedge contracts (d)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(0.6)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Restructuring charge (e)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0.7</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repayments and redemptions of long-term debt (f)</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0.3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0.3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Dual power inverter module extended coverage (g)</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(h)</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3.9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11.2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201.8</w:t>
            </w:r>
          </w:p>
        </w:tc>
        <w:tc>
          <w:tcPr>
            <w:tcW w:w="5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161.6</w:t>
            </w:r>
          </w:p>
        </w:tc>
        <w:tc>
          <w:tcPr>
            <w:tcW w:w="5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553.7</w:t>
            </w:r>
          </w:p>
        </w:tc>
        <w:tc>
          <w:tcPr>
            <w:tcW w:w="5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excluding technology-related license expenses (i)</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w w:val="84"/>
              </w:rPr>
              <w:t>201.8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161.6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557.0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553.3</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466.3</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3"/>
              </w:rPr>
              <w:t>1,583.0</w:t>
            </w:r>
          </w:p>
        </w:tc>
        <w:tc>
          <w:tcPr>
            <w:tcW w:w="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1,435.8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margin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36.5%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35.0%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w w:val="91"/>
              </w:rPr>
              <w:t>Adjusted EBITDA margin excluding technology-related licenses expenses (i)</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36.5%</w:t>
            </w: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35.2%</w:t>
            </w: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w w:val="84"/>
              </w:rPr>
              <w:t>174.0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131.0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416.0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(Deductions) or additions to reconcile to Adjusted free cash flow:</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Additions of long-lived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93"/>
              </w:rPr>
              <w:t>(14.9)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(15.4)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(37.6)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Technology-related license expenses (i)</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3.3</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free cash flow</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w w:val="84"/>
              </w:rPr>
              <w:t>159.1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115.6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381.7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ind w:left="516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0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Represents a charge (recorded in Other expense, net) for investments in co-development agreements to expand our position in transmission technologies.</w:t>
      </w:r>
    </w:p>
    <w:p>
      <w:pPr>
        <w:spacing w:after="0" w:line="49" w:lineRule="exact"/>
        <w:rPr>
          <w:rFonts w:ascii="Arial" w:cs="Arial" w:eastAsia="Arial" w:hAnsi="Arial"/>
          <w:sz w:val="15"/>
          <w:szCs w:val="15"/>
          <w:color w:val="auto"/>
        </w:rPr>
      </w:pPr>
    </w:p>
    <w:p>
      <w:pPr>
        <w:ind w:left="46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fees and expenses (recorded in Other expense, net) related to our secondary offerings in September 2014, June 2014, April 2014, February 2014 and August 2013, and proposed secondary offering in April 2013.</w:t>
      </w:r>
    </w:p>
    <w:p>
      <w:pPr>
        <w:ind w:left="460" w:right="70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losses (recorded in Other expense, net) on the mark-to-market of our foreign currency hedge contracts and on intercompany financing transactions related to investments in plant assets for our India facility.</w:t>
      </w: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unrealized (gains) losses (recorded in Other expense, net) on the mark-to-market of our commodity hedge contracts.</w:t>
      </w:r>
    </w:p>
    <w:p>
      <w:pPr>
        <w:spacing w:after="0" w:line="9" w:lineRule="exact"/>
        <w:rPr>
          <w:rFonts w:ascii="Arial" w:cs="Arial" w:eastAsia="Arial" w:hAnsi="Arial"/>
          <w:sz w:val="18"/>
          <w:szCs w:val="18"/>
          <w:color w:val="auto"/>
        </w:rPr>
      </w:pPr>
    </w:p>
    <w:p>
      <w:pPr>
        <w:ind w:left="460" w:right="64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 charge (recorded in Selling, general and administrative, and Engineering – research and development) related to employee headcount reductions in the second quarter of 2014 and second quarter of 2013.</w:t>
      </w:r>
    </w:p>
    <w:p>
      <w:pPr>
        <w:ind w:left="460" w:right="8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losses (recorded in Other expense, net) realized on the repayments of Allison Transmission, Inc.’s (“ATI”), our wholly owned subsidiary, long-term debt.</w:t>
      </w:r>
    </w:p>
    <w:p>
      <w:pPr>
        <w:ind w:left="460" w:right="4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third quarter of 2013, we conducted a review of the Dual Power Inverter Module (“DPIM”) extended coverage program resulting in a reduction of the DPIM liability, partially offset by a reduction of the associated General Motors (“GM”) receivable totaling a net credit (recorded in Selling, general and administrative expenses). The total liability and GM receivable will continue to be reviewed for any changes in estimate as additional claims data and field information become available.</w:t>
      </w:r>
    </w:p>
    <w:p>
      <w:pPr>
        <w:spacing w:after="0" w:line="1"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employee stock compensation expense (recorded in Cost of sales, Selling, general and administrative expenses, and Engineering – research and development).</w:t>
      </w:r>
    </w:p>
    <w:p>
      <w:pPr>
        <w:ind w:left="460" w:hanging="452"/>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payments (recorded in Engineering – research and development) for licenses to expand our position in transmission technologies.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2014 and 2013</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table sets forth certain financial information for the three months ended September 30, 2014 and 2013. The following table and discussion should be read in conjunction with the information contained in our condensed consolidated financial statements and the notes thereto included in Part I, Item 1 of this Quarterly Report on Form 10-Q.</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w w:val="94"/>
              </w:rPr>
              <w:t>Three months ended September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right"/>
              <w:ind w:right="156"/>
              <w:spacing w:after="0" w:line="12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jc w:val="right"/>
              <w:ind w:right="17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320" w:type="dxa"/>
            <w:vAlign w:val="bottom"/>
            <w:gridSpan w:val="2"/>
          </w:tcPr>
          <w:p>
            <w:pPr>
              <w:spacing w:after="0"/>
              <w:rPr>
                <w:sz w:val="20"/>
                <w:szCs w:val="20"/>
                <w:color w:val="auto"/>
              </w:rPr>
            </w:pPr>
            <w:r>
              <w:rPr>
                <w:rFonts w:ascii="Arial" w:cs="Arial" w:eastAsia="Arial" w:hAnsi="Arial"/>
                <w:sz w:val="14"/>
                <w:szCs w:val="14"/>
                <w:i w:val="1"/>
                <w:iCs w:val="1"/>
                <w:color w:val="auto"/>
              </w:rPr>
              <w:t>(unaudited, dollars 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77"/>
              </w:rPr>
              <w:t>of net sales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2013</w:t>
            </w:r>
          </w:p>
        </w:tc>
        <w:tc>
          <w:tcPr>
            <w:tcW w:w="5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sales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553.3</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466.3</w:t>
            </w:r>
          </w:p>
        </w:tc>
        <w:tc>
          <w:tcPr>
            <w:tcW w:w="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4"/>
              </w:rPr>
              <w:t>259.3</w:t>
            </w:r>
          </w:p>
        </w:tc>
        <w:tc>
          <w:tcPr>
            <w:tcW w:w="24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46.9%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206.1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87.5</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15.8</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74.0</w:t>
            </w:r>
          </w:p>
        </w:tc>
        <w:tc>
          <w:tcPr>
            <w:tcW w:w="640" w:type="dxa"/>
            <w:vAlign w:val="bottom"/>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Engineering — 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112.0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5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147.3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26.7</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111.2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3"/>
              </w:rPr>
              <w:t>(29.3)</w:t>
            </w: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(37.3)</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Other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(1.7)</w:t>
            </w:r>
          </w:p>
        </w:tc>
        <w:tc>
          <w:tcPr>
            <w:tcW w:w="13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(1.5)</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3"/>
              </w:rPr>
              <w:t>(31.0)</w:t>
            </w: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(38.8)</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2"/>
        </w:trPr>
        <w:tc>
          <w:tcPr>
            <w:tcW w:w="63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116.3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21.1</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5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3"/>
              </w:rPr>
              <w:t>(47.5)</w:t>
            </w: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(8.6)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(27.9)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68.8</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12.5%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44.5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Net sales for the quarter ended September 30, 2014 were $553.3 million compared to $466.3 million for the quarter ended September 30, 2013, an increase of 18.7%. The increase was principally driven by a $47.0 million, or 17%, increase in net sales of global on-highway commercial products driven by higher North American demand from Rugged Duty Series, a $26.0 million, or 28%, increase in net sales of parts and other products driven by higher demand for North America service parts and global on-highway support equipment commensurate with increased transmission unit volumes, a $23.0 million, or 92%, increase in net sales of global off-highway products driven by higher demand from hydraulic fracturing applications and improved demand in the China energy sector and a $8.0 million, or 53%, increase in net sales of North America hybrid-propulsion systems for transit buses driven by intra-year movement in the timing of orders, partially offset by a $17.0 million, or 33%, decrease in net sales of defense products due to lower U.S. defense spending. See “Trends Impacting Our Business” above for additional information on net sales by end markets.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Gross profit for the quarter ended September 30, 2014 was $259.3 million compared to $206.1 million for the quarter ended September 30, 2013, an increase of 25.8%. The increase was principally driven by $53.0 million related to increased net sales and $8.0 million of price increases on certain products, partially offset by $8.0 million of higher manufacturing expense commensurate with increased sales.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Selling, general and administrative expenses for the quarter ended September 30, 2014 were $87.5 million compared to $74.0 million for the quarter ended September 30, 2013, an increase of 18.2%. The increase was principally driven by $3.1 million related to favorable product warranty expense adjustments in 2013 driven by improved performance, a $2.4 million favorable adjustment in 2013 related to the DPIM extended coverage program and increased global commercial spending activities, partially offset by $0.4 million of lower intangible asset amortization in 2014.</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Engineering expenses for the quarter ended September 30, 2014 were $24.5 million compared to $20.9 million for the quarter ended September 30, 2013, an increase of 17.2%. The increase was principally driven by increased spending on product initiatives.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Interest expense, net for the quarter ended September 30, 2014 was $29.3 million compared to $37.3 million for the quarter ended September 30, 2013, a decrease of 21.4%. The decrease was principally driven by $5.1 million of lower interest expense as a result of the maturity of $950.0 million of interest rate derivatives, $1.4 million of lower amortization of deferred financing charges, $1.1 million of lower interest expense as a result of debt repayments and repurchases, $0.7 million of lower interest expense related to lower interest rates on our interest rate derivatives and $0.2 million of lower interest expense as a result of lower interest rates on ATI’s Senior Secured Credit Facility (defined as the Term B-2 Loan due 2017 (“Term B-2 Loan”), Term B-3 Loan due 2019 (“Term B-3 Loan”) and revolving credit facility), partially offset by $0.6 million of less favorable mark-to-market adjustments for our interest rate derivatives.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Other expense, net for the quarter ended September 30, 2014 was $1.7 million compared to $1.5 million for the quarter ended September 30, 2013, an increase of 13.3%. The increase in expense was principally driven by a $2.0 million loss on investments in technology-related initiatives, $1.1 million of unrealized losses on derivative contracts, $0.2 million of lower Grant Program income and $0.5 million of higher miscellaneous expenses, partially offset by a gain of $2.0 million related to the negotiation of a commercial agreement, $0.7 million of 2013 realized losses on derivative contracts, $0.7 million of lower foreign exchange losses on intercompany financing and $0.2 million of lower expenses related to debt repayments.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Income tax expense for the third quarter of 2014 was $47.5 million resulting in an effective tax rate of 40.8% versus an effective tax rate of 38.5% in the third quarter of 2013. The change in effective tax rate was principally driven by the change in discrete activity.</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2014 and 2013</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table sets forth certain financial information for the nine months ended September 30, 2014 and 2013. The following table and discussion should be read in conjunction with the information contained in our condensed consolidated financial statements and the notes thereto included in Part I, Item 1 of this Quarterly Report on Form 10-Q.</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jc w:val="right"/>
              <w:ind w:right="460"/>
              <w:spacing w:after="0"/>
              <w:rPr>
                <w:sz w:val="20"/>
                <w:szCs w:val="20"/>
                <w:color w:val="auto"/>
              </w:rPr>
            </w:pPr>
            <w:r>
              <w:rPr>
                <w:rFonts w:ascii="Arial" w:cs="Arial" w:eastAsia="Arial" w:hAnsi="Arial"/>
                <w:sz w:val="14"/>
                <w:szCs w:val="14"/>
                <w:b w:val="1"/>
                <w:bCs w:val="1"/>
                <w:color w:val="auto"/>
                <w:w w:val="94"/>
              </w:rPr>
              <w:t>Nine months ended September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tcPr>
          <w:p>
            <w:pPr>
              <w:jc w:val="right"/>
              <w:ind w:right="176"/>
              <w:spacing w:after="0" w:line="12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jc w:val="right"/>
              <w:ind w:right="17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120" w:type="dxa"/>
            <w:vAlign w:val="bottom"/>
            <w:gridSpan w:val="2"/>
          </w:tcPr>
          <w:p>
            <w:pPr>
              <w:spacing w:after="0"/>
              <w:rPr>
                <w:sz w:val="20"/>
                <w:szCs w:val="20"/>
                <w:color w:val="auto"/>
              </w:rPr>
            </w:pPr>
            <w:r>
              <w:rPr>
                <w:rFonts w:ascii="Arial" w:cs="Arial" w:eastAsia="Arial" w:hAnsi="Arial"/>
                <w:sz w:val="14"/>
                <w:szCs w:val="14"/>
                <w:i w:val="1"/>
                <w:iCs w:val="1"/>
                <w:color w:val="auto"/>
              </w:rPr>
              <w:t>(unaudited, dollars 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74"/>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0"/>
              </w:rPr>
              <w:t>of net sales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sales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1,583.0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1,435.8</w:t>
            </w:r>
          </w:p>
        </w:tc>
        <w:tc>
          <w:tcPr>
            <w:tcW w:w="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720.3</w:t>
            </w:r>
          </w:p>
        </w:tc>
        <w:tc>
          <w:tcPr>
            <w:tcW w:w="260" w:type="dxa"/>
            <w:vAlign w:val="bottom"/>
          </w:tcPr>
          <w:p>
            <w:pPr>
              <w:spacing w:after="0"/>
              <w:rPr>
                <w:sz w:val="18"/>
                <w:szCs w:val="18"/>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45.5%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630.5</w:t>
            </w:r>
          </w:p>
        </w:tc>
        <w:tc>
          <w:tcPr>
            <w:tcW w:w="5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255.8</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16.2</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247.5</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Engineering — 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70.2</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w:t>
            </w:r>
          </w:p>
        </w:tc>
        <w:tc>
          <w:tcPr>
            <w:tcW w:w="5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394.3</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24.9</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8"/>
              </w:rPr>
              <w:t>(101.0)</w:t>
            </w: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(104.5)</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Other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(3.0)</w:t>
            </w:r>
          </w:p>
        </w:tc>
        <w:tc>
          <w:tcPr>
            <w:tcW w:w="12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(7.2)</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8"/>
              </w:rPr>
              <w:t>(104.0)</w:t>
            </w: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(111.7)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2"/>
        </w:trPr>
        <w:tc>
          <w:tcPr>
            <w:tcW w:w="61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290.3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18.3</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198.6</w:t>
            </w:r>
          </w:p>
        </w:tc>
        <w:tc>
          <w:tcPr>
            <w:tcW w:w="5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8"/>
              </w:rPr>
              <w:t>(112.2)</w:t>
            </w: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(76.1)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2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178.1</w:t>
            </w:r>
          </w:p>
        </w:tc>
        <w:tc>
          <w:tcPr>
            <w:tcW w:w="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122.5</w:t>
            </w:r>
          </w:p>
        </w:tc>
        <w:tc>
          <w:tcPr>
            <w:tcW w:w="5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Net sales for the nine months ended September 30, 2014 were $1,583.0 million compared to $1,435.8 million for the nine months ended September 30, 2013, an increase of 10.3%. The increase was principally driven by a $116.0 million, or 19%, increase in net sales of North American on-highway commercial products driven by higher demand from Rugged Duty Series and Pupil Transport/Shuttle Series models, a $57.0 million, or 21%, increase in net sales of parts and other products driven by higher demand for global service parts and global on-highway support equipment commensurate with increased transmission unit volumes, a $40.0 million, or 160%, increase in net sales of North American off-highway products driven by higher demand from natural gas fracturing applications and a $2.0 million, or 3%, increase in net sales of North America hybrid-propulsion systems for transit buses, partially offset by a $49.0 million, or 29%, decrease in net sales of defense products due to lower U.S. defense spending, a $10.0 million, or 14%, decrease in net sales of Outside North America off-highway products driven by lower demand from the energy sector and a $8.0 million, or 4%, decrease in net sales of Outside North America on-highway products driven by weakness in Europe.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Gross profit for the nine months ended September 30, 2014 was $720.3 million compared to $630.5 million for the nine months ended September 30, 2013, an increase of 14.2%. The increase was principally driven by $89.0 million related to increased net sales, $10.0 million of price increases on certain products and $3.0 million of favorable foreign exchange, partially offset by $12.0 million of higher manufacturing expense commensurate with increased net sales and $1.0 million of unfavorable material costs.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Selling, general and administrative expenses for the nine months ended September 30, 2014 were $255.8 million compared to $247.5 million for the nine months ended September 30, 2013, an increase of 3.4%. The increase was principally driven by increased global commercial spending activities and a $2.4 million favorable adjustment in 2013 related to the DPIM extended coverage program, partially offset by $6.0 million of lower intangible asset amortization.</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Engineering expenses for the nine months ended September 30, 2014 were $70.2 million compared to $72.7 million for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2013, a decrease of 3.4%. The decrease was principally driven by $2.9 million of lower technology-related license expenses to expand our position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 transmission technologies.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90"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Interest expense, net for the nine months ended September 30, 2014 was $101.0 million compared to $104.5 million for the nine months ended September 30, 2013, a decrease of 3.3%. The decrease was principally driven by $4.5 million of lower interest expense as a result of the maturity of $950.0 million of interest rate derivatives, $3.7 million of lower interest expense related to lower interest rates on our interest rate derivatives, $3.4 million of lower interest expense as a result of debt repayments and repurchases, $2.2 million of lower amortization of deferred financing fees and $1.8 million of lower interest expense due to lower interest rates on ATI’s Senior Secured Credit Facility, partially offset by $12.2 million of less favorable mark-to-market adjustments for interest rate derivatives.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Other expense, net for the nine months ended September 30, 2014 was $3.0 million compared to $7.2 million for the nine months ended September 30, 2013, a decrease of 58.3%. The decrease in expense was principally driven by $2.8 million of unrealized gains on derivative contracts, a $2.0 million gain related to the negotiation of a commercial agreement, $1.4 million of favorable foreign exchange, $1.3 million of realized gains on derivative contracts, $0.5 million of lower technology-related investment expenses and $0.2 million of lower expenses related to debt repayments, partially offset by $2.0 million of lower Grant Program income, $1.1 million of increased foreign exchange losses on intercompany financing, $0.5 million of higher public offering fees and expenses, and $0.4 million of higher miscellaneous expenses.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Income tax expense for the nine months ended September 30, 2014 was $112.2 million resulting in an effective tax rate of 38.6% versus an effective tax rate of 38.3% for the nine months ended September 30, 2013. The change in effective tax rate was principally driven by the change in discrete activity.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generate cash primarily from our operating activities. We had total available cash and cash equivalents of $208.1 million and $184.7 million as of September 30, 2014 and December 31, 2013, respectively. Of the available cash and cash equivalents, approximately $203.1 million and $179.7 million was deposited in operating accounts while approximately $5.0 million and $5.0 million was invested in U.S. government backed securities as of September 30, 2014 and December 31, 2013, respectively.</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the first quarter of 2014, we increased the revolving commitments available under the revolving portion of the Senior Secured Credit Facility to $465.0 million, net of an allowance for up to $75.0 million in outstanding letters of credit commitments. We had $455.1 million and $395.0 million available under the revolving portion of our Senior Secured Credit Facility, net of approximately $9.9 million and $15.0 million in letters of credit issued and outstanding as of September 30, 2014 and December 31, 2013, respectively. As of September 30, 2014 and December 31, 2013, we had no outstanding borrowings on our revolving credit facility.</w:t>
      </w:r>
    </w:p>
    <w:p>
      <w:pPr>
        <w:spacing w:after="0" w:line="14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Our principal uses of cash are operating expenses, capital expenditures, debt service, stock repurchases, dividends on common stock and working capital needs. The following table shows our sources and uses of funds for the nine months ended September 30, 2014 and 2013 (in millions):</w:t>
      </w:r>
    </w:p>
    <w:p>
      <w:pPr>
        <w:spacing w:after="0" w:line="12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Statement of Cash Flows Data</w:t>
            </w: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42"/>
        </w:trPr>
        <w:tc>
          <w:tcPr>
            <w:tcW w:w="4460" w:type="dxa"/>
            <w:vAlign w:val="bottom"/>
            <w:tcBorders>
              <w:bottom w:val="single" w:sz="8" w:color="CCEEFF"/>
            </w:tcBorders>
            <w:vMerge w:val="continue"/>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operating activities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416.0</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Cash flows used for investing activities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(41.4)</w:t>
            </w: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for financing activities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(357.6)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the growth in our operations, it may be necessary from time to time in the future to borrow under the Senior Secured Credit Facility to meet cash demands. We anticipate cash provided by operating activities, cash and cash equivalents and borrowing capacity under the Senior Secured Credit Facility will be sufficient to meet our cash requirements for the next twelve months.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Operating activities for the nine months ended September 30, 2014 generated $416.0 million of cash compared to $315.4 million for the nine months ended September 30, 2013. The increase was principally driven by increased net sales, higher 2013 payments related to technology-related licenses and higher other liabilities, net, partially offset by higher accounts receivable commensurate with increased net sales.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90"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Investing activities for the nine months ended September 30, 2014 used $41.4 million of cash compared to $45.8 million for the nine months ended September 30, 2013. The decrease was principally driven by a decrease of $3.6 million in capital expenditures and $0.5 million of reduced investments in technology-related initiatives. The decrease in capital expenditures was principally driven by lower product initiatives spending, partially offset by increased investments in productivity and replacement programs.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Financing activities for the nine months ended September 30, 2014 used $357.6 million of cash compared to $207.7 million of cash for the nine months ended September 30, 2013. The increase was principally driven by $150.3 million related to increased repurchases of our common stock in connection with the February 2014 and June 2014 secondary offerings by investment funds affiliated with The Carlyle Group and Onex Corporation (collectively, the “Sponsors”) and $9.5 million of increased dividend payments, partially offset by $3.5 million of increased excess tax benefit from stock based compensation and $2.5 million of lower taxes paid related to net share settlement of equity awards.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Our liquidity requirements are significant, primarily due to our debt service requirements. Our ability to make payments on and to refinance our indebtedness and to fund planned capital expenditures will depend on our ability to generate cash in the future. This is subject to general economic, financial, competitive, legislative, regulatory and other factors that may be beyond our control.</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color w:val="auto"/>
        </w:rPr>
        <w:t>The revolving portion of the Senior Secured Credit Facility requires us to maintain a specified maximum total senior secured leverage ratio of 5.50x when revolving loan commitments remain outstanding at the end of a fiscal quarter. On March 12, 2014, however, the revolving lenders holding a majority of the revolving loan commitments permanently waived and agreed that no event of default would result from any non-compliance so long as there were no revolving loans outstanding as of the last day of any fiscal quarter. Throughout the nine months ended September 30, 2014, we made one withdrawal and payment on the revolving credit facility as part of our debt management plans. The maximum amount outstanding at any time on the revolving credit facility was $40.0 million, and the entire balance was repaid within the quarter it was borrowed. As of September 30, 2014, we had no revolving loans outstanding, however, we would have been in compliance with the maximum total senior secured leverage ratio, achieving a 2.70x ratio. Additionally within the terms of the Senior Secured Credit Facility, a senior secured leverage ratio at or below 3.50x results in the elimination of excess cash flow payments on the Senior Secured Credit Facility for the applicable year. The Senior Secured Credit Facility also provides certain financial incentives based on our total leverage ratio. A total leverage ratio at or below 4.00x results in a 25 basis point reduction to the applicable margin on our revolving credit facility, and a total leverage ratio at or below 3.50x results in a 12.5 basis point reduction to the revolving credit facility commitment fee and an additional 25 basis point reduction to the applicable margin on our revolving credit facility. A total leverage ratio at or below 3.25x results in a 25 basis point reduction to the applicable margin on our Term B-3 Loan. These reductions would remain in effect as long as we achieve a total leverage ratio at or below the related threshold. As of September 30, 2014, the total leverage ratio was 3.37x.</w:t>
      </w:r>
    </w:p>
    <w:p>
      <w:pPr>
        <w:spacing w:after="0" w:line="112"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In addition to the maximum total senior secured leverage ratio for the revolving portion of the Senior Secured Credit Facility, the Senior Secured Credit Facility and the indenture governing ATI’s senior cash pay notes due May 2019 (“7.125% Senior Notes”) include, among other things, customary restrictions (subject to certain exceptions) on our ability to incur certain indebtedness or liens, make certain investments or declare or pay certain dividends. As of September 30, 2014, we are in compliance with all covenants under the Senior Secured Credit Facility.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May 15, 2015, we may redeem some or all of our 7.125% Senior Notes by paying the applicable “make-whole” premium. At any time on or after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May 15, 2015, we may redeem some or all of the 7.125% Senior Notes at specified redemption prices in the governing indenture as follows:</w:t>
      </w:r>
    </w:p>
    <w:p>
      <w:pPr>
        <w:spacing w:after="0" w:line="20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Year</w:t>
            </w:r>
          </w:p>
        </w:tc>
        <w:tc>
          <w:tcPr>
            <w:tcW w:w="662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20"/>
        </w:trPr>
        <w:tc>
          <w:tcPr>
            <w:tcW w:w="6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2015</w:t>
            </w: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00" w:type="dxa"/>
            <w:vAlign w:val="bottom"/>
            <w:gridSpan w:val="2"/>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6"/>
              </w:rPr>
              <w:t>103.563%</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2016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101.781%</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 and thereafter</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100.000%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manage interest rate risk associated with our variable rate debt, we currently have eleven interest rate swap contracts as of September 30, 2014 that qualify as derivatives under authoritative accounting guidance for derivative instruments and hedging activities. Our interest rate swaps do not qualify for hedge accounting treatment and, as a result, fair value adjustments are charged directly to interest expense in the Condensed Consolidated Statements of Comprehensive Income. Despite the fact that we have elected a mark-to-market approach as opposed to hedge accounting treatment, the contracts are used strictly as an economic hedge and not for speculative purposes.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2014, we did not have any interest rate derivatives subject to credit-risk or collateral requirement.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are a party to various legal actions and administrative proceedings and subject to various claims arising in the ordinary course of business, including those relating to commercial transactions, product liability, safety, health, taxes, environmental and other matters. For more information, see NOTE O of our condensed consolidated financial statements included in Part I, Item 1 of this Quarterly Report on Form 10-Q.</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principal accounting policies are described in the “Basis of Presentation and Principles of Consolidation” section in the notes to the consolidated financial statements in Part II, Item 8 of our Annual Report on Form 10-K for the year ended December 31, 2013 as filed with the Securities and Exchange Commission on February 24, 2014.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Differences between actual and estimate are recorded in the period identified. Management believes the accounting estimates discussed above represent those accounting estimates requiring the exercise of judgment where a different set of judgments could result in the greatest changes to our reported results.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a party to any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 B, “Summary of Significant Accounting Policies” in Part I, Item 1, of this Quarterly Report on Form 10-Q.</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of September 30, 2014, investment funds affiliated with the Sponsors no longer own any shares of our outstanding common stock. Pursuant to an amended and restated stockholders agreement, a majority of the Board of Directors had previously been designated by the Sponsors; however, as a result of their no longer owning any shares of our common stock, the Sponsors no longer have the right to designate members of the Board of Directors.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Common Stock held by Sponsors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During the nine months ended September 30, 2014, we completed four secondary public offerings in September, June, April and February of 5,392,499, 40,250,000, 25,000,000, and 28,750,000 shares of our common stock held by investment funds affiliated with the Sponsors at public offering prices, less underwriting discounts and commissions, of $30.46, $29.95, $29.78 and $29.17 per share, respectively. In connection with certain of the offerings, we repurchased from the underwriters 5,000,000 shares in June 2014 and 3,428,179 shares in February 2014 at the prices paid by the underwriters and subsequently retired those shares.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During the third quarter of 2013, we completed a secondary offering of 23,805,000 shares of our common stock held by investment funds affiliated with the Sponsors to the underwriters in the public offering at the public offering price, less the underwriting discounts and commissions, or $21.175 per share. We received no proceeds from the sale. In connection with the offering, we repurchased from the underwriters 4,700,000 shares of the 23,805,000 shares at the price paid by the underwriters and subsequently retired those shares.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Held by Executive Officers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As of September 30, 2014, Lawrence E. Dewey, our Chairman, President and Chief Executive Officer, and David S. Graziosi, our Executive Vice President, Chief Financial Officer and Treasurer, held approximately $100,000 and $450,000, respectively, in aggregate principal amount of the 7.125% Senior Notes.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the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risks related to our substantial indebtedness; our participation in markets that are competitive; the highly cyclical industries in which certain of our end users operate; the failure of markets outside North America to increase adoption of fully-automatic transmissions; the concentration of our net sales in our top five customers and the loss of any one of these; future reductions or changes in government subsidies for hybrid vehicles, U.S. defense spending; general economic and industry conditions; the discovery of defects in our products, resulting in delays in new model launches, recall campaigns and/or increased warranty costs and reduction in future sales or damage to our brand and reputation; our ability to prepare for, respond to and successfully achieve our objectives relating to technological and market developments and changing customer needs; risks associated with our international operations; and labor strikes, work stoppages or similar labor disputes, which could significantly disrupt our operations or those of our principal customers.</w:t>
      </w:r>
    </w:p>
    <w:p>
      <w:pPr>
        <w:spacing w:after="0" w:line="12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in Part I, Item 1A of our Annual Report on Form 10-K for the year ended December 31, 2013 as filed with the Securities and Exchange Commission on February 24, 2014. All written and oral forward-looking statements attributable to us, or persons acting on our behalf, are expressly qualified in their entirety by the cautionary statements as well as other cautionary statements that are made from time to time in our public communications. You should evaluate all forward-looking statements made in this Quarterly Report on Form 10-Q in the context of these risks and uncertainties.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are subject to interest rate market risk in connection with a portion of our long-term debt. Our principal interest rate exposure relates to outstanding amounts under our Senior Secured Credit Facility. Our Senior Secured Credit Facility provides for variable rate borrowings of up to $2,573.7 million including $455.1 million under our revolving credit facility, net of $9.9 million of letters of credit. A one-eighth percent change in assumed interest rates for the Senior Secured Credit Facility, if fully drawn, as of September 30, 2014 would have an impact of approximately $1.0 million on interest expense with the 1.00% LIBOR floor in effect on our Term B-3 Loan. Should LIBOR exceed 1.00%, a one-eighth percent change in assumed interest rates for the Senior Secured Credit Facility, if fully drawn, as of September 30, 2014 would have an impact of approximately $3.0 million on interest expense. As of September 30, 2014, we had no outstanding borrowings against the revolving credit facility.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time to time, we enter into interest rate swap agreements to hedge our variable interest rate debt. Below is a list of our interest rate swaps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5"/>
              </w:rPr>
              <w:t>Notional</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49"/>
        </w:trPr>
        <w:tc>
          <w:tcPr>
            <w:tcW w:w="4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20" w:type="dxa"/>
            <w:vAlign w:val="bottom"/>
            <w:gridSpan w:val="2"/>
          </w:tcPr>
          <w:p>
            <w:pPr>
              <w:ind w:left="480"/>
              <w:spacing w:after="0" w:line="149" w:lineRule="exact"/>
              <w:rPr>
                <w:sz w:val="20"/>
                <w:szCs w:val="20"/>
                <w:color w:val="auto"/>
              </w:rPr>
            </w:pPr>
            <w:r>
              <w:rPr>
                <w:rFonts w:ascii="Arial" w:cs="Arial" w:eastAsia="Arial" w:hAnsi="Arial"/>
                <w:sz w:val="14"/>
                <w:szCs w:val="14"/>
                <w:b w:val="1"/>
                <w:bCs w:val="1"/>
                <w:color w:val="auto"/>
              </w:rPr>
              <w:t>Effective</w:t>
            </w:r>
          </w:p>
        </w:tc>
        <w:tc>
          <w:tcPr>
            <w:tcW w:w="140" w:type="dxa"/>
            <w:vAlign w:val="bottom"/>
          </w:tcPr>
          <w:p>
            <w:pPr>
              <w:spacing w:after="0"/>
              <w:rPr>
                <w:sz w:val="12"/>
                <w:szCs w:val="12"/>
                <w:color w:val="auto"/>
              </w:rPr>
            </w:pPr>
          </w:p>
        </w:tc>
        <w:tc>
          <w:tcPr>
            <w:tcW w:w="13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Amount</w:t>
            </w: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LIBOR</w:t>
            </w:r>
          </w:p>
        </w:tc>
      </w:tr>
      <w:tr>
        <w:trPr>
          <w:trHeight w:val="161"/>
        </w:trPr>
        <w:tc>
          <w:tcPr>
            <w:tcW w:w="41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Counterparty</w:t>
            </w:r>
          </w:p>
        </w:tc>
        <w:tc>
          <w:tcPr>
            <w:tcW w:w="52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Date</w:t>
            </w:r>
          </w:p>
        </w:tc>
        <w:tc>
          <w:tcPr>
            <w:tcW w:w="6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 millions)</w:t>
            </w:r>
          </w:p>
        </w:tc>
        <w:tc>
          <w:tcPr>
            <w:tcW w:w="6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Fixed Rate</w:t>
            </w:r>
          </w:p>
        </w:tc>
        <w:tc>
          <w:tcPr>
            <w:tcW w:w="280" w:type="dxa"/>
            <w:vAlign w:val="bottom"/>
            <w:tcBorders>
              <w:bottom w:val="single" w:sz="8" w:color="CCEEFF"/>
            </w:tcBorders>
          </w:tcPr>
          <w:p>
            <w:pPr>
              <w:spacing w:after="0"/>
              <w:rPr>
                <w:sz w:val="14"/>
                <w:szCs w:val="14"/>
                <w:color w:val="auto"/>
              </w:rPr>
            </w:pPr>
          </w:p>
        </w:tc>
      </w:tr>
      <w:tr>
        <w:trPr>
          <w:trHeight w:val="210"/>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 L</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Barclays</w:t>
            </w:r>
          </w:p>
        </w:tc>
        <w:tc>
          <w:tcPr>
            <w:tcW w:w="520" w:type="dxa"/>
            <w:vAlign w:val="bottom"/>
            <w:shd w:val="clear" w:color="auto" w:fill="CCEEFF"/>
          </w:tcPr>
          <w:p>
            <w:pPr>
              <w:spacing w:after="0"/>
              <w:rPr>
                <w:sz w:val="18"/>
                <w:szCs w:val="18"/>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Aug 2016-Aug 2019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Interest Rate Swap M</w:t>
            </w:r>
          </w:p>
        </w:tc>
        <w:tc>
          <w:tcPr>
            <w:tcW w:w="172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JP Morgan</w:t>
            </w: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Aug 2016-Aug 2019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6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3.43%*</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N</w:t>
            </w:r>
          </w:p>
        </w:tc>
        <w:tc>
          <w:tcPr>
            <w:tcW w:w="17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0"/>
              </w:rPr>
              <w:t>Bank of America</w:t>
            </w: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Aug 2016-Aug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Interest Rate Swap O</w:t>
            </w:r>
          </w:p>
        </w:tc>
        <w:tc>
          <w:tcPr>
            <w:tcW w:w="1720" w:type="dxa"/>
            <w:vAlign w:val="bottom"/>
            <w:gridSpan w:val="2"/>
          </w:tcPr>
          <w:p>
            <w:pPr>
              <w:jc w:val="center"/>
              <w:ind w:right="500"/>
              <w:spacing w:after="0"/>
              <w:rPr>
                <w:sz w:val="20"/>
                <w:szCs w:val="20"/>
                <w:color w:val="auto"/>
              </w:rPr>
            </w:pPr>
            <w:r>
              <w:rPr>
                <w:rFonts w:ascii="Arial" w:cs="Arial" w:eastAsia="Arial" w:hAnsi="Arial"/>
                <w:sz w:val="18"/>
                <w:szCs w:val="18"/>
                <w:color w:val="auto"/>
                <w:w w:val="86"/>
              </w:rPr>
              <w:t>Deutsche Bank</w:t>
            </w: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Aug 2016-Aug 2019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75.0</w:t>
            </w:r>
          </w:p>
        </w:tc>
        <w:tc>
          <w:tcPr>
            <w:tcW w:w="6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3.19%*</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P</w:t>
            </w:r>
          </w:p>
        </w:tc>
        <w:tc>
          <w:tcPr>
            <w:tcW w:w="17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9"/>
              </w:rPr>
              <w:t>Barclays</w:t>
            </w: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Aug 2016-Aug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Interest Rate Swap Q</w:t>
            </w:r>
          </w:p>
        </w:tc>
        <w:tc>
          <w:tcPr>
            <w:tcW w:w="172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Barclays</w:t>
            </w: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Aug 2016-Aug 2019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w:t>
            </w:r>
          </w:p>
        </w:tc>
        <w:tc>
          <w:tcPr>
            <w:tcW w:w="6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2.99%*</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R</w:t>
            </w:r>
          </w:p>
        </w:tc>
        <w:tc>
          <w:tcPr>
            <w:tcW w:w="17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6"/>
              </w:rPr>
              <w:t>Deutsche Bank</w:t>
            </w: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Aug 2016-Aug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Interest Rate Swap S</w:t>
            </w:r>
          </w:p>
        </w:tc>
        <w:tc>
          <w:tcPr>
            <w:tcW w:w="1720" w:type="dxa"/>
            <w:vAlign w:val="bottom"/>
            <w:gridSpan w:val="2"/>
          </w:tcPr>
          <w:p>
            <w:pPr>
              <w:jc w:val="center"/>
              <w:ind w:right="500"/>
              <w:spacing w:after="0"/>
              <w:rPr>
                <w:sz w:val="20"/>
                <w:szCs w:val="20"/>
                <w:color w:val="auto"/>
              </w:rPr>
            </w:pPr>
            <w:r>
              <w:rPr>
                <w:rFonts w:ascii="Arial" w:cs="Arial" w:eastAsia="Arial" w:hAnsi="Arial"/>
                <w:sz w:val="18"/>
                <w:szCs w:val="18"/>
                <w:color w:val="auto"/>
                <w:w w:val="86"/>
              </w:rPr>
              <w:t>Deutsche Bank</w:t>
            </w: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Aug 2016-Aug 2019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w:t>
            </w:r>
          </w:p>
        </w:tc>
        <w:tc>
          <w:tcPr>
            <w:tcW w:w="6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2.73%*</w:t>
            </w:r>
          </w:p>
        </w:tc>
      </w:tr>
      <w:tr>
        <w:trPr>
          <w:trHeight w:val="208"/>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T</w:t>
            </w:r>
          </w:p>
        </w:tc>
        <w:tc>
          <w:tcPr>
            <w:tcW w:w="17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1"/>
              </w:rPr>
              <w:t>Bank of</w:t>
            </w:r>
          </w:p>
        </w:tc>
        <w:tc>
          <w:tcPr>
            <w:tcW w:w="1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24"/>
        </w:trPr>
        <w:tc>
          <w:tcPr>
            <w:tcW w:w="4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3"/>
              </w:rPr>
              <w:t>America</w:t>
            </w: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Aug 2016-Aug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6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Interest Rate Swap U</w:t>
            </w:r>
          </w:p>
        </w:tc>
        <w:tc>
          <w:tcPr>
            <w:tcW w:w="172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Fifth Third Bank</w:t>
            </w: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Aug 2016-Aug 2019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w:t>
            </w:r>
          </w:p>
        </w:tc>
        <w:tc>
          <w:tcPr>
            <w:tcW w:w="6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2.66%*</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V</w:t>
            </w:r>
          </w:p>
        </w:tc>
        <w:tc>
          <w:tcPr>
            <w:tcW w:w="17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2"/>
              </w:rPr>
              <w:t>Fifth Third Bank</w:t>
            </w: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Aug 2016-Aug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w:t>
            </w:r>
          </w:p>
        </w:tc>
      </w:tr>
    </w:tbl>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includes LIBOR floor of 1.00%</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exposed to increased interest expense if a counterparty defaults. Refer to NOTE F and NOTE G of the notes to our condensed consolidated financial statements included in Part I, Item 1 of this Quarterly Report on Form 10-Q.</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While our net sales and costs are denominated primarily in U.S. Dollars, net sales, costs, assets and liabilities are generated in other currencies including Japanese Yen, Euro, Indian Rupee, Brazilian Real, Chinese Yuan Renminbi, Canadian Dollar and Hungarian Forint. The expansion of our business outside North America may further increase the risk that cash flows resulting from these activities may be adversely affected by changes in currency exchange rates. As of September 30, 2014, we hold hedging contracts in the Japanese Yen, which are intended to hedge either known or forecasted cash flow payments denominated in the currency. We do not hold financial instruments for trading or speculative purposes.</w:t>
      </w:r>
    </w:p>
    <w:p>
      <w:pPr>
        <w:spacing w:after="0" w:line="11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Assuming current levels of foreign currency transactions, a 10% aggregate increase or decrease in the Japanese Yen, Euro, Indian Rupee, Chinese Yuan Renminbi and Canadian Dollar would correspondingly change our earnings by an estimated $3 million per year. This includes the partial offset of our hedging contracts described above. All other exposure to foreign currencies is considered immaterial.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subject to changes in our cost of sales caused by movements in underlying commodity prices. Approximately two-thirds of our cost of sales consists of purchased components with significant raw material content. A substantial portion of the purchased parts are made of aluminum and steel. The cost of aluminum parts include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LTSAs. We historically have not entered into long-term purchase contracts related to the purchase of aluminum and steel. We currently hold financial forward contracts that are intended to hedge forecasted aluminum purchases. Based on our forecasted demand for 2014, 2015 and 2016, as of September 30, 2014, the hedge contracts cover approximately 47%, 29% and 6% of our aluminum requirements, respectively. We do not hold financial instruments for trading or speculative purposes.</w:t>
      </w:r>
    </w:p>
    <w:p>
      <w:pPr>
        <w:sectPr>
          <w:pgSz w:w="11900" w:h="16838" w:orient="portrait"/>
          <w:cols w:equalWidth="0" w:num="1">
            <w:col w:w="11420"/>
          </w:cols>
          <w:pgMar w:left="240" w:top="459" w:right="239" w:bottom="1440" w:gutter="0" w:footer="0" w:header="0"/>
        </w:sectPr>
      </w:pP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Assuming current levels of commodity purchases, a 10% increase or decrease in the price of aluminum and steel would correspondingly change our earnings by approximately $1 million and $4 million per year, respectively. This includes the partial offset of our hedging contracts described above.</w:t>
      </w:r>
    </w:p>
    <w:p>
      <w:pPr>
        <w:spacing w:after="0" w:line="8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Many of our LTSAs have incorporated a cost-sharing arrangement related to potential future commodity price fluctuations. Our hedging policy is that we only hedge for our exposure and do not hedge any portion of the customers’ exposure. For purposes of the sensitivity analysis above, the impact of these cost sharing arrangements have not been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Rules 13a-15(e) or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20" w:lineRule="exact"/>
        <w:rPr>
          <w:sz w:val="20"/>
          <w:szCs w:val="20"/>
          <w:color w:val="auto"/>
        </w:rPr>
      </w:pPr>
    </w:p>
    <w:p>
      <w:pPr>
        <w:jc w:val="both"/>
        <w:ind w:right="120" w:firstLine="456"/>
        <w:spacing w:after="0" w:line="294" w:lineRule="auto"/>
        <w:rPr>
          <w:sz w:val="20"/>
          <w:szCs w:val="20"/>
          <w:color w:val="auto"/>
        </w:rPr>
      </w:pPr>
      <w:r>
        <w:rPr>
          <w:rFonts w:ascii="Arial" w:cs="Arial" w:eastAsia="Arial" w:hAnsi="Arial"/>
          <w:sz w:val="16"/>
          <w:szCs w:val="16"/>
          <w:color w:val="auto"/>
        </w:rPr>
        <w:t>Based on that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There were no changes in our internal control over financial reporting (as defined in Rules 13a-15(f) or 15d-15(f) under the Exchange Act) during the period covered by this Quarterly Report on Form 10-Q that have materially affected, or are reasonably likely to materially affect, our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From time to time, we are a party to various legal actions in the normal course of our business, including those related to commercial transactions, product liability, safety, health, taxes, environmental and other matters. See NOTE O in the notes to the condensed consolidated financial statements included in Part I, Item 1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There have been no material changes from our risk factors as previously reported in Part I, Item 1A of our Annual Report on Form 10-K for the year ended December 31, 2013 as filed with the Securities and Exchange Commission on February 24,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560" w:type="dxa"/>
            <w:vAlign w:val="bottom"/>
            <w:gridSpan w:val="3"/>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97"/>
        </w:trPr>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320" w:type="dxa"/>
            <w:vAlign w:val="bottom"/>
            <w:tcBorders>
              <w:bottom w:val="single" w:sz="8" w:color="auto"/>
            </w:tcBorders>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780" w:type="dxa"/>
            <w:vAlign w:val="bottom"/>
            <w:tcBorders>
              <w:bottom w:val="single" w:sz="8" w:color="auto"/>
            </w:tcBorders>
          </w:tcPr>
          <w:p>
            <w:pPr>
              <w:spacing w:after="0"/>
              <w:rPr>
                <w:sz w:val="8"/>
                <w:szCs w:val="8"/>
                <w:color w:val="auto"/>
              </w:rPr>
            </w:pPr>
          </w:p>
        </w:tc>
      </w:tr>
      <w:tr>
        <w:trPr>
          <w:trHeight w:val="370"/>
        </w:trPr>
        <w:tc>
          <w:tcPr>
            <w:tcW w:w="100" w:type="dxa"/>
            <w:vAlign w:val="bottom"/>
          </w:tcPr>
          <w:p>
            <w:pPr>
              <w:spacing w:after="0"/>
              <w:rPr>
                <w:sz w:val="24"/>
                <w:szCs w:val="24"/>
                <w:color w:val="auto"/>
              </w:rPr>
            </w:pPr>
          </w:p>
        </w:tc>
        <w:tc>
          <w:tcPr>
            <w:tcW w:w="11320" w:type="dxa"/>
            <w:vAlign w:val="bottom"/>
            <w:gridSpan w:val="5"/>
          </w:tcPr>
          <w:p>
            <w:pPr>
              <w:ind w:left="360"/>
              <w:spacing w:after="0"/>
              <w:rPr>
                <w:sz w:val="20"/>
                <w:szCs w:val="20"/>
                <w:color w:val="auto"/>
              </w:rPr>
            </w:pPr>
            <w:r>
              <w:rPr>
                <w:rFonts w:ascii="Arial" w:cs="Arial" w:eastAsia="Arial" w:hAnsi="Arial"/>
                <w:sz w:val="18"/>
                <w:szCs w:val="18"/>
                <w:color w:val="auto"/>
              </w:rPr>
              <w:t>(a) Exhibits</w:t>
            </w:r>
          </w:p>
        </w:tc>
      </w:tr>
      <w:tr>
        <w:trPr>
          <w:trHeight w:val="340"/>
        </w:trPr>
        <w:tc>
          <w:tcPr>
            <w:tcW w:w="100" w:type="dxa"/>
            <w:vAlign w:val="bottom"/>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5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161"/>
        </w:trPr>
        <w:tc>
          <w:tcPr>
            <w:tcW w:w="100" w:type="dxa"/>
            <w:vAlign w:val="bottom"/>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2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80" w:type="dxa"/>
            <w:vAlign w:val="bottom"/>
          </w:tcPr>
          <w:p>
            <w:pPr>
              <w:spacing w:after="0"/>
              <w:rPr>
                <w:sz w:val="14"/>
                <w:szCs w:val="14"/>
                <w:color w:val="auto"/>
              </w:rPr>
            </w:pPr>
          </w:p>
        </w:tc>
      </w:tr>
      <w:tr>
        <w:trPr>
          <w:trHeight w:val="309"/>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Certification of Chief Executive Officer pursuant to Rule 13a-14(a)/15d-14(a) as adopted pursuant 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Section 302 of the Sarbanes-Oxley Act of 2002 (filed herewith)</w:t>
            </w:r>
          </w:p>
        </w:tc>
      </w:tr>
      <w:tr>
        <w:trPr>
          <w:trHeight w:val="331"/>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Certification of Chief Financial Officer pursuant to Rule 13a-14(a)/15d-14(a) as adopted pursuant 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Section 302 of the Sarbanes-Oxley Act of 2002 (filed herewith)</w:t>
            </w:r>
          </w:p>
        </w:tc>
      </w:tr>
      <w:tr>
        <w:trPr>
          <w:trHeight w:val="331"/>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0"/>
              </w:rPr>
              <w:t>Certification of Periodic Report by Chief Executive Officer and Chief Financial Officer pursuant to 18 U.S.C. Section 1350, as adopted pursuant</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to Section 906 of the Sarbanes-Oxley Act of 2002 (filed herewith)</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80" w:type="dxa"/>
            <w:vAlign w:val="bottom"/>
          </w:tcPr>
          <w:p>
            <w:pPr>
              <w:ind w:left="4760"/>
              <w:spacing w:after="0"/>
              <w:rPr>
                <w:sz w:val="20"/>
                <w:szCs w:val="20"/>
                <w:color w:val="auto"/>
              </w:rPr>
            </w:pPr>
            <w:r>
              <w:rPr>
                <w:rFonts w:ascii="Arial" w:cs="Arial" w:eastAsia="Arial" w:hAnsi="Arial"/>
                <w:sz w:val="18"/>
                <w:szCs w:val="18"/>
                <w:color w:val="auto"/>
              </w:rPr>
              <w:t>34</w:t>
            </w:r>
          </w:p>
        </w:tc>
        <w:tc>
          <w:tcPr>
            <w:tcW w:w="70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60" w:type="dxa"/>
            <w:vAlign w:val="bottom"/>
          </w:tcPr>
          <w:p>
            <w:pPr>
              <w:spacing w:after="0"/>
              <w:rPr>
                <w:sz w:val="19"/>
                <w:szCs w:val="19"/>
                <w:color w:val="auto"/>
              </w:rPr>
            </w:pPr>
          </w:p>
        </w:tc>
        <w:tc>
          <w:tcPr>
            <w:tcW w:w="7860" w:type="dxa"/>
            <w:vAlign w:val="bottom"/>
            <w:gridSpan w:val="3"/>
          </w:tcPr>
          <w:p>
            <w:pPr>
              <w:ind w:left="1900"/>
              <w:spacing w:after="0"/>
              <w:rPr>
                <w:sz w:val="20"/>
                <w:szCs w:val="20"/>
                <w:color w:val="auto"/>
              </w:rPr>
            </w:pPr>
            <w:r>
              <w:rPr>
                <w:rFonts w:ascii="Arial" w:cs="Arial" w:eastAsia="Arial" w:hAnsi="Arial"/>
                <w:sz w:val="18"/>
                <w:szCs w:val="18"/>
                <w:b w:val="1"/>
                <w:bCs w:val="1"/>
                <w:color w:val="auto"/>
              </w:rPr>
              <w:t>ALLISON TRANSMISSION HOLDINGS, INC.</w:t>
            </w:r>
          </w:p>
        </w:tc>
      </w:tr>
      <w:tr>
        <w:trPr>
          <w:trHeight w:val="433"/>
        </w:trPr>
        <w:tc>
          <w:tcPr>
            <w:tcW w:w="3560" w:type="dxa"/>
            <w:vAlign w:val="bottom"/>
          </w:tcPr>
          <w:p>
            <w:pPr>
              <w:spacing w:after="0"/>
              <w:rPr>
                <w:sz w:val="20"/>
                <w:szCs w:val="20"/>
                <w:color w:val="auto"/>
              </w:rPr>
            </w:pPr>
            <w:r>
              <w:rPr>
                <w:rFonts w:ascii="Arial" w:cs="Arial" w:eastAsia="Arial" w:hAnsi="Arial"/>
                <w:sz w:val="18"/>
                <w:szCs w:val="18"/>
                <w:color w:val="auto"/>
              </w:rPr>
              <w:t>Date: October 28, 2014</w:t>
            </w:r>
          </w:p>
        </w:tc>
        <w:tc>
          <w:tcPr>
            <w:tcW w:w="2480" w:type="dxa"/>
            <w:vAlign w:val="bottom"/>
          </w:tcPr>
          <w:p>
            <w:pPr>
              <w:ind w:left="190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Lawrence E. Dewey</w:t>
            </w:r>
          </w:p>
        </w:tc>
      </w:tr>
      <w:tr>
        <w:trPr>
          <w:trHeight w:val="216"/>
        </w:trPr>
        <w:tc>
          <w:tcPr>
            <w:tcW w:w="35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4860" w:type="dxa"/>
            <w:vAlign w:val="bottom"/>
          </w:tcPr>
          <w:p>
            <w:pPr>
              <w:ind w:left="80"/>
              <w:spacing w:after="0"/>
              <w:rPr>
                <w:sz w:val="20"/>
                <w:szCs w:val="20"/>
                <w:color w:val="auto"/>
              </w:rPr>
            </w:pPr>
            <w:r>
              <w:rPr>
                <w:rFonts w:ascii="Arial" w:cs="Arial" w:eastAsia="Arial" w:hAnsi="Arial"/>
                <w:sz w:val="18"/>
                <w:szCs w:val="18"/>
                <w:color w:val="auto"/>
              </w:rPr>
              <w:t>Lawrence E. Dewey</w:t>
            </w:r>
          </w:p>
        </w:tc>
      </w:tr>
      <w:tr>
        <w:trPr>
          <w:trHeight w:val="222"/>
        </w:trPr>
        <w:tc>
          <w:tcPr>
            <w:tcW w:w="35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ind w:left="80"/>
              <w:spacing w:after="0"/>
              <w:rPr>
                <w:sz w:val="20"/>
                <w:szCs w:val="20"/>
                <w:color w:val="auto"/>
              </w:rPr>
            </w:pPr>
            <w:r>
              <w:rPr>
                <w:rFonts w:ascii="Arial" w:cs="Arial" w:eastAsia="Arial" w:hAnsi="Arial"/>
                <w:sz w:val="18"/>
                <w:szCs w:val="18"/>
                <w:color w:val="auto"/>
              </w:rPr>
              <w:t>Chairman, President and Chief Executive Officer</w:t>
            </w:r>
          </w:p>
        </w:tc>
      </w:tr>
      <w:tr>
        <w:trPr>
          <w:trHeight w:val="433"/>
        </w:trPr>
        <w:tc>
          <w:tcPr>
            <w:tcW w:w="3560" w:type="dxa"/>
            <w:vAlign w:val="bottom"/>
          </w:tcPr>
          <w:p>
            <w:pPr>
              <w:spacing w:after="0"/>
              <w:rPr>
                <w:sz w:val="20"/>
                <w:szCs w:val="20"/>
                <w:color w:val="auto"/>
              </w:rPr>
            </w:pPr>
            <w:r>
              <w:rPr>
                <w:rFonts w:ascii="Arial" w:cs="Arial" w:eastAsia="Arial" w:hAnsi="Arial"/>
                <w:sz w:val="18"/>
                <w:szCs w:val="18"/>
                <w:color w:val="auto"/>
              </w:rPr>
              <w:t>Date: October 28, 2014</w:t>
            </w:r>
          </w:p>
        </w:tc>
        <w:tc>
          <w:tcPr>
            <w:tcW w:w="2480" w:type="dxa"/>
            <w:vAlign w:val="bottom"/>
          </w:tcPr>
          <w:p>
            <w:pPr>
              <w:ind w:left="190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S. Graziosi</w:t>
            </w:r>
          </w:p>
        </w:tc>
      </w:tr>
      <w:tr>
        <w:trPr>
          <w:trHeight w:val="216"/>
        </w:trPr>
        <w:tc>
          <w:tcPr>
            <w:tcW w:w="35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4860" w:type="dxa"/>
            <w:vAlign w:val="bottom"/>
          </w:tcPr>
          <w:p>
            <w:pPr>
              <w:ind w:left="80"/>
              <w:spacing w:after="0"/>
              <w:rPr>
                <w:sz w:val="20"/>
                <w:szCs w:val="20"/>
                <w:color w:val="auto"/>
              </w:rPr>
            </w:pPr>
            <w:r>
              <w:rPr>
                <w:rFonts w:ascii="Arial" w:cs="Arial" w:eastAsia="Arial" w:hAnsi="Arial"/>
                <w:sz w:val="18"/>
                <w:szCs w:val="18"/>
                <w:color w:val="auto"/>
              </w:rPr>
              <w:t>David S. Graziosi</w:t>
            </w:r>
          </w:p>
        </w:tc>
      </w:tr>
      <w:tr>
        <w:trPr>
          <w:trHeight w:val="216"/>
        </w:trPr>
        <w:tc>
          <w:tcPr>
            <w:tcW w:w="35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ind w:left="80"/>
              <w:spacing w:after="0"/>
              <w:rPr>
                <w:sz w:val="20"/>
                <w:szCs w:val="20"/>
                <w:color w:val="auto"/>
              </w:rPr>
            </w:pPr>
            <w:r>
              <w:rPr>
                <w:rFonts w:ascii="Arial" w:cs="Arial" w:eastAsia="Arial" w:hAnsi="Arial"/>
                <w:sz w:val="18"/>
                <w:szCs w:val="18"/>
                <w:color w:val="auto"/>
              </w:rPr>
              <w:t>Executive Vice President, Chief</w:t>
            </w:r>
          </w:p>
        </w:tc>
      </w:tr>
      <w:tr>
        <w:trPr>
          <w:trHeight w:val="216"/>
        </w:trPr>
        <w:tc>
          <w:tcPr>
            <w:tcW w:w="35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60" w:type="dxa"/>
            <w:vAlign w:val="bottom"/>
          </w:tcPr>
          <w:p>
            <w:pPr>
              <w:ind w:left="80"/>
              <w:spacing w:after="0"/>
              <w:rPr>
                <w:sz w:val="20"/>
                <w:szCs w:val="20"/>
                <w:color w:val="auto"/>
              </w:rPr>
            </w:pPr>
            <w:r>
              <w:rPr>
                <w:rFonts w:ascii="Arial" w:cs="Arial" w:eastAsia="Arial" w:hAnsi="Arial"/>
                <w:sz w:val="18"/>
                <w:szCs w:val="18"/>
                <w:color w:val="auto"/>
              </w:rPr>
              <w:t>Financial Officer and Treasurer</w:t>
            </w:r>
          </w:p>
        </w:tc>
      </w:tr>
      <w:tr>
        <w:trPr>
          <w:trHeight w:val="222"/>
        </w:trPr>
        <w:tc>
          <w:tcPr>
            <w:tcW w:w="35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60" w:type="dxa"/>
            <w:vAlign w:val="bottom"/>
          </w:tcPr>
          <w:p>
            <w:pPr>
              <w:ind w:left="80"/>
              <w:spacing w:after="0"/>
              <w:rPr>
                <w:sz w:val="20"/>
                <w:szCs w:val="20"/>
                <w:color w:val="auto"/>
              </w:rPr>
            </w:pPr>
            <w:r>
              <w:rPr>
                <w:rFonts w:ascii="Arial" w:cs="Arial" w:eastAsia="Arial" w:hAnsi="Arial"/>
                <w:sz w:val="18"/>
                <w:szCs w:val="18"/>
                <w:color w:val="auto"/>
              </w:rPr>
              <w:t>(Principal Accounting Officer)</w:t>
            </w:r>
          </w:p>
        </w:tc>
      </w:tr>
      <w:tr>
        <w:trPr>
          <w:trHeight w:val="378"/>
        </w:trPr>
        <w:tc>
          <w:tcPr>
            <w:tcW w:w="3560" w:type="dxa"/>
            <w:vAlign w:val="bottom"/>
          </w:tcPr>
          <w:p>
            <w:pPr>
              <w:spacing w:after="0"/>
              <w:rPr>
                <w:sz w:val="24"/>
                <w:szCs w:val="24"/>
                <w:color w:val="auto"/>
              </w:rPr>
            </w:pPr>
          </w:p>
        </w:tc>
        <w:tc>
          <w:tcPr>
            <w:tcW w:w="2480" w:type="dxa"/>
            <w:vAlign w:val="bottom"/>
          </w:tcPr>
          <w:p>
            <w:pPr>
              <w:jc w:val="right"/>
              <w:ind w:right="152"/>
              <w:spacing w:after="0"/>
              <w:rPr>
                <w:sz w:val="20"/>
                <w:szCs w:val="20"/>
                <w:color w:val="auto"/>
              </w:rPr>
            </w:pPr>
            <w:r>
              <w:rPr>
                <w:rFonts w:ascii="Arial" w:cs="Arial" w:eastAsia="Arial" w:hAnsi="Arial"/>
                <w:sz w:val="18"/>
                <w:szCs w:val="18"/>
                <w:color w:val="auto"/>
              </w:rPr>
              <w:t>35</w:t>
            </w:r>
          </w:p>
        </w:tc>
        <w:tc>
          <w:tcPr>
            <w:tcW w:w="520" w:type="dxa"/>
            <w:vAlign w:val="bottom"/>
          </w:tcPr>
          <w:p>
            <w:pPr>
              <w:spacing w:after="0"/>
              <w:rPr>
                <w:sz w:val="24"/>
                <w:szCs w:val="24"/>
                <w:color w:val="auto"/>
              </w:rPr>
            </w:pPr>
          </w:p>
        </w:tc>
        <w:tc>
          <w:tcPr>
            <w:tcW w:w="48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71" w:lineRule="exact"/>
        <w:rPr>
          <w:sz w:val="20"/>
          <w:szCs w:val="20"/>
          <w:color w:val="auto"/>
        </w:rPr>
      </w:pPr>
    </w:p>
    <w:p>
      <w:pPr>
        <w:jc w:val="center"/>
        <w:ind w:left="260" w:right="2420"/>
        <w:spacing w:after="0" w:line="262"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Lawrence E. Dewey, certify that:</w:t>
      </w:r>
    </w:p>
    <w:p>
      <w:pPr>
        <w:spacing w:after="0" w:line="9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28,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Lawrence E. Dewey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Chairman, President and Chief Executive Officer</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71" w:lineRule="exact"/>
        <w:rPr>
          <w:sz w:val="20"/>
          <w:szCs w:val="20"/>
          <w:color w:val="auto"/>
        </w:rPr>
      </w:pPr>
    </w:p>
    <w:p>
      <w:pPr>
        <w:jc w:val="center"/>
        <w:ind w:left="260" w:right="2420"/>
        <w:spacing w:after="0" w:line="262"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David S. Graziosi, certify that:</w:t>
      </w:r>
    </w:p>
    <w:p>
      <w:pPr>
        <w:spacing w:after="0" w:line="9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28,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073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David S. Graziosi</w:t>
      </w:r>
    </w:p>
    <w:p>
      <w:pPr>
        <w:spacing w:after="0" w:line="1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Executive Vice President, Chief Financial Officer and Treasurer</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Quarterly Report of Allison Transmission Holdings, Inc. (the “Company”) on Form 10-Q for the quarter ending September 30, 2014 as filed with the Securities and Exchange Commission on the date hereof (the “Report”), we, Lawrence E. Dewey, Chairman, President and Chief Executive Officer of the Company, and David S. Graziosi, Executive Vice President, Chief Financial Officer and Treasurer of the Company, certify, pursuant to 18 U.S.C. § 1350 as adopted pursuant to § 906 of the Sarbanes-Oxley Act of 2002, that:</w:t>
      </w:r>
    </w:p>
    <w:p>
      <w:pPr>
        <w:spacing w:after="0" w:line="6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28,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Lawrence E. Dewey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28,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S. Graziosi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2019-12-07T17:05:25Z</dcterms:created>
  <dcterms:modified xsi:type="dcterms:W3CDTF">2019-12-07T17:05:25Z</dcterms:modified>
</cp:coreProperties>
</file>