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8890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ind w:left="600" w:right="100" w:hanging="579"/>
        <w:spacing w:after="0" w:line="267" w:lineRule="auto"/>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0" w:lineRule="exact"/>
        <w:rPr>
          <w:sz w:val="24"/>
          <w:szCs w:val="24"/>
          <w:color w:val="auto"/>
        </w:rPr>
      </w:pPr>
    </w:p>
    <w:p>
      <w:pPr>
        <w:ind w:left="600" w:right="100" w:hanging="579"/>
        <w:spacing w:after="0" w:line="267" w:lineRule="auto"/>
        <w:tabs>
          <w:tab w:leader="none" w:pos="6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jc w:val="center"/>
        <w:spacing w:after="0"/>
        <w:rPr>
          <w:sz w:val="20"/>
          <w:szCs w:val="20"/>
          <w:color w:val="auto"/>
        </w:rPr>
      </w:pPr>
      <w:r>
        <w:rPr>
          <w:rFonts w:ascii="Arial" w:cs="Arial" w:eastAsia="Arial" w:hAnsi="Arial"/>
          <w:sz w:val="18"/>
          <w:szCs w:val="18"/>
          <w:b w:val="1"/>
          <w:bCs w:val="1"/>
          <w:color w:val="auto"/>
        </w:rPr>
        <w:t>Commission File No. 001-35456</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41275</wp:posOffset>
            </wp:positionV>
            <wp:extent cx="1731645" cy="522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3164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tbl>
      <w:tblPr>
        <w:tblLayout w:type="fixed"/>
        <w:tblInd w:w="1360" w:type="dxa"/>
        <w:tblCellMar>
          <w:top w:w="0" w:type="dxa"/>
          <w:left w:w="0" w:type="dxa"/>
          <w:bottom w:w="0" w:type="dxa"/>
          <w:right w:w="0" w:type="dxa"/>
        </w:tblCellMar>
      </w:tblPr>
      <w:tr>
        <w:trPr>
          <w:trHeight w:val="251"/>
        </w:trPr>
        <w:tc>
          <w:tcPr>
            <w:tcW w:w="6180" w:type="dxa"/>
            <w:vAlign w:val="bottom"/>
          </w:tcPr>
          <w:p>
            <w:pPr>
              <w:jc w:val="center"/>
              <w:ind w:right="3179"/>
              <w:spacing w:after="0"/>
              <w:rPr>
                <w:sz w:val="20"/>
                <w:szCs w:val="20"/>
                <w:color w:val="auto"/>
              </w:rPr>
            </w:pPr>
            <w:r>
              <w:rPr>
                <w:rFonts w:ascii="Arial" w:cs="Arial" w:eastAsia="Arial" w:hAnsi="Arial"/>
                <w:sz w:val="18"/>
                <w:szCs w:val="18"/>
                <w:b w:val="1"/>
                <w:bCs w:val="1"/>
                <w:color w:val="auto"/>
              </w:rPr>
              <w:t>Delaware</w:t>
            </w:r>
          </w:p>
        </w:tc>
        <w:tc>
          <w:tcPr>
            <w:tcW w:w="1600" w:type="dxa"/>
            <w:vAlign w:val="bottom"/>
          </w:tcPr>
          <w:p>
            <w:pPr>
              <w:jc w:val="right"/>
              <w:ind w:right="141"/>
              <w:spacing w:after="0"/>
              <w:rPr>
                <w:sz w:val="20"/>
                <w:szCs w:val="20"/>
                <w:color w:val="auto"/>
              </w:rPr>
            </w:pPr>
            <w:r>
              <w:rPr>
                <w:rFonts w:ascii="Arial" w:cs="Arial" w:eastAsia="Arial" w:hAnsi="Arial"/>
                <w:sz w:val="18"/>
                <w:szCs w:val="18"/>
                <w:b w:val="1"/>
                <w:bCs w:val="1"/>
                <w:color w:val="auto"/>
              </w:rPr>
              <w:t>26-0414014</w:t>
            </w:r>
          </w:p>
        </w:tc>
      </w:tr>
      <w:tr>
        <w:trPr>
          <w:trHeight w:val="266"/>
        </w:trPr>
        <w:tc>
          <w:tcPr>
            <w:tcW w:w="6180" w:type="dxa"/>
            <w:vAlign w:val="bottom"/>
          </w:tcPr>
          <w:p>
            <w:pPr>
              <w:jc w:val="center"/>
              <w:ind w:right="3179"/>
              <w:spacing w:after="0"/>
              <w:rPr>
                <w:sz w:val="20"/>
                <w:szCs w:val="20"/>
                <w:color w:val="auto"/>
              </w:rPr>
            </w:pPr>
            <w:r>
              <w:rPr>
                <w:rFonts w:ascii="Arial" w:cs="Arial" w:eastAsia="Arial" w:hAnsi="Arial"/>
                <w:sz w:val="14"/>
                <w:szCs w:val="14"/>
                <w:color w:val="auto"/>
              </w:rPr>
              <w:t>(State or Other Jurisdiction of Incorporation or</w:t>
            </w:r>
          </w:p>
        </w:tc>
        <w:tc>
          <w:tcPr>
            <w:tcW w:w="1600" w:type="dxa"/>
            <w:vAlign w:val="bottom"/>
          </w:tcPr>
          <w:p>
            <w:pPr>
              <w:jc w:val="center"/>
              <w:ind w:left="101"/>
              <w:spacing w:after="0"/>
              <w:rPr>
                <w:sz w:val="20"/>
                <w:szCs w:val="20"/>
                <w:color w:val="auto"/>
              </w:rPr>
            </w:pPr>
            <w:r>
              <w:rPr>
                <w:rFonts w:ascii="Arial" w:cs="Arial" w:eastAsia="Arial" w:hAnsi="Arial"/>
                <w:sz w:val="14"/>
                <w:szCs w:val="14"/>
                <w:color w:val="auto"/>
              </w:rPr>
              <w:t>(I.R.S. Employer</w:t>
            </w:r>
          </w:p>
        </w:tc>
      </w:tr>
      <w:tr>
        <w:trPr>
          <w:trHeight w:val="182"/>
        </w:trPr>
        <w:tc>
          <w:tcPr>
            <w:tcW w:w="6180" w:type="dxa"/>
            <w:vAlign w:val="bottom"/>
          </w:tcPr>
          <w:p>
            <w:pPr>
              <w:jc w:val="center"/>
              <w:ind w:right="3199"/>
              <w:spacing w:after="0"/>
              <w:rPr>
                <w:sz w:val="20"/>
                <w:szCs w:val="20"/>
                <w:color w:val="auto"/>
              </w:rPr>
            </w:pPr>
            <w:r>
              <w:rPr>
                <w:rFonts w:ascii="Arial" w:cs="Arial" w:eastAsia="Arial" w:hAnsi="Arial"/>
                <w:sz w:val="14"/>
                <w:szCs w:val="14"/>
                <w:color w:val="auto"/>
              </w:rPr>
              <w:t>Organization)</w:t>
            </w:r>
          </w:p>
        </w:tc>
        <w:tc>
          <w:tcPr>
            <w:tcW w:w="1600" w:type="dxa"/>
            <w:vAlign w:val="bottom"/>
          </w:tcPr>
          <w:p>
            <w:pPr>
              <w:jc w:val="center"/>
              <w:ind w:left="101"/>
              <w:spacing w:after="0"/>
              <w:rPr>
                <w:sz w:val="20"/>
                <w:szCs w:val="20"/>
                <w:color w:val="auto"/>
              </w:rPr>
            </w:pPr>
            <w:r>
              <w:rPr>
                <w:rFonts w:ascii="Arial" w:cs="Arial" w:eastAsia="Arial" w:hAnsi="Arial"/>
                <w:sz w:val="14"/>
                <w:szCs w:val="14"/>
                <w:color w:val="auto"/>
              </w:rPr>
              <w:t>Identification Number)</w:t>
            </w:r>
          </w:p>
        </w:tc>
      </w:tr>
      <w:tr>
        <w:trPr>
          <w:trHeight w:val="388"/>
        </w:trPr>
        <w:tc>
          <w:tcPr>
            <w:tcW w:w="6180" w:type="dxa"/>
            <w:vAlign w:val="bottom"/>
          </w:tcPr>
          <w:p>
            <w:pPr>
              <w:jc w:val="center"/>
              <w:ind w:right="3179"/>
              <w:spacing w:after="0"/>
              <w:rPr>
                <w:sz w:val="20"/>
                <w:szCs w:val="20"/>
                <w:color w:val="auto"/>
              </w:rPr>
            </w:pPr>
            <w:r>
              <w:rPr>
                <w:rFonts w:ascii="Arial" w:cs="Arial" w:eastAsia="Arial" w:hAnsi="Arial"/>
                <w:sz w:val="18"/>
                <w:szCs w:val="18"/>
                <w:b w:val="1"/>
                <w:bCs w:val="1"/>
                <w:color w:val="auto"/>
                <w:w w:val="98"/>
              </w:rPr>
              <w:t>One Allison Way</w:t>
            </w:r>
          </w:p>
        </w:tc>
        <w:tc>
          <w:tcPr>
            <w:tcW w:w="1600" w:type="dxa"/>
            <w:vAlign w:val="bottom"/>
          </w:tcPr>
          <w:p>
            <w:pPr>
              <w:spacing w:after="0"/>
              <w:rPr>
                <w:sz w:val="24"/>
                <w:szCs w:val="24"/>
                <w:color w:val="auto"/>
              </w:rPr>
            </w:pPr>
          </w:p>
        </w:tc>
      </w:tr>
      <w:tr>
        <w:trPr>
          <w:trHeight w:val="311"/>
        </w:trPr>
        <w:tc>
          <w:tcPr>
            <w:tcW w:w="6180" w:type="dxa"/>
            <w:vAlign w:val="bottom"/>
          </w:tcPr>
          <w:p>
            <w:pPr>
              <w:jc w:val="center"/>
              <w:ind w:right="3219"/>
              <w:spacing w:after="0"/>
              <w:rPr>
                <w:sz w:val="20"/>
                <w:szCs w:val="20"/>
                <w:color w:val="auto"/>
              </w:rPr>
            </w:pPr>
            <w:r>
              <w:rPr>
                <w:rFonts w:ascii="Arial" w:cs="Arial" w:eastAsia="Arial" w:hAnsi="Arial"/>
                <w:sz w:val="18"/>
                <w:szCs w:val="18"/>
                <w:b w:val="1"/>
                <w:bCs w:val="1"/>
                <w:color w:val="auto"/>
                <w:w w:val="99"/>
              </w:rPr>
              <w:t>Indianapolis, IN</w:t>
            </w:r>
          </w:p>
        </w:tc>
        <w:tc>
          <w:tcPr>
            <w:tcW w:w="1600" w:type="dxa"/>
            <w:vAlign w:val="bottom"/>
          </w:tcPr>
          <w:p>
            <w:pPr>
              <w:jc w:val="right"/>
              <w:ind w:right="381"/>
              <w:spacing w:after="0"/>
              <w:rPr>
                <w:sz w:val="20"/>
                <w:szCs w:val="20"/>
                <w:color w:val="auto"/>
              </w:rPr>
            </w:pPr>
            <w:r>
              <w:rPr>
                <w:rFonts w:ascii="Arial" w:cs="Arial" w:eastAsia="Arial" w:hAnsi="Arial"/>
                <w:sz w:val="18"/>
                <w:szCs w:val="18"/>
                <w:b w:val="1"/>
                <w:bCs w:val="1"/>
                <w:color w:val="auto"/>
              </w:rPr>
              <w:t>46222</w:t>
            </w:r>
          </w:p>
        </w:tc>
      </w:tr>
      <w:tr>
        <w:trPr>
          <w:trHeight w:val="246"/>
        </w:trPr>
        <w:tc>
          <w:tcPr>
            <w:tcW w:w="6180" w:type="dxa"/>
            <w:vAlign w:val="bottom"/>
          </w:tcPr>
          <w:p>
            <w:pPr>
              <w:jc w:val="center"/>
              <w:ind w:right="3179"/>
              <w:spacing w:after="0"/>
              <w:rPr>
                <w:sz w:val="20"/>
                <w:szCs w:val="20"/>
                <w:color w:val="auto"/>
              </w:rPr>
            </w:pPr>
            <w:r>
              <w:rPr>
                <w:rFonts w:ascii="Arial" w:cs="Arial" w:eastAsia="Arial" w:hAnsi="Arial"/>
                <w:sz w:val="14"/>
                <w:szCs w:val="14"/>
                <w:color w:val="auto"/>
              </w:rPr>
              <w:t>(Address of Principal Executive Offices)</w:t>
            </w:r>
          </w:p>
        </w:tc>
        <w:tc>
          <w:tcPr>
            <w:tcW w:w="1600" w:type="dxa"/>
            <w:vAlign w:val="bottom"/>
          </w:tcPr>
          <w:p>
            <w:pPr>
              <w:jc w:val="center"/>
              <w:ind w:left="121"/>
              <w:spacing w:after="0"/>
              <w:rPr>
                <w:sz w:val="20"/>
                <w:szCs w:val="20"/>
                <w:color w:val="auto"/>
              </w:rPr>
            </w:pPr>
            <w:r>
              <w:rPr>
                <w:rFonts w:ascii="Arial" w:cs="Arial" w:eastAsia="Arial" w:hAnsi="Arial"/>
                <w:sz w:val="14"/>
                <w:szCs w:val="14"/>
                <w:color w:val="auto"/>
              </w:rPr>
              <w:t>(Zip Code)</w:t>
            </w:r>
          </w:p>
        </w:tc>
      </w:tr>
      <w:tr>
        <w:trPr>
          <w:trHeight w:val="331"/>
        </w:trPr>
        <w:tc>
          <w:tcPr>
            <w:tcW w:w="6180" w:type="dxa"/>
            <w:vAlign w:val="bottom"/>
          </w:tcPr>
          <w:p>
            <w:pPr>
              <w:jc w:val="right"/>
              <w:ind w:right="1219"/>
              <w:spacing w:after="0"/>
              <w:rPr>
                <w:sz w:val="20"/>
                <w:szCs w:val="20"/>
                <w:color w:val="auto"/>
              </w:rPr>
            </w:pPr>
            <w:r>
              <w:rPr>
                <w:rFonts w:ascii="Arial" w:cs="Arial" w:eastAsia="Arial" w:hAnsi="Arial"/>
                <w:sz w:val="18"/>
                <w:szCs w:val="18"/>
                <w:b w:val="1"/>
                <w:bCs w:val="1"/>
                <w:color w:val="auto"/>
              </w:rPr>
              <w:t>(317) 242-5000</w:t>
            </w:r>
          </w:p>
        </w:tc>
        <w:tc>
          <w:tcPr>
            <w:tcW w:w="1600" w:type="dxa"/>
            <w:vAlign w:val="bottom"/>
          </w:tcPr>
          <w:p>
            <w:pPr>
              <w:spacing w:after="0"/>
              <w:rPr>
                <w:sz w:val="24"/>
                <w:szCs w:val="24"/>
                <w:color w:val="auto"/>
              </w:rPr>
            </w:pPr>
          </w:p>
        </w:tc>
      </w:tr>
      <w:tr>
        <w:trPr>
          <w:trHeight w:val="182"/>
        </w:trPr>
        <w:tc>
          <w:tcPr>
            <w:tcW w:w="6180" w:type="dxa"/>
            <w:vAlign w:val="bottom"/>
          </w:tcPr>
          <w:p>
            <w:pPr>
              <w:jc w:val="center"/>
              <w:ind w:left="2259"/>
              <w:spacing w:after="0"/>
              <w:rPr>
                <w:sz w:val="20"/>
                <w:szCs w:val="20"/>
                <w:color w:val="auto"/>
              </w:rPr>
            </w:pPr>
            <w:r>
              <w:rPr>
                <w:rFonts w:ascii="Arial" w:cs="Arial" w:eastAsia="Arial" w:hAnsi="Arial"/>
                <w:sz w:val="14"/>
                <w:szCs w:val="14"/>
                <w:color w:val="auto"/>
              </w:rPr>
              <w:t>(Registrant’s Telephone Number, Including Area Code)</w:t>
            </w:r>
          </w:p>
        </w:tc>
        <w:tc>
          <w:tcPr>
            <w:tcW w:w="1600" w:type="dxa"/>
            <w:vAlign w:val="bottom"/>
          </w:tcPr>
          <w:p>
            <w:pPr>
              <w:spacing w:after="0"/>
              <w:rPr>
                <w:sz w:val="15"/>
                <w:szCs w:val="15"/>
                <w:color w:val="auto"/>
              </w:rPr>
            </w:pPr>
          </w:p>
        </w:tc>
      </w:tr>
    </w:tbl>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Title of each class</w:t>
            </w:r>
          </w:p>
        </w:tc>
        <w:tc>
          <w:tcPr>
            <w:tcW w:w="14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140" w:type="dxa"/>
            <w:vAlign w:val="bottom"/>
          </w:tcPr>
          <w:p>
            <w:pPr>
              <w:spacing w:after="0"/>
              <w:rPr>
                <w:sz w:val="17"/>
                <w:szCs w:val="17"/>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38"/>
        </w:trPr>
        <w:tc>
          <w:tcPr>
            <w:tcW w:w="4480" w:type="dxa"/>
            <w:vAlign w:val="bottom"/>
          </w:tcPr>
          <w:p>
            <w:pPr>
              <w:jc w:val="center"/>
              <w:spacing w:after="0"/>
              <w:rPr>
                <w:sz w:val="20"/>
                <w:szCs w:val="20"/>
                <w:color w:val="auto"/>
              </w:rPr>
            </w:pPr>
            <w:r>
              <w:rPr>
                <w:rFonts w:ascii="Arial" w:cs="Arial" w:eastAsia="Arial" w:hAnsi="Arial"/>
                <w:sz w:val="15"/>
                <w:szCs w:val="15"/>
                <w:b w:val="1"/>
                <w:bCs w:val="1"/>
                <w:color w:val="auto"/>
              </w:rPr>
              <w:t>Common Stock, $0.01 par value</w:t>
            </w:r>
          </w:p>
        </w:tc>
        <w:tc>
          <w:tcPr>
            <w:tcW w:w="14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Arial" w:cs="Arial" w:eastAsia="Arial" w:hAnsi="Arial"/>
                <w:sz w:val="15"/>
                <w:szCs w:val="15"/>
                <w:b w:val="1"/>
                <w:bCs w:val="1"/>
                <w:color w:val="auto"/>
                <w:w w:val="97"/>
              </w:rPr>
              <w:t>ALSN</w:t>
            </w:r>
          </w:p>
        </w:tc>
        <w:tc>
          <w:tcPr>
            <w:tcW w:w="1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5"/>
                <w:szCs w:val="15"/>
                <w:b w:val="1"/>
                <w:bCs w:val="1"/>
                <w:color w:val="auto"/>
              </w:rPr>
              <w:t>New York Stock Exchange</w:t>
            </w:r>
          </w:p>
        </w:tc>
      </w:tr>
    </w:tbl>
    <w:p>
      <w:pPr>
        <w:spacing w:after="0" w:line="93" w:lineRule="exact"/>
        <w:rPr>
          <w:sz w:val="24"/>
          <w:szCs w:val="24"/>
          <w:color w:val="auto"/>
        </w:rPr>
      </w:pPr>
    </w:p>
    <w:p>
      <w:pPr>
        <w:ind w:right="60"/>
        <w:spacing w:after="0" w:line="22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 w:lineRule="exact"/>
        <w:rPr>
          <w:sz w:val="24"/>
          <w:szCs w:val="24"/>
          <w:color w:val="auto"/>
        </w:rPr>
      </w:pPr>
    </w:p>
    <w:p>
      <w:pPr>
        <w:ind w:right="260"/>
        <w:spacing w:after="0" w:line="22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 w:lineRule="exact"/>
        <w:rPr>
          <w:sz w:val="24"/>
          <w:szCs w:val="24"/>
          <w:color w:val="auto"/>
        </w:rPr>
      </w:pPr>
    </w:p>
    <w:p>
      <w:pPr>
        <w:ind w:right="60"/>
        <w:spacing w:after="0" w:line="24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52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16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6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40" w:type="dxa"/>
            <w:vAlign w:val="bottom"/>
          </w:tcPr>
          <w:p>
            <w:pPr>
              <w:ind w:left="126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 w:lineRule="exact"/>
        <w:rPr>
          <w:sz w:val="24"/>
          <w:szCs w:val="24"/>
          <w:color w:val="auto"/>
        </w:rPr>
      </w:pPr>
    </w:p>
    <w:p>
      <w:pPr>
        <w:ind w:right="20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760"/>
        <w:spacing w:after="0" w:line="25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17, 2023, there were 89,534,833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140" w:type="dxa"/>
            <w:vAlign w:val="bottom"/>
            <w:gridSpan w:val="8"/>
          </w:tcPr>
          <w:p>
            <w:pPr>
              <w:jc w:val="center"/>
              <w:ind w:right="418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1"/>
                <w:szCs w:val="21"/>
                <w:color w:val="auto"/>
              </w:rPr>
            </w:pPr>
          </w:p>
        </w:tc>
      </w:tr>
      <w:tr>
        <w:trPr>
          <w:trHeight w:val="595"/>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Page</w:t>
            </w:r>
          </w:p>
        </w:tc>
      </w:tr>
      <w:tr>
        <w:trPr>
          <w:trHeight w:val="183"/>
        </w:trPr>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60" w:type="dxa"/>
            <w:vAlign w:val="bottom"/>
            <w:tcBorders>
              <w:bottom w:val="single" w:sz="8" w:color="0000FF"/>
            </w:tcBorders>
            <w:gridSpan w:val="8"/>
          </w:tcPr>
          <w:p>
            <w:pPr>
              <w:jc w:val="center"/>
              <w:spacing w:after="0" w:line="182" w:lineRule="exact"/>
              <w:rPr>
                <w:sz w:val="20"/>
                <w:szCs w:val="20"/>
                <w:color w:val="auto"/>
              </w:rPr>
            </w:pPr>
            <w:r>
              <w:rPr>
                <w:rFonts w:ascii="Arial" w:cs="Arial" w:eastAsia="Arial" w:hAnsi="Arial"/>
                <w:sz w:val="18"/>
                <w:szCs w:val="18"/>
                <w:b w:val="1"/>
                <w:bCs w:val="1"/>
                <w:color w:val="0000FF"/>
                <w:w w:val="99"/>
              </w:rPr>
              <w:t>PART I. FINANCIAL INFORMATION</w:t>
            </w:r>
          </w:p>
        </w:tc>
        <w:tc>
          <w:tcPr>
            <w:tcW w:w="320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r>
      <w:tr>
        <w:trPr>
          <w:trHeight w:val="439"/>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sz w:val="20"/>
                <w:szCs w:val="20"/>
                <w:color w:val="auto"/>
              </w:rPr>
            </w:pPr>
            <w:r>
              <w:rPr>
                <w:rFonts w:ascii="Arial" w:cs="Arial" w:eastAsia="Arial" w:hAnsi="Arial"/>
                <w:sz w:val="18"/>
                <w:szCs w:val="18"/>
                <w:color w:val="0000FF"/>
              </w:rPr>
              <w:t>Financial Statements</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96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96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Comprehensive Income</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96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Cash Flows</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96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6</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96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53"/>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23</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18"/>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439"/>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19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8"/>
              </w:rPr>
              <w:t>Controls and Procedures</w:t>
            </w:r>
          </w:p>
        </w:tc>
        <w:tc>
          <w:tcPr>
            <w:tcW w:w="1360" w:type="dxa"/>
            <w:vAlign w:val="bottom"/>
            <w:tcBorders>
              <w:top w:val="single" w:sz="8" w:color="0000FF"/>
              <w:bottom w:val="single" w:sz="8" w:color="0000FF"/>
            </w:tcBorders>
            <w:gridSpan w:val="2"/>
          </w:tcPr>
          <w:p>
            <w:pPr>
              <w:spacing w:after="0"/>
              <w:rPr>
                <w:sz w:val="24"/>
                <w:szCs w:val="24"/>
                <w:color w:val="auto"/>
              </w:rPr>
            </w:pPr>
          </w:p>
        </w:tc>
        <w:tc>
          <w:tcPr>
            <w:tcW w:w="1340" w:type="dxa"/>
            <w:vAlign w:val="bottom"/>
            <w:tcBorders>
              <w:top w:val="single" w:sz="8" w:color="0000FF"/>
            </w:tcBorders>
            <w:gridSpan w:val="3"/>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3340" w:type="dxa"/>
            <w:vAlign w:val="bottom"/>
            <w:gridSpan w:val="3"/>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37</w:t>
            </w:r>
          </w:p>
        </w:tc>
      </w:tr>
      <w:tr>
        <w:trPr>
          <w:trHeight w:val="466"/>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tcBorders>
              <w:bottom w:val="single" w:sz="8" w:color="0000FF"/>
            </w:tcBorders>
            <w:gridSpan w:val="6"/>
          </w:tcPr>
          <w:p>
            <w:pPr>
              <w:jc w:val="center"/>
              <w:spacing w:after="0"/>
              <w:rPr>
                <w:sz w:val="20"/>
                <w:szCs w:val="20"/>
                <w:color w:val="auto"/>
              </w:rPr>
            </w:pPr>
            <w:r>
              <w:rPr>
                <w:rFonts w:ascii="Arial" w:cs="Arial" w:eastAsia="Arial" w:hAnsi="Arial"/>
                <w:sz w:val="18"/>
                <w:szCs w:val="18"/>
                <w:b w:val="1"/>
                <w:bCs w:val="1"/>
                <w:color w:val="0000FF"/>
                <w:w w:val="97"/>
              </w:rPr>
              <w:t>PART II. OTHER INFORMATION</w:t>
            </w:r>
          </w:p>
        </w:tc>
        <w:tc>
          <w:tcPr>
            <w:tcW w:w="3340" w:type="dxa"/>
            <w:vAlign w:val="bottom"/>
            <w:gridSpan w:val="3"/>
          </w:tcPr>
          <w:p>
            <w:pPr>
              <w:spacing w:after="0"/>
              <w:rPr>
                <w:sz w:val="24"/>
                <w:szCs w:val="24"/>
                <w:color w:val="auto"/>
              </w:rPr>
            </w:pPr>
          </w:p>
        </w:tc>
        <w:tc>
          <w:tcPr>
            <w:tcW w:w="960" w:type="dxa"/>
            <w:vAlign w:val="bottom"/>
          </w:tcPr>
          <w:p>
            <w:pPr>
              <w:spacing w:after="0"/>
              <w:rPr>
                <w:sz w:val="24"/>
                <w:szCs w:val="24"/>
                <w:color w:val="auto"/>
              </w:rPr>
            </w:pPr>
          </w:p>
        </w:tc>
      </w:tr>
      <w:tr>
        <w:trPr>
          <w:trHeight w:val="439"/>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38</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38</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38</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60" w:type="dxa"/>
            <w:vAlign w:val="bottom"/>
            <w:gridSpan w:val="9"/>
            <w:shd w:val="clear" w:color="auto" w:fill="0000FF"/>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39</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920" w:type="dxa"/>
            <w:vAlign w:val="bottom"/>
            <w:gridSpan w:val="1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40</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60" w:type="dxa"/>
            <w:vAlign w:val="bottom"/>
            <w:gridSpan w:val="1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53"/>
        </w:trPr>
        <w:tc>
          <w:tcPr>
            <w:tcW w:w="96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Arial" w:cs="Arial" w:eastAsia="Arial" w:hAnsi="Arial"/>
                <w:sz w:val="18"/>
                <w:szCs w:val="18"/>
                <w:color w:val="0000FF"/>
              </w:rPr>
              <w:t>Signatures</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41</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 dollars in millions, except share and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7580" w:type="dxa"/>
            <w:vAlign w:val="bottom"/>
          </w:tcPr>
          <w:p>
            <w:pPr>
              <w:spacing w:after="0"/>
              <w:rPr>
                <w:sz w:val="16"/>
                <w:szCs w:val="16"/>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1100" w:type="dxa"/>
            <w:vAlign w:val="bottom"/>
            <w:shd w:val="clear" w:color="auto" w:fill="CFF0FC"/>
          </w:tcPr>
          <w:p>
            <w:pPr>
              <w:jc w:val="right"/>
              <w:ind w:right="896"/>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351</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7580" w:type="dxa"/>
            <w:vAlign w:val="bottom"/>
          </w:tcPr>
          <w:p>
            <w:pPr>
              <w:ind w:left="280"/>
              <w:spacing w:after="0"/>
              <w:rPr>
                <w:sz w:val="20"/>
                <w:szCs w:val="20"/>
                <w:color w:val="auto"/>
              </w:rPr>
            </w:pPr>
            <w:r>
              <w:rPr>
                <w:rFonts w:ascii="Arial" w:cs="Arial" w:eastAsia="Arial" w:hAnsi="Arial"/>
                <w:sz w:val="18"/>
                <w:szCs w:val="18"/>
                <w:color w:val="auto"/>
              </w:rPr>
              <w:t>Accounts receivable – net of allowance for doubtful accounts of $6 and $5, respectively</w:t>
            </w:r>
          </w:p>
        </w:tc>
        <w:tc>
          <w:tcPr>
            <w:tcW w:w="110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381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278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758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1,069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10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761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855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10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2,076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6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100" w:type="dxa"/>
            <w:vAlign w:val="bottom"/>
            <w:shd w:val="clear" w:color="auto" w:fill="CFF0FC"/>
          </w:tcPr>
          <w:p>
            <w:pPr>
              <w:jc w:val="right"/>
              <w:ind w:right="896"/>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4,856</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10"/>
        </w:trPr>
        <w:tc>
          <w:tcPr>
            <w:tcW w:w="75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100" w:type="dxa"/>
            <w:vAlign w:val="bottom"/>
          </w:tcPr>
          <w:p>
            <w:pPr>
              <w:jc w:val="right"/>
              <w:ind w:right="89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238</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Product warranty liability</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758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110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758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182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497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Product warranty liability</w:t>
            </w:r>
          </w:p>
        </w:tc>
        <w:tc>
          <w:tcPr>
            <w:tcW w:w="110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93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2,499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taxes</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517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3,800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Commitments and contingencies (see Note P)</w:t>
            </w: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280"/>
              <w:spacing w:after="0" w:line="203" w:lineRule="exact"/>
              <w:rPr>
                <w:sz w:val="20"/>
                <w:szCs w:val="20"/>
                <w:color w:val="auto"/>
              </w:rPr>
            </w:pPr>
            <w:r>
              <w:rPr>
                <w:rFonts w:ascii="Arial" w:cs="Arial" w:eastAsia="Arial" w:hAnsi="Arial"/>
                <w:sz w:val="18"/>
                <w:szCs w:val="18"/>
                <w:color w:val="auto"/>
              </w:rPr>
              <w:t>Common stock, $0.01 par value, 1,880,000,000 shares authorized, 89,519,087 shares</w:t>
            </w:r>
          </w:p>
        </w:tc>
        <w:tc>
          <w:tcPr>
            <w:tcW w:w="1100" w:type="dxa"/>
            <w:vAlign w:val="bottom"/>
          </w:tcPr>
          <w:p>
            <w:pPr>
              <w:spacing w:after="0"/>
              <w:rPr>
                <w:sz w:val="17"/>
                <w:szCs w:val="17"/>
                <w:color w:val="auto"/>
              </w:rPr>
            </w:pPr>
          </w:p>
        </w:tc>
        <w:tc>
          <w:tcPr>
            <w:tcW w:w="6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80"/>
              <w:spacing w:after="0"/>
              <w:rPr>
                <w:sz w:val="20"/>
                <w:szCs w:val="20"/>
                <w:color w:val="auto"/>
              </w:rPr>
            </w:pPr>
            <w:r>
              <w:rPr>
                <w:rFonts w:ascii="Arial" w:cs="Arial" w:eastAsia="Arial" w:hAnsi="Arial"/>
                <w:sz w:val="18"/>
                <w:szCs w:val="18"/>
                <w:color w:val="auto"/>
              </w:rPr>
              <w:t>issued and outstanding and 91,788,885 shares issued and outstanding, respectively</w:t>
            </w:r>
          </w:p>
        </w:tc>
        <w:tc>
          <w:tcPr>
            <w:tcW w:w="1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758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Non-voting common stock, $0.01 par value, 20,000,000 shares authorized, none issued</w:t>
            </w:r>
          </w:p>
        </w:tc>
        <w:tc>
          <w:tcPr>
            <w:tcW w:w="110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and outstanding</w:t>
            </w:r>
          </w:p>
        </w:tc>
        <w:tc>
          <w:tcPr>
            <w:tcW w:w="1100" w:type="dxa"/>
            <w:vAlign w:val="bottom"/>
            <w:shd w:val="clear" w:color="auto" w:fill="CFF0FC"/>
          </w:tcPr>
          <w:p>
            <w:pPr>
              <w:spacing w:after="0"/>
              <w:rPr>
                <w:sz w:val="19"/>
                <w:szCs w:val="19"/>
                <w:color w:val="auto"/>
              </w:rPr>
            </w:pPr>
          </w:p>
        </w:tc>
        <w:tc>
          <w:tcPr>
            <w:tcW w:w="6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80" w:type="dxa"/>
            <w:vAlign w:val="bottom"/>
          </w:tcPr>
          <w:p>
            <w:pPr>
              <w:ind w:left="280"/>
              <w:spacing w:after="0" w:line="203" w:lineRule="exact"/>
              <w:rPr>
                <w:sz w:val="20"/>
                <w:szCs w:val="20"/>
                <w:color w:val="auto"/>
              </w:rPr>
            </w:pPr>
            <w:r>
              <w:rPr>
                <w:rFonts w:ascii="Arial" w:cs="Arial" w:eastAsia="Arial" w:hAnsi="Arial"/>
                <w:sz w:val="18"/>
                <w:szCs w:val="18"/>
                <w:color w:val="auto"/>
              </w:rPr>
              <w:t>Preferred stock, $0.01 par value, 100,000,000 shares authorized, none issued and</w:t>
            </w:r>
          </w:p>
        </w:tc>
        <w:tc>
          <w:tcPr>
            <w:tcW w:w="1100" w:type="dxa"/>
            <w:vAlign w:val="bottom"/>
          </w:tcPr>
          <w:p>
            <w:pPr>
              <w:spacing w:after="0"/>
              <w:rPr>
                <w:sz w:val="17"/>
                <w:szCs w:val="17"/>
                <w:color w:val="auto"/>
              </w:rPr>
            </w:pPr>
          </w:p>
        </w:tc>
        <w:tc>
          <w:tcPr>
            <w:tcW w:w="6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80"/>
              <w:spacing w:after="0"/>
              <w:rPr>
                <w:sz w:val="20"/>
                <w:szCs w:val="20"/>
                <w:color w:val="auto"/>
              </w:rPr>
            </w:pPr>
            <w:r>
              <w:rPr>
                <w:rFonts w:ascii="Arial" w:cs="Arial" w:eastAsia="Arial" w:hAnsi="Arial"/>
                <w:sz w:val="18"/>
                <w:szCs w:val="18"/>
                <w:color w:val="auto"/>
              </w:rPr>
              <w:t>outstanding</w:t>
            </w:r>
          </w:p>
        </w:tc>
        <w:tc>
          <w:tcPr>
            <w:tcW w:w="1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Paid in capital</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1,868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29"/>
        </w:trPr>
        <w:tc>
          <w:tcPr>
            <w:tcW w:w="758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(788 )</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(953 )</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1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(25 )</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1,056</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63"/>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&amp; STOCKHOLDERS’ EQUITY</w:t>
            </w:r>
          </w:p>
        </w:tc>
        <w:tc>
          <w:tcPr>
            <w:tcW w:w="1100" w:type="dxa"/>
            <w:vAlign w:val="bottom"/>
            <w:tcBorders>
              <w:bottom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4,856</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-3968115</wp:posOffset>
            </wp:positionV>
            <wp:extent cx="12890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-333375</wp:posOffset>
            </wp:positionV>
            <wp:extent cx="12890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1289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1289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2700" w:type="dxa"/>
            <w:vAlign w:val="bottom"/>
            <w:tcBorders>
              <w:bottom w:val="single" w:sz="8" w:color="auto"/>
            </w:tcBorders>
            <w:gridSpan w:val="5"/>
          </w:tcPr>
          <w:p>
            <w:pPr>
              <w:jc w:val="right"/>
              <w:ind w:right="311"/>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9"/>
        </w:trPr>
        <w:tc>
          <w:tcPr>
            <w:tcW w:w="56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FF0FC"/>
          </w:tcPr>
          <w:p>
            <w:pPr>
              <w:jc w:val="right"/>
              <w:ind w:right="535"/>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783</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664</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1,524</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7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402</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353</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782</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381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742</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tcPr>
          <w:p>
            <w:pPr>
              <w:spacing w:after="0"/>
              <w:rPr>
                <w:sz w:val="19"/>
                <w:szCs w:val="19"/>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92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179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Engineering — research and development</w:t>
            </w:r>
          </w:p>
        </w:tc>
        <w:tc>
          <w:tcPr>
            <w:tcW w:w="7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47</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91</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740" w:type="dxa"/>
            <w:vAlign w:val="bottom"/>
          </w:tcPr>
          <w:p>
            <w:pPr>
              <w:spacing w:after="0"/>
              <w:rPr>
                <w:sz w:val="19"/>
                <w:szCs w:val="19"/>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242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472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(30 )</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(56 )</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7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12</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216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428</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7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(83 )</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63"/>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740" w:type="dxa"/>
            <w:vAlign w:val="bottom"/>
            <w:tcBorders>
              <w:bottom w:val="single" w:sz="8" w:color="auto"/>
            </w:tcBorders>
            <w:shd w:val="clear" w:color="auto" w:fill="CFF0FC"/>
          </w:tcPr>
          <w:p>
            <w:pPr>
              <w:jc w:val="right"/>
              <w:ind w:right="535"/>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175</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345</w:t>
            </w:r>
          </w:p>
        </w:tc>
        <w:tc>
          <w:tcPr>
            <w:tcW w:w="1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0"/>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740" w:type="dxa"/>
            <w:vAlign w:val="bottom"/>
          </w:tcPr>
          <w:p>
            <w:pPr>
              <w:jc w:val="right"/>
              <w:ind w:right="535"/>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1.94</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1.26</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3.79</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60" w:type="dxa"/>
            <w:vAlign w:val="bottom"/>
            <w:shd w:val="clear" w:color="auto" w:fill="CFF0FC"/>
          </w:tcPr>
          <w:p>
            <w:pPr>
              <w:ind w:left="20"/>
              <w:spacing w:after="0" w:line="174" w:lineRule="exact"/>
              <w:rPr>
                <w:sz w:val="20"/>
                <w:szCs w:val="20"/>
                <w:color w:val="auto"/>
              </w:rPr>
            </w:pPr>
            <w:r>
              <w:rPr>
                <w:rFonts w:ascii="Arial" w:cs="Arial" w:eastAsia="Arial" w:hAnsi="Arial"/>
                <w:sz w:val="18"/>
                <w:szCs w:val="18"/>
                <w:b w:val="1"/>
                <w:bCs w:val="1"/>
                <w:color w:val="auto"/>
              </w:rPr>
              <w:t>Diluted earnings per share attributable to common</w:t>
            </w:r>
          </w:p>
        </w:tc>
        <w:tc>
          <w:tcPr>
            <w:tcW w:w="740" w:type="dxa"/>
            <w:vAlign w:val="bottom"/>
            <w:vMerge w:val="restart"/>
            <w:shd w:val="clear" w:color="auto" w:fill="CFF0FC"/>
          </w:tcPr>
          <w:p>
            <w:pPr>
              <w:jc w:val="right"/>
              <w:ind w:right="535"/>
              <w:spacing w:after="0"/>
              <w:rPr>
                <w:sz w:val="20"/>
                <w:szCs w:val="20"/>
                <w:color w:val="auto"/>
              </w:rPr>
            </w:pPr>
            <w:r>
              <w:rPr>
                <w:rFonts w:ascii="Arial" w:cs="Arial" w:eastAsia="Arial" w:hAnsi="Arial"/>
                <w:sz w:val="18"/>
                <w:szCs w:val="18"/>
                <w:b w:val="1"/>
                <w:bCs w:val="1"/>
                <w:color w:val="auto"/>
                <w:w w:val="99"/>
              </w:rPr>
              <w:t>$</w:t>
            </w:r>
          </w:p>
        </w:tc>
        <w:tc>
          <w:tcPr>
            <w:tcW w:w="54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1.92</w:t>
            </w:r>
          </w:p>
        </w:tc>
        <w:tc>
          <w:tcPr>
            <w:tcW w:w="140" w:type="dxa"/>
            <w:vAlign w:val="bottom"/>
            <w:vMerge w:val="restart"/>
            <w:shd w:val="clear" w:color="auto" w:fill="CFF0FC"/>
          </w:tcPr>
          <w:p>
            <w:pPr>
              <w:spacing w:after="0"/>
              <w:rPr>
                <w:sz w:val="15"/>
                <w:szCs w:val="15"/>
                <w:color w:val="auto"/>
              </w:rPr>
            </w:pPr>
          </w:p>
        </w:tc>
        <w:tc>
          <w:tcPr>
            <w:tcW w:w="2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FF0FC"/>
          </w:tcPr>
          <w:p>
            <w:pPr>
              <w:jc w:val="right"/>
              <w:ind w:right="71"/>
              <w:spacing w:after="0"/>
              <w:rPr>
                <w:sz w:val="20"/>
                <w:szCs w:val="20"/>
                <w:color w:val="auto"/>
              </w:rPr>
            </w:pPr>
            <w:r>
              <w:rPr>
                <w:rFonts w:ascii="Arial" w:cs="Arial" w:eastAsia="Arial" w:hAnsi="Arial"/>
                <w:sz w:val="18"/>
                <w:szCs w:val="18"/>
                <w:color w:val="auto"/>
              </w:rPr>
              <w:t>1.26</w:t>
            </w:r>
          </w:p>
        </w:tc>
        <w:tc>
          <w:tcPr>
            <w:tcW w:w="160" w:type="dxa"/>
            <w:vAlign w:val="bottom"/>
            <w:vMerge w:val="restart"/>
            <w:shd w:val="clear" w:color="auto" w:fill="CFF0FC"/>
          </w:tcPr>
          <w:p>
            <w:pPr>
              <w:spacing w:after="0"/>
              <w:rPr>
                <w:sz w:val="15"/>
                <w:szCs w:val="15"/>
                <w:color w:val="auto"/>
              </w:rPr>
            </w:pP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3.75</w:t>
            </w:r>
          </w:p>
        </w:tc>
        <w:tc>
          <w:tcPr>
            <w:tcW w:w="160" w:type="dxa"/>
            <w:vAlign w:val="bottom"/>
            <w:vMerge w:val="restart"/>
            <w:shd w:val="clear" w:color="auto" w:fill="CFF0FC"/>
          </w:tcPr>
          <w:p>
            <w:pPr>
              <w:spacing w:after="0"/>
              <w:rPr>
                <w:sz w:val="15"/>
                <w:szCs w:val="15"/>
                <w:color w:val="auto"/>
              </w:rPr>
            </w:pP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8"/>
        </w:trPr>
        <w:tc>
          <w:tcPr>
            <w:tcW w:w="5660" w:type="dxa"/>
            <w:vAlign w:val="bottom"/>
            <w:tcBorders>
              <w:bottom w:val="single" w:sz="8" w:color="CFF0FC"/>
            </w:tcBorders>
            <w:shd w:val="clear" w:color="auto" w:fill="CFF0FC"/>
          </w:tcPr>
          <w:p>
            <w:pPr>
              <w:ind w:left="20"/>
              <w:spacing w:after="0" w:line="198" w:lineRule="exact"/>
              <w:rPr>
                <w:sz w:val="20"/>
                <w:szCs w:val="20"/>
                <w:color w:val="auto"/>
              </w:rPr>
            </w:pPr>
            <w:r>
              <w:rPr>
                <w:rFonts w:ascii="Arial" w:cs="Arial" w:eastAsia="Arial" w:hAnsi="Arial"/>
                <w:sz w:val="18"/>
                <w:szCs w:val="18"/>
                <w:b w:val="1"/>
                <w:bCs w:val="1"/>
                <w:color w:val="auto"/>
              </w:rPr>
              <w:t>stockholders</w:t>
            </w:r>
          </w:p>
        </w:tc>
        <w:tc>
          <w:tcPr>
            <w:tcW w:w="740" w:type="dxa"/>
            <w:vAlign w:val="bottom"/>
            <w:tcBorders>
              <w:bottom w:val="single" w:sz="8" w:color="auto"/>
            </w:tcBorders>
            <w:vMerge w:val="continue"/>
            <w:shd w:val="clear" w:color="auto" w:fill="CFF0FC"/>
          </w:tcPr>
          <w:p>
            <w:pPr>
              <w:spacing w:after="0"/>
              <w:rPr>
                <w:sz w:val="20"/>
                <w:szCs w:val="20"/>
                <w:color w:val="auto"/>
              </w:rPr>
            </w:pPr>
          </w:p>
        </w:tc>
        <w:tc>
          <w:tcPr>
            <w:tcW w:w="5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vMerge w:val="continue"/>
            <w:shd w:val="clear" w:color="auto" w:fill="CFF0FC"/>
          </w:tcPr>
          <w:p>
            <w:pPr>
              <w:spacing w:after="0"/>
              <w:rPr>
                <w:sz w:val="20"/>
                <w:szCs w:val="20"/>
                <w:color w:val="auto"/>
              </w:rPr>
            </w:pPr>
          </w:p>
        </w:tc>
        <w:tc>
          <w:tcPr>
            <w:tcW w:w="260" w:type="dxa"/>
            <w:vAlign w:val="bottom"/>
            <w:tcBorders>
              <w:bottom w:val="single" w:sz="8" w:color="auto"/>
            </w:tcBorders>
            <w:vMerge w:val="continue"/>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vMerge w:val="continue"/>
            <w:shd w:val="clear" w:color="auto" w:fill="CFF0FC"/>
          </w:tcPr>
          <w:p>
            <w:pPr>
              <w:spacing w:after="0"/>
              <w:rPr>
                <w:sz w:val="20"/>
                <w:szCs w:val="20"/>
                <w:color w:val="auto"/>
              </w:rPr>
            </w:pP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vMerge w:val="continue"/>
            <w:shd w:val="clear" w:color="auto" w:fill="CFF0FC"/>
          </w:tcPr>
          <w:p>
            <w:pPr>
              <w:spacing w:after="0"/>
              <w:rPr>
                <w:sz w:val="20"/>
                <w:szCs w:val="20"/>
                <w:color w:val="auto"/>
              </w:rPr>
            </w:pPr>
          </w:p>
        </w:tc>
        <w:tc>
          <w:tcPr>
            <w:tcW w:w="260" w:type="dxa"/>
            <w:vAlign w:val="bottom"/>
            <w:tcBorders>
              <w:bottom w:val="single" w:sz="8" w:color="auto"/>
            </w:tcBorders>
            <w:vMerge w:val="continue"/>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net of tax</w:t>
            </w:r>
          </w:p>
        </w:tc>
        <w:tc>
          <w:tcPr>
            <w:tcW w:w="740" w:type="dxa"/>
            <w:vAlign w:val="bottom"/>
          </w:tcPr>
          <w:p>
            <w:pPr>
              <w:jc w:val="right"/>
              <w:ind w:right="535"/>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175</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118</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342</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-1542415</wp:posOffset>
            </wp:positionV>
            <wp:extent cx="939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-1542415</wp:posOffset>
            </wp:positionV>
            <wp:extent cx="10287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-1542415</wp:posOffset>
            </wp:positionV>
            <wp:extent cx="10287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-642620</wp:posOffset>
            </wp:positionV>
            <wp:extent cx="192024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20240" cy="19685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-196850</wp:posOffset>
            </wp:positionV>
            <wp:extent cx="192024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20240" cy="197485"/>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4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6"/>
                <w:szCs w:val="16"/>
                <w:color w:val="auto"/>
              </w:rPr>
            </w:pPr>
          </w:p>
        </w:tc>
      </w:tr>
      <w:tr>
        <w:trPr>
          <w:trHeight w:val="209"/>
        </w:trPr>
        <w:tc>
          <w:tcPr>
            <w:tcW w:w="764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8"/>
                <w:szCs w:val="18"/>
                <w:color w:val="auto"/>
              </w:rPr>
            </w:pPr>
          </w:p>
        </w:tc>
      </w:tr>
      <w:tr>
        <w:trPr>
          <w:trHeight w:val="22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345</w:t>
            </w:r>
          </w:p>
        </w:tc>
        <w:tc>
          <w:tcPr>
            <w:tcW w:w="12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251</w:t>
            </w:r>
          </w:p>
        </w:tc>
      </w:tr>
      <w:tr>
        <w:trPr>
          <w:trHeight w:val="230"/>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29"/>
        </w:trPr>
        <w:tc>
          <w:tcPr>
            <w:tcW w:w="764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106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53</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53</w:t>
            </w:r>
          </w:p>
        </w:tc>
      </w:tr>
      <w:tr>
        <w:trPr>
          <w:trHeight w:val="229"/>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22</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23</w:t>
            </w:r>
          </w:p>
        </w:tc>
      </w:tr>
      <w:tr>
        <w:trPr>
          <w:trHeight w:val="230"/>
        </w:trPr>
        <w:tc>
          <w:tcPr>
            <w:tcW w:w="76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9</w:t>
            </w:r>
          </w:p>
        </w:tc>
      </w:tr>
      <w:tr>
        <w:trPr>
          <w:trHeight w:val="229"/>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w:t>
            </w:r>
          </w:p>
        </w:tc>
      </w:tr>
      <w:tr>
        <w:trPr>
          <w:trHeight w:val="230"/>
        </w:trPr>
        <w:tc>
          <w:tcPr>
            <w:tcW w:w="7640" w:type="dxa"/>
            <w:vAlign w:val="bottom"/>
          </w:tcPr>
          <w:p>
            <w:pPr>
              <w:ind w:left="280"/>
              <w:spacing w:after="0"/>
              <w:rPr>
                <w:sz w:val="20"/>
                <w:szCs w:val="20"/>
                <w:color w:val="auto"/>
              </w:rPr>
            </w:pPr>
            <w:r>
              <w:rPr>
                <w:rFonts w:ascii="Arial" w:cs="Arial" w:eastAsia="Arial" w:hAnsi="Arial"/>
                <w:sz w:val="18"/>
                <w:szCs w:val="18"/>
                <w:color w:val="auto"/>
              </w:rPr>
              <w:t>Unrealized (gain) loss on marketable securities</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11</w:t>
            </w:r>
          </w:p>
        </w:tc>
      </w:tr>
      <w:tr>
        <w:trPr>
          <w:trHeight w:val="229"/>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Technology-related investments gain</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7640" w:type="dxa"/>
            <w:vAlign w:val="bottom"/>
          </w:tcPr>
          <w:p>
            <w:pPr>
              <w:ind w:left="280"/>
              <w:spacing w:after="0"/>
              <w:rPr>
                <w:sz w:val="20"/>
                <w:szCs w:val="20"/>
                <w:color w:val="auto"/>
              </w:rPr>
            </w:pPr>
            <w:r>
              <w:rPr>
                <w:rFonts w:ascii="Arial" w:cs="Arial" w:eastAsia="Arial" w:hAnsi="Arial"/>
                <w:sz w:val="18"/>
                <w:szCs w:val="18"/>
                <w:color w:val="auto"/>
              </w:rPr>
              <w:t>Loss on intercompany foreign exchange</w:t>
            </w:r>
          </w:p>
        </w:tc>
        <w:tc>
          <w:tcPr>
            <w:tcW w:w="106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230"/>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3</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w:t>
            </w:r>
          </w:p>
        </w:tc>
      </w:tr>
      <w:tr>
        <w:trPr>
          <w:trHeight w:val="229"/>
        </w:trPr>
        <w:tc>
          <w:tcPr>
            <w:tcW w:w="764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receivable</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(19 )</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(70 )</w:t>
            </w:r>
          </w:p>
        </w:tc>
      </w:tr>
      <w:tr>
        <w:trPr>
          <w:trHeight w:val="229"/>
        </w:trPr>
        <w:tc>
          <w:tcPr>
            <w:tcW w:w="76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(55 )</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29"/>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34</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17</w:t>
            </w:r>
          </w:p>
        </w:tc>
      </w:tr>
      <w:tr>
        <w:trPr>
          <w:trHeight w:val="230"/>
        </w:trPr>
        <w:tc>
          <w:tcPr>
            <w:tcW w:w="7640" w:type="dxa"/>
            <w:vAlign w:val="bottom"/>
          </w:tcPr>
          <w:p>
            <w:pPr>
              <w:ind w:left="280"/>
              <w:spacing w:after="0"/>
              <w:rPr>
                <w:sz w:val="20"/>
                <w:szCs w:val="20"/>
                <w:color w:val="auto"/>
              </w:rPr>
            </w:pPr>
            <w:r>
              <w:rPr>
                <w:rFonts w:ascii="Arial" w:cs="Arial" w:eastAsia="Arial" w:hAnsi="Arial"/>
                <w:sz w:val="18"/>
                <w:szCs w:val="18"/>
                <w:color w:val="auto"/>
              </w:rPr>
              <w:t>Other assets and liabilities</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(37 )</w:t>
            </w:r>
          </w:p>
        </w:tc>
        <w:tc>
          <w:tcPr>
            <w:tcW w:w="2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(50 )</w:t>
            </w:r>
          </w:p>
        </w:tc>
      </w:tr>
      <w:tr>
        <w:trPr>
          <w:trHeight w:val="223"/>
        </w:trPr>
        <w:tc>
          <w:tcPr>
            <w:tcW w:w="76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334</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226</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Additions of long-lived assets</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(43 )</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(50 )</w:t>
            </w:r>
          </w:p>
        </w:tc>
      </w:tr>
      <w:tr>
        <w:trPr>
          <w:trHeight w:val="230"/>
        </w:trPr>
        <w:tc>
          <w:tcPr>
            <w:tcW w:w="7640" w:type="dxa"/>
            <w:vAlign w:val="bottom"/>
          </w:tcPr>
          <w:p>
            <w:pPr>
              <w:ind w:left="280"/>
              <w:spacing w:after="0"/>
              <w:rPr>
                <w:sz w:val="20"/>
                <w:szCs w:val="20"/>
                <w:color w:val="auto"/>
              </w:rPr>
            </w:pPr>
            <w:r>
              <w:rPr>
                <w:rFonts w:ascii="Arial" w:cs="Arial" w:eastAsia="Arial" w:hAnsi="Arial"/>
                <w:sz w:val="18"/>
                <w:szCs w:val="18"/>
                <w:color w:val="auto"/>
              </w:rPr>
              <w:t>Proceeds from technology-related investments</w:t>
            </w:r>
          </w:p>
        </w:tc>
        <w:tc>
          <w:tcPr>
            <w:tcW w:w="106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6</w:t>
            </w:r>
          </w:p>
        </w:tc>
      </w:tr>
      <w:tr>
        <w:trPr>
          <w:trHeight w:val="229"/>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Business acquisitions</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7640" w:type="dxa"/>
            <w:vAlign w:val="bottom"/>
          </w:tcPr>
          <w:p>
            <w:pPr>
              <w:ind w:left="280"/>
              <w:spacing w:after="0"/>
              <w:rPr>
                <w:sz w:val="20"/>
                <w:szCs w:val="20"/>
                <w:color w:val="auto"/>
              </w:rPr>
            </w:pPr>
            <w:r>
              <w:rPr>
                <w:rFonts w:ascii="Arial" w:cs="Arial" w:eastAsia="Arial" w:hAnsi="Arial"/>
                <w:sz w:val="18"/>
                <w:szCs w:val="18"/>
                <w:color w:val="auto"/>
              </w:rPr>
              <w:t>Investment in equity method investee</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76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used for investing activities</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(41 )</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(68 )</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Repurchases of common stock</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(137 )</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(115 )</w:t>
            </w:r>
          </w:p>
        </w:tc>
      </w:tr>
      <w:tr>
        <w:trPr>
          <w:trHeight w:val="230"/>
        </w:trPr>
        <w:tc>
          <w:tcPr>
            <w:tcW w:w="7640" w:type="dxa"/>
            <w:vAlign w:val="bottom"/>
          </w:tcPr>
          <w:p>
            <w:pPr>
              <w:ind w:left="280"/>
              <w:spacing w:after="0"/>
              <w:rPr>
                <w:sz w:val="20"/>
                <w:szCs w:val="20"/>
                <w:color w:val="auto"/>
              </w:rPr>
            </w:pPr>
            <w:r>
              <w:rPr>
                <w:rFonts w:ascii="Arial" w:cs="Arial" w:eastAsia="Arial" w:hAnsi="Arial"/>
                <w:sz w:val="18"/>
                <w:szCs w:val="18"/>
                <w:color w:val="auto"/>
              </w:rPr>
              <w:t>Dividend payments</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(43 )</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14</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w:t>
            </w:r>
          </w:p>
        </w:tc>
      </w:tr>
      <w:tr>
        <w:trPr>
          <w:trHeight w:val="230"/>
        </w:trPr>
        <w:tc>
          <w:tcPr>
            <w:tcW w:w="7640" w:type="dxa"/>
            <w:vAlign w:val="bottom"/>
          </w:tcPr>
          <w:p>
            <w:pPr>
              <w:ind w:left="280"/>
              <w:spacing w:after="0"/>
              <w:rPr>
                <w:sz w:val="20"/>
                <w:szCs w:val="20"/>
                <w:color w:val="auto"/>
              </w:rPr>
            </w:pPr>
            <w:r>
              <w:rPr>
                <w:rFonts w:ascii="Arial" w:cs="Arial" w:eastAsia="Arial" w:hAnsi="Arial"/>
                <w:sz w:val="18"/>
                <w:szCs w:val="18"/>
                <w:color w:val="auto"/>
              </w:rPr>
              <w:t>Taxes paid related to net share settlement of equity awards</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Payments on long-term debt</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7640" w:type="dxa"/>
            <w:vAlign w:val="bottom"/>
          </w:tcPr>
          <w:p>
            <w:pPr>
              <w:ind w:left="280"/>
              <w:spacing w:after="0"/>
              <w:rPr>
                <w:sz w:val="20"/>
                <w:szCs w:val="20"/>
                <w:color w:val="auto"/>
              </w:rPr>
            </w:pPr>
            <w:r>
              <w:rPr>
                <w:rFonts w:ascii="Arial" w:cs="Arial" w:eastAsia="Arial" w:hAnsi="Arial"/>
                <w:sz w:val="18"/>
                <w:szCs w:val="18"/>
                <w:color w:val="auto"/>
              </w:rPr>
              <w:t>Payments on revolving credit facility</w:t>
            </w:r>
          </w:p>
        </w:tc>
        <w:tc>
          <w:tcPr>
            <w:tcW w:w="106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(95 )</w:t>
            </w:r>
          </w:p>
        </w:tc>
      </w:tr>
      <w:tr>
        <w:trPr>
          <w:trHeight w:val="230"/>
        </w:trPr>
        <w:tc>
          <w:tcPr>
            <w:tcW w:w="7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Borrowings on revolving credit facility</w:t>
            </w:r>
          </w:p>
        </w:tc>
        <w:tc>
          <w:tcPr>
            <w:tcW w:w="10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95</w:t>
            </w:r>
          </w:p>
        </w:tc>
      </w:tr>
      <w:tr>
        <w:trPr>
          <w:trHeight w:val="223"/>
        </w:trPr>
        <w:tc>
          <w:tcPr>
            <w:tcW w:w="7640" w:type="dxa"/>
            <w:vAlign w:val="bottom"/>
          </w:tcPr>
          <w:p>
            <w:pPr>
              <w:ind w:left="520"/>
              <w:spacing w:after="0"/>
              <w:rPr>
                <w:sz w:val="20"/>
                <w:szCs w:val="20"/>
                <w:color w:val="auto"/>
              </w:rPr>
            </w:pPr>
            <w:r>
              <w:rPr>
                <w:rFonts w:ascii="Arial" w:cs="Arial" w:eastAsia="Arial" w:hAnsi="Arial"/>
                <w:sz w:val="18"/>
                <w:szCs w:val="18"/>
                <w:color w:val="auto"/>
              </w:rPr>
              <w:t>Net cash used for financing activities</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(174 )</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(162 )</w:t>
            </w:r>
          </w:p>
        </w:tc>
      </w:tr>
      <w:tr>
        <w:trPr>
          <w:trHeight w:val="23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0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7640" w:type="dxa"/>
            <w:vAlign w:val="bottom"/>
          </w:tcPr>
          <w:p>
            <w:pPr>
              <w:ind w:left="520"/>
              <w:spacing w:after="0"/>
              <w:rPr>
                <w:sz w:val="20"/>
                <w:szCs w:val="20"/>
                <w:color w:val="auto"/>
              </w:rPr>
            </w:pPr>
            <w:r>
              <w:rPr>
                <w:rFonts w:ascii="Arial" w:cs="Arial" w:eastAsia="Arial" w:hAnsi="Arial"/>
                <w:sz w:val="18"/>
                <w:szCs w:val="18"/>
                <w:color w:val="auto"/>
              </w:rPr>
              <w:t>Net increase (decrease) in cash and cash equivalents</w:t>
            </w:r>
          </w:p>
        </w:tc>
        <w:tc>
          <w:tcPr>
            <w:tcW w:w="106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119</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232</w:t>
            </w: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127</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351</w:t>
            </w:r>
          </w:p>
        </w:tc>
        <w:tc>
          <w:tcPr>
            <w:tcW w:w="12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122</w:t>
            </w:r>
          </w:p>
        </w:tc>
      </w:tr>
      <w:tr>
        <w:trPr>
          <w:trHeight w:val="20"/>
        </w:trPr>
        <w:tc>
          <w:tcPr>
            <w:tcW w:w="76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Cash paid during period for:</w:t>
            </w: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6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Income taxes</w:t>
            </w:r>
          </w:p>
        </w:tc>
        <w:tc>
          <w:tcPr>
            <w:tcW w:w="1060" w:type="dxa"/>
            <w:vAlign w:val="bottom"/>
            <w:shd w:val="clear" w:color="auto" w:fill="CFF0FC"/>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121</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59</w:t>
            </w:r>
          </w:p>
        </w:tc>
      </w:tr>
      <w:tr>
        <w:trPr>
          <w:trHeight w:val="230"/>
        </w:trPr>
        <w:tc>
          <w:tcPr>
            <w:tcW w:w="7640" w:type="dxa"/>
            <w:vAlign w:val="bottom"/>
          </w:tcPr>
          <w:p>
            <w:pPr>
              <w:ind w:left="520"/>
              <w:spacing w:after="0"/>
              <w:rPr>
                <w:sz w:val="20"/>
                <w:szCs w:val="20"/>
                <w:color w:val="auto"/>
              </w:rPr>
            </w:pPr>
            <w:r>
              <w:rPr>
                <w:rFonts w:ascii="Arial" w:cs="Arial" w:eastAsia="Arial" w:hAnsi="Arial"/>
                <w:sz w:val="18"/>
                <w:szCs w:val="18"/>
                <w:color w:val="auto"/>
              </w:rPr>
              <w:t>Interest</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64</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57</w:t>
            </w:r>
          </w:p>
        </w:tc>
      </w:tr>
      <w:tr>
        <w:trPr>
          <w:trHeight w:val="22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investing activities:</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51"/>
        </w:trPr>
        <w:tc>
          <w:tcPr>
            <w:tcW w:w="7640" w:type="dxa"/>
            <w:vAlign w:val="bottom"/>
          </w:tcPr>
          <w:p>
            <w:pPr>
              <w:ind w:left="520"/>
              <w:spacing w:after="0"/>
              <w:rPr>
                <w:sz w:val="20"/>
                <w:szCs w:val="20"/>
                <w:color w:val="auto"/>
              </w:rPr>
            </w:pPr>
            <w:r>
              <w:rPr>
                <w:rFonts w:ascii="Arial" w:cs="Arial" w:eastAsia="Arial" w:hAnsi="Arial"/>
                <w:sz w:val="18"/>
                <w:szCs w:val="18"/>
                <w:color w:val="auto"/>
              </w:rPr>
              <w:t>Capital expenditures in liabilities</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18</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-1667510</wp:posOffset>
            </wp:positionV>
            <wp:extent cx="12890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543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-1367155</wp:posOffset>
            </wp:positionV>
            <wp:extent cx="12890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543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-1067435</wp:posOffset>
            </wp:positionV>
            <wp:extent cx="12890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79705"/>
                    </a:xfrm>
                    <a:prstGeom prst="rect">
                      <a:avLst/>
                    </a:prstGeom>
                    <a:noFill/>
                  </pic:spPr>
                </pic:pic>
              </a:graphicData>
            </a:graphic>
          </wp:anchor>
        </w:drawing>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Accumulate</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52"/>
              <w:spacing w:after="0"/>
              <w:rPr>
                <w:sz w:val="20"/>
                <w:szCs w:val="20"/>
                <w:color w:val="auto"/>
              </w:rPr>
            </w:pPr>
            <w:r>
              <w:rPr>
                <w:rFonts w:ascii="Arial" w:cs="Arial" w:eastAsia="Arial" w:hAnsi="Arial"/>
                <w:sz w:val="14"/>
                <w:szCs w:val="14"/>
                <w:b w:val="1"/>
                <w:bCs w:val="1"/>
                <w:color w:val="auto"/>
              </w:rPr>
              <w:t>d Other</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Comprehen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Non-voting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w:t>
            </w:r>
          </w:p>
        </w:tc>
        <w:tc>
          <w:tcPr>
            <w:tcW w:w="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sive (Loss)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98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52"/>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980" w:type="dxa"/>
            <w:vAlign w:val="bottom"/>
            <w:gridSpan w:val="2"/>
          </w:tcPr>
          <w:p>
            <w:pPr>
              <w:jc w:val="right"/>
              <w:ind w:right="151"/>
              <w:spacing w:after="0"/>
              <w:rPr>
                <w:sz w:val="20"/>
                <w:szCs w:val="20"/>
                <w:color w:val="auto"/>
              </w:rPr>
            </w:pPr>
            <w:r>
              <w:rPr>
                <w:rFonts w:ascii="Arial" w:cs="Arial" w:eastAsia="Arial" w:hAnsi="Arial"/>
                <w:sz w:val="14"/>
                <w:szCs w:val="14"/>
                <w:b w:val="1"/>
                <w:bCs w:val="1"/>
                <w:color w:val="auto"/>
              </w:rPr>
              <w:t>d (Deficit)</w:t>
            </w:r>
          </w:p>
        </w:tc>
        <w:tc>
          <w:tcPr>
            <w:tcW w:w="14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 net</w:t>
            </w: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Stockholde</w:t>
            </w: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of tax</w:t>
            </w:r>
          </w:p>
        </w:tc>
        <w:tc>
          <w:tcPr>
            <w:tcW w:w="140" w:type="dxa"/>
            <w:vAlign w:val="bottom"/>
          </w:tcPr>
          <w:p>
            <w:pPr>
              <w:spacing w:after="0"/>
              <w:rPr>
                <w:sz w:val="16"/>
                <w:szCs w:val="16"/>
                <w:color w:val="auto"/>
              </w:rPr>
            </w:pPr>
          </w:p>
        </w:tc>
        <w:tc>
          <w:tcPr>
            <w:tcW w:w="9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rs' Equity</w:t>
            </w: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March 31, 2022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1,832</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(1,098 )</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(56 )</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9"/>
        </w:trPr>
        <w:tc>
          <w:tcPr>
            <w:tcW w:w="34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Pension and OPEB liability</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3"/>
        </w:trPr>
        <w:tc>
          <w:tcPr>
            <w:tcW w:w="3460" w:type="dxa"/>
            <w:vAlign w:val="bottom"/>
          </w:tcPr>
          <w:p>
            <w:pPr>
              <w:ind w:left="280"/>
              <w:spacing w:after="0" w:line="203" w:lineRule="exact"/>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180" w:type="dxa"/>
            <w:vAlign w:val="bottom"/>
          </w:tcPr>
          <w:p>
            <w:pPr>
              <w:spacing w:after="0"/>
              <w:rPr>
                <w:sz w:val="19"/>
                <w:szCs w:val="19"/>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46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180" w:type="dxa"/>
            <w:vAlign w:val="bottom"/>
          </w:tcPr>
          <w:p>
            <w:pPr>
              <w:spacing w:after="0"/>
              <w:rPr>
                <w:sz w:val="19"/>
                <w:szCs w:val="19"/>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9"/>
        </w:trPr>
        <w:tc>
          <w:tcPr>
            <w:tcW w:w="346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tcPr>
          <w:p>
            <w:pPr>
              <w:spacing w:after="0"/>
              <w:rPr>
                <w:sz w:val="19"/>
                <w:szCs w:val="19"/>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1,839</w:t>
            </w:r>
          </w:p>
        </w:tc>
        <w:tc>
          <w:tcPr>
            <w:tcW w:w="14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(1,031 )</w:t>
            </w:r>
          </w:p>
        </w:tc>
        <w:tc>
          <w:tcPr>
            <w:tcW w:w="14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4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March 31, 2023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1,857</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(845 )</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34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4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Pension and OPEB liability</w:t>
            </w:r>
          </w:p>
        </w:tc>
        <w:tc>
          <w:tcPr>
            <w:tcW w:w="18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ind w:left="4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ind w:left="480"/>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180" w:type="dxa"/>
            <w:vAlign w:val="bottom"/>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280"/>
              <w:spacing w:after="0" w:line="203" w:lineRule="exact"/>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7"/>
                <w:szCs w:val="17"/>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restart"/>
          </w:tcPr>
          <w:p>
            <w:pPr>
              <w:ind w:left="48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29"/>
        </w:trPr>
        <w:tc>
          <w:tcPr>
            <w:tcW w:w="346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30"/>
        </w:trPr>
        <w:tc>
          <w:tcPr>
            <w:tcW w:w="346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180" w:type="dxa"/>
            <w:vAlign w:val="bottom"/>
          </w:tcPr>
          <w:p>
            <w:pPr>
              <w:spacing w:after="0"/>
              <w:rPr>
                <w:sz w:val="19"/>
                <w:szCs w:val="19"/>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4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(97 )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(97 )</w:t>
            </w:r>
          </w:p>
        </w:tc>
        <w:tc>
          <w:tcPr>
            <w:tcW w:w="0" w:type="dxa"/>
            <w:vAlign w:val="bottom"/>
          </w:tcPr>
          <w:p>
            <w:pPr>
              <w:spacing w:after="0"/>
              <w:rPr>
                <w:sz w:val="1"/>
                <w:szCs w:val="1"/>
                <w:color w:val="auto"/>
              </w:rPr>
            </w:pPr>
          </w:p>
        </w:tc>
      </w:tr>
      <w:tr>
        <w:trPr>
          <w:trHeight w:val="229"/>
        </w:trPr>
        <w:tc>
          <w:tcPr>
            <w:tcW w:w="346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tcPr>
          <w:p>
            <w:pPr>
              <w:spacing w:after="0"/>
              <w:rPr>
                <w:sz w:val="19"/>
                <w:szCs w:val="19"/>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4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(21 )</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175</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175</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51"/>
              <w:spacing w:after="0"/>
              <w:rPr>
                <w:sz w:val="20"/>
                <w:szCs w:val="20"/>
                <w:color w:val="auto"/>
              </w:rPr>
            </w:pPr>
            <w:r>
              <w:rPr>
                <w:rFonts w:ascii="Arial" w:cs="Arial" w:eastAsia="Arial" w:hAnsi="Arial"/>
                <w:sz w:val="18"/>
                <w:szCs w:val="18"/>
                <w:b w:val="1"/>
                <w:bCs w:val="1"/>
                <w:color w:val="auto"/>
              </w:rPr>
              <w:t>1</w:t>
            </w:r>
          </w:p>
        </w:tc>
        <w:tc>
          <w:tcPr>
            <w:tcW w:w="32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ind w:left="48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ind w:left="480"/>
              <w:spacing w:after="0"/>
              <w:rPr>
                <w:sz w:val="20"/>
                <w:szCs w:val="20"/>
                <w:color w:val="auto"/>
              </w:rPr>
            </w:pPr>
            <w:r>
              <w:rPr>
                <w:rFonts w:ascii="Arial" w:cs="Arial" w:eastAsia="Arial" w:hAnsi="Arial"/>
                <w:sz w:val="18"/>
                <w:szCs w:val="18"/>
                <w:b w:val="1"/>
                <w:bCs w:val="1"/>
                <w:color w:val="auto"/>
                <w:w w:val="99"/>
              </w:rPr>
              <w:t>—</w:t>
            </w: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b w:val="1"/>
                <w:bCs w:val="1"/>
                <w:color w:val="auto"/>
              </w:rPr>
              <w:t>1,868</w:t>
            </w:r>
          </w:p>
        </w:tc>
        <w:tc>
          <w:tcPr>
            <w:tcW w:w="280" w:type="dxa"/>
            <w:vAlign w:val="bottom"/>
            <w:gridSpan w:val="2"/>
          </w:tcPr>
          <w:p>
            <w:pPr>
              <w:ind w:left="16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(788 )</w:t>
            </w:r>
          </w:p>
        </w:tc>
        <w:tc>
          <w:tcPr>
            <w:tcW w:w="280" w:type="dxa"/>
            <w:vAlign w:val="bottom"/>
            <w:gridSpan w:val="2"/>
          </w:tcPr>
          <w:p>
            <w:pPr>
              <w:ind w:left="16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(25 )</w:t>
            </w:r>
          </w:p>
        </w:tc>
        <w:tc>
          <w:tcPr>
            <w:tcW w:w="40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1,056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-1927860</wp:posOffset>
            </wp:positionV>
            <wp:extent cx="9461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615" cy="1797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-1927860</wp:posOffset>
            </wp:positionV>
            <wp:extent cx="9398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-1927860</wp:posOffset>
            </wp:positionV>
            <wp:extent cx="9398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-1927860</wp:posOffset>
            </wp:positionV>
            <wp:extent cx="9398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-1927860</wp:posOffset>
            </wp:positionV>
            <wp:extent cx="9398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-1927860</wp:posOffset>
            </wp:positionV>
            <wp:extent cx="9398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-179070</wp:posOffset>
            </wp:positionV>
            <wp:extent cx="94615"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615" cy="1797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-179070</wp:posOffset>
            </wp:positionV>
            <wp:extent cx="9398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-179070</wp:posOffset>
            </wp:positionV>
            <wp:extent cx="9398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-179070</wp:posOffset>
            </wp:positionV>
            <wp:extent cx="9398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-179070</wp:posOffset>
            </wp:positionV>
            <wp:extent cx="9398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-179070</wp:posOffset>
            </wp:positionV>
            <wp:extent cx="9398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32"/>
              <w:spacing w:after="0" w:line="156" w:lineRule="exact"/>
              <w:rPr>
                <w:sz w:val="20"/>
                <w:szCs w:val="20"/>
                <w:color w:val="auto"/>
              </w:rPr>
            </w:pPr>
            <w:r>
              <w:rPr>
                <w:rFonts w:ascii="Arial" w:cs="Arial" w:eastAsia="Arial" w:hAnsi="Arial"/>
                <w:sz w:val="14"/>
                <w:szCs w:val="14"/>
                <w:b w:val="1"/>
                <w:bCs w:val="1"/>
                <w:color w:val="auto"/>
              </w:rPr>
              <w:t>Accumulate</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232"/>
              <w:spacing w:after="0"/>
              <w:rPr>
                <w:sz w:val="20"/>
                <w:szCs w:val="20"/>
                <w:color w:val="auto"/>
              </w:rPr>
            </w:pPr>
            <w:r>
              <w:rPr>
                <w:rFonts w:ascii="Arial" w:cs="Arial" w:eastAsia="Arial" w:hAnsi="Arial"/>
                <w:sz w:val="14"/>
                <w:szCs w:val="14"/>
                <w:b w:val="1"/>
                <w:bCs w:val="1"/>
                <w:color w:val="auto"/>
              </w:rPr>
              <w:t>d Other</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Non-voting</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w:t>
            </w:r>
          </w:p>
        </w:tc>
        <w:tc>
          <w:tcPr>
            <w:tcW w:w="140" w:type="dxa"/>
            <w:vAlign w:val="bottom"/>
          </w:tcPr>
          <w:p>
            <w:pPr>
              <w:spacing w:after="0"/>
              <w:rPr>
                <w:sz w:val="14"/>
                <w:szCs w:val="14"/>
                <w:color w:val="auto"/>
              </w:rPr>
            </w:pPr>
          </w:p>
        </w:tc>
        <w:tc>
          <w:tcPr>
            <w:tcW w:w="106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rPr>
              <w:t>ive (Loss)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96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980" w:type="dxa"/>
            <w:vAlign w:val="bottom"/>
            <w:gridSpan w:val="2"/>
          </w:tcPr>
          <w:p>
            <w:pPr>
              <w:jc w:val="right"/>
              <w:ind w:right="151"/>
              <w:spacing w:after="0"/>
              <w:rPr>
                <w:sz w:val="20"/>
                <w:szCs w:val="20"/>
                <w:color w:val="auto"/>
              </w:rPr>
            </w:pPr>
            <w:r>
              <w:rPr>
                <w:rFonts w:ascii="Arial" w:cs="Arial" w:eastAsia="Arial" w:hAnsi="Arial"/>
                <w:sz w:val="14"/>
                <w:szCs w:val="14"/>
                <w:b w:val="1"/>
                <w:bCs w:val="1"/>
                <w:color w:val="auto"/>
              </w:rPr>
              <w:t>d (Deficit)</w:t>
            </w:r>
          </w:p>
        </w:tc>
        <w:tc>
          <w:tcPr>
            <w:tcW w:w="1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 net</w:t>
            </w: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Stockholde</w:t>
            </w: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of tax</w:t>
            </w:r>
          </w:p>
        </w:tc>
        <w:tc>
          <w:tcPr>
            <w:tcW w:w="140" w:type="dxa"/>
            <w:vAlign w:val="bottom"/>
          </w:tcPr>
          <w:p>
            <w:pPr>
              <w:spacing w:after="0"/>
              <w:rPr>
                <w:sz w:val="16"/>
                <w:szCs w:val="16"/>
                <w:color w:val="auto"/>
              </w:rPr>
            </w:pPr>
          </w:p>
        </w:tc>
        <w:tc>
          <w:tcPr>
            <w:tcW w:w="9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rs' Equity</w:t>
            </w: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36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color w:val="auto"/>
              </w:rPr>
              <w:t>1,832</w:t>
            </w:r>
          </w:p>
        </w:tc>
        <w:tc>
          <w:tcPr>
            <w:tcW w:w="140" w:type="dxa"/>
            <w:vAlign w:val="bottom"/>
            <w:shd w:val="clear" w:color="auto" w:fill="CFF0FC"/>
          </w:tcPr>
          <w:p>
            <w:pPr>
              <w:spacing w:after="0"/>
              <w:rPr>
                <w:sz w:val="19"/>
                <w:szCs w:val="19"/>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(1,126 )</w:t>
            </w:r>
          </w:p>
        </w:tc>
        <w:tc>
          <w:tcPr>
            <w:tcW w:w="300" w:type="dxa"/>
            <w:vAlign w:val="bottom"/>
            <w:gridSpan w:val="2"/>
            <w:vMerge w:val="restart"/>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(73 )</w:t>
            </w:r>
          </w:p>
        </w:tc>
        <w:tc>
          <w:tcPr>
            <w:tcW w:w="400" w:type="dxa"/>
            <w:vAlign w:val="bottom"/>
            <w:gridSpan w:val="2"/>
            <w:vMerge w:val="restart"/>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360" w:type="dxa"/>
            <w:vAlign w:val="bottom"/>
            <w:gridSpan w:val="3"/>
            <w:vMerge w:val="continue"/>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vMerge w:val="continue"/>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300" w:type="dxa"/>
            <w:vAlign w:val="bottom"/>
            <w:gridSpan w:val="2"/>
            <w:vMerge w:val="continue"/>
            <w:shd w:val="clear" w:color="auto" w:fill="CFF0FC"/>
          </w:tcPr>
          <w:p>
            <w:pPr>
              <w:spacing w:after="0"/>
              <w:rPr>
                <w:sz w:val="17"/>
                <w:szCs w:val="17"/>
                <w:color w:val="auto"/>
              </w:rPr>
            </w:pPr>
          </w:p>
        </w:tc>
        <w:tc>
          <w:tcPr>
            <w:tcW w:w="900" w:type="dxa"/>
            <w:vAlign w:val="bottom"/>
            <w:vMerge w:val="continue"/>
            <w:shd w:val="clear" w:color="auto" w:fill="CFF0FC"/>
          </w:tcPr>
          <w:p>
            <w:pPr>
              <w:spacing w:after="0"/>
              <w:rPr>
                <w:sz w:val="17"/>
                <w:szCs w:val="17"/>
                <w:color w:val="auto"/>
              </w:rPr>
            </w:pPr>
          </w:p>
        </w:tc>
        <w:tc>
          <w:tcPr>
            <w:tcW w:w="400" w:type="dxa"/>
            <w:vAlign w:val="bottom"/>
            <w:gridSpan w:val="2"/>
            <w:vMerge w:val="continue"/>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Pension and OPEB liability</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3"/>
        </w:trPr>
        <w:tc>
          <w:tcPr>
            <w:tcW w:w="3460" w:type="dxa"/>
            <w:vAlign w:val="bottom"/>
          </w:tcPr>
          <w:p>
            <w:pPr>
              <w:ind w:left="280"/>
              <w:spacing w:after="0" w:line="203" w:lineRule="exact"/>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160" w:type="dxa"/>
            <w:vAlign w:val="bottom"/>
          </w:tcPr>
          <w:p>
            <w:pPr>
              <w:spacing w:after="0"/>
              <w:rPr>
                <w:sz w:val="19"/>
                <w:szCs w:val="19"/>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46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9"/>
                <w:szCs w:val="19"/>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 of common stock</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(115 )</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29"/>
        </w:trPr>
        <w:tc>
          <w:tcPr>
            <w:tcW w:w="346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60" w:type="dxa"/>
            <w:vAlign w:val="bottom"/>
          </w:tcPr>
          <w:p>
            <w:pPr>
              <w:spacing w:after="0"/>
              <w:rPr>
                <w:sz w:val="19"/>
                <w:szCs w:val="19"/>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251</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1,839</w:t>
            </w:r>
          </w:p>
        </w:tc>
        <w:tc>
          <w:tcPr>
            <w:tcW w:w="14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(1,031 )</w:t>
            </w:r>
          </w:p>
        </w:tc>
        <w:tc>
          <w:tcPr>
            <w:tcW w:w="14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4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1,848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(953 )</w:t>
            </w:r>
          </w:p>
        </w:tc>
        <w:tc>
          <w:tcPr>
            <w:tcW w:w="3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30"/>
        </w:trPr>
        <w:tc>
          <w:tcPr>
            <w:tcW w:w="34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4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Pension and OPEB liability</w:t>
            </w:r>
          </w:p>
        </w:tc>
        <w:tc>
          <w:tcPr>
            <w:tcW w:w="16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ind w:left="4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vMerge w:val="restart"/>
            <w:shd w:val="clear" w:color="auto" w:fill="CFF0FC"/>
          </w:tcPr>
          <w:p>
            <w:pPr>
              <w:ind w:left="4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(5 )</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160" w:type="dxa"/>
            <w:vAlign w:val="bottom"/>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280"/>
              <w:spacing w:after="0" w:line="203" w:lineRule="exact"/>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7"/>
                <w:szCs w:val="17"/>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84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346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4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9"/>
        </w:trPr>
        <w:tc>
          <w:tcPr>
            <w:tcW w:w="346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9"/>
                <w:szCs w:val="19"/>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4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 of common stock</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4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(137 )</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(137 )</w:t>
            </w:r>
          </w:p>
        </w:tc>
        <w:tc>
          <w:tcPr>
            <w:tcW w:w="0" w:type="dxa"/>
            <w:vAlign w:val="bottom"/>
          </w:tcPr>
          <w:p>
            <w:pPr>
              <w:spacing w:after="0"/>
              <w:rPr>
                <w:sz w:val="1"/>
                <w:szCs w:val="1"/>
                <w:color w:val="auto"/>
              </w:rPr>
            </w:pPr>
          </w:p>
        </w:tc>
      </w:tr>
      <w:tr>
        <w:trPr>
          <w:trHeight w:val="229"/>
        </w:trPr>
        <w:tc>
          <w:tcPr>
            <w:tcW w:w="346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60" w:type="dxa"/>
            <w:vAlign w:val="bottom"/>
          </w:tcPr>
          <w:p>
            <w:pPr>
              <w:spacing w:after="0"/>
              <w:rPr>
                <w:sz w:val="19"/>
                <w:szCs w:val="19"/>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4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(43 )</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345</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345</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ind w:right="51"/>
              <w:spacing w:after="0"/>
              <w:rPr>
                <w:sz w:val="20"/>
                <w:szCs w:val="20"/>
                <w:color w:val="auto"/>
              </w:rPr>
            </w:pPr>
            <w:r>
              <w:rPr>
                <w:rFonts w:ascii="Arial" w:cs="Arial" w:eastAsia="Arial" w:hAnsi="Arial"/>
                <w:sz w:val="18"/>
                <w:szCs w:val="18"/>
                <w:b w:val="1"/>
                <w:bCs w:val="1"/>
                <w:color w:val="auto"/>
              </w:rPr>
              <w:t>1</w:t>
            </w:r>
          </w:p>
        </w:tc>
        <w:tc>
          <w:tcPr>
            <w:tcW w:w="34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ind w:left="46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ind w:left="48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1,868</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(788 )</w:t>
            </w:r>
          </w:p>
        </w:tc>
        <w:tc>
          <w:tcPr>
            <w:tcW w:w="30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(25 )</w:t>
            </w:r>
          </w:p>
        </w:tc>
        <w:tc>
          <w:tcPr>
            <w:tcW w:w="40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1,056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-1928495</wp:posOffset>
            </wp:positionV>
            <wp:extent cx="94615"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615" cy="17970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-1928495</wp:posOffset>
            </wp:positionV>
            <wp:extent cx="94615"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4615" cy="1797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-1928495</wp:posOffset>
            </wp:positionV>
            <wp:extent cx="94615"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615" cy="17970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-1928495</wp:posOffset>
            </wp:positionV>
            <wp:extent cx="94615"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615" cy="17970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-1928495</wp:posOffset>
            </wp:positionV>
            <wp:extent cx="9398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-1928495</wp:posOffset>
            </wp:positionV>
            <wp:extent cx="9398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-179705</wp:posOffset>
            </wp:positionV>
            <wp:extent cx="94615"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4615" cy="18034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-179705</wp:posOffset>
            </wp:positionV>
            <wp:extent cx="94615"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615" cy="18034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-179705</wp:posOffset>
            </wp:positionV>
            <wp:extent cx="94615"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615" cy="18034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-179705</wp:posOffset>
            </wp:positionV>
            <wp:extent cx="94615"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615" cy="18034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-179705</wp:posOffset>
            </wp:positionV>
            <wp:extent cx="93980"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80" cy="18034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-179705</wp:posOffset>
            </wp:positionV>
            <wp:extent cx="9398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180340"/>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Allison Transmission Holdings, Inc.</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114" w:lineRule="exact"/>
        <w:rPr>
          <w:sz w:val="20"/>
          <w:szCs w:val="20"/>
          <w:color w:val="auto"/>
        </w:rPr>
      </w:pPr>
    </w:p>
    <w:p>
      <w:pPr>
        <w:ind w:right="20" w:firstLine="499"/>
        <w:spacing w:after="0" w:line="243" w:lineRule="auto"/>
        <w:rPr>
          <w:sz w:val="20"/>
          <w:szCs w:val="20"/>
          <w:color w:val="auto"/>
        </w:rPr>
      </w:pPr>
      <w:r>
        <w:rPr>
          <w:rFonts w:ascii="Arial" w:cs="Arial" w:eastAsia="Arial" w:hAnsi="Arial"/>
          <w:sz w:val="18"/>
          <w:szCs w:val="18"/>
          <w:color w:val="auto"/>
        </w:rPr>
        <w:t>Allison Transmission Holdings, Inc. and its subsidiaries (“Allison” or the “Company”)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80" w:lineRule="exact"/>
        <w:rPr>
          <w:sz w:val="20"/>
          <w:szCs w:val="20"/>
          <w:color w:val="auto"/>
        </w:rPr>
      </w:pPr>
    </w:p>
    <w:p>
      <w:pPr>
        <w:jc w:val="both"/>
        <w:ind w:right="180" w:firstLine="499"/>
        <w:spacing w:after="0" w:line="247" w:lineRule="auto"/>
        <w:rPr>
          <w:sz w:val="20"/>
          <w:szCs w:val="20"/>
          <w:color w:val="auto"/>
        </w:rPr>
      </w:pPr>
      <w:r>
        <w:rPr>
          <w:rFonts w:ascii="Arial" w:cs="Arial" w:eastAsia="Arial" w:hAnsi="Arial"/>
          <w:sz w:val="18"/>
          <w:szCs w:val="18"/>
          <w:color w:val="auto"/>
        </w:rPr>
        <w:t>Although approximately 74% of revenues were generated in North America in 2022, the Company has a global presence by serving customers in Asia, Europe, South America and Africa. The Company serves customers through an independent network of approximately 1,600 independent distributor and dealer locations worldwide.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4" w:lineRule="exact"/>
        <w:rPr>
          <w:sz w:val="20"/>
          <w:szCs w:val="20"/>
          <w:color w:val="auto"/>
        </w:rPr>
      </w:pPr>
    </w:p>
    <w:p>
      <w:pPr>
        <w:ind w:firstLine="499"/>
        <w:spacing w:after="0" w:line="239"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87" w:lineRule="exact"/>
        <w:rPr>
          <w:sz w:val="20"/>
          <w:szCs w:val="20"/>
          <w:color w:val="auto"/>
        </w:rPr>
      </w:pPr>
    </w:p>
    <w:p>
      <w:pPr>
        <w:ind w:right="40" w:firstLine="494"/>
        <w:spacing w:after="0" w:line="239" w:lineRule="auto"/>
        <w:rPr>
          <w:sz w:val="20"/>
          <w:szCs w:val="20"/>
          <w:color w:val="auto"/>
        </w:rPr>
      </w:pPr>
      <w:r>
        <w:rPr>
          <w:rFonts w:ascii="Arial" w:cs="Arial" w:eastAsia="Arial" w:hAnsi="Arial"/>
          <w:sz w:val="18"/>
          <w:szCs w:val="18"/>
          <w:color w:val="auto"/>
        </w:rPr>
        <w:t>These condensed consolidated financial statements present the financial position, results of comprehensive income, cash flows and statements of stockholders’ equity of the Company. Certain immaterial reclassifications have been made in the condensed consolidated financial statements of prior periods to conform to the current period presentation. These reclassifications had no material impact on previously reported net income, total stockholders' equity or cash flows. The condensed consolidated financial statements should be read in conjunction with the audited consolidated financial statements included in our Annual Report on Form 10-K for the year ended December 31, 2022 as filed with the Securities and Exchange Commission on February 16, 2023. The interim period financial results for the three- and six-month periods presented are not necessarily indicative of results to be expected for any other interim period or for the entire year.</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4"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incentives, government price adjustments, fair market values and future cash flows associated with goodwill, indefinite-lived intangibles, definite-lived intangibles, long-lived asset impairment tests, useful lives for depreciation and amortization, warranty liabilities, core deposit liabilities, environmental liabilities, determination of discount rate and other assumptions for pension and other post-retirement benefit ("OPEB") expense, determination of discount rate and period for leases,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Actual results could differ materially from these estimates and from the assumptions used in the preparation of the Company's financial statements. Changes in estimates are recorded in results of operations in the period that the events or circumstances giving rise to such changes occur.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REVENUE</w:t>
      </w:r>
    </w:p>
    <w:p>
      <w:pPr>
        <w:spacing w:after="0" w:line="114"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86" w:lineRule="exact"/>
        <w:rPr>
          <w:sz w:val="20"/>
          <w:szCs w:val="20"/>
          <w:color w:val="auto"/>
        </w:rPr>
      </w:pPr>
    </w:p>
    <w:p>
      <w:pPr>
        <w:ind w:right="200" w:firstLine="494"/>
        <w:spacing w:after="0" w:line="247" w:lineRule="auto"/>
        <w:rPr>
          <w:sz w:val="20"/>
          <w:szCs w:val="20"/>
          <w:color w:val="auto"/>
        </w:rPr>
      </w:pPr>
      <w:r>
        <w:rPr>
          <w:rFonts w:ascii="Arial" w:cs="Arial" w:eastAsia="Arial" w:hAnsi="Arial"/>
          <w:sz w:val="18"/>
          <w:szCs w:val="18"/>
          <w:color w:val="auto"/>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spacing w:after="0" w:line="76" w:lineRule="exact"/>
        <w:rPr>
          <w:sz w:val="20"/>
          <w:szCs w:val="20"/>
          <w:color w:val="auto"/>
        </w:rPr>
      </w:pPr>
    </w:p>
    <w:p>
      <w:pPr>
        <w:ind w:right="480" w:firstLine="494"/>
        <w:spacing w:after="0" w:line="241" w:lineRule="auto"/>
        <w:rPr>
          <w:sz w:val="20"/>
          <w:szCs w:val="20"/>
          <w:color w:val="auto"/>
        </w:rPr>
      </w:pPr>
      <w:r>
        <w:rPr>
          <w:rFonts w:ascii="Arial" w:cs="Arial" w:eastAsia="Arial" w:hAnsi="Arial"/>
          <w:sz w:val="18"/>
          <w:szCs w:val="18"/>
          <w:color w:val="auto"/>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historically on a quarterly basis. The Company estimates the impact of all other incentives based on the related sales and market conditions in the end market vocation. The Company recorded no material adjustments based on variable consideration for either of the three or six months ended June 30, 2023 or 2022.</w:t>
      </w:r>
    </w:p>
    <w:p>
      <w:pPr>
        <w:spacing w:after="0" w:line="81" w:lineRule="exact"/>
        <w:rPr>
          <w:sz w:val="20"/>
          <w:szCs w:val="20"/>
          <w:color w:val="auto"/>
        </w:rPr>
      </w:pPr>
    </w:p>
    <w:p>
      <w:pPr>
        <w:ind w:right="60" w:firstLine="494"/>
        <w:spacing w:after="0" w:line="241" w:lineRule="auto"/>
        <w:rPr>
          <w:sz w:val="20"/>
          <w:szCs w:val="20"/>
          <w:color w:val="auto"/>
        </w:rPr>
      </w:pPr>
      <w:r>
        <w:rPr>
          <w:rFonts w:ascii="Arial" w:cs="Arial" w:eastAsia="Arial" w:hAnsi="Arial"/>
          <w:sz w:val="18"/>
          <w:szCs w:val="18"/>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June 30, 2023 and December 31, 2022. See "Note J. Deferred Revenue” for more information, including the amount of revenue earned during each of the three and six months ended June 30, 2023 and 2022 that had been previously deferred. The Company had no material contract assets as of either June 30, 2023 or December 31, 2022.</w:t>
      </w:r>
    </w:p>
    <w:p>
      <w:pPr>
        <w:spacing w:after="0" w:line="81" w:lineRule="exact"/>
        <w:rPr>
          <w:sz w:val="20"/>
          <w:szCs w:val="20"/>
          <w:color w:val="auto"/>
        </w:rPr>
      </w:pPr>
    </w:p>
    <w:p>
      <w:pPr>
        <w:jc w:val="both"/>
        <w:ind w:right="100" w:firstLine="494"/>
        <w:spacing w:after="0" w:line="247" w:lineRule="auto"/>
        <w:rPr>
          <w:sz w:val="20"/>
          <w:szCs w:val="20"/>
          <w:color w:val="auto"/>
        </w:rPr>
      </w:pPr>
      <w:r>
        <w:rPr>
          <w:rFonts w:ascii="Arial" w:cs="Arial" w:eastAsia="Arial" w:hAnsi="Arial"/>
          <w:sz w:val="18"/>
          <w:szCs w:val="18"/>
          <w:color w:val="auto"/>
        </w:rPr>
        <w:t>The Company has one operating segment and reportable segment. The Company is in one line of business, which is the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2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4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83"/>
        </w:trPr>
        <w:tc>
          <w:tcPr>
            <w:tcW w:w="4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r>
      <w:tr>
        <w:trPr>
          <w:trHeight w:val="22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 America On-Highway</w:t>
            </w:r>
          </w:p>
        </w:tc>
        <w:tc>
          <w:tcPr>
            <w:tcW w:w="14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39"/>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397</w:t>
            </w:r>
          </w:p>
        </w:tc>
        <w:tc>
          <w:tcPr>
            <w:tcW w:w="90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773</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686</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North America Off-Highway</w:t>
            </w:r>
          </w:p>
        </w:tc>
        <w:tc>
          <w:tcPr>
            <w:tcW w:w="1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b w:val="1"/>
                <w:bCs w:val="1"/>
                <w:color w:val="auto"/>
              </w:rPr>
              <w:t>49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38</w:t>
            </w:r>
          </w:p>
        </w:tc>
      </w:tr>
      <w:tr>
        <w:trPr>
          <w:trHeight w:val="22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Defense</w:t>
            </w:r>
          </w:p>
        </w:tc>
        <w:tc>
          <w:tcPr>
            <w:tcW w:w="14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33</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60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64</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Outside North America On-Highway</w:t>
            </w:r>
          </w:p>
        </w:tc>
        <w:tc>
          <w:tcPr>
            <w:tcW w:w="1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b w:val="1"/>
                <w:bCs w:val="1"/>
                <w:color w:val="auto"/>
              </w:rPr>
              <w:t>123</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b w:val="1"/>
                <w:bCs w:val="1"/>
                <w:color w:val="auto"/>
              </w:rPr>
              <w:t>231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214</w:t>
            </w:r>
          </w:p>
        </w:tc>
      </w:tr>
      <w:tr>
        <w:trPr>
          <w:trHeight w:val="230"/>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Outside North America Off-Highway</w:t>
            </w:r>
          </w:p>
        </w:tc>
        <w:tc>
          <w:tcPr>
            <w:tcW w:w="14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24</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47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62</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Service Parts, Support Equipment and Other</w:t>
            </w:r>
          </w:p>
        </w:tc>
        <w:tc>
          <w:tcPr>
            <w:tcW w:w="14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181</w:t>
            </w:r>
          </w:p>
        </w:tc>
        <w:tc>
          <w:tcPr>
            <w:tcW w:w="1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364</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277</w:t>
            </w:r>
          </w:p>
        </w:tc>
      </w:tr>
      <w:tr>
        <w:trPr>
          <w:trHeight w:val="26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Net Sales</w:t>
            </w:r>
          </w:p>
        </w:tc>
        <w:tc>
          <w:tcPr>
            <w:tcW w:w="148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539"/>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783</w:t>
            </w:r>
          </w:p>
        </w:tc>
        <w:tc>
          <w:tcPr>
            <w:tcW w:w="90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1,524</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1,341</w:t>
            </w:r>
          </w:p>
        </w:tc>
      </w:tr>
      <w:tr>
        <w:trPr>
          <w:trHeight w:val="575"/>
        </w:trPr>
        <w:tc>
          <w:tcPr>
            <w:tcW w:w="4560" w:type="dxa"/>
            <w:vAlign w:val="bottom"/>
            <w:tcBorders>
              <w:top w:val="single" w:sz="8" w:color="CFF0FC"/>
            </w:tcBorders>
          </w:tcPr>
          <w:p>
            <w:pPr>
              <w:spacing w:after="0"/>
              <w:rPr>
                <w:sz w:val="24"/>
                <w:szCs w:val="24"/>
                <w:color w:val="auto"/>
              </w:rPr>
            </w:pPr>
          </w:p>
        </w:tc>
        <w:tc>
          <w:tcPr>
            <w:tcW w:w="1480" w:type="dxa"/>
            <w:vAlign w:val="bottom"/>
            <w:tcBorders>
              <w:top w:val="single" w:sz="8" w:color="CFF0FC"/>
            </w:tcBorders>
          </w:tcPr>
          <w:p>
            <w:pPr>
              <w:jc w:val="right"/>
              <w:ind w:right="230"/>
              <w:spacing w:after="0"/>
              <w:rPr>
                <w:sz w:val="20"/>
                <w:szCs w:val="20"/>
                <w:color w:val="auto"/>
              </w:rPr>
            </w:pPr>
            <w:r>
              <w:rPr>
                <w:rFonts w:ascii="Arial" w:cs="Arial" w:eastAsia="Arial" w:hAnsi="Arial"/>
                <w:sz w:val="18"/>
                <w:szCs w:val="18"/>
                <w:color w:val="auto"/>
              </w:rPr>
              <w:t>10</w:t>
            </w:r>
          </w:p>
        </w:tc>
        <w:tc>
          <w:tcPr>
            <w:tcW w:w="7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101"/>
        </w:trPr>
        <w:tc>
          <w:tcPr>
            <w:tcW w:w="456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-479425</wp:posOffset>
            </wp:positionV>
            <wp:extent cx="1028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-462280</wp:posOffset>
            </wp:positionV>
            <wp:extent cx="1028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-479425</wp:posOffset>
            </wp:positionV>
            <wp:extent cx="1117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-462280</wp:posOffset>
            </wp:positionV>
            <wp:extent cx="1117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INVENTORIES</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160" w:type="dxa"/>
            <w:vAlign w:val="bottom"/>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375"/>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640" w:type="dxa"/>
            <w:vAlign w:val="bottom"/>
          </w:tcPr>
          <w:p>
            <w:pPr>
              <w:spacing w:after="0"/>
              <w:rPr>
                <w:sz w:val="16"/>
                <w:szCs w:val="16"/>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2022</w:t>
            </w:r>
          </w:p>
        </w:tc>
      </w:tr>
      <w:tr>
        <w:trPr>
          <w:trHeight w:val="22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Purchased parts and raw materials</w:t>
            </w:r>
          </w:p>
        </w:tc>
        <w:tc>
          <w:tcPr>
            <w:tcW w:w="1160" w:type="dxa"/>
            <w:vAlign w:val="bottom"/>
            <w:shd w:val="clear" w:color="auto" w:fill="CFF0FC"/>
          </w:tcPr>
          <w:p>
            <w:pPr>
              <w:jc w:val="right"/>
              <w:ind w:right="979"/>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147</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115</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160" w:type="dxa"/>
            <w:vAlign w:val="bottom"/>
          </w:tcPr>
          <w:p>
            <w:pPr>
              <w:spacing w:after="0"/>
              <w:rPr>
                <w:sz w:val="19"/>
                <w:szCs w:val="19"/>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15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7</w:t>
            </w:r>
          </w:p>
        </w:tc>
      </w:tr>
      <w:tr>
        <w:trPr>
          <w:trHeight w:val="23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parts</w:t>
            </w:r>
          </w:p>
        </w:tc>
        <w:tc>
          <w:tcPr>
            <w:tcW w:w="1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57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53</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59</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49</w:t>
            </w:r>
          </w:p>
        </w:tc>
      </w:tr>
      <w:tr>
        <w:trPr>
          <w:trHeight w:val="263"/>
        </w:trPr>
        <w:tc>
          <w:tcPr>
            <w:tcW w:w="7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inventories</w:t>
            </w:r>
          </w:p>
        </w:tc>
        <w:tc>
          <w:tcPr>
            <w:tcW w:w="1160" w:type="dxa"/>
            <w:vAlign w:val="bottom"/>
            <w:tcBorders>
              <w:bottom w:val="single" w:sz="8" w:color="auto"/>
            </w:tcBorders>
            <w:shd w:val="clear" w:color="auto" w:fill="CFF0FC"/>
          </w:tcPr>
          <w:p>
            <w:pPr>
              <w:jc w:val="right"/>
              <w:ind w:right="979"/>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278</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1289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1289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0" w:lineRule="exact"/>
        <w:rPr>
          <w:sz w:val="20"/>
          <w:szCs w:val="20"/>
          <w:color w:val="auto"/>
        </w:rPr>
      </w:pPr>
    </w:p>
    <w:p>
      <w:pPr>
        <w:ind w:right="200" w:firstLine="494"/>
        <w:spacing w:after="0" w:line="247"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GOODWILL AND OTHER INTANGIBLE ASSETS</w:t>
      </w:r>
    </w:p>
    <w:p>
      <w:pPr>
        <w:spacing w:after="0" w:line="114" w:lineRule="exact"/>
        <w:rPr>
          <w:sz w:val="20"/>
          <w:szCs w:val="20"/>
          <w:color w:val="auto"/>
        </w:rPr>
      </w:pPr>
    </w:p>
    <w:p>
      <w:pPr>
        <w:ind w:right="360" w:firstLine="494"/>
        <w:spacing w:after="0" w:line="260" w:lineRule="auto"/>
        <w:rPr>
          <w:sz w:val="20"/>
          <w:szCs w:val="20"/>
          <w:color w:val="auto"/>
        </w:rPr>
      </w:pPr>
      <w:r>
        <w:rPr>
          <w:rFonts w:ascii="Arial" w:cs="Arial" w:eastAsia="Arial" w:hAnsi="Arial"/>
          <w:sz w:val="18"/>
          <w:szCs w:val="18"/>
          <w:color w:val="auto"/>
        </w:rPr>
        <w:t>As of June 30, 2023 and December 31, 2022, the carrying value of the Company’s Goodwill was $2,076 million and $2,075 million, respectively.</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2022</w:t>
            </w: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56"/>
        </w:trPr>
        <w:tc>
          <w:tcPr>
            <w:tcW w:w="4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54"/>
              <w:spacing w:after="0" w:line="156" w:lineRule="exact"/>
              <w:rPr>
                <w:sz w:val="20"/>
                <w:szCs w:val="20"/>
                <w:color w:val="auto"/>
              </w:rPr>
            </w:pPr>
            <w:r>
              <w:rPr>
                <w:rFonts w:ascii="Arial" w:cs="Arial" w:eastAsia="Arial" w:hAnsi="Arial"/>
                <w:sz w:val="14"/>
                <w:szCs w:val="14"/>
                <w:b w:val="1"/>
                <w:bCs w:val="1"/>
                <w:color w:val="auto"/>
              </w:rPr>
              <w:t>Accumulate</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tcPr>
          <w:p>
            <w:pPr>
              <w:jc w:val="center"/>
              <w:ind w:right="240"/>
              <w:spacing w:after="0" w:line="156" w:lineRule="exact"/>
              <w:rPr>
                <w:sz w:val="20"/>
                <w:szCs w:val="20"/>
                <w:color w:val="auto"/>
              </w:rPr>
            </w:pPr>
            <w:r>
              <w:rPr>
                <w:rFonts w:ascii="Arial" w:cs="Arial" w:eastAsia="Arial" w:hAnsi="Arial"/>
                <w:sz w:val="14"/>
                <w:szCs w:val="14"/>
                <w:b w:val="1"/>
                <w:bCs w:val="1"/>
                <w:color w:val="auto"/>
              </w:rPr>
              <w:t>Accumulate</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4520" w:type="dxa"/>
            <w:vAlign w:val="bottom"/>
          </w:tcPr>
          <w:p>
            <w:pPr>
              <w:spacing w:after="0"/>
              <w:rPr>
                <w:sz w:val="14"/>
                <w:szCs w:val="14"/>
                <w:color w:val="auto"/>
              </w:rPr>
            </w:pPr>
          </w:p>
        </w:tc>
        <w:tc>
          <w:tcPr>
            <w:tcW w:w="100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rPr>
              <w:t>Intangible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center"/>
              <w:ind w:right="274"/>
              <w:spacing w:after="0"/>
              <w:rPr>
                <w:sz w:val="20"/>
                <w:szCs w:val="20"/>
                <w:color w:val="auto"/>
              </w:rPr>
            </w:pPr>
            <w:r>
              <w:rPr>
                <w:rFonts w:ascii="Arial" w:cs="Arial" w:eastAsia="Arial" w:hAnsi="Arial"/>
                <w:sz w:val="14"/>
                <w:szCs w:val="14"/>
                <w:b w:val="1"/>
                <w:bCs w:val="1"/>
                <w:color w:val="auto"/>
                <w:w w:val="92"/>
              </w:rPr>
              <w:t>d</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Intangible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234"/>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4"/>
                <w:szCs w:val="14"/>
                <w:color w:val="auto"/>
              </w:rPr>
            </w:pPr>
          </w:p>
        </w:tc>
        <w:tc>
          <w:tcPr>
            <w:tcW w:w="100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rPr>
              <w:t>amortizatio</w:t>
            </w:r>
          </w:p>
        </w:tc>
        <w:tc>
          <w:tcPr>
            <w:tcW w:w="140" w:type="dxa"/>
            <w:vAlign w:val="bottom"/>
          </w:tcPr>
          <w:p>
            <w:pPr>
              <w:spacing w:after="0"/>
              <w:rPr>
                <w:sz w:val="14"/>
                <w:szCs w:val="14"/>
                <w:color w:val="auto"/>
              </w:rPr>
            </w:pPr>
          </w:p>
        </w:tc>
        <w:tc>
          <w:tcPr>
            <w:tcW w:w="10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114"/>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amortizatio</w:t>
            </w:r>
          </w:p>
        </w:tc>
        <w:tc>
          <w:tcPr>
            <w:tcW w:w="10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Intangible</w:t>
            </w:r>
          </w:p>
        </w:tc>
      </w:tr>
      <w:tr>
        <w:trPr>
          <w:trHeight w:val="189"/>
        </w:trPr>
        <w:tc>
          <w:tcPr>
            <w:tcW w:w="4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194"/>
              <w:spacing w:after="0"/>
              <w:rPr>
                <w:sz w:val="20"/>
                <w:szCs w:val="20"/>
                <w:color w:val="auto"/>
              </w:rPr>
            </w:pPr>
            <w:r>
              <w:rPr>
                <w:rFonts w:ascii="Arial" w:cs="Arial" w:eastAsia="Arial" w:hAnsi="Arial"/>
                <w:sz w:val="14"/>
                <w:szCs w:val="14"/>
                <w:b w:val="1"/>
                <w:bCs w:val="1"/>
                <w:color w:val="auto"/>
                <w:w w:val="99"/>
              </w:rPr>
              <w:t>gross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center"/>
              <w:ind w:right="274"/>
              <w:spacing w:after="0"/>
              <w:rPr>
                <w:sz w:val="20"/>
                <w:szCs w:val="20"/>
                <w:color w:val="auto"/>
              </w:rPr>
            </w:pPr>
            <w:r>
              <w:rPr>
                <w:rFonts w:ascii="Arial" w:cs="Arial" w:eastAsia="Arial" w:hAnsi="Arial"/>
                <w:sz w:val="14"/>
                <w:szCs w:val="14"/>
                <w:b w:val="1"/>
                <w:bCs w:val="1"/>
                <w:color w:val="auto"/>
                <w:w w:val="92"/>
              </w:rPr>
              <w:t>n</w:t>
            </w:r>
          </w:p>
        </w:tc>
        <w:tc>
          <w:tcPr>
            <w:tcW w:w="140" w:type="dxa"/>
            <w:vAlign w:val="bottom"/>
          </w:tcPr>
          <w:p>
            <w:pPr>
              <w:spacing w:after="0"/>
              <w:rPr>
                <w:sz w:val="16"/>
                <w:szCs w:val="16"/>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assets, net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74"/>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n</w:t>
            </w:r>
          </w:p>
        </w:tc>
        <w:tc>
          <w:tcPr>
            <w:tcW w:w="10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assets, net</w:t>
            </w:r>
          </w:p>
        </w:tc>
      </w:tr>
      <w:tr>
        <w:trPr>
          <w:trHeight w:val="223"/>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intangible assets:</w:t>
            </w: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54"/>
              <w:spacing w:after="0"/>
              <w:rPr>
                <w:sz w:val="20"/>
                <w:szCs w:val="20"/>
                <w:color w:val="auto"/>
              </w:rPr>
            </w:pPr>
            <w:r>
              <w:rPr>
                <w:rFonts w:ascii="Arial" w:cs="Arial" w:eastAsia="Arial" w:hAnsi="Arial"/>
                <w:sz w:val="18"/>
                <w:szCs w:val="18"/>
                <w:b w:val="1"/>
                <w:bCs w:val="1"/>
                <w:color w:val="auto"/>
              </w:rPr>
              <w:t>791</w:t>
            </w:r>
          </w:p>
        </w:tc>
        <w:tc>
          <w:tcPr>
            <w:tcW w:w="38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54"/>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791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791</w:t>
            </w:r>
          </w:p>
        </w:tc>
        <w:tc>
          <w:tcPr>
            <w:tcW w:w="48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791</w:t>
            </w:r>
          </w:p>
        </w:tc>
      </w:tr>
      <w:tr>
        <w:trPr>
          <w:trHeight w:val="229"/>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25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Customer relationships — commercial</w:t>
            </w:r>
          </w:p>
        </w:tc>
        <w:tc>
          <w:tcPr>
            <w:tcW w:w="14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b w:val="1"/>
                <w:bCs w:val="1"/>
                <w:color w:val="auto"/>
              </w:rPr>
              <w:t>839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(813 )</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(793 )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46</w:t>
            </w:r>
          </w:p>
        </w:tc>
      </w:tr>
      <w:tr>
        <w:trPr>
          <w:trHeight w:val="230"/>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Proprietary technology</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484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(478 )</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(477 )</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Customer relationships — defense</w:t>
            </w:r>
          </w:p>
        </w:tc>
        <w:tc>
          <w:tcPr>
            <w:tcW w:w="14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b w:val="1"/>
                <w:bCs w:val="1"/>
                <w:color w:val="auto"/>
              </w:rPr>
              <w:t>62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(55 )</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9</w:t>
            </w:r>
          </w:p>
        </w:tc>
      </w:tr>
      <w:tr>
        <w:trPr>
          <w:trHeight w:val="230"/>
        </w:trPr>
        <w:tc>
          <w:tcPr>
            <w:tcW w:w="4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Non-compete agreements</w:t>
            </w: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452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54"/>
              <w:spacing w:after="0"/>
              <w:rPr>
                <w:sz w:val="20"/>
                <w:szCs w:val="20"/>
                <w:color w:val="auto"/>
              </w:rPr>
            </w:pPr>
            <w:r>
              <w:rPr>
                <w:rFonts w:ascii="Arial" w:cs="Arial" w:eastAsia="Arial" w:hAnsi="Arial"/>
                <w:sz w:val="18"/>
                <w:szCs w:val="18"/>
                <w:b w:val="1"/>
                <w:bCs w:val="1"/>
                <w:color w:val="auto"/>
              </w:rPr>
              <w:t>2,202</w:t>
            </w:r>
          </w:p>
        </w:tc>
        <w:tc>
          <w:tcPr>
            <w:tcW w:w="38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(1,347 )</w:t>
            </w:r>
          </w:p>
        </w:tc>
        <w:tc>
          <w:tcPr>
            <w:tcW w:w="48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855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2,202</w:t>
            </w:r>
          </w:p>
        </w:tc>
        <w:tc>
          <w:tcPr>
            <w:tcW w:w="48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(1,324 )</w:t>
            </w:r>
          </w:p>
        </w:tc>
        <w:tc>
          <w:tcPr>
            <w:tcW w:w="12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878</w:t>
            </w:r>
          </w:p>
        </w:tc>
      </w:tr>
      <w:tr>
        <w:trPr>
          <w:trHeight w:val="20"/>
        </w:trPr>
        <w:tc>
          <w:tcPr>
            <w:tcW w:w="4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-179705</wp:posOffset>
            </wp:positionV>
            <wp:extent cx="85725"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-179705</wp:posOffset>
            </wp:positionV>
            <wp:extent cx="85725"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-179705</wp:posOffset>
            </wp:positionV>
            <wp:extent cx="85725"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-179705</wp:posOffset>
            </wp:positionV>
            <wp:extent cx="85725"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-179705</wp:posOffset>
            </wp:positionV>
            <wp:extent cx="85725"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other intangible assets for the next five fiscal years is expected to be (dollars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2027</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2028</w:t>
            </w:r>
          </w:p>
        </w:tc>
      </w:tr>
      <w:tr>
        <w:trPr>
          <w:trHeight w:val="263"/>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Amortization expense</w:t>
            </w: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-24765</wp:posOffset>
            </wp:positionV>
            <wp:extent cx="946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946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857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93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939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857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FAIR VALUE OF FINANCIAL INSTRUMENTS</w:t>
      </w:r>
    </w:p>
    <w:p>
      <w:pPr>
        <w:spacing w:after="0" w:line="168"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87" w:lineRule="exact"/>
        <w:rPr>
          <w:sz w:val="20"/>
          <w:szCs w:val="20"/>
          <w:color w:val="auto"/>
        </w:rPr>
      </w:pPr>
    </w:p>
    <w:p>
      <w:pPr>
        <w:ind w:right="20" w:firstLine="494"/>
        <w:spacing w:after="0" w:line="243" w:lineRule="auto"/>
        <w:rPr>
          <w:sz w:val="20"/>
          <w:szCs w:val="20"/>
          <w:color w:val="auto"/>
        </w:rPr>
      </w:pPr>
      <w:r>
        <w:rPr>
          <w:rFonts w:ascii="Arial" w:cs="Arial" w:eastAsia="Arial" w:hAnsi="Arial"/>
          <w:sz w:val="18"/>
          <w:szCs w:val="18"/>
          <w:color w:val="auto"/>
        </w:rPr>
        <w:t>Level 2 — Inputs are other than quoted prices in active markets included in Level 1, which are either directly or indirectly observable as of the reporting date. Level 2 includes financial instruments that are valued using quoted prices in markets that are not active and those financial instruments that are valued using models or other valuation methodologies in which all significant value-drivers are observable in active markets or are supported by observable levels at which transactions are executed in the marketplace.</w:t>
      </w:r>
    </w:p>
    <w:p>
      <w:pPr>
        <w:spacing w:after="0" w:line="80" w:lineRule="exact"/>
        <w:rPr>
          <w:sz w:val="20"/>
          <w:szCs w:val="20"/>
          <w:color w:val="auto"/>
        </w:rPr>
      </w:pPr>
    </w:p>
    <w:p>
      <w:pPr>
        <w:ind w:right="380" w:firstLine="494"/>
        <w:spacing w:after="0" w:line="241" w:lineRule="auto"/>
        <w:rPr>
          <w:sz w:val="20"/>
          <w:szCs w:val="20"/>
          <w:color w:val="auto"/>
        </w:rPr>
      </w:pPr>
      <w:r>
        <w:rPr>
          <w:rFonts w:ascii="Arial" w:cs="Arial" w:eastAsia="Arial" w:hAnsi="Arial"/>
          <w:sz w:val="18"/>
          <w:szCs w:val="18"/>
          <w:color w:val="auto"/>
        </w:rPr>
        <w:t>Level 3 — Certain inputs are unobservable or have little or no market data available.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June 30, 2023 and December 31, 2022, the Company did not have any Level 3 financial assets or liabilities.</w:t>
      </w:r>
    </w:p>
    <w:p>
      <w:pPr>
        <w:spacing w:after="0" w:line="135" w:lineRule="exact"/>
        <w:rPr>
          <w:sz w:val="20"/>
          <w:szCs w:val="20"/>
          <w:color w:val="auto"/>
        </w:rPr>
      </w:pPr>
    </w:p>
    <w:p>
      <w:pPr>
        <w:ind w:right="60" w:firstLine="494"/>
        <w:spacing w:after="0" w:line="239" w:lineRule="auto"/>
        <w:rPr>
          <w:sz w:val="20"/>
          <w:szCs w:val="20"/>
          <w:color w:val="auto"/>
        </w:rPr>
      </w:pPr>
      <w:r>
        <w:rPr>
          <w:rFonts w:ascii="Arial" w:cs="Arial" w:eastAsia="Arial" w:hAnsi="Arial"/>
          <w:sz w:val="18"/>
          <w:szCs w:val="18"/>
          <w:color w:val="auto"/>
        </w:rPr>
        <w:t>The Company’s assets and liabilities that are measured at fair value include cash equivalents, marketable securities, derivative instruments, assets held in a rabbi trust and a deferred compensation obligation. The Company’s cash equivalents consist of short-term U.S. government backed securities and time deposits. The Company's marketable securities consist of publicly traded stock of Jing-Jin Electric Technologies Co. Ltd., which has a readily determinable fair value.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86" w:lineRule="exact"/>
        <w:rPr>
          <w:sz w:val="20"/>
          <w:szCs w:val="20"/>
          <w:color w:val="auto"/>
        </w:rPr>
      </w:pPr>
    </w:p>
    <w:p>
      <w:pPr>
        <w:ind w:right="140" w:firstLine="494"/>
        <w:spacing w:after="0" w:line="247" w:lineRule="auto"/>
        <w:rPr>
          <w:sz w:val="20"/>
          <w:szCs w:val="20"/>
          <w:color w:val="auto"/>
        </w:rPr>
      </w:pPr>
      <w:r>
        <w:rPr>
          <w:rFonts w:ascii="Arial" w:cs="Arial" w:eastAsia="Arial" w:hAnsi="Arial"/>
          <w:sz w:val="18"/>
          <w:szCs w:val="18"/>
          <w:color w:val="auto"/>
        </w:rPr>
        <w:t>The Company’s valuation techniques used to calculate the fair value of cash equivalents, marketable securities, assets held in the rabbi trust and the deferred compensation obligation represent a market approach in active markets for identical assets that qualify as Level 1 in the fair value hierarchy.</w:t>
      </w:r>
    </w:p>
    <w:p>
      <w:pPr>
        <w:spacing w:after="0" w:line="76" w:lineRule="exact"/>
        <w:rPr>
          <w:sz w:val="20"/>
          <w:szCs w:val="20"/>
          <w:color w:val="auto"/>
        </w:rPr>
      </w:pPr>
    </w:p>
    <w:p>
      <w:pPr>
        <w:ind w:right="40" w:firstLine="494"/>
        <w:spacing w:after="0" w:line="241" w:lineRule="auto"/>
        <w:rPr>
          <w:sz w:val="20"/>
          <w:szCs w:val="20"/>
          <w:color w:val="auto"/>
        </w:rPr>
      </w:pPr>
      <w:r>
        <w:rPr>
          <w:rFonts w:ascii="Arial" w:cs="Arial" w:eastAsia="Arial" w:hAnsi="Arial"/>
          <w:sz w:val="18"/>
          <w:szCs w:val="18"/>
          <w:color w:val="auto"/>
        </w:rPr>
        <w:t>The Company’s valuation techniques used to calculate the fair value of derivative instruments represent a market approach with observable inputs that qualify as Level 2 in the fair value hierarchy. The Company uses valuations from the issuing financial institutions for the fair value measurement of interest rate swaps. The floating-to-fixed interest rate swaps are based on the Secured Overnight Financing Rate ("SOFR"), which is observable at commonly quoted intervals. The fair values are included in other current and non-current assets in the Condensed Consolidated Balance Sheets. See "Note H. Derivatives” for more information regarding the Company's interest rate swaps.</w:t>
      </w:r>
    </w:p>
    <w:p>
      <w:pPr>
        <w:spacing w:after="0" w:line="81" w:lineRule="exact"/>
        <w:rPr>
          <w:sz w:val="20"/>
          <w:szCs w:val="20"/>
          <w:color w:val="auto"/>
        </w:rPr>
      </w:pPr>
    </w:p>
    <w:p>
      <w:pPr>
        <w:ind w:right="40" w:firstLine="494"/>
        <w:spacing w:after="0" w:line="260"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June 30, 2023 and December 31, 2022 (dollars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4"/>
                <w:szCs w:val="14"/>
                <w:b w:val="1"/>
                <w:bCs w:val="1"/>
                <w:color w:val="auto"/>
              </w:rPr>
              <w:t>Fair Value Measurements Using</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56"/>
        </w:trPr>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3"/>
          </w:tcPr>
          <w:p>
            <w:pPr>
              <w:jc w:val="center"/>
              <w:ind w:left="58"/>
              <w:spacing w:after="0" w:line="156" w:lineRule="exact"/>
              <w:rPr>
                <w:sz w:val="20"/>
                <w:szCs w:val="20"/>
                <w:color w:val="auto"/>
              </w:rPr>
            </w:pPr>
            <w:r>
              <w:rPr>
                <w:rFonts w:ascii="Arial" w:cs="Arial" w:eastAsia="Arial" w:hAnsi="Arial"/>
                <w:sz w:val="14"/>
                <w:szCs w:val="14"/>
                <w:b w:val="1"/>
                <w:bCs w:val="1"/>
                <w:color w:val="auto"/>
              </w:rPr>
              <w:t>Quoted Prices in Active</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3"/>
          </w:tcPr>
          <w:p>
            <w:pPr>
              <w:jc w:val="center"/>
              <w:ind w:left="59"/>
              <w:spacing w:after="0" w:line="156" w:lineRule="exact"/>
              <w:rPr>
                <w:sz w:val="20"/>
                <w:szCs w:val="20"/>
                <w:color w:val="auto"/>
              </w:rPr>
            </w:pPr>
            <w:r>
              <w:rPr>
                <w:rFonts w:ascii="Arial" w:cs="Arial" w:eastAsia="Arial" w:hAnsi="Arial"/>
                <w:sz w:val="14"/>
                <w:szCs w:val="14"/>
                <w:b w:val="1"/>
                <w:bCs w:val="1"/>
                <w:color w:val="auto"/>
              </w:rPr>
              <w:t>Significant Other</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2"/>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3"/>
          </w:tcPr>
          <w:p>
            <w:pPr>
              <w:jc w:val="center"/>
              <w:ind w:left="38"/>
              <w:spacing w:after="0"/>
              <w:rPr>
                <w:sz w:val="20"/>
                <w:szCs w:val="20"/>
                <w:color w:val="auto"/>
              </w:rPr>
            </w:pPr>
            <w:r>
              <w:rPr>
                <w:rFonts w:ascii="Arial" w:cs="Arial" w:eastAsia="Arial" w:hAnsi="Arial"/>
                <w:sz w:val="14"/>
                <w:szCs w:val="14"/>
                <w:b w:val="1"/>
                <w:bCs w:val="1"/>
                <w:color w:val="auto"/>
              </w:rPr>
              <w:t>Markets for Identical</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rPr>
              <w:t>Observable Inputs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9"/>
        </w:trPr>
        <w:tc>
          <w:tcPr>
            <w:tcW w:w="2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58"/>
              <w:spacing w:after="0"/>
              <w:rPr>
                <w:sz w:val="20"/>
                <w:szCs w:val="20"/>
                <w:color w:val="auto"/>
              </w:rPr>
            </w:pPr>
            <w:r>
              <w:rPr>
                <w:rFonts w:ascii="Arial" w:cs="Arial" w:eastAsia="Arial" w:hAnsi="Arial"/>
                <w:sz w:val="14"/>
                <w:szCs w:val="14"/>
                <w:b w:val="1"/>
                <w:bCs w:val="1"/>
                <w:color w:val="auto"/>
              </w:rPr>
              <w:t>Assets (Level 1)</w:t>
            </w: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left="39"/>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spacing w:after="0"/>
              <w:rPr>
                <w:sz w:val="16"/>
                <w:szCs w:val="16"/>
                <w:color w:val="auto"/>
              </w:rPr>
            </w:pPr>
          </w:p>
        </w:tc>
      </w:tr>
      <w:tr>
        <w:trPr>
          <w:trHeight w:val="156"/>
        </w:trPr>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358"/>
              <w:spacing w:after="0" w:line="156"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200" w:type="dxa"/>
            <w:vAlign w:val="bottom"/>
            <w:gridSpan w:val="2"/>
          </w:tcPr>
          <w:p>
            <w:pPr>
              <w:jc w:val="right"/>
              <w:ind w:right="70"/>
              <w:spacing w:after="0" w:line="156"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339"/>
              <w:spacing w:after="0" w:line="156"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3"/>
                <w:szCs w:val="13"/>
                <w:color w:val="auto"/>
              </w:rPr>
            </w:pPr>
          </w:p>
        </w:tc>
        <w:tc>
          <w:tcPr>
            <w:tcW w:w="1240" w:type="dxa"/>
            <w:vAlign w:val="bottom"/>
            <w:gridSpan w:val="2"/>
          </w:tcPr>
          <w:p>
            <w:pPr>
              <w:jc w:val="right"/>
              <w:ind w:right="130"/>
              <w:spacing w:after="0" w:line="156"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336"/>
              <w:spacing w:after="0" w:line="156"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3"/>
                <w:szCs w:val="13"/>
                <w:color w:val="auto"/>
              </w:rPr>
            </w:pPr>
          </w:p>
        </w:tc>
        <w:tc>
          <w:tcPr>
            <w:tcW w:w="1260" w:type="dxa"/>
            <w:vAlign w:val="bottom"/>
            <w:gridSpan w:val="2"/>
          </w:tcPr>
          <w:p>
            <w:pPr>
              <w:jc w:val="right"/>
              <w:ind w:right="133"/>
              <w:spacing w:after="0" w:line="156"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2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23"/>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FF0FC"/>
          </w:tcPr>
          <w:p>
            <w:pPr>
              <w:jc w:val="right"/>
              <w:ind w:right="58"/>
              <w:spacing w:after="0"/>
              <w:rPr>
                <w:sz w:val="20"/>
                <w:szCs w:val="20"/>
                <w:color w:val="auto"/>
              </w:rPr>
            </w:pPr>
            <w:r>
              <w:rPr>
                <w:rFonts w:ascii="Arial" w:cs="Arial" w:eastAsia="Arial" w:hAnsi="Arial"/>
                <w:sz w:val="18"/>
                <w:szCs w:val="18"/>
                <w:b w:val="1"/>
                <w:bCs w:val="1"/>
                <w:color w:val="auto"/>
              </w:rPr>
              <w:t>156</w:t>
            </w:r>
          </w:p>
        </w:tc>
        <w:tc>
          <w:tcPr>
            <w:tcW w:w="900" w:type="dxa"/>
            <w:vAlign w:val="bottom"/>
            <w:gridSpan w:val="2"/>
            <w:shd w:val="clear" w:color="auto" w:fill="CFF0FC"/>
          </w:tcPr>
          <w:p>
            <w:pPr>
              <w:jc w:val="right"/>
              <w:ind w:right="582"/>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FF0FC"/>
          </w:tcPr>
          <w:p>
            <w:pPr>
              <w:jc w:val="right"/>
              <w:ind w:right="622"/>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rPr>
              <w:t>156</w:t>
            </w:r>
          </w:p>
        </w:tc>
        <w:tc>
          <w:tcPr>
            <w:tcW w:w="40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111</w:t>
            </w: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9"/>
                <w:szCs w:val="19"/>
                <w:color w:val="auto"/>
              </w:rPr>
            </w:pPr>
          </w:p>
        </w:tc>
        <w:tc>
          <w:tcPr>
            <w:tcW w:w="1100" w:type="dxa"/>
            <w:vAlign w:val="bottom"/>
          </w:tcPr>
          <w:p>
            <w:pPr>
              <w:jc w:val="right"/>
              <w:ind w:right="58"/>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b w:val="1"/>
                <w:bCs w:val="1"/>
                <w:color w:val="auto"/>
              </w:rPr>
              <w:t>24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22</w:t>
            </w:r>
          </w:p>
        </w:tc>
      </w:tr>
      <w:tr>
        <w:trPr>
          <w:trHeight w:val="229"/>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assets</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8"/>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8"/>
                <w:szCs w:val="18"/>
                <w:b w:val="1"/>
                <w:bCs w:val="1"/>
                <w:color w:val="auto"/>
              </w:rPr>
              <w:t>20</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rPr>
              <w:t>20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18</w:t>
            </w: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Rabbi trust assets</w:t>
            </w:r>
          </w:p>
        </w:tc>
        <w:tc>
          <w:tcPr>
            <w:tcW w:w="220" w:type="dxa"/>
            <w:vAlign w:val="bottom"/>
          </w:tcPr>
          <w:p>
            <w:pPr>
              <w:spacing w:after="0"/>
              <w:rPr>
                <w:sz w:val="19"/>
                <w:szCs w:val="19"/>
                <w:color w:val="auto"/>
              </w:rPr>
            </w:pPr>
          </w:p>
        </w:tc>
        <w:tc>
          <w:tcPr>
            <w:tcW w:w="1100" w:type="dxa"/>
            <w:vAlign w:val="bottom"/>
          </w:tcPr>
          <w:p>
            <w:pPr>
              <w:jc w:val="right"/>
              <w:ind w:right="58"/>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b w:val="1"/>
                <w:bCs w:val="1"/>
                <w:color w:val="auto"/>
              </w:rPr>
              <w:t>17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15</w:t>
            </w:r>
          </w:p>
        </w:tc>
      </w:tr>
      <w:tr>
        <w:trPr>
          <w:trHeight w:val="230"/>
        </w:trPr>
        <w:tc>
          <w:tcPr>
            <w:tcW w:w="2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Deferred compensation obligation</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(17 )</w:t>
            </w: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(17 )</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(15 )</w:t>
            </w:r>
          </w:p>
        </w:tc>
      </w:tr>
      <w:tr>
        <w:trPr>
          <w:trHeight w:val="223"/>
        </w:trPr>
        <w:tc>
          <w:tcPr>
            <w:tcW w:w="2880" w:type="dxa"/>
            <w:vAlign w:val="bottom"/>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180</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82"/>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20</w:t>
            </w: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ind w:right="622"/>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200</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151</w:t>
            </w:r>
          </w:p>
        </w:tc>
      </w:tr>
      <w:tr>
        <w:trPr>
          <w:trHeight w:val="20"/>
        </w:trPr>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75"/>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w w:val="89"/>
              </w:rPr>
              <w:t>12</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2"/>
        </w:trPr>
        <w:tc>
          <w:tcPr>
            <w:tcW w:w="2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-633730</wp:posOffset>
            </wp:positionV>
            <wp:extent cx="85725"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-633730</wp:posOffset>
            </wp:positionV>
            <wp:extent cx="85725"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-633730</wp:posOffset>
            </wp:positionV>
            <wp:extent cx="85725"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-633730</wp:posOffset>
            </wp:positionV>
            <wp:extent cx="85725"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-633730</wp:posOffset>
            </wp:positionV>
            <wp:extent cx="85725"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DEBT</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374"/>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640" w:type="dxa"/>
            <w:vAlign w:val="bottom"/>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2022</w:t>
            </w:r>
          </w:p>
        </w:tc>
      </w:tr>
      <w:tr>
        <w:trPr>
          <w:trHeight w:val="22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Senior Secured Credit Facility Term Loan, variable, due 2026</w:t>
            </w:r>
          </w:p>
        </w:tc>
        <w:tc>
          <w:tcPr>
            <w:tcW w:w="1080" w:type="dxa"/>
            <w:vAlign w:val="bottom"/>
          </w:tcPr>
          <w:p>
            <w:pPr>
              <w:jc w:val="right"/>
              <w:ind w:right="897"/>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622</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4"/>
              <w:spacing w:after="0"/>
              <w:rPr>
                <w:sz w:val="20"/>
                <w:szCs w:val="20"/>
                <w:color w:val="auto"/>
              </w:rPr>
            </w:pPr>
            <w:r>
              <w:rPr>
                <w:rFonts w:ascii="Arial" w:cs="Arial" w:eastAsia="Arial" w:hAnsi="Arial"/>
                <w:sz w:val="18"/>
                <w:szCs w:val="18"/>
                <w:color w:val="auto"/>
              </w:rPr>
              <w:t>625</w:t>
            </w:r>
          </w:p>
        </w:tc>
      </w:tr>
      <w:tr>
        <w:trPr>
          <w:trHeight w:val="22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fixed 4.75%, due 2027</w:t>
            </w: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400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400</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Senior Notes, fixed 5.875%, due 2029</w:t>
            </w:r>
          </w:p>
        </w:tc>
        <w:tc>
          <w:tcPr>
            <w:tcW w:w="108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500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74"/>
              <w:spacing w:after="0"/>
              <w:rPr>
                <w:sz w:val="20"/>
                <w:szCs w:val="20"/>
                <w:color w:val="auto"/>
              </w:rPr>
            </w:pPr>
            <w:r>
              <w:rPr>
                <w:rFonts w:ascii="Arial" w:cs="Arial" w:eastAsia="Arial" w:hAnsi="Arial"/>
                <w:sz w:val="18"/>
                <w:szCs w:val="18"/>
                <w:color w:val="auto"/>
              </w:rPr>
              <w:t>500</w:t>
            </w:r>
          </w:p>
        </w:tc>
      </w:tr>
      <w:tr>
        <w:trPr>
          <w:trHeight w:val="23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Senior Notes, fixed 3.75%, due 2031</w:t>
            </w:r>
          </w:p>
        </w:tc>
        <w:tc>
          <w:tcPr>
            <w:tcW w:w="10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1,000</w:t>
            </w:r>
          </w:p>
        </w:tc>
      </w:tr>
      <w:tr>
        <w:trPr>
          <w:trHeight w:val="223"/>
        </w:trPr>
        <w:tc>
          <w:tcPr>
            <w:tcW w:w="7640" w:type="dxa"/>
            <w:vAlign w:val="bottom"/>
          </w:tcPr>
          <w:p>
            <w:pPr>
              <w:ind w:left="280"/>
              <w:spacing w:after="0"/>
              <w:rPr>
                <w:sz w:val="20"/>
                <w:szCs w:val="20"/>
                <w:color w:val="auto"/>
              </w:rPr>
            </w:pPr>
            <w:r>
              <w:rPr>
                <w:rFonts w:ascii="Arial" w:cs="Arial" w:eastAsia="Arial" w:hAnsi="Arial"/>
                <w:sz w:val="18"/>
                <w:szCs w:val="18"/>
                <w:color w:val="auto"/>
              </w:rPr>
              <w:t>Total long-term debt</w:t>
            </w:r>
          </w:p>
        </w:tc>
        <w:tc>
          <w:tcPr>
            <w:tcW w:w="1080" w:type="dxa"/>
            <w:vAlign w:val="bottom"/>
          </w:tcPr>
          <w:p>
            <w:pPr>
              <w:jc w:val="right"/>
              <w:ind w:right="897"/>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2,522</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4"/>
              <w:spacing w:after="0"/>
              <w:rPr>
                <w:sz w:val="20"/>
                <w:szCs w:val="20"/>
                <w:color w:val="auto"/>
              </w:rPr>
            </w:pPr>
            <w:r>
              <w:rPr>
                <w:rFonts w:ascii="Arial" w:cs="Arial" w:eastAsia="Arial" w:hAnsi="Arial"/>
                <w:sz w:val="18"/>
                <w:szCs w:val="18"/>
                <w:color w:val="auto"/>
              </w:rPr>
              <w:t>2,525</w:t>
            </w:r>
          </w:p>
        </w:tc>
      </w:tr>
      <w:tr>
        <w:trPr>
          <w:trHeight w:val="23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6</w:t>
            </w:r>
          </w:p>
        </w:tc>
      </w:tr>
      <w:tr>
        <w:trPr>
          <w:trHeight w:val="229"/>
        </w:trPr>
        <w:tc>
          <w:tcPr>
            <w:tcW w:w="7640" w:type="dxa"/>
            <w:vAlign w:val="bottom"/>
          </w:tcPr>
          <w:p>
            <w:pPr>
              <w:ind w:left="520"/>
              <w:spacing w:after="0"/>
              <w:rPr>
                <w:sz w:val="20"/>
                <w:szCs w:val="20"/>
                <w:color w:val="auto"/>
              </w:rPr>
            </w:pPr>
            <w:r>
              <w:rPr>
                <w:rFonts w:ascii="Arial" w:cs="Arial" w:eastAsia="Arial" w:hAnsi="Arial"/>
                <w:sz w:val="18"/>
                <w:szCs w:val="18"/>
                <w:color w:val="auto"/>
              </w:rPr>
              <w:t>deferred financing costs, net</w:t>
            </w: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18</w:t>
            </w:r>
          </w:p>
        </w:tc>
      </w:tr>
      <w:tr>
        <w:trPr>
          <w:trHeight w:val="263"/>
        </w:trPr>
        <w:tc>
          <w:tcPr>
            <w:tcW w:w="7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long-term debt, net</w:t>
            </w:r>
          </w:p>
        </w:tc>
        <w:tc>
          <w:tcPr>
            <w:tcW w:w="1080" w:type="dxa"/>
            <w:vAlign w:val="bottom"/>
            <w:tcBorders>
              <w:bottom w:val="single" w:sz="8" w:color="auto"/>
            </w:tcBorders>
            <w:shd w:val="clear" w:color="auto" w:fill="CFF0FC"/>
          </w:tcPr>
          <w:p>
            <w:pPr>
              <w:jc w:val="right"/>
              <w:ind w:right="897"/>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2,499</w:t>
            </w:r>
          </w:p>
        </w:tc>
        <w:tc>
          <w:tcPr>
            <w:tcW w:w="2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2,501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-624840</wp:posOffset>
            </wp:positionV>
            <wp:extent cx="128905"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1543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1289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1289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0" w:lineRule="exact"/>
        <w:rPr>
          <w:sz w:val="20"/>
          <w:szCs w:val="20"/>
          <w:color w:val="auto"/>
        </w:rPr>
      </w:pPr>
    </w:p>
    <w:p>
      <w:pPr>
        <w:ind w:right="60" w:firstLine="494"/>
        <w:spacing w:after="0" w:line="239" w:lineRule="auto"/>
        <w:rPr>
          <w:sz w:val="20"/>
          <w:szCs w:val="20"/>
          <w:color w:val="auto"/>
        </w:rPr>
      </w:pPr>
      <w:r>
        <w:rPr>
          <w:rFonts w:ascii="Arial" w:cs="Arial" w:eastAsia="Arial" w:hAnsi="Arial"/>
          <w:sz w:val="18"/>
          <w:szCs w:val="18"/>
          <w:color w:val="auto"/>
        </w:rPr>
        <w:t>As of June 30, 2023, the Company had $2,522 million of indebtedness associated with Allison Transmission, Inc.’s (“ATI”), the Company’s wholly-owned subsidiary, 4.75% Senior Notes due October 2027 (“4.75% Senior Notes”), ATI’s 5.875% Senior Notes due June 2029 (“5.875% Senior Notes”), ATI’s 3.75% Senior Notes due January 2031 (“3.75% Senior Notes” and, together with the 4.75% Senior Notes and 5.875% Senior Notes, the “Senior Notes”) and the Second Amended and Restated Credit Agreement dated as of March 29, 2019, as amended (the “Credit Agreement”), governing ATI’s term loan facility in the amount of $622 million due March 2026 (“Term Loan”) and ATI’s revolving credit facility with commitments in the amount of $650 million due September 2025 (“Revolving Credit Facility” and, together with the Term Loan, the “Senior Secured Credit Facility”).</w:t>
      </w:r>
    </w:p>
    <w:p>
      <w:pPr>
        <w:spacing w:after="0" w:line="83" w:lineRule="exact"/>
        <w:rPr>
          <w:sz w:val="20"/>
          <w:szCs w:val="20"/>
          <w:color w:val="auto"/>
        </w:rPr>
      </w:pPr>
    </w:p>
    <w:p>
      <w:pPr>
        <w:jc w:val="both"/>
        <w:ind w:right="160" w:firstLine="494"/>
        <w:spacing w:after="0" w:line="247" w:lineRule="auto"/>
        <w:rPr>
          <w:sz w:val="20"/>
          <w:szCs w:val="20"/>
          <w:color w:val="auto"/>
        </w:rPr>
      </w:pPr>
      <w:r>
        <w:rPr>
          <w:rFonts w:ascii="Arial" w:cs="Arial" w:eastAsia="Arial" w:hAnsi="Arial"/>
          <w:sz w:val="18"/>
          <w:szCs w:val="18"/>
          <w:color w:val="auto"/>
        </w:rPr>
        <w:t>The fair value of the Company’s long-term debt obligations as of June 30, 2023 was $2,325 million. The fair value is based on quoted Level 2 market prices of the Company’s debt as of June 30, 2023. The difference between the fair value and carrying value of the long-term debt is driven primarily by trends in the financial markets.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4" w:lineRule="exact"/>
        <w:rPr>
          <w:sz w:val="20"/>
          <w:szCs w:val="20"/>
          <w:color w:val="auto"/>
        </w:rPr>
      </w:pPr>
    </w:p>
    <w:p>
      <w:pPr>
        <w:ind w:right="120" w:firstLine="494"/>
        <w:spacing w:after="0" w:line="241" w:lineRule="auto"/>
        <w:rPr>
          <w:sz w:val="20"/>
          <w:szCs w:val="20"/>
          <w:color w:val="auto"/>
        </w:rPr>
      </w:pPr>
      <w:r>
        <w:rPr>
          <w:rFonts w:ascii="Arial" w:cs="Arial" w:eastAsia="Arial" w:hAnsi="Arial"/>
          <w:sz w:val="18"/>
          <w:szCs w:val="18"/>
          <w:color w:val="auto"/>
        </w:rPr>
        <w:t>In February 2023, the Company and ATI entered into Amendment No. 3 (the "Amendment") to the Credit Agreement. The Amendment replaced the London Interbank Offered Rate ("LIBOR") interest rate benchmark with SOFR and included a 0.1% credit spread adjustment to the SOFR benchmark for all available interest periods. Other than the foregoing, the material terms of the Credit Agreement remained unchanged. The amendment was treated as a modification to the Senior Secured Credit Facility through a practical expedient provided through reference rate reform accounting guidance.</w:t>
      </w:r>
    </w:p>
    <w:p>
      <w:pPr>
        <w:spacing w:after="0" w:line="81"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The borrowings under the Senior Secured Credit Facility are collateralized by a lien on substantially all assets of the Company, ATI and certain existing and future U.S. subsidiary guarantors, as provided in the Credit Agreement. Interest on the Term Loan, as of June 30, 2023, is either (a) 1.75% over a SOFR rate on deposits in U.S. dollars for one-, three- or six-month periods (or a twelve-month period if, at the time of the borrowing, consented to by all relevant lenders and the administrative agent) plus a 0.1% credit spread adjustment for all interest periods ("Adjusted Term SOFR"), or (b) 0.75% over the greater of the prime lending rate as quoted by the administrative agent, the Adjusted Term SOFR Rate for an interest period of one month plus 1.00% and the federal funds effective rate published by the Federal Reserve Bank of New York plus 0.50%, subject to a 1.00% floor (the "Base Rate"). As of June 30, 2023, the Company elected to pay the lowest all-in rate of Adjusted Term SOFR plus the applicable margin, or 6.93%, on the Term Loan. The Credit Agreement requires minimum quarterly principal payments on the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2026 is $2 million. As of June 30, 2023, there had been no payments required for certain net cash proceeds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of non-ordinary course asset sales and casualty and condemnation events. The remaining principal balance is due upon maturity.</w:t>
      </w:r>
    </w:p>
    <w:p>
      <w:pPr>
        <w:spacing w:after="0" w:line="104"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The Senior Secured Credit Facility also provides a Revolving Credit Facility, net of an allowance for up to $75 million in outstanding letters of credit commitments. During the six months ended June 30, 2023, the Company made no withdrawals on the Revolving Credit Facility. As of June 30, 2023, the Company had $645 million available under the Revolving Credit Facility, net of $5 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 Facility is (a) 0.75% over the Base Rate or (b) 1.75% over the Adjusted Term SOFR Rate; when the Company’s first lien net leverage ratio is equal to or less than 4.00x and above 3.50x, interest on the Revolving Credit Facility is (i) 0.50% over the Base Rate or (ii) 1.50% over the Adjusted Term SOFR Rate; and when the Company’s first lien net leverage ratio is equal to or below 3.50x, interest on the Revolving Credit Facility is (y) 0.25% over the Base Rate or (z) 1.25% over the Adjusted Term SOFR Rate. As of June 30, 2023, the applicable margin for the Revolving Credit Facility was 1.25%. In addition, there is an annual commitment fee, based on the Company’s first lien net leverage ratio, on the average unused revolving credit borrowings available under the Revolving Credit Facility. As of June 30, 2023, the commitment fee was 0.25%. Borrowings under the Revolving Credit Facility are payable at the option of the Company throughout the term of the Senior Secured Credit Facility with the balance due in September 2025.</w:t>
      </w:r>
    </w:p>
    <w:p>
      <w:pPr>
        <w:spacing w:after="0" w:line="83" w:lineRule="exact"/>
        <w:rPr>
          <w:sz w:val="20"/>
          <w:szCs w:val="20"/>
          <w:color w:val="auto"/>
        </w:rPr>
      </w:pPr>
    </w:p>
    <w:p>
      <w:pPr>
        <w:ind w:right="140" w:firstLine="494"/>
        <w:spacing w:after="0" w:line="239" w:lineRule="auto"/>
        <w:rPr>
          <w:sz w:val="20"/>
          <w:szCs w:val="20"/>
          <w:color w:val="auto"/>
        </w:rPr>
      </w:pPr>
      <w:r>
        <w:rPr>
          <w:rFonts w:ascii="Arial" w:cs="Arial" w:eastAsia="Arial" w:hAnsi="Arial"/>
          <w:sz w:val="18"/>
          <w:szCs w:val="18"/>
          <w:color w:val="auto"/>
        </w:rPr>
        <w:t>The Senior Secured Credit Facility requires the Company to maintain a specified maximum first lien net leverage ratio of 5.50x when revolving loan commitments remain outstanding on the Revolving Credit Facility at the end of a fiscal quarter. As of June 30, 2023, the Company had no amounts outstanding under the Revolving Credit Facility; however, the Company would have been in compliance with the maximum first lien net leverage ratio, achieving a 0.26x ratio. Additionally, within the terms of the Senior Secured Credit Facility, a first lien net leverage ratio at or below 4.00x results in the elimination of excess cash flow payments on the Senior Secured Credit Facility for the applicable year.</w:t>
      </w:r>
    </w:p>
    <w:p>
      <w:pPr>
        <w:spacing w:after="0" w:line="86" w:lineRule="exact"/>
        <w:rPr>
          <w:sz w:val="20"/>
          <w:szCs w:val="20"/>
          <w:color w:val="auto"/>
        </w:rPr>
      </w:pPr>
    </w:p>
    <w:p>
      <w:pPr>
        <w:ind w:right="60" w:firstLine="494"/>
        <w:spacing w:after="0" w:line="243" w:lineRule="auto"/>
        <w:rPr>
          <w:sz w:val="20"/>
          <w:szCs w:val="20"/>
          <w:color w:val="auto"/>
        </w:rPr>
      </w:pPr>
      <w:r>
        <w:rPr>
          <w:rFonts w:ascii="Arial" w:cs="Arial" w:eastAsia="Arial" w:hAnsi="Arial"/>
          <w:sz w:val="18"/>
          <w:szCs w:val="18"/>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June 30, 2023, the Company was in compliance with all covenants under the Credit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4"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Each series of the Senior Notes is unsecured and is guaranteed by each of ATI’s domestic subsidiaries that is a borrower under or guarantees the Senior Secured Credit Facility and is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any series of the Senior Notes. The indentures governing the Senior Notes contain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June 30, 2023, the Company was in compliance with all covenants under the indentures governing the Senior Notes.</w:t>
      </w:r>
    </w:p>
    <w:p>
      <w:pPr>
        <w:spacing w:after="0" w:line="83" w:lineRule="exact"/>
        <w:rPr>
          <w:sz w:val="20"/>
          <w:szCs w:val="20"/>
          <w:color w:val="auto"/>
        </w:rPr>
      </w:pPr>
    </w:p>
    <w:p>
      <w:pPr>
        <w:ind w:right="180" w:firstLine="494"/>
        <w:spacing w:after="0" w:line="243" w:lineRule="auto"/>
        <w:rPr>
          <w:sz w:val="20"/>
          <w:szCs w:val="20"/>
          <w:color w:val="auto"/>
        </w:rPr>
      </w:pPr>
      <w:r>
        <w:rPr>
          <w:rFonts w:ascii="Arial" w:cs="Arial" w:eastAsia="Arial" w:hAnsi="Arial"/>
          <w:sz w:val="18"/>
          <w:szCs w:val="18"/>
          <w:color w:val="auto"/>
        </w:rPr>
        <w:t>ATI may from time to time seek to retire its Senior Notes through cash purchases, exchanges for equity securities, open market purchases, privately negotiated transactions, contractual redemptions or otherwise. Such repurchases or exchanges, if any, will depend on prevailing market conditions, liquidity requirements, contractual restrictions and other factors and will be in accordance with the respective indenture governing such notes. The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8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amounts involved may be material. Some or all of the 4.75% Senior Notes may be redeemed at any time at redemption prices specified in the indenture governing such notes. Some or all of the 5.875% Senior Notes may be redeemed prior to June 1, 2024 by paying a price equal to 100.00% of the principal amount being redeemed, plus an “applicable premium”. At any time on or after June 1, 2024, ATI may redeem some or all of the 5.875% Senior Notes at redemption prices specified in the indenture governing such notes. ATI may redeem up to 40% of the 3.75% Senior Notes prior to January 30, 2024 by paying a price equal to 103.750% of the principal amount being redeemed. On or after January 30, 2024 and prior to January 30, 2026, ATI may redeem some or all of the 3.75% Senior Notes by paying a price equal to 100.00% of the principal amount being redeemed, plus an “applicable premium”. At any time on or after January 30, 2026, ATI may redeem some or all of the 3.75% Senior Notes at redemption prices specified in the indenture governing such notes.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DERIVATIVES</w:t>
      </w:r>
    </w:p>
    <w:p>
      <w:pPr>
        <w:spacing w:after="0" w:line="114"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entered into interest rate swaps to manage a portion of this exposure. The Company amended the contractual terms of its interest rate swaps in the second quarter of 2023. These amendments transitioned the reference rates from LIBOR to the forward-looking term rate based on SOFR ("Term SOFR") and were only a result of reference rate reform. During this transition period, the Company utilized optional expedients permitting the Company not to de-designate the existing cash flow hedging relationships and to continue to qualify for hedge accounting based upon a qualitative subsequent assessment concluding that the hedging relationships remained highly effective. When the transition of the reference rates was completed, the Company performed an initial quantitative assessment that demonstrated a highly effective hedging relationship that qualifies for hedge accounting under the hypothetical derivative method.</w:t>
      </w:r>
    </w:p>
    <w:p>
      <w:pPr>
        <w:spacing w:after="0" w:line="86" w:lineRule="exact"/>
        <w:rPr>
          <w:sz w:val="20"/>
          <w:szCs w:val="20"/>
          <w:color w:val="auto"/>
        </w:rPr>
      </w:pPr>
    </w:p>
    <w:p>
      <w:pPr>
        <w:ind w:right="560" w:firstLine="544"/>
        <w:spacing w:after="0" w:line="260" w:lineRule="auto"/>
        <w:rPr>
          <w:sz w:val="20"/>
          <w:szCs w:val="20"/>
          <w:color w:val="auto"/>
        </w:rPr>
      </w:pPr>
      <w:r>
        <w:rPr>
          <w:rFonts w:ascii="Arial" w:cs="Arial" w:eastAsia="Arial" w:hAnsi="Arial"/>
          <w:sz w:val="18"/>
          <w:szCs w:val="18"/>
          <w:color w:val="auto"/>
        </w:rPr>
        <w:t>As of June 30, 2023, the Company held interest rate swap contracts that, in the aggregate, effectively hedge $500 million of the variable rate debt associated with the Term Loan at the Term SOFR weighted average fixed rate of 2.81% through September 2025.</w:t>
      </w:r>
    </w:p>
    <w:p>
      <w:pPr>
        <w:spacing w:after="0" w:line="65" w:lineRule="exact"/>
        <w:rPr>
          <w:sz w:val="20"/>
          <w:szCs w:val="20"/>
          <w:color w:val="auto"/>
        </w:rPr>
      </w:pPr>
    </w:p>
    <w:p>
      <w:pPr>
        <w:ind w:right="20" w:firstLine="544"/>
        <w:spacing w:after="0" w:line="247" w:lineRule="auto"/>
        <w:rPr>
          <w:sz w:val="20"/>
          <w:szCs w:val="20"/>
          <w:color w:val="auto"/>
        </w:rPr>
      </w:pPr>
      <w:r>
        <w:rPr>
          <w:rFonts w:ascii="Arial" w:cs="Arial" w:eastAsia="Arial" w:hAnsi="Arial"/>
          <w:sz w:val="18"/>
          <w:szCs w:val="18"/>
          <w:color w:val="auto"/>
        </w:rPr>
        <w:t>Fair value adjustments are recorded as a component of Accumulated other comprehensive loss, net of tax (“AOCL”) in the Condensed Consolidated Balance Sheets. Balances in AOCL are reclassified to earnings when transactions related to the underlying risk are settled. See "Note F. Fair Value of Financial Instruments” for information regarding the fair value of the Company’s interest rate swaps.</w:t>
      </w:r>
    </w:p>
    <w:p>
      <w:pPr>
        <w:spacing w:after="0" w:line="76" w:lineRule="exact"/>
        <w:rPr>
          <w:sz w:val="20"/>
          <w:szCs w:val="20"/>
          <w:color w:val="auto"/>
        </w:rPr>
      </w:pPr>
    </w:p>
    <w:p>
      <w:pPr>
        <w:ind w:right="760" w:firstLine="494"/>
        <w:spacing w:after="0" w:line="260" w:lineRule="auto"/>
        <w:rPr>
          <w:sz w:val="20"/>
          <w:szCs w:val="20"/>
          <w:color w:val="auto"/>
        </w:rPr>
      </w:pPr>
      <w:r>
        <w:rPr>
          <w:rFonts w:ascii="Arial" w:cs="Arial" w:eastAsia="Arial" w:hAnsi="Arial"/>
          <w:sz w:val="18"/>
          <w:szCs w:val="18"/>
          <w:color w:val="auto"/>
        </w:rPr>
        <w:t>The following tabular disclosures further describe the Company’s interest rate derivatives qualifying and designated for hedge accounting and their impact on the financial condition of the Company (dollars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Fair Value</w:t>
            </w:r>
          </w:p>
        </w:tc>
        <w:tc>
          <w:tcPr>
            <w:tcW w:w="1080" w:type="dxa"/>
            <w:vAlign w:val="bottom"/>
            <w:tcBorders>
              <w:bottom w:val="single" w:sz="8" w:color="auto"/>
            </w:tcBorders>
          </w:tcPr>
          <w:p>
            <w:pPr>
              <w:spacing w:after="0"/>
              <w:rPr>
                <w:sz w:val="16"/>
                <w:szCs w:val="16"/>
                <w:color w:val="auto"/>
              </w:rPr>
            </w:pPr>
          </w:p>
        </w:tc>
      </w:tr>
      <w:tr>
        <w:trPr>
          <w:trHeight w:val="156"/>
        </w:trPr>
        <w:tc>
          <w:tcPr>
            <w:tcW w:w="39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79"/>
              <w:spacing w:after="0" w:line="156" w:lineRule="exact"/>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right"/>
              <w:ind w:right="390"/>
              <w:spacing w:after="0" w:line="156"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3900" w:type="dxa"/>
            <w:vAlign w:val="bottom"/>
          </w:tcPr>
          <w:p>
            <w:pPr>
              <w:spacing w:after="0"/>
              <w:rPr>
                <w:sz w:val="16"/>
                <w:szCs w:val="16"/>
                <w:color w:val="auto"/>
              </w:rPr>
            </w:pPr>
          </w:p>
        </w:tc>
        <w:tc>
          <w:tcPr>
            <w:tcW w:w="3580" w:type="dxa"/>
            <w:vAlign w:val="bottom"/>
            <w:gridSpan w:val="2"/>
          </w:tcPr>
          <w:p>
            <w:pPr>
              <w:ind w:left="880"/>
              <w:spacing w:after="0"/>
              <w:rPr>
                <w:sz w:val="20"/>
                <w:szCs w:val="20"/>
                <w:color w:val="auto"/>
              </w:rPr>
            </w:pPr>
            <w:r>
              <w:rPr>
                <w:rFonts w:ascii="Arial" w:cs="Arial" w:eastAsia="Arial" w:hAnsi="Arial"/>
                <w:sz w:val="14"/>
                <w:szCs w:val="14"/>
                <w:b w:val="1"/>
                <w:bCs w:val="1"/>
                <w:color w:val="auto"/>
              </w:rPr>
              <w:t>Balance Sheet Location</w:t>
            </w:r>
          </w:p>
        </w:tc>
        <w:tc>
          <w:tcPr>
            <w:tcW w:w="1280" w:type="dxa"/>
            <w:vAlign w:val="bottom"/>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980" w:type="dxa"/>
            <w:vAlign w:val="bottom"/>
            <w:gridSpan w:val="3"/>
          </w:tcPr>
          <w:p>
            <w:pPr>
              <w:jc w:val="right"/>
              <w:ind w:right="710"/>
              <w:spacing w:after="0"/>
              <w:rPr>
                <w:sz w:val="20"/>
                <w:szCs w:val="20"/>
                <w:color w:val="auto"/>
              </w:rPr>
            </w:pPr>
            <w:r>
              <w:rPr>
                <w:rFonts w:ascii="Arial" w:cs="Arial" w:eastAsia="Arial" w:hAnsi="Arial"/>
                <w:sz w:val="14"/>
                <w:szCs w:val="14"/>
                <w:b w:val="1"/>
                <w:bCs w:val="1"/>
                <w:color w:val="auto"/>
              </w:rPr>
              <w:t>2022</w:t>
            </w:r>
          </w:p>
        </w:tc>
      </w:tr>
      <w:tr>
        <w:trPr>
          <w:trHeight w:val="223"/>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Assets:</w:t>
            </w:r>
          </w:p>
        </w:tc>
        <w:tc>
          <w:tcPr>
            <w:tcW w:w="338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r>
      <w:tr>
        <w:trPr>
          <w:trHeight w:val="229"/>
        </w:trPr>
        <w:tc>
          <w:tcPr>
            <w:tcW w:w="390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80" w:type="dxa"/>
            <w:vAlign w:val="bottom"/>
          </w:tcPr>
          <w:p>
            <w:pPr>
              <w:jc w:val="right"/>
              <w:ind w:right="107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ind w:right="75"/>
              <w:spacing w:after="0"/>
              <w:rPr>
                <w:sz w:val="20"/>
                <w:szCs w:val="20"/>
                <w:color w:val="auto"/>
              </w:rPr>
            </w:pPr>
            <w:r>
              <w:rPr>
                <w:rFonts w:ascii="Arial" w:cs="Arial" w:eastAsia="Arial" w:hAnsi="Arial"/>
                <w:sz w:val="18"/>
                <w:szCs w:val="18"/>
                <w:b w:val="1"/>
                <w:bCs w:val="1"/>
                <w:color w:val="auto"/>
              </w:rPr>
              <w:t>9</w:t>
            </w:r>
          </w:p>
        </w:tc>
        <w:tc>
          <w:tcPr>
            <w:tcW w:w="900" w:type="dxa"/>
            <w:vAlign w:val="bottom"/>
            <w:gridSpan w:val="2"/>
          </w:tcPr>
          <w:p>
            <w:pPr>
              <w:jc w:val="right"/>
              <w:ind w:right="49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w:t>
            </w:r>
          </w:p>
        </w:tc>
      </w:tr>
      <w:tr>
        <w:trPr>
          <w:trHeight w:val="230"/>
        </w:trPr>
        <w:tc>
          <w:tcPr>
            <w:tcW w:w="3900" w:type="dxa"/>
            <w:vAlign w:val="bottom"/>
            <w:tcBorders>
              <w:bottom w:val="single" w:sz="8" w:color="CFF0FC"/>
            </w:tcBorders>
            <w:shd w:val="clear" w:color="auto" w:fill="CFF0FC"/>
          </w:tcPr>
          <w:p>
            <w:pPr>
              <w:spacing w:after="0"/>
              <w:rPr>
                <w:sz w:val="19"/>
                <w:szCs w:val="19"/>
                <w:color w:val="auto"/>
              </w:rPr>
            </w:pPr>
          </w:p>
        </w:tc>
        <w:tc>
          <w:tcPr>
            <w:tcW w:w="35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12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b w:val="1"/>
                <w:bCs w:val="1"/>
                <w:color w:val="auto"/>
              </w:rPr>
              <w:t>11</w:t>
            </w:r>
          </w:p>
        </w:tc>
        <w:tc>
          <w:tcPr>
            <w:tcW w:w="2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r>
      <w:tr>
        <w:trPr>
          <w:trHeight w:val="223"/>
        </w:trPr>
        <w:tc>
          <w:tcPr>
            <w:tcW w:w="3900" w:type="dxa"/>
            <w:vAlign w:val="bottom"/>
          </w:tcPr>
          <w:p>
            <w:pPr>
              <w:ind w:left="280"/>
              <w:spacing w:after="0"/>
              <w:rPr>
                <w:sz w:val="20"/>
                <w:szCs w:val="20"/>
                <w:color w:val="auto"/>
              </w:rPr>
            </w:pPr>
            <w:r>
              <w:rPr>
                <w:rFonts w:ascii="Arial" w:cs="Arial" w:eastAsia="Arial" w:hAnsi="Arial"/>
                <w:sz w:val="18"/>
                <w:szCs w:val="18"/>
                <w:color w:val="auto"/>
              </w:rPr>
              <w:t>Total derivative assets</w:t>
            </w:r>
          </w:p>
        </w:tc>
        <w:tc>
          <w:tcPr>
            <w:tcW w:w="3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Borders>
              <w:bottom w:val="single" w:sz="8" w:color="auto"/>
            </w:tcBorders>
          </w:tcPr>
          <w:p>
            <w:pPr>
              <w:jc w:val="right"/>
              <w:ind w:right="107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20</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r>
      <w:tr>
        <w:trPr>
          <w:trHeight w:val="20"/>
        </w:trPr>
        <w:tc>
          <w:tcPr>
            <w:tcW w:w="7480" w:type="dxa"/>
            <w:vAlign w:val="bottom"/>
            <w:gridSpan w:val="3"/>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85"/>
        </w:trPr>
        <w:tc>
          <w:tcPr>
            <w:tcW w:w="10160" w:type="dxa"/>
            <w:vAlign w:val="bottom"/>
            <w:gridSpan w:val="7"/>
          </w:tcPr>
          <w:p>
            <w:pPr>
              <w:jc w:val="right"/>
              <w:spacing w:after="0"/>
              <w:rPr>
                <w:sz w:val="20"/>
                <w:szCs w:val="20"/>
                <w:color w:val="auto"/>
              </w:rPr>
            </w:pPr>
            <w:r>
              <w:rPr>
                <w:rFonts w:ascii="Arial" w:cs="Arial" w:eastAsia="Arial" w:hAnsi="Arial"/>
                <w:sz w:val="18"/>
                <w:szCs w:val="18"/>
                <w:color w:val="auto"/>
              </w:rPr>
              <w:t>The balance of net derivative gains recorded in AOCL as of June 30, 2023 and December 31, 2022 was $20 million and $</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w w:val="96"/>
              </w:rPr>
              <w:t>18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-436245</wp:posOffset>
            </wp:positionV>
            <wp:extent cx="137160"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180340"/>
                    </a:xfrm>
                    <a:prstGeom prst="rect">
                      <a:avLst/>
                    </a:prstGeom>
                    <a:noFill/>
                  </pic:spPr>
                </pic:pic>
              </a:graphicData>
            </a:graphic>
          </wp:anchor>
        </w:drawing>
      </w:r>
    </w:p>
    <w:p>
      <w:pPr>
        <w:ind w:right="340"/>
        <w:spacing w:after="0"/>
        <w:rPr>
          <w:sz w:val="20"/>
          <w:szCs w:val="20"/>
          <w:color w:val="auto"/>
        </w:rPr>
      </w:pPr>
      <w:r>
        <w:rPr>
          <w:rFonts w:ascii="Arial" w:cs="Arial" w:eastAsia="Arial" w:hAnsi="Arial"/>
          <w:sz w:val="18"/>
          <w:szCs w:val="18"/>
          <w:color w:val="auto"/>
        </w:rPr>
        <w:t>respectively. See "Note O. Accumulated Other Comprehensive Loss” for information regarding activity recorded as a component of AOCL during the three and six months ended June 30, 2023 and 2022. As of June 30, 2023, the Company had $11 million of derivative gains recorded in AOCL expected to be reclassified to earnings within the next twelve months.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PRODUCT WARRANTY LIABILITIES</w:t>
      </w:r>
    </w:p>
    <w:p>
      <w:pPr>
        <w:spacing w:after="0" w:line="114" w:lineRule="exact"/>
        <w:rPr>
          <w:sz w:val="20"/>
          <w:szCs w:val="20"/>
          <w:color w:val="auto"/>
        </w:rPr>
      </w:pPr>
    </w:p>
    <w:p>
      <w:pPr>
        <w:ind w:right="140" w:firstLine="494"/>
        <w:spacing w:after="0" w:line="260" w:lineRule="auto"/>
        <w:rPr>
          <w:sz w:val="20"/>
          <w:szCs w:val="20"/>
          <w:color w:val="auto"/>
        </w:rPr>
      </w:pPr>
      <w:r>
        <w:rPr>
          <w:rFonts w:ascii="Arial" w:cs="Arial" w:eastAsia="Arial" w:hAnsi="Arial"/>
          <w:sz w:val="18"/>
          <w:szCs w:val="18"/>
          <w:color w:val="auto"/>
        </w:rPr>
        <w:t>As of June 30, 2023, current and non-current product warranty liabilities were $25 million and $35 million, respectively. As of June 30, 2022, current and non-current product warranty liabilities were $28 million and $25 million, respectively.</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Product warranty liability activities consist of the following (dollars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16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r>
      <w:tr>
        <w:trPr>
          <w:trHeight w:val="189"/>
        </w:trPr>
        <w:tc>
          <w:tcPr>
            <w:tcW w:w="586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22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59</w:t>
            </w:r>
          </w:p>
        </w:tc>
        <w:tc>
          <w:tcPr>
            <w:tcW w:w="960" w:type="dxa"/>
            <w:vAlign w:val="bottom"/>
            <w:gridSpan w:val="2"/>
            <w:shd w:val="clear" w:color="auto" w:fill="CFF0FC"/>
          </w:tcPr>
          <w:p>
            <w:pPr>
              <w:jc w:val="right"/>
              <w:ind w:right="57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57</w:t>
            </w:r>
          </w:p>
        </w:tc>
        <w:tc>
          <w:tcPr>
            <w:tcW w:w="4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53</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Payments</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(18 )</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in liability (warranty issued during period)</w:t>
            </w:r>
          </w:p>
        </w:tc>
        <w:tc>
          <w:tcPr>
            <w:tcW w:w="7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9</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15</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Net adjustments to liability</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w:t>
            </w:r>
          </w:p>
        </w:tc>
      </w:tr>
      <w:tr>
        <w:trPr>
          <w:trHeight w:val="26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60</w:t>
            </w:r>
          </w:p>
        </w:tc>
        <w:tc>
          <w:tcPr>
            <w:tcW w:w="18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60</w:t>
            </w:r>
          </w:p>
        </w:tc>
        <w:tc>
          <w:tcPr>
            <w:tcW w:w="1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1111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1111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1028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1028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1028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1028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DEFERRED REVENUE</w:t>
      </w:r>
    </w:p>
    <w:p>
      <w:pPr>
        <w:spacing w:after="0" w:line="114" w:lineRule="exact"/>
        <w:rPr>
          <w:sz w:val="20"/>
          <w:szCs w:val="20"/>
          <w:color w:val="auto"/>
        </w:rPr>
      </w:pPr>
    </w:p>
    <w:p>
      <w:pPr>
        <w:ind w:right="420" w:firstLine="494"/>
        <w:spacing w:after="0" w:line="260" w:lineRule="auto"/>
        <w:rPr>
          <w:sz w:val="20"/>
          <w:szCs w:val="20"/>
          <w:color w:val="auto"/>
        </w:rPr>
      </w:pPr>
      <w:r>
        <w:rPr>
          <w:rFonts w:ascii="Arial" w:cs="Arial" w:eastAsia="Arial" w:hAnsi="Arial"/>
          <w:sz w:val="18"/>
          <w:szCs w:val="18"/>
          <w:color w:val="auto"/>
        </w:rPr>
        <w:t>As of June 30, 2023, current and non-current deferred revenue was $46 million and $93 million, respectively. As of June 30, 2022, current and non-current deferred revenue was $39 million and $96 million, respectively.</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revenue activity consists of the following (dollars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0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r>
      <w:tr>
        <w:trPr>
          <w:trHeight w:val="189"/>
        </w:trPr>
        <w:tc>
          <w:tcPr>
            <w:tcW w:w="4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00" w:type="dxa"/>
            <w:vAlign w:val="bottom"/>
            <w:gridSpan w:val="3"/>
          </w:tcPr>
          <w:p>
            <w:pPr>
              <w:jc w:val="right"/>
              <w:ind w:right="808"/>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1060" w:type="dxa"/>
            <w:vAlign w:val="bottom"/>
          </w:tcPr>
          <w:p>
            <w:pPr>
              <w:spacing w:after="0"/>
              <w:rPr>
                <w:sz w:val="16"/>
                <w:szCs w:val="16"/>
                <w:color w:val="auto"/>
              </w:rPr>
            </w:pPr>
          </w:p>
        </w:tc>
      </w:tr>
      <w:tr>
        <w:trPr>
          <w:trHeight w:val="189"/>
        </w:trPr>
        <w:tc>
          <w:tcPr>
            <w:tcW w:w="43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2022</w:t>
            </w:r>
          </w:p>
        </w:tc>
      </w:tr>
      <w:tr>
        <w:trPr>
          <w:trHeight w:val="223"/>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FF0FC"/>
          </w:tcPr>
          <w:p>
            <w:pPr>
              <w:jc w:val="right"/>
              <w:ind w:right="76"/>
              <w:spacing w:after="0"/>
              <w:rPr>
                <w:sz w:val="20"/>
                <w:szCs w:val="20"/>
                <w:color w:val="auto"/>
              </w:rPr>
            </w:pPr>
            <w:r>
              <w:rPr>
                <w:rFonts w:ascii="Arial" w:cs="Arial" w:eastAsia="Arial" w:hAnsi="Arial"/>
                <w:sz w:val="18"/>
                <w:szCs w:val="18"/>
                <w:b w:val="1"/>
                <w:bCs w:val="1"/>
                <w:color w:val="auto"/>
              </w:rPr>
              <w:t>139</w:t>
            </w:r>
          </w:p>
        </w:tc>
        <w:tc>
          <w:tcPr>
            <w:tcW w:w="120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FF0FC"/>
          </w:tcPr>
          <w:p>
            <w:pPr>
              <w:jc w:val="right"/>
              <w:ind w:right="76"/>
              <w:spacing w:after="0"/>
              <w:rPr>
                <w:sz w:val="20"/>
                <w:szCs w:val="20"/>
                <w:color w:val="auto"/>
              </w:rPr>
            </w:pPr>
            <w:r>
              <w:rPr>
                <w:rFonts w:ascii="Arial" w:cs="Arial" w:eastAsia="Arial" w:hAnsi="Arial"/>
                <w:sz w:val="18"/>
                <w:szCs w:val="18"/>
                <w:b w:val="1"/>
                <w:bCs w:val="1"/>
                <w:color w:val="auto"/>
              </w:rPr>
              <w:t>131</w:t>
            </w:r>
          </w:p>
        </w:tc>
        <w:tc>
          <w:tcPr>
            <w:tcW w:w="7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136</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Increases</w:t>
            </w:r>
          </w:p>
        </w:tc>
        <w:tc>
          <w:tcPr>
            <w:tcW w:w="880" w:type="dxa"/>
            <w:vAlign w:val="bottom"/>
          </w:tcPr>
          <w:p>
            <w:pPr>
              <w:spacing w:after="0"/>
              <w:rPr>
                <w:sz w:val="19"/>
                <w:szCs w:val="19"/>
                <w:color w:val="auto"/>
              </w:rPr>
            </w:pPr>
          </w:p>
        </w:tc>
        <w:tc>
          <w:tcPr>
            <w:tcW w:w="700" w:type="dxa"/>
            <w:vAlign w:val="bottom"/>
          </w:tcPr>
          <w:p>
            <w:pPr>
              <w:jc w:val="right"/>
              <w:ind w:right="76"/>
              <w:spacing w:after="0"/>
              <w:rPr>
                <w:sz w:val="20"/>
                <w:szCs w:val="20"/>
                <w:color w:val="auto"/>
              </w:rPr>
            </w:pPr>
            <w:r>
              <w:rPr>
                <w:rFonts w:ascii="Arial" w:cs="Arial" w:eastAsia="Arial" w:hAnsi="Arial"/>
                <w:sz w:val="18"/>
                <w:szCs w:val="18"/>
                <w:b w:val="1"/>
                <w:bCs w:val="1"/>
                <w:color w:val="auto"/>
              </w:rPr>
              <w:t>11</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jc w:val="right"/>
              <w:ind w:right="76"/>
              <w:spacing w:after="0"/>
              <w:rPr>
                <w:sz w:val="20"/>
                <w:szCs w:val="20"/>
                <w:color w:val="auto"/>
              </w:rPr>
            </w:pPr>
            <w:r>
              <w:rPr>
                <w:rFonts w:ascii="Arial" w:cs="Arial" w:eastAsia="Arial" w:hAnsi="Arial"/>
                <w:sz w:val="18"/>
                <w:szCs w:val="18"/>
                <w:b w:val="1"/>
                <w:bCs w:val="1"/>
                <w:color w:val="auto"/>
              </w:rPr>
              <w:t>29</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20</w:t>
            </w:r>
          </w:p>
        </w:tc>
      </w:tr>
      <w:tr>
        <w:trPr>
          <w:trHeight w:val="229"/>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earned</w:t>
            </w:r>
          </w:p>
        </w:tc>
        <w:tc>
          <w:tcPr>
            <w:tcW w:w="8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(11 )</w:t>
            </w:r>
          </w:p>
        </w:tc>
        <w:tc>
          <w:tcPr>
            <w:tcW w:w="1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2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(21 )</w:t>
            </w:r>
          </w:p>
        </w:tc>
        <w:tc>
          <w:tcPr>
            <w:tcW w:w="1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80" w:type="dxa"/>
            <w:vAlign w:val="bottom"/>
          </w:tcPr>
          <w:p>
            <w:pPr>
              <w:jc w:val="right"/>
              <w:ind w:right="696"/>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ind w:right="76"/>
              <w:spacing w:after="0"/>
              <w:rPr>
                <w:sz w:val="20"/>
                <w:szCs w:val="20"/>
                <w:color w:val="auto"/>
              </w:rPr>
            </w:pPr>
            <w:r>
              <w:rPr>
                <w:rFonts w:ascii="Arial" w:cs="Arial" w:eastAsia="Arial" w:hAnsi="Arial"/>
                <w:sz w:val="18"/>
                <w:szCs w:val="18"/>
                <w:b w:val="1"/>
                <w:bCs w:val="1"/>
                <w:color w:val="auto"/>
              </w:rPr>
              <w:t>139</w:t>
            </w:r>
          </w:p>
        </w:tc>
        <w:tc>
          <w:tcPr>
            <w:tcW w:w="120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135</w:t>
            </w:r>
          </w:p>
        </w:tc>
        <w:tc>
          <w:tcPr>
            <w:tcW w:w="1120" w:type="dxa"/>
            <w:vAlign w:val="bottom"/>
            <w:gridSpan w:val="2"/>
          </w:tcPr>
          <w:p>
            <w:pPr>
              <w:jc w:val="right"/>
              <w:ind w:right="739"/>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b w:val="1"/>
                <w:bCs w:val="1"/>
                <w:color w:val="auto"/>
              </w:rPr>
              <w:t>139</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135</w:t>
            </w:r>
          </w:p>
        </w:tc>
      </w:tr>
      <w:tr>
        <w:trPr>
          <w:trHeight w:val="20"/>
        </w:trPr>
        <w:tc>
          <w:tcPr>
            <w:tcW w:w="4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-179705</wp:posOffset>
            </wp:positionV>
            <wp:extent cx="120015"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18034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-179705</wp:posOffset>
            </wp:positionV>
            <wp:extent cx="120015" cy="180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015" cy="18034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-179705</wp:posOffset>
            </wp:positionV>
            <wp:extent cx="120015"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180340"/>
                    </a:xfrm>
                    <a:prstGeom prst="rect">
                      <a:avLst/>
                    </a:prstGeom>
                    <a:noFill/>
                  </pic:spPr>
                </pic:pic>
              </a:graphicData>
            </a:graphic>
          </wp:anchor>
        </w:drawing>
      </w:r>
    </w:p>
    <w:p>
      <w:pPr>
        <w:spacing w:after="0" w:line="170" w:lineRule="exact"/>
        <w:rPr>
          <w:sz w:val="20"/>
          <w:szCs w:val="20"/>
          <w:color w:val="auto"/>
        </w:rPr>
      </w:pPr>
    </w:p>
    <w:p>
      <w:pPr>
        <w:jc w:val="both"/>
        <w:ind w:right="300" w:firstLine="494"/>
        <w:spacing w:after="0" w:line="247" w:lineRule="auto"/>
        <w:rPr>
          <w:sz w:val="20"/>
          <w:szCs w:val="20"/>
          <w:color w:val="auto"/>
        </w:rPr>
      </w:pPr>
      <w:r>
        <w:rPr>
          <w:rFonts w:ascii="Arial" w:cs="Arial" w:eastAsia="Arial" w:hAnsi="Arial"/>
          <w:sz w:val="18"/>
          <w:szCs w:val="18"/>
          <w:color w:val="auto"/>
        </w:rPr>
        <w:t>Deferred revenue recorded in current and non-current liabilities related to ETC as of June 30, 2023 was $30 million and $84 million, respectively. Deferred revenue recorded in current and non-current liabilities related to ETC as of June 30, 2022 was $30 million and $85 million,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LEASES</w:t>
      </w:r>
    </w:p>
    <w:p>
      <w:pPr>
        <w:spacing w:after="0" w:line="114" w:lineRule="exact"/>
        <w:rPr>
          <w:sz w:val="20"/>
          <w:szCs w:val="20"/>
          <w:color w:val="auto"/>
        </w:rPr>
      </w:pPr>
    </w:p>
    <w:p>
      <w:pPr>
        <w:ind w:right="60" w:firstLine="494"/>
        <w:spacing w:after="0" w:line="239" w:lineRule="auto"/>
        <w:rPr>
          <w:sz w:val="20"/>
          <w:szCs w:val="20"/>
          <w:color w:val="auto"/>
        </w:rPr>
      </w:pPr>
      <w:r>
        <w:rPr>
          <w:rFonts w:ascii="Arial" w:cs="Arial" w:eastAsia="Arial" w:hAnsi="Arial"/>
          <w:sz w:val="18"/>
          <w:szCs w:val="18"/>
          <w:color w:val="auto"/>
        </w:rPr>
        <w:t>Contracts are assessed by the Company to determine if the contract conveys the right to control an identified asset in exchange for consideration during a period of time. The Company classifies all identified leases as either operating or finance leases. As of June 30, 2023,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83" w:lineRule="exact"/>
        <w:rPr>
          <w:sz w:val="20"/>
          <w:szCs w:val="20"/>
          <w:color w:val="auto"/>
        </w:rPr>
      </w:pPr>
    </w:p>
    <w:p>
      <w:pPr>
        <w:ind w:right="320" w:firstLine="494"/>
        <w:spacing w:after="0" w:line="247" w:lineRule="auto"/>
        <w:rPr>
          <w:sz w:val="20"/>
          <w:szCs w:val="20"/>
          <w:color w:val="auto"/>
        </w:rPr>
      </w:pPr>
      <w:r>
        <w:rPr>
          <w:rFonts w:ascii="Arial" w:cs="Arial" w:eastAsia="Arial" w:hAnsi="Arial"/>
          <w:sz w:val="18"/>
          <w:szCs w:val="18"/>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at inception of the contract.</w:t>
      </w:r>
    </w:p>
    <w:p>
      <w:pPr>
        <w:spacing w:after="0" w:line="76" w:lineRule="exact"/>
        <w:rPr>
          <w:sz w:val="20"/>
          <w:szCs w:val="20"/>
          <w:color w:val="auto"/>
        </w:rPr>
      </w:pPr>
    </w:p>
    <w:p>
      <w:pPr>
        <w:ind w:right="180" w:firstLine="494"/>
        <w:spacing w:after="0" w:line="239" w:lineRule="auto"/>
        <w:rPr>
          <w:sz w:val="20"/>
          <w:szCs w:val="20"/>
          <w:color w:val="auto"/>
        </w:rPr>
      </w:pPr>
      <w:r>
        <w:rPr>
          <w:rFonts w:ascii="Arial" w:cs="Arial" w:eastAsia="Arial" w:hAnsi="Arial"/>
          <w:sz w:val="18"/>
          <w:szCs w:val="18"/>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Adjusted Term SOFR on the Term Loan. The Company believes this rate effectively represents a borrowing rate the Company could obtain on a debt instrument possessing similar terms as the lease. Lease liabilities are classified between current and non-current liabilities based on the terms of the underlying leases. The weighted average discount rate on operating leases as of June 30, 2023 and December 31, 2022 was 4.57% and 4.43%, respectively.</w:t>
      </w:r>
    </w:p>
    <w:p>
      <w:pPr>
        <w:spacing w:after="0" w:line="86" w:lineRule="exact"/>
        <w:rPr>
          <w:sz w:val="20"/>
          <w:szCs w:val="20"/>
          <w:color w:val="auto"/>
        </w:rPr>
      </w:pPr>
    </w:p>
    <w:p>
      <w:pPr>
        <w:ind w:right="60" w:firstLine="494"/>
        <w:spacing w:after="0" w:line="243" w:lineRule="auto"/>
        <w:rPr>
          <w:sz w:val="20"/>
          <w:szCs w:val="20"/>
          <w:color w:val="auto"/>
        </w:rPr>
      </w:pPr>
      <w:r>
        <w:rPr>
          <w:rFonts w:ascii="Arial" w:cs="Arial" w:eastAsia="Arial" w:hAnsi="Arial"/>
          <w:sz w:val="18"/>
          <w:szCs w:val="18"/>
          <w:color w:val="auto"/>
        </w:rPr>
        <w:t>As of June 30, 2023, the Company recorded current and non-current operating lease liabilities of $4 million and $12 million, respectively. As of December 31, 2022, the Company recorded current and non-current operating lease liabilities of $4 million and $13 million, respectively. The following table reconciles future undiscounted cash flows for operating leases as of June 30, 2023 to total operating lease liabilities: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right"/>
              <w:ind w:right="713"/>
              <w:spacing w:after="0"/>
              <w:rPr>
                <w:sz w:val="20"/>
                <w:szCs w:val="20"/>
                <w:color w:val="auto"/>
              </w:rPr>
            </w:pPr>
            <w:r>
              <w:rPr>
                <w:rFonts w:ascii="Arial" w:cs="Arial" w:eastAsia="Arial" w:hAnsi="Arial"/>
                <w:sz w:val="14"/>
                <w:szCs w:val="14"/>
                <w:b w:val="1"/>
                <w:bCs w:val="1"/>
                <w:color w:val="auto"/>
              </w:rPr>
              <w:t>June 30,</w:t>
            </w:r>
          </w:p>
        </w:tc>
      </w:tr>
      <w:tr>
        <w:trPr>
          <w:trHeight w:val="189"/>
        </w:trPr>
        <w:tc>
          <w:tcPr>
            <w:tcW w:w="9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2023</w:t>
            </w: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 the remainder of 2023</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660" w:type="dxa"/>
            <w:vAlign w:val="bottom"/>
            <w:shd w:val="clear" w:color="auto" w:fill="CFF0FC"/>
          </w:tcPr>
          <w:p>
            <w:pPr>
              <w:jc w:val="right"/>
              <w:ind w:right="73"/>
              <w:spacing w:after="0"/>
              <w:rPr>
                <w:sz w:val="20"/>
                <w:szCs w:val="20"/>
                <w:color w:val="auto"/>
              </w:rPr>
            </w:pPr>
            <w:r>
              <w:rPr>
                <w:rFonts w:ascii="Arial" w:cs="Arial" w:eastAsia="Arial" w:hAnsi="Arial"/>
                <w:sz w:val="18"/>
                <w:szCs w:val="18"/>
                <w:b w:val="1"/>
                <w:bCs w:val="1"/>
                <w:color w:val="auto"/>
              </w:rPr>
              <w:t>2</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9"/>
                <w:szCs w:val="19"/>
                <w:color w:val="auto"/>
              </w:rPr>
            </w:pPr>
          </w:p>
        </w:tc>
        <w:tc>
          <w:tcPr>
            <w:tcW w:w="1660" w:type="dxa"/>
            <w:vAlign w:val="bottom"/>
          </w:tcPr>
          <w:p>
            <w:pPr>
              <w:jc w:val="right"/>
              <w:ind w:right="73"/>
              <w:spacing w:after="0"/>
              <w:rPr>
                <w:sz w:val="20"/>
                <w:szCs w:val="20"/>
                <w:color w:val="auto"/>
              </w:rPr>
            </w:pPr>
            <w:r>
              <w:rPr>
                <w:rFonts w:ascii="Arial" w:cs="Arial" w:eastAsia="Arial" w:hAnsi="Arial"/>
                <w:sz w:val="18"/>
                <w:szCs w:val="18"/>
                <w:b w:val="1"/>
                <w:bCs w:val="1"/>
                <w:color w:val="auto"/>
              </w:rPr>
              <w:t>4</w:t>
            </w: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73"/>
              <w:spacing w:after="0"/>
              <w:rPr>
                <w:sz w:val="20"/>
                <w:szCs w:val="20"/>
                <w:color w:val="auto"/>
              </w:rPr>
            </w:pPr>
            <w:r>
              <w:rPr>
                <w:rFonts w:ascii="Arial" w:cs="Arial" w:eastAsia="Arial" w:hAnsi="Arial"/>
                <w:sz w:val="18"/>
                <w:szCs w:val="18"/>
                <w:b w:val="1"/>
                <w:bCs w:val="1"/>
                <w:color w:val="auto"/>
              </w:rPr>
              <w:t>3</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2026</w:t>
            </w:r>
          </w:p>
        </w:tc>
        <w:tc>
          <w:tcPr>
            <w:tcW w:w="400" w:type="dxa"/>
            <w:vAlign w:val="bottom"/>
          </w:tcPr>
          <w:p>
            <w:pPr>
              <w:spacing w:after="0"/>
              <w:rPr>
                <w:sz w:val="19"/>
                <w:szCs w:val="19"/>
                <w:color w:val="auto"/>
              </w:rPr>
            </w:pPr>
          </w:p>
        </w:tc>
        <w:tc>
          <w:tcPr>
            <w:tcW w:w="1660" w:type="dxa"/>
            <w:vAlign w:val="bottom"/>
          </w:tcPr>
          <w:p>
            <w:pPr>
              <w:jc w:val="right"/>
              <w:ind w:right="73"/>
              <w:spacing w:after="0"/>
              <w:rPr>
                <w:sz w:val="20"/>
                <w:szCs w:val="20"/>
                <w:color w:val="auto"/>
              </w:rPr>
            </w:pPr>
            <w:r>
              <w:rPr>
                <w:rFonts w:ascii="Arial" w:cs="Arial" w:eastAsia="Arial" w:hAnsi="Arial"/>
                <w:sz w:val="18"/>
                <w:szCs w:val="18"/>
                <w:b w:val="1"/>
                <w:bCs w:val="1"/>
                <w:color w:val="auto"/>
              </w:rPr>
              <w:t>2</w:t>
            </w: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40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73"/>
              <w:spacing w:after="0"/>
              <w:rPr>
                <w:sz w:val="20"/>
                <w:szCs w:val="20"/>
                <w:color w:val="auto"/>
              </w:rPr>
            </w:pPr>
            <w:r>
              <w:rPr>
                <w:rFonts w:ascii="Arial" w:cs="Arial" w:eastAsia="Arial" w:hAnsi="Arial"/>
                <w:sz w:val="18"/>
                <w:szCs w:val="18"/>
                <w:b w:val="1"/>
                <w:bCs w:val="1"/>
                <w:color w:val="auto"/>
              </w:rPr>
              <w:t>2</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w:t>
            </w:r>
          </w:p>
        </w:tc>
      </w:tr>
      <w:tr>
        <w:trPr>
          <w:trHeight w:val="223"/>
        </w:trPr>
        <w:tc>
          <w:tcPr>
            <w:tcW w:w="9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lease payments</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660" w:type="dxa"/>
            <w:vAlign w:val="bottom"/>
            <w:shd w:val="clear" w:color="auto" w:fill="CFF0FC"/>
          </w:tcPr>
          <w:p>
            <w:pPr>
              <w:jc w:val="right"/>
              <w:ind w:right="73"/>
              <w:spacing w:after="0"/>
              <w:rPr>
                <w:sz w:val="20"/>
                <w:szCs w:val="20"/>
                <w:color w:val="auto"/>
              </w:rPr>
            </w:pPr>
            <w:r>
              <w:rPr>
                <w:rFonts w:ascii="Arial" w:cs="Arial" w:eastAsia="Arial" w:hAnsi="Arial"/>
                <w:sz w:val="18"/>
                <w:szCs w:val="18"/>
                <w:b w:val="1"/>
                <w:bCs w:val="1"/>
                <w:color w:val="auto"/>
              </w:rPr>
              <w:t>18</w:t>
            </w:r>
          </w:p>
        </w:tc>
      </w:tr>
      <w:tr>
        <w:trPr>
          <w:trHeight w:val="230"/>
        </w:trPr>
        <w:tc>
          <w:tcPr>
            <w:tcW w:w="9180" w:type="dxa"/>
            <w:vAlign w:val="bottom"/>
          </w:tcPr>
          <w:p>
            <w:pPr>
              <w:ind w:left="520"/>
              <w:spacing w:after="0"/>
              <w:rPr>
                <w:sz w:val="20"/>
                <w:szCs w:val="20"/>
                <w:color w:val="auto"/>
              </w:rPr>
            </w:pPr>
            <w:r>
              <w:rPr>
                <w:rFonts w:ascii="Arial" w:cs="Arial" w:eastAsia="Arial" w:hAnsi="Arial"/>
                <w:sz w:val="18"/>
                <w:szCs w:val="18"/>
                <w:color w:val="auto"/>
              </w:rPr>
              <w:t>Less: Interest</w:t>
            </w:r>
          </w:p>
        </w:tc>
        <w:tc>
          <w:tcPr>
            <w:tcW w:w="4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w:t>
            </w:r>
          </w:p>
        </w:tc>
      </w:tr>
      <w:tr>
        <w:trPr>
          <w:trHeight w:val="263"/>
        </w:trPr>
        <w:tc>
          <w:tcPr>
            <w:tcW w:w="91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Present value of lease liabilities</w:t>
            </w: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b w:val="1"/>
                <w:bCs w:val="1"/>
                <w:color w:val="auto"/>
              </w:rPr>
              <w:t>16</w:t>
            </w:r>
          </w:p>
        </w:tc>
      </w:tr>
    </w:tbl>
    <w:p>
      <w:pPr>
        <w:spacing w:after="0" w:line="190" w:lineRule="exact"/>
        <w:rPr>
          <w:sz w:val="20"/>
          <w:szCs w:val="20"/>
          <w:color w:val="auto"/>
        </w:rPr>
      </w:pPr>
    </w:p>
    <w:p>
      <w:pPr>
        <w:ind w:right="240" w:firstLine="494"/>
        <w:spacing w:after="0" w:line="260" w:lineRule="auto"/>
        <w:rPr>
          <w:sz w:val="20"/>
          <w:szCs w:val="20"/>
          <w:color w:val="auto"/>
        </w:rPr>
      </w:pPr>
      <w:r>
        <w:rPr>
          <w:rFonts w:ascii="Arial" w:cs="Arial" w:eastAsia="Arial" w:hAnsi="Arial"/>
          <w:sz w:val="18"/>
          <w:szCs w:val="18"/>
          <w:color w:val="auto"/>
        </w:rPr>
        <w:t>ROU assets are calculated as the related lease liability adjusted for lease incentives, prepayments and the effect of escalating lease payments on period expense. The below table depicts the ROU assets held by the Company based on the underlying asset: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0" w:type="dxa"/>
            <w:vAlign w:val="bottom"/>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375"/>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36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2022</w:t>
            </w:r>
          </w:p>
        </w:tc>
      </w:tr>
      <w:tr>
        <w:trPr>
          <w:trHeight w:val="223"/>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Buildings</w:t>
            </w:r>
          </w:p>
        </w:tc>
        <w:tc>
          <w:tcPr>
            <w:tcW w:w="40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19"/>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14</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15</w:t>
            </w: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Land</w:t>
            </w:r>
          </w:p>
        </w:tc>
        <w:tc>
          <w:tcPr>
            <w:tcW w:w="4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1</w:t>
            </w:r>
          </w:p>
        </w:tc>
      </w:tr>
      <w:tr>
        <w:trPr>
          <w:trHeight w:val="230"/>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w:t>
            </w:r>
          </w:p>
        </w:tc>
        <w:tc>
          <w:tcPr>
            <w:tcW w:w="40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w:t>
            </w: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Vehicles</w:t>
            </w:r>
          </w:p>
        </w:tc>
        <w:tc>
          <w:tcPr>
            <w:tcW w:w="404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w:t>
            </w:r>
          </w:p>
        </w:tc>
      </w:tr>
      <w:tr>
        <w:trPr>
          <w:trHeight w:val="263"/>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ROU assets</w:t>
            </w:r>
          </w:p>
        </w:tc>
        <w:tc>
          <w:tcPr>
            <w:tcW w:w="404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019"/>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17</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17</w:t>
            </w:r>
          </w:p>
        </w:tc>
      </w:tr>
      <w:tr>
        <w:trPr>
          <w:trHeight w:val="575"/>
        </w:trPr>
        <w:tc>
          <w:tcPr>
            <w:tcW w:w="3600" w:type="dxa"/>
            <w:vAlign w:val="bottom"/>
            <w:tcBorders>
              <w:top w:val="single" w:sz="8" w:color="CFF0FC"/>
            </w:tcBorders>
          </w:tcPr>
          <w:p>
            <w:pPr>
              <w:spacing w:after="0"/>
              <w:rPr>
                <w:sz w:val="24"/>
                <w:szCs w:val="24"/>
                <w:color w:val="auto"/>
              </w:rPr>
            </w:pPr>
          </w:p>
        </w:tc>
        <w:tc>
          <w:tcPr>
            <w:tcW w:w="4040" w:type="dxa"/>
            <w:vAlign w:val="bottom"/>
            <w:tcBorders>
              <w:top w:val="single" w:sz="8" w:color="CFF0FC"/>
            </w:tcBorders>
          </w:tcPr>
          <w:p>
            <w:pPr>
              <w:jc w:val="right"/>
              <w:ind w:right="1830"/>
              <w:spacing w:after="0"/>
              <w:rPr>
                <w:sz w:val="20"/>
                <w:szCs w:val="20"/>
                <w:color w:val="auto"/>
              </w:rPr>
            </w:pPr>
            <w:r>
              <w:rPr>
                <w:rFonts w:ascii="Arial" w:cs="Arial" w:eastAsia="Arial" w:hAnsi="Arial"/>
                <w:sz w:val="18"/>
                <w:szCs w:val="18"/>
                <w:color w:val="auto"/>
              </w:rPr>
              <w:t>17</w:t>
            </w:r>
          </w:p>
        </w:tc>
        <w:tc>
          <w:tcPr>
            <w:tcW w:w="1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101"/>
        </w:trPr>
        <w:tc>
          <w:tcPr>
            <w:tcW w:w="3600" w:type="dxa"/>
            <w:vAlign w:val="bottom"/>
            <w:tcBorders>
              <w:bottom w:val="single" w:sz="8" w:color="9A9A9A"/>
            </w:tcBorders>
          </w:tcPr>
          <w:p>
            <w:pPr>
              <w:spacing w:after="0"/>
              <w:rPr>
                <w:sz w:val="8"/>
                <w:szCs w:val="8"/>
                <w:color w:val="auto"/>
              </w:rPr>
            </w:pPr>
          </w:p>
        </w:tc>
        <w:tc>
          <w:tcPr>
            <w:tcW w:w="40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-479425</wp:posOffset>
            </wp:positionV>
            <wp:extent cx="1289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-462280</wp:posOffset>
            </wp:positionV>
            <wp:extent cx="1289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weighted average remaining lease term as of June 30, 2023 and June 30, 2022 was 5.8 years and 6.8 years, respectively.</w:t>
      </w:r>
    </w:p>
    <w:p>
      <w:pPr>
        <w:spacing w:after="0" w:line="104" w:lineRule="exact"/>
        <w:rPr>
          <w:sz w:val="20"/>
          <w:szCs w:val="20"/>
          <w:color w:val="auto"/>
        </w:rPr>
      </w:pPr>
    </w:p>
    <w:p>
      <w:pPr>
        <w:ind w:right="40" w:firstLine="494"/>
        <w:spacing w:after="0" w:line="243" w:lineRule="auto"/>
        <w:rPr>
          <w:sz w:val="20"/>
          <w:szCs w:val="20"/>
          <w:color w:val="auto"/>
        </w:rPr>
      </w:pPr>
      <w:r>
        <w:rPr>
          <w:rFonts w:ascii="Arial" w:cs="Arial" w:eastAsia="Arial" w:hAnsi="Arial"/>
          <w:sz w:val="18"/>
          <w:szCs w:val="18"/>
          <w:color w:val="auto"/>
        </w:rPr>
        <w:t>Operating lease expense was $2 million for each of the three months ended June 30, 2023 and 2022, and $ 3 million for each of the six months ended June 30, 2023 and 2022, and was recorded within Selling, general and administrative expense and Engineering — research and development on the Company's Condensed Consolidated Statements of Comprehensive Income. There was no material short-term operating lease expense for either of the three or six months ended June 30, 2023 or 2022.</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six months ended June 30, 2023, there were $2 million in new ROU assets obtained in exchange for lease obligations.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2022, there were no new ROU assets obtained in exchange for lease obligations.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OTHER CURRENT LIABILITIES</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60" w:type="dxa"/>
            <w:vAlign w:val="bottom"/>
          </w:tcPr>
          <w:p>
            <w:pPr>
              <w:jc w:val="right"/>
              <w:ind w:right="22"/>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3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related costs</w:t>
            </w:r>
          </w:p>
        </w:tc>
        <w:tc>
          <w:tcPr>
            <w:tcW w:w="38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82"/>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60</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Sales incentives</w:t>
            </w:r>
          </w:p>
        </w:tc>
        <w:tc>
          <w:tcPr>
            <w:tcW w:w="3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37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interest payable</w:t>
            </w:r>
          </w:p>
        </w:tc>
        <w:tc>
          <w:tcPr>
            <w:tcW w:w="38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24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Vendor buyback obligation</w:t>
            </w:r>
          </w:p>
        </w:tc>
        <w:tc>
          <w:tcPr>
            <w:tcW w:w="3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19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Taxes payable</w:t>
            </w:r>
          </w:p>
        </w:tc>
        <w:tc>
          <w:tcPr>
            <w:tcW w:w="38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15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Construction holdback</w:t>
            </w:r>
          </w:p>
        </w:tc>
        <w:tc>
          <w:tcPr>
            <w:tcW w:w="3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OPEB liability</w:t>
            </w:r>
          </w:p>
        </w:tc>
        <w:tc>
          <w:tcPr>
            <w:tcW w:w="38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3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accruals</w:t>
            </w:r>
          </w:p>
        </w:tc>
        <w:tc>
          <w:tcPr>
            <w:tcW w:w="38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14</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820" w:type="dxa"/>
            <w:vAlign w:val="bottom"/>
          </w:tcPr>
          <w:p>
            <w:pPr>
              <w:ind w:left="280"/>
              <w:spacing w:after="0"/>
              <w:rPr>
                <w:sz w:val="20"/>
                <w:szCs w:val="20"/>
                <w:color w:val="auto"/>
              </w:rPr>
            </w:pPr>
            <w:r>
              <w:rPr>
                <w:rFonts w:ascii="Arial" w:cs="Arial" w:eastAsia="Arial" w:hAnsi="Arial"/>
                <w:sz w:val="18"/>
                <w:szCs w:val="18"/>
                <w:color w:val="auto"/>
              </w:rPr>
              <w:t>Total</w:t>
            </w:r>
          </w:p>
        </w:tc>
        <w:tc>
          <w:tcPr>
            <w:tcW w:w="4980" w:type="dxa"/>
            <w:vAlign w:val="bottom"/>
            <w:gridSpan w:val="2"/>
          </w:tcPr>
          <w:p>
            <w:pPr>
              <w:jc w:val="right"/>
              <w:ind w:right="982"/>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182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820" w:type="dxa"/>
            <w:vAlign w:val="bottom"/>
            <w:vMerge w:val="restart"/>
          </w:tcPr>
          <w:p>
            <w:pPr>
              <w:jc w:val="right"/>
              <w:ind w:right="1830"/>
              <w:spacing w:after="0"/>
              <w:rPr>
                <w:sz w:val="20"/>
                <w:szCs w:val="20"/>
                <w:color w:val="auto"/>
              </w:rPr>
            </w:pPr>
            <w:r>
              <w:rPr>
                <w:rFonts w:ascii="Arial" w:cs="Arial" w:eastAsia="Arial" w:hAnsi="Arial"/>
                <w:sz w:val="18"/>
                <w:szCs w:val="18"/>
                <w:color w:val="auto"/>
              </w:rPr>
              <w:t>18</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82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8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-633730</wp:posOffset>
            </wp:positionV>
            <wp:extent cx="128905"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EMPLOYEE BENEFIT PLANS</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Components of net periodic benefit cost (credit) consist of the following (dollars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4"/>
                <w:szCs w:val="14"/>
                <w:b w:val="1"/>
                <w:bCs w:val="1"/>
                <w:color w:val="auto"/>
              </w:rPr>
              <w:t>Pension Plans</w:t>
            </w: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tcBorders>
              <w:bottom w:val="single" w:sz="8" w:color="auto"/>
            </w:tcBorders>
            <w:gridSpan w:val="4"/>
          </w:tcPr>
          <w:p>
            <w:pPr>
              <w:jc w:val="center"/>
              <w:ind w:left="222"/>
              <w:spacing w:after="0"/>
              <w:rPr>
                <w:sz w:val="20"/>
                <w:szCs w:val="20"/>
                <w:color w:val="auto"/>
              </w:rPr>
            </w:pPr>
            <w:r>
              <w:rPr>
                <w:rFonts w:ascii="Arial" w:cs="Arial" w:eastAsia="Arial" w:hAnsi="Arial"/>
                <w:sz w:val="14"/>
                <w:szCs w:val="14"/>
                <w:b w:val="1"/>
                <w:bCs w:val="1"/>
                <w:color w:val="auto"/>
              </w:rPr>
              <w:t>Post-retirement Benefits</w:t>
            </w:r>
          </w:p>
        </w:tc>
        <w:tc>
          <w:tcPr>
            <w:tcW w:w="440" w:type="dxa"/>
            <w:vAlign w:val="bottom"/>
            <w:tcBorders>
              <w:bottom w:val="single" w:sz="8" w:color="auto"/>
            </w:tcBorders>
          </w:tcPr>
          <w:p>
            <w:pPr>
              <w:spacing w:after="0"/>
              <w:rPr>
                <w:sz w:val="16"/>
                <w:szCs w:val="16"/>
                <w:color w:val="auto"/>
              </w:rPr>
            </w:pPr>
          </w:p>
        </w:tc>
      </w:tr>
      <w:tr>
        <w:trPr>
          <w:trHeight w:val="156"/>
        </w:trPr>
        <w:tc>
          <w:tcPr>
            <w:tcW w:w="5660" w:type="dxa"/>
            <w:vAlign w:val="bottom"/>
          </w:tcPr>
          <w:p>
            <w:pPr>
              <w:spacing w:after="0"/>
              <w:rPr>
                <w:sz w:val="13"/>
                <w:szCs w:val="13"/>
                <w:color w:val="auto"/>
              </w:rPr>
            </w:pPr>
          </w:p>
        </w:tc>
        <w:tc>
          <w:tcPr>
            <w:tcW w:w="2280" w:type="dxa"/>
            <w:vAlign w:val="bottom"/>
            <w:gridSpan w:val="4"/>
          </w:tcPr>
          <w:p>
            <w:pPr>
              <w:jc w:val="center"/>
              <w:ind w:left="239"/>
              <w:spacing w:after="0" w:line="156" w:lineRule="exact"/>
              <w:rPr>
                <w:sz w:val="20"/>
                <w:szCs w:val="20"/>
                <w:color w:val="auto"/>
              </w:rPr>
            </w:pPr>
            <w:r>
              <w:rPr>
                <w:rFonts w:ascii="Arial" w:cs="Arial" w:eastAsia="Arial" w:hAnsi="Arial"/>
                <w:sz w:val="14"/>
                <w:szCs w:val="14"/>
                <w:b w:val="1"/>
                <w:bCs w:val="1"/>
                <w:color w:val="auto"/>
              </w:rPr>
              <w:t>For the Three Months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4"/>
          </w:tcPr>
          <w:p>
            <w:pPr>
              <w:jc w:val="center"/>
              <w:ind w:left="222"/>
              <w:spacing w:after="0" w:line="156" w:lineRule="exact"/>
              <w:rPr>
                <w:sz w:val="20"/>
                <w:szCs w:val="20"/>
                <w:color w:val="auto"/>
              </w:rPr>
            </w:pPr>
            <w:r>
              <w:rPr>
                <w:rFonts w:ascii="Arial" w:cs="Arial" w:eastAsia="Arial" w:hAnsi="Arial"/>
                <w:sz w:val="14"/>
                <w:szCs w:val="14"/>
                <w:b w:val="1"/>
                <w:bCs w:val="1"/>
                <w:color w:val="auto"/>
              </w:rPr>
              <w:t>For the Three Months</w:t>
            </w:r>
          </w:p>
        </w:tc>
        <w:tc>
          <w:tcPr>
            <w:tcW w:w="440" w:type="dxa"/>
            <w:vAlign w:val="bottom"/>
          </w:tcPr>
          <w:p>
            <w:pPr>
              <w:spacing w:after="0"/>
              <w:rPr>
                <w:sz w:val="13"/>
                <w:szCs w:val="13"/>
                <w:color w:val="auto"/>
              </w:rPr>
            </w:pPr>
          </w:p>
        </w:tc>
      </w:tr>
      <w:tr>
        <w:trPr>
          <w:trHeight w:val="189"/>
        </w:trPr>
        <w:tc>
          <w:tcPr>
            <w:tcW w:w="5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20" w:type="dxa"/>
            <w:vAlign w:val="bottom"/>
            <w:gridSpan w:val="3"/>
          </w:tcPr>
          <w:p>
            <w:pPr>
              <w:jc w:val="center"/>
              <w:ind w:right="370"/>
              <w:spacing w:after="0"/>
              <w:rPr>
                <w:sz w:val="20"/>
                <w:szCs w:val="20"/>
                <w:color w:val="auto"/>
              </w:rPr>
            </w:pPr>
            <w:r>
              <w:rPr>
                <w:rFonts w:ascii="Arial" w:cs="Arial" w:eastAsia="Arial" w:hAnsi="Arial"/>
                <w:sz w:val="14"/>
                <w:szCs w:val="14"/>
                <w:b w:val="1"/>
                <w:bCs w:val="1"/>
                <w:color w:val="auto"/>
              </w:rPr>
              <w:t>Ended June 30,</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Ended June 30,</w:t>
            </w:r>
          </w:p>
        </w:tc>
        <w:tc>
          <w:tcPr>
            <w:tcW w:w="440" w:type="dxa"/>
            <w:vAlign w:val="bottom"/>
          </w:tcPr>
          <w:p>
            <w:pPr>
              <w:spacing w:after="0"/>
              <w:rPr>
                <w:sz w:val="16"/>
                <w:szCs w:val="16"/>
                <w:color w:val="auto"/>
              </w:rPr>
            </w:pPr>
          </w:p>
        </w:tc>
      </w:tr>
      <w:tr>
        <w:trPr>
          <w:trHeight w:val="189"/>
        </w:trPr>
        <w:tc>
          <w:tcPr>
            <w:tcW w:w="5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r>
      <w:tr>
        <w:trPr>
          <w:trHeight w:val="22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7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760" w:type="dxa"/>
            <w:vAlign w:val="bottom"/>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55"/>
              <w:spacing w:after="0"/>
              <w:rPr>
                <w:sz w:val="20"/>
                <w:szCs w:val="20"/>
                <w:color w:val="auto"/>
              </w:rPr>
            </w:pPr>
            <w:r>
              <w:rPr>
                <w:rFonts w:ascii="Arial" w:cs="Arial" w:eastAsia="Arial" w:hAnsi="Arial"/>
                <w:sz w:val="18"/>
                <w:szCs w:val="18"/>
                <w:b w:val="1"/>
                <w:bCs w:val="1"/>
                <w:color w:val="auto"/>
              </w:rPr>
              <w:t>1</w:t>
            </w:r>
          </w:p>
        </w:tc>
        <w:tc>
          <w:tcPr>
            <w:tcW w:w="10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900" w:type="dxa"/>
            <w:vAlign w:val="bottom"/>
            <w:gridSpan w:val="2"/>
          </w:tcPr>
          <w:p>
            <w:pPr>
              <w:jc w:val="right"/>
              <w:ind w:right="562"/>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53"/>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29"/>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7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jc w:val="right"/>
              <w:ind w:right="53"/>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Prior service credit</w:t>
            </w:r>
          </w:p>
        </w:tc>
        <w:tc>
          <w:tcPr>
            <w:tcW w:w="7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Net periodic benefit cost (credit)</w:t>
            </w:r>
          </w:p>
        </w:tc>
        <w:tc>
          <w:tcPr>
            <w:tcW w:w="760" w:type="dxa"/>
            <w:vAlign w:val="bottom"/>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55"/>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9"/>
                <w:szCs w:val="19"/>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740" w:type="dxa"/>
            <w:vAlign w:val="bottom"/>
          </w:tcPr>
          <w:p>
            <w:pPr>
              <w:jc w:val="right"/>
              <w:ind w:right="562"/>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5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56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4"/>
                <w:szCs w:val="14"/>
                <w:b w:val="1"/>
                <w:bCs w:val="1"/>
                <w:color w:val="auto"/>
              </w:rPr>
              <w:t>Pension Plans</w:t>
            </w:r>
          </w:p>
        </w:tc>
        <w:tc>
          <w:tcPr>
            <w:tcW w:w="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Borders>
              <w:bottom w:val="single" w:sz="8" w:color="auto"/>
            </w:tcBorders>
            <w:gridSpan w:val="4"/>
          </w:tcPr>
          <w:p>
            <w:pPr>
              <w:jc w:val="center"/>
              <w:ind w:left="222"/>
              <w:spacing w:after="0"/>
              <w:rPr>
                <w:sz w:val="20"/>
                <w:szCs w:val="20"/>
                <w:color w:val="auto"/>
              </w:rPr>
            </w:pPr>
            <w:r>
              <w:rPr>
                <w:rFonts w:ascii="Arial" w:cs="Arial" w:eastAsia="Arial" w:hAnsi="Arial"/>
                <w:sz w:val="14"/>
                <w:szCs w:val="14"/>
                <w:b w:val="1"/>
                <w:bCs w:val="1"/>
                <w:color w:val="auto"/>
              </w:rPr>
              <w:t>Post-retirement Benefits</w:t>
            </w:r>
          </w:p>
        </w:tc>
        <w:tc>
          <w:tcPr>
            <w:tcW w:w="440" w:type="dxa"/>
            <w:vAlign w:val="bottom"/>
            <w:tcBorders>
              <w:bottom w:val="single" w:sz="8" w:color="auto"/>
            </w:tcBorders>
          </w:tcPr>
          <w:p>
            <w:pPr>
              <w:spacing w:after="0"/>
              <w:rPr>
                <w:sz w:val="24"/>
                <w:szCs w:val="24"/>
                <w:color w:val="auto"/>
              </w:rPr>
            </w:pPr>
          </w:p>
        </w:tc>
      </w:tr>
      <w:tr>
        <w:trPr>
          <w:trHeight w:val="156"/>
        </w:trPr>
        <w:tc>
          <w:tcPr>
            <w:tcW w:w="5660" w:type="dxa"/>
            <w:vAlign w:val="bottom"/>
          </w:tcPr>
          <w:p>
            <w:pPr>
              <w:spacing w:after="0"/>
              <w:rPr>
                <w:sz w:val="13"/>
                <w:szCs w:val="13"/>
                <w:color w:val="auto"/>
              </w:rPr>
            </w:pPr>
          </w:p>
        </w:tc>
        <w:tc>
          <w:tcPr>
            <w:tcW w:w="2280" w:type="dxa"/>
            <w:vAlign w:val="bottom"/>
            <w:gridSpan w:val="4"/>
          </w:tcPr>
          <w:p>
            <w:pPr>
              <w:jc w:val="center"/>
              <w:ind w:left="219"/>
              <w:spacing w:after="0" w:line="156" w:lineRule="exact"/>
              <w:rPr>
                <w:sz w:val="20"/>
                <w:szCs w:val="20"/>
                <w:color w:val="auto"/>
              </w:rPr>
            </w:pPr>
            <w:r>
              <w:rPr>
                <w:rFonts w:ascii="Arial" w:cs="Arial" w:eastAsia="Arial" w:hAnsi="Arial"/>
                <w:sz w:val="14"/>
                <w:szCs w:val="14"/>
                <w:b w:val="1"/>
                <w:bCs w:val="1"/>
                <w:color w:val="auto"/>
              </w:rPr>
              <w:t>For the Six Months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4"/>
          </w:tcPr>
          <w:p>
            <w:pPr>
              <w:jc w:val="center"/>
              <w:ind w:left="222"/>
              <w:spacing w:after="0" w:line="156" w:lineRule="exact"/>
              <w:rPr>
                <w:sz w:val="20"/>
                <w:szCs w:val="20"/>
                <w:color w:val="auto"/>
              </w:rPr>
            </w:pPr>
            <w:r>
              <w:rPr>
                <w:rFonts w:ascii="Arial" w:cs="Arial" w:eastAsia="Arial" w:hAnsi="Arial"/>
                <w:sz w:val="14"/>
                <w:szCs w:val="14"/>
                <w:b w:val="1"/>
                <w:bCs w:val="1"/>
                <w:color w:val="auto"/>
              </w:rPr>
              <w:t>For the Six Months</w:t>
            </w:r>
          </w:p>
        </w:tc>
        <w:tc>
          <w:tcPr>
            <w:tcW w:w="440" w:type="dxa"/>
            <w:vAlign w:val="bottom"/>
          </w:tcPr>
          <w:p>
            <w:pPr>
              <w:spacing w:after="0"/>
              <w:rPr>
                <w:sz w:val="13"/>
                <w:szCs w:val="13"/>
                <w:color w:val="auto"/>
              </w:rPr>
            </w:pPr>
          </w:p>
        </w:tc>
      </w:tr>
      <w:tr>
        <w:trPr>
          <w:trHeight w:val="189"/>
        </w:trPr>
        <w:tc>
          <w:tcPr>
            <w:tcW w:w="5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20" w:type="dxa"/>
            <w:vAlign w:val="bottom"/>
            <w:gridSpan w:val="3"/>
          </w:tcPr>
          <w:p>
            <w:pPr>
              <w:jc w:val="center"/>
              <w:ind w:right="370"/>
              <w:spacing w:after="0"/>
              <w:rPr>
                <w:sz w:val="20"/>
                <w:szCs w:val="20"/>
                <w:color w:val="auto"/>
              </w:rPr>
            </w:pPr>
            <w:r>
              <w:rPr>
                <w:rFonts w:ascii="Arial" w:cs="Arial" w:eastAsia="Arial" w:hAnsi="Arial"/>
                <w:sz w:val="14"/>
                <w:szCs w:val="14"/>
                <w:b w:val="1"/>
                <w:bCs w:val="1"/>
                <w:color w:val="auto"/>
              </w:rPr>
              <w:t>Ended June 30,</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Ended June 30,</w:t>
            </w:r>
          </w:p>
        </w:tc>
        <w:tc>
          <w:tcPr>
            <w:tcW w:w="440" w:type="dxa"/>
            <w:vAlign w:val="bottom"/>
          </w:tcPr>
          <w:p>
            <w:pPr>
              <w:spacing w:after="0"/>
              <w:rPr>
                <w:sz w:val="16"/>
                <w:szCs w:val="16"/>
                <w:color w:val="auto"/>
              </w:rPr>
            </w:pPr>
          </w:p>
        </w:tc>
      </w:tr>
      <w:tr>
        <w:trPr>
          <w:trHeight w:val="189"/>
        </w:trPr>
        <w:tc>
          <w:tcPr>
            <w:tcW w:w="5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r>
      <w:tr>
        <w:trPr>
          <w:trHeight w:val="22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7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760" w:type="dxa"/>
            <w:vAlign w:val="bottom"/>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55"/>
              <w:spacing w:after="0"/>
              <w:rPr>
                <w:sz w:val="20"/>
                <w:szCs w:val="20"/>
                <w:color w:val="auto"/>
              </w:rPr>
            </w:pPr>
            <w:r>
              <w:rPr>
                <w:rFonts w:ascii="Arial" w:cs="Arial" w:eastAsia="Arial" w:hAnsi="Arial"/>
                <w:sz w:val="18"/>
                <w:szCs w:val="18"/>
                <w:b w:val="1"/>
                <w:bCs w:val="1"/>
                <w:color w:val="auto"/>
              </w:rPr>
              <w:t>2</w:t>
            </w:r>
          </w:p>
        </w:tc>
        <w:tc>
          <w:tcPr>
            <w:tcW w:w="10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right"/>
              <w:ind w:right="562"/>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53"/>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29"/>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7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jc w:val="right"/>
              <w:ind w:right="53"/>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Prior service credit</w:t>
            </w: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(5 )</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Recognized actuarial gain</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1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760" w:type="dxa"/>
            <w:vAlign w:val="bottom"/>
            <w:shd w:val="clear" w:color="auto" w:fill="CFF0FC"/>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62"/>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(4 )</w:t>
            </w:r>
          </w:p>
        </w:tc>
        <w:tc>
          <w:tcPr>
            <w:tcW w:w="1000" w:type="dxa"/>
            <w:vAlign w:val="bottom"/>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-1859280</wp:posOffset>
            </wp:positionV>
            <wp:extent cx="94615"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615" cy="1797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-1859280</wp:posOffset>
            </wp:positionV>
            <wp:extent cx="102870"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-1859280</wp:posOffset>
            </wp:positionV>
            <wp:extent cx="102870" cy="1797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946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946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1028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1028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1028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1028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0" w:lineRule="exact"/>
        <w:rPr>
          <w:sz w:val="20"/>
          <w:szCs w:val="20"/>
          <w:color w:val="auto"/>
        </w:rPr>
      </w:pPr>
    </w:p>
    <w:p>
      <w:pPr>
        <w:ind w:right="280" w:firstLine="494"/>
        <w:spacing w:after="0" w:line="260" w:lineRule="auto"/>
        <w:rPr>
          <w:sz w:val="20"/>
          <w:szCs w:val="20"/>
          <w:color w:val="auto"/>
        </w:rPr>
      </w:pPr>
      <w:r>
        <w:rPr>
          <w:rFonts w:ascii="Arial" w:cs="Arial" w:eastAsia="Arial" w:hAnsi="Arial"/>
          <w:sz w:val="18"/>
          <w:szCs w:val="18"/>
          <w:color w:val="auto"/>
        </w:rPr>
        <w:t>The components of net periodic benefit cost (credit) other than the service cost component are included in Other income (expense), net in the Condensed Consolidated Statements of Comprehensive Income.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INCOME TAXES</w:t>
      </w:r>
    </w:p>
    <w:p>
      <w:pPr>
        <w:spacing w:after="0" w:line="114" w:lineRule="exact"/>
        <w:rPr>
          <w:sz w:val="20"/>
          <w:szCs w:val="20"/>
          <w:color w:val="auto"/>
        </w:rPr>
      </w:pPr>
    </w:p>
    <w:p>
      <w:pPr>
        <w:ind w:right="40" w:firstLine="494"/>
        <w:spacing w:after="0" w:line="243" w:lineRule="auto"/>
        <w:rPr>
          <w:sz w:val="20"/>
          <w:szCs w:val="20"/>
          <w:color w:val="auto"/>
        </w:rPr>
      </w:pPr>
      <w:r>
        <w:rPr>
          <w:rFonts w:ascii="Arial" w:cs="Arial" w:eastAsia="Arial" w:hAnsi="Arial"/>
          <w:sz w:val="18"/>
          <w:szCs w:val="18"/>
          <w:color w:val="auto"/>
        </w:rPr>
        <w:t>For the three and six months ended June 30, 2023, the Company recorded total income tax expense of $ 41 million and $83 million, respectively. The effective tax rate for each of the three and six months ended June 30, 2023 was 19%. For the three and six months ended June 30, 2022, the Company recorded total income tax expense of $32 million and $66 million, respectively. The effective tax rate for each of the three and six months ended June 30, 2022 was 21%.</w:t>
      </w:r>
    </w:p>
    <w:p>
      <w:pPr>
        <w:spacing w:after="0" w:line="80" w:lineRule="exact"/>
        <w:rPr>
          <w:sz w:val="20"/>
          <w:szCs w:val="20"/>
          <w:color w:val="auto"/>
        </w:rPr>
      </w:pPr>
    </w:p>
    <w:p>
      <w:pPr>
        <w:ind w:right="220" w:firstLine="494"/>
        <w:spacing w:after="0" w:line="241"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95" w:lineRule="exact"/>
        <w:rPr>
          <w:sz w:val="20"/>
          <w:szCs w:val="20"/>
          <w:color w:val="auto"/>
        </w:rPr>
      </w:pPr>
    </w:p>
    <w:p>
      <w:pPr>
        <w:ind w:right="120" w:firstLine="494"/>
        <w:spacing w:after="0" w:line="247" w:lineRule="auto"/>
        <w:rPr>
          <w:sz w:val="20"/>
          <w:szCs w:val="20"/>
          <w:color w:val="auto"/>
        </w:rPr>
      </w:pPr>
      <w:r>
        <w:rPr>
          <w:rFonts w:ascii="Arial" w:cs="Arial" w:eastAsia="Arial" w:hAnsi="Arial"/>
          <w:sz w:val="18"/>
          <w:szCs w:val="18"/>
          <w:color w:val="auto"/>
        </w:rPr>
        <w:t>The Company continues to provide for a valuation allowance on certain of its foreign deferred tax assets. The Company has determined, based on the evaluation of both objective and subjective evidence available, that this valuation allowance is necessary and that it is more likely than not that the deferred tax assets are not fully realizable.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ACCUMULATED OTHER COMPREHENSIVE LOSS</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reconcile changes in AOCL by component (net of tax, dollars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56"/>
        </w:trPr>
        <w:tc>
          <w:tcPr>
            <w:tcW w:w="5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175"/>
              <w:spacing w:after="0" w:line="156" w:lineRule="exact"/>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2"/>
        </w:trPr>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rPr>
              <w:t>and OPEB</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274"/>
              <w:spacing w:after="0"/>
              <w:rPr>
                <w:sz w:val="20"/>
                <w:szCs w:val="20"/>
                <w:color w:val="auto"/>
              </w:rPr>
            </w:pPr>
            <w:r>
              <w:rPr>
                <w:rFonts w:ascii="Arial" w:cs="Arial" w:eastAsia="Arial" w:hAnsi="Arial"/>
                <w:sz w:val="14"/>
                <w:szCs w:val="14"/>
                <w:b w:val="1"/>
                <w:bCs w:val="1"/>
                <w:color w:val="auto"/>
              </w:rPr>
              <w:t>Foreign</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215"/>
              <w:spacing w:after="0"/>
              <w:rPr>
                <w:sz w:val="20"/>
                <w:szCs w:val="20"/>
                <w:color w:val="auto"/>
              </w:rPr>
            </w:pPr>
            <w:r>
              <w:rPr>
                <w:rFonts w:ascii="Arial" w:cs="Arial" w:eastAsia="Arial" w:hAnsi="Arial"/>
                <w:sz w:val="14"/>
                <w:szCs w:val="14"/>
                <w:b w:val="1"/>
                <w:bCs w:val="1"/>
                <w:color w:val="auto"/>
                <w:w w:val="99"/>
              </w:rPr>
              <w:t>liability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234"/>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274"/>
              <w:spacing w:after="0"/>
              <w:rPr>
                <w:sz w:val="20"/>
                <w:szCs w:val="20"/>
                <w:color w:val="auto"/>
              </w:rPr>
            </w:pPr>
            <w:r>
              <w:rPr>
                <w:rFonts w:ascii="Arial" w:cs="Arial" w:eastAsia="Arial" w:hAnsi="Arial"/>
                <w:sz w:val="14"/>
                <w:szCs w:val="14"/>
                <w:b w:val="1"/>
                <w:bCs w:val="1"/>
                <w:color w:val="auto"/>
              </w:rPr>
              <w:t>currency</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5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rate swaps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items</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Total</w:t>
            </w:r>
          </w:p>
        </w:tc>
      </w:tr>
      <w:tr>
        <w:trPr>
          <w:trHeight w:val="22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March 31, 2022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(32 )</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(56 )</w:t>
            </w:r>
          </w:p>
        </w:tc>
      </w:tr>
      <w:tr>
        <w:trPr>
          <w:trHeight w:val="229"/>
        </w:trPr>
        <w:tc>
          <w:tcPr>
            <w:tcW w:w="566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(8 )</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r>
      <w:tr>
        <w:trPr>
          <w:trHeight w:val="229"/>
        </w:trPr>
        <w:tc>
          <w:tcPr>
            <w:tcW w:w="566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2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56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AOCL as of June 30, 2022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(21 )</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(40 )</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0"/>
        </w:trPr>
        <w:tc>
          <w:tcPr>
            <w:tcW w:w="5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March 31, 2023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(40 )</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566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b w:val="1"/>
                <w:bCs w:val="1"/>
                <w:color w:val="auto"/>
              </w:rPr>
              <w:t>7</w:t>
            </w:r>
          </w:p>
        </w:tc>
      </w:tr>
      <w:tr>
        <w:trPr>
          <w:trHeight w:val="229"/>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r>
      <w:tr>
        <w:trPr>
          <w:trHeight w:val="229"/>
        </w:trPr>
        <w:tc>
          <w:tcPr>
            <w:tcW w:w="566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r>
      <w:tr>
        <w:trPr>
          <w:trHeight w:val="223"/>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auto"/>
              </w:rPr>
              <w:t>5</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AOCL as of June 30, 2023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55"/>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74"/>
              <w:spacing w:after="0"/>
              <w:rPr>
                <w:sz w:val="20"/>
                <w:szCs w:val="20"/>
                <w:color w:val="auto"/>
              </w:rPr>
            </w:pPr>
            <w:r>
              <w:rPr>
                <w:rFonts w:ascii="Arial" w:cs="Arial" w:eastAsia="Arial" w:hAnsi="Arial"/>
                <w:sz w:val="18"/>
                <w:szCs w:val="18"/>
                <w:b w:val="1"/>
                <w:bCs w:val="1"/>
                <w:color w:val="auto"/>
              </w:rPr>
              <w:t>17</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(42 )</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(25 )</w:t>
            </w:r>
          </w:p>
        </w:tc>
      </w:tr>
      <w:tr>
        <w:trPr>
          <w:trHeight w:val="20"/>
        </w:trPr>
        <w:tc>
          <w:tcPr>
            <w:tcW w:w="5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5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56"/>
        </w:trPr>
        <w:tc>
          <w:tcPr>
            <w:tcW w:w="5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175"/>
              <w:spacing w:after="0" w:line="156" w:lineRule="exact"/>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2"/>
        </w:trPr>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rPr>
              <w:t>and OPEB</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274"/>
              <w:spacing w:after="0"/>
              <w:rPr>
                <w:sz w:val="20"/>
                <w:szCs w:val="20"/>
                <w:color w:val="auto"/>
              </w:rPr>
            </w:pPr>
            <w:r>
              <w:rPr>
                <w:rFonts w:ascii="Arial" w:cs="Arial" w:eastAsia="Arial" w:hAnsi="Arial"/>
                <w:sz w:val="14"/>
                <w:szCs w:val="14"/>
                <w:b w:val="1"/>
                <w:bCs w:val="1"/>
                <w:color w:val="auto"/>
              </w:rPr>
              <w:t>Foreign</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215"/>
              <w:spacing w:after="0"/>
              <w:rPr>
                <w:sz w:val="20"/>
                <w:szCs w:val="20"/>
                <w:color w:val="auto"/>
              </w:rPr>
            </w:pPr>
            <w:r>
              <w:rPr>
                <w:rFonts w:ascii="Arial" w:cs="Arial" w:eastAsia="Arial" w:hAnsi="Arial"/>
                <w:sz w:val="14"/>
                <w:szCs w:val="14"/>
                <w:b w:val="1"/>
                <w:bCs w:val="1"/>
                <w:color w:val="auto"/>
                <w:w w:val="99"/>
              </w:rPr>
              <w:t>liability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234"/>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274"/>
              <w:spacing w:after="0"/>
              <w:rPr>
                <w:sz w:val="20"/>
                <w:szCs w:val="20"/>
                <w:color w:val="auto"/>
              </w:rPr>
            </w:pPr>
            <w:r>
              <w:rPr>
                <w:rFonts w:ascii="Arial" w:cs="Arial" w:eastAsia="Arial" w:hAnsi="Arial"/>
                <w:sz w:val="14"/>
                <w:szCs w:val="14"/>
                <w:b w:val="1"/>
                <w:bCs w:val="1"/>
                <w:color w:val="auto"/>
              </w:rPr>
              <w:t>currency</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5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rate swaps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items</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Total</w:t>
            </w:r>
          </w:p>
        </w:tc>
      </w:tr>
      <w:tr>
        <w:trPr>
          <w:trHeight w:val="22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December 31, 2021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(24 )</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(32 )</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(73 )</w:t>
            </w:r>
          </w:p>
        </w:tc>
      </w:tr>
      <w:tr>
        <w:trPr>
          <w:trHeight w:val="230"/>
        </w:trPr>
        <w:tc>
          <w:tcPr>
            <w:tcW w:w="566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(8 )</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19</w:t>
            </w:r>
          </w:p>
        </w:tc>
      </w:tr>
      <w:tr>
        <w:trPr>
          <w:trHeight w:val="230"/>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r>
      <w:tr>
        <w:trPr>
          <w:trHeight w:val="230"/>
        </w:trPr>
        <w:tc>
          <w:tcPr>
            <w:tcW w:w="566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r>
      <w:tr>
        <w:trPr>
          <w:trHeight w:val="22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w:t>
            </w:r>
          </w:p>
        </w:tc>
      </w:tr>
      <w:tr>
        <w:trPr>
          <w:trHeight w:val="20"/>
        </w:trPr>
        <w:tc>
          <w:tcPr>
            <w:tcW w:w="56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AOCL as of June 30, 2022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(21 )</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(40 )</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0"/>
        </w:trPr>
        <w:tc>
          <w:tcPr>
            <w:tcW w:w="5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December 31, 2022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566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b w:val="1"/>
                <w:bCs w:val="1"/>
                <w:color w:val="auto"/>
              </w:rPr>
              <w:t>7</w:t>
            </w:r>
          </w:p>
        </w:tc>
      </w:tr>
      <w:tr>
        <w:trPr>
          <w:trHeight w:val="230"/>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(5 )</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(11 )</w:t>
            </w:r>
          </w:p>
        </w:tc>
      </w:tr>
      <w:tr>
        <w:trPr>
          <w:trHeight w:val="229"/>
        </w:trPr>
        <w:tc>
          <w:tcPr>
            <w:tcW w:w="566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w:t>
            </w:r>
          </w:p>
        </w:tc>
      </w:tr>
      <w:tr>
        <w:trPr>
          <w:trHeight w:val="223"/>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(5 )</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auto"/>
              </w:rPr>
              <w:t>2</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AOCL as of June 30, 2023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55"/>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b w:val="1"/>
                <w:bCs w:val="1"/>
                <w:color w:val="auto"/>
              </w:rPr>
              <w:t>17</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(42 )</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(25 )</w:t>
            </w:r>
          </w:p>
        </w:tc>
      </w:tr>
      <w:tr>
        <w:trPr>
          <w:trHeight w:val="20"/>
        </w:trPr>
        <w:tc>
          <w:tcPr>
            <w:tcW w:w="5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-3642360</wp:posOffset>
            </wp:positionV>
            <wp:extent cx="94615" cy="179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 cy="1797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-3642360</wp:posOffset>
            </wp:positionV>
            <wp:extent cx="102870" cy="1797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-3642360</wp:posOffset>
            </wp:positionV>
            <wp:extent cx="102870" cy="179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-2725420</wp:posOffset>
            </wp:positionV>
            <wp:extent cx="94615"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4615" cy="1797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-2725420</wp:posOffset>
            </wp:positionV>
            <wp:extent cx="102870"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-2725420</wp:posOffset>
            </wp:positionV>
            <wp:extent cx="102870"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-1096645</wp:posOffset>
            </wp:positionV>
            <wp:extent cx="94615" cy="179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4615" cy="1797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-1096645</wp:posOffset>
            </wp:positionV>
            <wp:extent cx="102870" cy="1797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-1096645</wp:posOffset>
            </wp:positionV>
            <wp:extent cx="102870" cy="179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-179070</wp:posOffset>
            </wp:positionV>
            <wp:extent cx="94615"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4615" cy="1797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-179070</wp:posOffset>
            </wp:positionV>
            <wp:extent cx="102870"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-179070</wp:posOffset>
            </wp:positionV>
            <wp:extent cx="102870"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17970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376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Amounts reclassified from AOCL</w:t>
            </w:r>
          </w:p>
        </w:tc>
        <w:tc>
          <w:tcPr>
            <w:tcW w:w="340" w:type="dxa"/>
            <w:vAlign w:val="bottom"/>
            <w:tcBorders>
              <w:bottom w:val="single" w:sz="8" w:color="auto"/>
            </w:tcBorders>
          </w:tcPr>
          <w:p>
            <w:pPr>
              <w:spacing w:after="0"/>
              <w:rPr>
                <w:sz w:val="16"/>
                <w:szCs w:val="16"/>
                <w:color w:val="auto"/>
              </w:rPr>
            </w:pP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82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3"/>
                <w:szCs w:val="13"/>
                <w:color w:val="auto"/>
              </w:rPr>
            </w:pPr>
          </w:p>
        </w:tc>
        <w:tc>
          <w:tcPr>
            <w:tcW w:w="3320" w:type="dxa"/>
            <w:vAlign w:val="bottom"/>
          </w:tcPr>
          <w:p>
            <w:pPr>
              <w:jc w:val="center"/>
              <w:ind w:left="118"/>
              <w:spacing w:after="0" w:line="156" w:lineRule="exact"/>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320" w:type="dxa"/>
            <w:vAlign w:val="bottom"/>
          </w:tcPr>
          <w:p>
            <w:pPr>
              <w:jc w:val="center"/>
              <w:ind w:left="118"/>
              <w:spacing w:after="0" w:line="149"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AOCL Components</w:t>
            </w:r>
          </w:p>
        </w:tc>
        <w:tc>
          <w:tcPr>
            <w:tcW w:w="16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June 30, 2023</w:t>
            </w:r>
          </w:p>
        </w:tc>
        <w:tc>
          <w:tcPr>
            <w:tcW w:w="3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June 30, 2022</w:t>
            </w:r>
          </w:p>
        </w:tc>
        <w:tc>
          <w:tcPr>
            <w:tcW w:w="340" w:type="dxa"/>
            <w:vAlign w:val="bottom"/>
            <w:tcBorders>
              <w:bottom w:val="single" w:sz="8" w:color="auto"/>
            </w:tcBorders>
          </w:tcPr>
          <w:p>
            <w:pPr>
              <w:spacing w:after="0"/>
              <w:rPr>
                <w:sz w:val="16"/>
                <w:szCs w:val="16"/>
                <w:color w:val="auto"/>
              </w:rPr>
            </w:pPr>
          </w:p>
        </w:tc>
        <w:tc>
          <w:tcPr>
            <w:tcW w:w="3320" w:type="dxa"/>
            <w:vAlign w:val="bottom"/>
          </w:tcPr>
          <w:p>
            <w:pPr>
              <w:jc w:val="center"/>
              <w:ind w:left="118"/>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620" w:type="dxa"/>
            <w:vAlign w:val="bottom"/>
            <w:shd w:val="clear" w:color="auto" w:fill="CFF0FC"/>
          </w:tcPr>
          <w:p>
            <w:pPr>
              <w:jc w:val="right"/>
              <w:ind w:right="1419"/>
              <w:spacing w:after="0"/>
              <w:rPr>
                <w:sz w:val="20"/>
                <w:szCs w:val="20"/>
                <w:color w:val="auto"/>
              </w:rPr>
            </w:pPr>
            <w:r>
              <w:rPr>
                <w:rFonts w:ascii="Arial" w:cs="Arial" w:eastAsia="Arial" w:hAnsi="Arial"/>
                <w:sz w:val="18"/>
                <w:szCs w:val="18"/>
                <w:b w:val="1"/>
                <w:bCs w:val="1"/>
                <w:color w:val="auto"/>
                <w:w w:val="99"/>
              </w:rPr>
              <w:t>$</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3</w:t>
            </w:r>
          </w:p>
        </w:tc>
        <w:tc>
          <w:tcPr>
            <w:tcW w:w="1800" w:type="dxa"/>
            <w:vAlign w:val="bottom"/>
            <w:gridSpan w:val="2"/>
            <w:shd w:val="clear" w:color="auto" w:fill="CFF0FC"/>
          </w:tcPr>
          <w:p>
            <w:pPr>
              <w:jc w:val="right"/>
              <w:ind w:right="142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(3 )</w:t>
            </w:r>
          </w:p>
        </w:tc>
        <w:tc>
          <w:tcPr>
            <w:tcW w:w="3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FF0FC"/>
            </w:tcBorders>
          </w:tcPr>
          <w:p>
            <w:pPr>
              <w:ind w:left="280"/>
              <w:spacing w:after="0"/>
              <w:rPr>
                <w:sz w:val="20"/>
                <w:szCs w:val="20"/>
                <w:color w:val="auto"/>
              </w:rPr>
            </w:pPr>
            <w:r>
              <w:rPr>
                <w:rFonts w:ascii="Arial" w:cs="Arial" w:eastAsia="Arial" w:hAnsi="Arial"/>
                <w:sz w:val="18"/>
                <w:szCs w:val="18"/>
                <w:color w:val="auto"/>
              </w:rPr>
              <w:t>Prior service credit</w:t>
            </w:r>
          </w:p>
        </w:tc>
        <w:tc>
          <w:tcPr>
            <w:tcW w:w="1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w:t>
            </w:r>
          </w:p>
        </w:tc>
        <w:tc>
          <w:tcPr>
            <w:tcW w:w="200" w:type="dxa"/>
            <w:vAlign w:val="bottom"/>
            <w:tcBorders>
              <w:bottom w:val="single" w:sz="8" w:color="CFF0FC"/>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33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reclassifications, before tax</w:t>
            </w:r>
          </w:p>
        </w:tc>
        <w:tc>
          <w:tcPr>
            <w:tcW w:w="1620" w:type="dxa"/>
            <w:vAlign w:val="bottom"/>
            <w:shd w:val="clear" w:color="auto" w:fill="CFF0FC"/>
          </w:tcPr>
          <w:p>
            <w:pPr>
              <w:jc w:val="right"/>
              <w:ind w:right="1419"/>
              <w:spacing w:after="0"/>
              <w:rPr>
                <w:sz w:val="20"/>
                <w:szCs w:val="20"/>
                <w:color w:val="auto"/>
              </w:rPr>
            </w:pPr>
            <w:r>
              <w:rPr>
                <w:rFonts w:ascii="Arial" w:cs="Arial" w:eastAsia="Arial" w:hAnsi="Arial"/>
                <w:sz w:val="18"/>
                <w:szCs w:val="18"/>
                <w:b w:val="1"/>
                <w:bCs w:val="1"/>
                <w:color w:val="auto"/>
                <w:w w:val="99"/>
              </w:rPr>
              <w:t>$</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6</w:t>
            </w:r>
          </w:p>
        </w:tc>
        <w:tc>
          <w:tcPr>
            <w:tcW w:w="1800" w:type="dxa"/>
            <w:vAlign w:val="bottom"/>
            <w:gridSpan w:val="2"/>
            <w:shd w:val="clear" w:color="auto" w:fill="CFF0FC"/>
          </w:tcPr>
          <w:p>
            <w:pPr>
              <w:jc w:val="right"/>
              <w:ind w:right="142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(1 )</w:t>
            </w:r>
          </w:p>
        </w:tc>
        <w:tc>
          <w:tcPr>
            <w:tcW w:w="3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(1 )</w:t>
            </w:r>
          </w:p>
        </w:tc>
        <w:tc>
          <w:tcPr>
            <w:tcW w:w="20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8"/>
              </w:rPr>
              <w:t>—</w:t>
            </w:r>
          </w:p>
        </w:tc>
        <w:tc>
          <w:tcPr>
            <w:tcW w:w="332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63"/>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reclassifications, net of tax</w:t>
            </w:r>
          </w:p>
        </w:tc>
        <w:tc>
          <w:tcPr>
            <w:tcW w:w="1620" w:type="dxa"/>
            <w:vAlign w:val="bottom"/>
            <w:shd w:val="clear" w:color="auto" w:fill="CFF0FC"/>
          </w:tcPr>
          <w:p>
            <w:pPr>
              <w:jc w:val="right"/>
              <w:ind w:right="1419"/>
              <w:spacing w:after="0"/>
              <w:rPr>
                <w:sz w:val="20"/>
                <w:szCs w:val="20"/>
                <w:color w:val="auto"/>
              </w:rPr>
            </w:pPr>
            <w:r>
              <w:rPr>
                <w:rFonts w:ascii="Arial" w:cs="Arial" w:eastAsia="Arial" w:hAnsi="Arial"/>
                <w:sz w:val="18"/>
                <w:szCs w:val="18"/>
                <w:b w:val="1"/>
                <w:bCs w:val="1"/>
                <w:color w:val="auto"/>
                <w:w w:val="99"/>
              </w:rPr>
              <w:t>$</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5</w:t>
            </w:r>
          </w:p>
        </w:tc>
        <w:tc>
          <w:tcPr>
            <w:tcW w:w="1800" w:type="dxa"/>
            <w:vAlign w:val="bottom"/>
            <w:gridSpan w:val="2"/>
            <w:shd w:val="clear" w:color="auto" w:fill="CFF0FC"/>
          </w:tcPr>
          <w:p>
            <w:pPr>
              <w:jc w:val="right"/>
              <w:ind w:right="142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(1 )</w:t>
            </w:r>
          </w:p>
        </w:tc>
        <w:tc>
          <w:tcPr>
            <w:tcW w:w="33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574"/>
        </w:trPr>
        <w:tc>
          <w:tcPr>
            <w:tcW w:w="382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top w:val="single" w:sz="8" w:color="CFF0FC"/>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3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82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3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-925195</wp:posOffset>
            </wp:positionV>
            <wp:extent cx="1289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-925195</wp:posOffset>
            </wp:positionV>
            <wp:extent cx="1289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-471170</wp:posOffset>
            </wp:positionV>
            <wp:extent cx="1289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-453390</wp:posOffset>
            </wp:positionV>
            <wp:extent cx="1289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-471170</wp:posOffset>
            </wp:positionV>
            <wp:extent cx="1289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-453390</wp:posOffset>
            </wp:positionV>
            <wp:extent cx="1289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372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Amounts reclassified from AOCL</w:t>
            </w:r>
          </w:p>
        </w:tc>
        <w:tc>
          <w:tcPr>
            <w:tcW w:w="380" w:type="dxa"/>
            <w:vAlign w:val="bottom"/>
            <w:tcBorders>
              <w:bottom w:val="single" w:sz="8" w:color="auto"/>
            </w:tcBorders>
          </w:tcPr>
          <w:p>
            <w:pPr>
              <w:spacing w:after="0"/>
              <w:rPr>
                <w:sz w:val="16"/>
                <w:szCs w:val="16"/>
                <w:color w:val="auto"/>
              </w:rPr>
            </w:pP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82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13"/>
                <w:szCs w:val="13"/>
                <w:color w:val="auto"/>
              </w:rPr>
            </w:pPr>
          </w:p>
        </w:tc>
        <w:tc>
          <w:tcPr>
            <w:tcW w:w="3320" w:type="dxa"/>
            <w:vAlign w:val="bottom"/>
          </w:tcPr>
          <w:p>
            <w:pPr>
              <w:ind w:left="540"/>
              <w:spacing w:after="0" w:line="156" w:lineRule="exact"/>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320" w:type="dxa"/>
            <w:vAlign w:val="bottom"/>
          </w:tcPr>
          <w:p>
            <w:pPr>
              <w:ind w:left="760"/>
              <w:spacing w:after="0" w:line="149"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AOCL Components</w:t>
            </w: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 2023</w:t>
            </w:r>
          </w:p>
        </w:tc>
        <w:tc>
          <w:tcPr>
            <w:tcW w:w="3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June 30, 2022</w:t>
            </w:r>
          </w:p>
        </w:tc>
        <w:tc>
          <w:tcPr>
            <w:tcW w:w="380" w:type="dxa"/>
            <w:vAlign w:val="bottom"/>
            <w:tcBorders>
              <w:bottom w:val="single" w:sz="8" w:color="auto"/>
            </w:tcBorders>
          </w:tcPr>
          <w:p>
            <w:pPr>
              <w:spacing w:after="0"/>
              <w:rPr>
                <w:sz w:val="16"/>
                <w:szCs w:val="16"/>
                <w:color w:val="auto"/>
              </w:rPr>
            </w:pPr>
          </w:p>
        </w:tc>
        <w:tc>
          <w:tcPr>
            <w:tcW w:w="3320" w:type="dxa"/>
            <w:vAlign w:val="bottom"/>
          </w:tcPr>
          <w:p>
            <w:pPr>
              <w:ind w:left="940"/>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580" w:type="dxa"/>
            <w:vAlign w:val="bottom"/>
            <w:shd w:val="clear" w:color="auto" w:fill="CFF0FC"/>
          </w:tcPr>
          <w:p>
            <w:pPr>
              <w:jc w:val="right"/>
              <w:ind w:right="1379"/>
              <w:spacing w:after="0"/>
              <w:rPr>
                <w:sz w:val="20"/>
                <w:szCs w:val="20"/>
                <w:color w:val="auto"/>
              </w:rPr>
            </w:pPr>
            <w:r>
              <w:rPr>
                <w:rFonts w:ascii="Arial" w:cs="Arial" w:eastAsia="Arial" w:hAnsi="Arial"/>
                <w:sz w:val="18"/>
                <w:szCs w:val="18"/>
                <w:b w:val="1"/>
                <w:bCs w:val="1"/>
                <w:color w:val="auto"/>
                <w:w w:val="99"/>
              </w:rPr>
              <w:t>$</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5</w:t>
            </w:r>
          </w:p>
        </w:tc>
        <w:tc>
          <w:tcPr>
            <w:tcW w:w="1760" w:type="dxa"/>
            <w:vAlign w:val="bottom"/>
            <w:gridSpan w:val="2"/>
            <w:shd w:val="clear" w:color="auto" w:fill="CFF0FC"/>
          </w:tcPr>
          <w:p>
            <w:pPr>
              <w:jc w:val="right"/>
              <w:ind w:right="138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3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29"/>
        </w:trPr>
        <w:tc>
          <w:tcPr>
            <w:tcW w:w="3820" w:type="dxa"/>
            <w:vAlign w:val="bottom"/>
          </w:tcPr>
          <w:p>
            <w:pPr>
              <w:ind w:left="280"/>
              <w:spacing w:after="0"/>
              <w:rPr>
                <w:sz w:val="20"/>
                <w:szCs w:val="20"/>
                <w:color w:val="auto"/>
              </w:rPr>
            </w:pPr>
            <w:r>
              <w:rPr>
                <w:rFonts w:ascii="Arial" w:cs="Arial" w:eastAsia="Arial" w:hAnsi="Arial"/>
                <w:sz w:val="18"/>
                <w:szCs w:val="18"/>
                <w:color w:val="auto"/>
              </w:rPr>
              <w:t>Prior service credit</w:t>
            </w:r>
          </w:p>
        </w:tc>
        <w:tc>
          <w:tcPr>
            <w:tcW w:w="1580" w:type="dxa"/>
            <w:vAlign w:val="bottom"/>
          </w:tcPr>
          <w:p>
            <w:pPr>
              <w:spacing w:after="0"/>
              <w:rPr>
                <w:sz w:val="19"/>
                <w:szCs w:val="19"/>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332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Recognized actuarial gain</w:t>
            </w:r>
          </w:p>
        </w:tc>
        <w:tc>
          <w:tcPr>
            <w:tcW w:w="15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1</w:t>
            </w:r>
          </w:p>
        </w:tc>
        <w:tc>
          <w:tcPr>
            <w:tcW w:w="20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Total reclassifications, before tax</w:t>
            </w:r>
          </w:p>
        </w:tc>
        <w:tc>
          <w:tcPr>
            <w:tcW w:w="1580" w:type="dxa"/>
            <w:vAlign w:val="bottom"/>
          </w:tcPr>
          <w:p>
            <w:pPr>
              <w:jc w:val="right"/>
              <w:ind w:right="1379"/>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11</w:t>
            </w:r>
          </w:p>
        </w:tc>
        <w:tc>
          <w:tcPr>
            <w:tcW w:w="1760" w:type="dxa"/>
            <w:vAlign w:val="bottom"/>
            <w:gridSpan w:val="2"/>
          </w:tcPr>
          <w:p>
            <w:pPr>
              <w:jc w:val="right"/>
              <w:ind w:right="1388"/>
              <w:spacing w:after="0"/>
              <w:rPr>
                <w:sz w:val="20"/>
                <w:szCs w:val="20"/>
                <w:color w:val="auto"/>
              </w:rPr>
            </w:pPr>
            <w:r>
              <w:rPr>
                <w:rFonts w:ascii="Arial" w:cs="Arial" w:eastAsia="Arial" w:hAnsi="Arial"/>
                <w:sz w:val="18"/>
                <w:szCs w:val="18"/>
                <w:color w:val="auto"/>
              </w:rPr>
              <w:t>$</w:t>
            </w:r>
          </w:p>
        </w:tc>
        <w:tc>
          <w:tcPr>
            <w:tcW w:w="3700" w:type="dxa"/>
            <w:vAlign w:val="bottom"/>
            <w:gridSpan w:val="2"/>
          </w:tcPr>
          <w:p>
            <w:pPr>
              <w:ind w:left="60"/>
              <w:spacing w:after="0"/>
              <w:rPr>
                <w:sz w:val="20"/>
                <w:szCs w:val="20"/>
                <w:color w:val="auto"/>
              </w:rPr>
            </w:pPr>
            <w:r>
              <w:rPr>
                <w:rFonts w:ascii="Arial" w:cs="Arial" w:eastAsia="Arial" w:hAnsi="Arial"/>
                <w:sz w:val="18"/>
                <w:szCs w:val="18"/>
                <w:color w:val="auto"/>
              </w:rPr>
              <w:t>(1 )   Income before income taxes</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5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20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Total reclassifications, net of tax</w:t>
            </w:r>
          </w:p>
        </w:tc>
        <w:tc>
          <w:tcPr>
            <w:tcW w:w="1580" w:type="dxa"/>
            <w:vAlign w:val="bottom"/>
          </w:tcPr>
          <w:p>
            <w:pPr>
              <w:jc w:val="right"/>
              <w:ind w:right="1379"/>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1760" w:type="dxa"/>
            <w:vAlign w:val="bottom"/>
            <w:gridSpan w:val="2"/>
          </w:tcPr>
          <w:p>
            <w:pPr>
              <w:jc w:val="right"/>
              <w:ind w:right="1388"/>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(1 )</w:t>
            </w: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-479425</wp:posOffset>
            </wp:positionV>
            <wp:extent cx="128905"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8905" cy="15430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-479425</wp:posOffset>
            </wp:positionV>
            <wp:extent cx="128905"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8905" cy="15430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-179070</wp:posOffset>
            </wp:positionV>
            <wp:extent cx="128905" cy="179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905" cy="17970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-179070</wp:posOffset>
            </wp:positionV>
            <wp:extent cx="128905"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8905" cy="179705"/>
                    </a:xfrm>
                    <a:prstGeom prst="rect">
                      <a:avLst/>
                    </a:prstGeom>
                    <a:noFill/>
                  </pic:spPr>
                </pic:pic>
              </a:graphicData>
            </a:graphic>
          </wp:anchor>
        </w:drawing>
      </w:r>
    </w:p>
    <w:p>
      <w:pPr>
        <w:spacing w:after="0" w:line="170" w:lineRule="exact"/>
        <w:rPr>
          <w:sz w:val="20"/>
          <w:szCs w:val="20"/>
          <w:color w:val="auto"/>
        </w:rPr>
      </w:pPr>
    </w:p>
    <w:p>
      <w:pPr>
        <w:ind w:right="120" w:firstLine="494"/>
        <w:spacing w:after="0" w:line="260" w:lineRule="auto"/>
        <w:rPr>
          <w:sz w:val="20"/>
          <w:szCs w:val="20"/>
          <w:color w:val="auto"/>
        </w:rPr>
      </w:pPr>
      <w:r>
        <w:rPr>
          <w:rFonts w:ascii="Arial" w:cs="Arial" w:eastAsia="Arial" w:hAnsi="Arial"/>
          <w:sz w:val="18"/>
          <w:szCs w:val="18"/>
          <w:color w:val="auto"/>
        </w:rPr>
        <w:t>Prior service credits and actuarial gains are included in the computation of the Company’s net periodic benefit cost (credit). See "Note M. Employee Benefit Plans” for additional details.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COMMITMENTS AND CONTINGENCIES</w:t>
      </w:r>
    </w:p>
    <w:p>
      <w:pPr>
        <w:spacing w:after="0" w:line="114" w:lineRule="exact"/>
        <w:rPr>
          <w:sz w:val="20"/>
          <w:szCs w:val="20"/>
          <w:color w:val="auto"/>
        </w:rPr>
      </w:pPr>
    </w:p>
    <w:p>
      <w:pPr>
        <w:ind w:right="220" w:firstLine="494"/>
        <w:spacing w:after="0" w:line="241"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EARNINGS PER SHARE</w:t>
      </w:r>
    </w:p>
    <w:p>
      <w:pPr>
        <w:spacing w:after="0" w:line="114" w:lineRule="exact"/>
        <w:rPr>
          <w:sz w:val="20"/>
          <w:szCs w:val="20"/>
          <w:color w:val="auto"/>
        </w:rPr>
      </w:pPr>
    </w:p>
    <w:p>
      <w:pPr>
        <w:ind w:right="480" w:firstLine="494"/>
        <w:spacing w:after="0" w:line="260" w:lineRule="auto"/>
        <w:rPr>
          <w:sz w:val="20"/>
          <w:szCs w:val="20"/>
          <w:color w:val="auto"/>
        </w:rPr>
      </w:pPr>
      <w:r>
        <w:rPr>
          <w:rFonts w:ascii="Arial" w:cs="Arial" w:eastAsia="Arial" w:hAnsi="Arial"/>
          <w:sz w:val="18"/>
          <w:szCs w:val="18"/>
          <w:color w:val="auto"/>
        </w:rPr>
        <w:t>The following table reconciles the numerators and denominators used to calculate basic EPS and diluted EPS (dollars in millions,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20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6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183"/>
        </w:trPr>
        <w:tc>
          <w:tcPr>
            <w:tcW w:w="56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6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FF0FC"/>
          </w:tcPr>
          <w:p>
            <w:pPr>
              <w:jc w:val="right"/>
              <w:ind w:right="557"/>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175</w:t>
            </w:r>
          </w:p>
        </w:tc>
        <w:tc>
          <w:tcPr>
            <w:tcW w:w="920" w:type="dxa"/>
            <w:vAlign w:val="bottom"/>
            <w:gridSpan w:val="2"/>
            <w:shd w:val="clear" w:color="auto" w:fill="CFF0FC"/>
          </w:tcPr>
          <w:p>
            <w:pPr>
              <w:jc w:val="right"/>
              <w:ind w:right="556"/>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rPr>
              <w:t>345</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251</w:t>
            </w:r>
          </w:p>
        </w:tc>
      </w:tr>
      <w:tr>
        <w:trPr>
          <w:trHeight w:val="210"/>
        </w:trPr>
        <w:tc>
          <w:tcPr>
            <w:tcW w:w="56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shares of common stock outstanding</w:t>
            </w:r>
          </w:p>
        </w:tc>
        <w:tc>
          <w:tcPr>
            <w:tcW w:w="7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90</w:t>
            </w:r>
          </w:p>
        </w:tc>
        <w:tc>
          <w:tcPr>
            <w:tcW w:w="160" w:type="dxa"/>
            <w:vAlign w:val="bottom"/>
            <w:tcBorders>
              <w:top w:val="single" w:sz="8" w:color="CFF0FC"/>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97</w:t>
            </w:r>
          </w:p>
        </w:tc>
        <w:tc>
          <w:tcPr>
            <w:tcW w:w="1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91</w:t>
            </w:r>
          </w:p>
        </w:tc>
        <w:tc>
          <w:tcPr>
            <w:tcW w:w="18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97</w:t>
            </w:r>
          </w:p>
        </w:tc>
      </w:tr>
      <w:tr>
        <w:trPr>
          <w:trHeight w:val="230"/>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Dilutive effect of stock-based awards</w:t>
            </w:r>
          </w:p>
        </w:tc>
        <w:tc>
          <w:tcPr>
            <w:tcW w:w="7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b w:val="1"/>
                <w:bCs w:val="1"/>
                <w:color w:val="auto"/>
              </w:rPr>
              <w:t>1</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w:t>
            </w:r>
          </w:p>
        </w:tc>
      </w:tr>
      <w:tr>
        <w:trPr>
          <w:trHeight w:val="223"/>
        </w:trPr>
        <w:tc>
          <w:tcPr>
            <w:tcW w:w="5660" w:type="dxa"/>
            <w:vAlign w:val="bottom"/>
          </w:tcPr>
          <w:p>
            <w:pPr>
              <w:ind w:left="280"/>
              <w:spacing w:after="0"/>
              <w:rPr>
                <w:sz w:val="20"/>
                <w:szCs w:val="20"/>
                <w:color w:val="auto"/>
              </w:rPr>
            </w:pPr>
            <w:r>
              <w:rPr>
                <w:rFonts w:ascii="Arial" w:cs="Arial" w:eastAsia="Arial" w:hAnsi="Arial"/>
                <w:sz w:val="18"/>
                <w:szCs w:val="18"/>
                <w:color w:val="auto"/>
              </w:rPr>
              <w:t>Diluted weighted average shares of common stock outstanding</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91</w:t>
            </w:r>
          </w:p>
        </w:tc>
        <w:tc>
          <w:tcPr>
            <w:tcW w:w="1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92</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98</w:t>
            </w:r>
          </w:p>
        </w:tc>
      </w:tr>
      <w:tr>
        <w:trPr>
          <w:trHeight w:val="20"/>
        </w:trPr>
        <w:tc>
          <w:tcPr>
            <w:tcW w:w="5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760" w:type="dxa"/>
            <w:vAlign w:val="bottom"/>
            <w:shd w:val="clear" w:color="auto" w:fill="CFF0FC"/>
          </w:tcPr>
          <w:p>
            <w:pPr>
              <w:jc w:val="right"/>
              <w:ind w:right="557"/>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1.94</w:t>
            </w: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6"/>
              </w:rPr>
              <w:t>1.26</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rPr>
              <w:t>3.79</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2.59</w:t>
            </w: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r>
        <w:trPr>
          <w:trHeight w:val="210"/>
        </w:trPr>
        <w:tc>
          <w:tcPr>
            <w:tcW w:w="5660" w:type="dxa"/>
            <w:vAlign w:val="bottom"/>
          </w:tcPr>
          <w:p>
            <w:pPr>
              <w:ind w:left="280"/>
              <w:spacing w:after="0"/>
              <w:rPr>
                <w:sz w:val="20"/>
                <w:szCs w:val="20"/>
                <w:color w:val="auto"/>
              </w:rPr>
            </w:pPr>
            <w:r>
              <w:rPr>
                <w:rFonts w:ascii="Arial" w:cs="Arial" w:eastAsia="Arial" w:hAnsi="Arial"/>
                <w:sz w:val="18"/>
                <w:szCs w:val="18"/>
                <w:color w:val="auto"/>
              </w:rPr>
              <w:t>Diluted earnings per share attributable to common stockholders</w:t>
            </w:r>
          </w:p>
        </w:tc>
        <w:tc>
          <w:tcPr>
            <w:tcW w:w="760" w:type="dxa"/>
            <w:vAlign w:val="bottom"/>
          </w:tcPr>
          <w:p>
            <w:pPr>
              <w:jc w:val="right"/>
              <w:ind w:right="55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53"/>
              <w:spacing w:after="0"/>
              <w:rPr>
                <w:sz w:val="20"/>
                <w:szCs w:val="20"/>
                <w:color w:val="auto"/>
              </w:rPr>
            </w:pPr>
            <w:r>
              <w:rPr>
                <w:rFonts w:ascii="Arial" w:cs="Arial" w:eastAsia="Arial" w:hAnsi="Arial"/>
                <w:sz w:val="18"/>
                <w:szCs w:val="18"/>
                <w:b w:val="1"/>
                <w:bCs w:val="1"/>
                <w:color w:val="auto"/>
              </w:rPr>
              <w:t>1.92</w:t>
            </w:r>
          </w:p>
        </w:tc>
        <w:tc>
          <w:tcPr>
            <w:tcW w:w="160" w:type="dxa"/>
            <w:vAlign w:val="bottom"/>
          </w:tcPr>
          <w:p>
            <w:pPr>
              <w:spacing w:after="0"/>
              <w:rPr>
                <w:sz w:val="18"/>
                <w:szCs w:val="18"/>
                <w:color w:val="auto"/>
              </w:rPr>
            </w:pP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w w:val="96"/>
              </w:rPr>
              <w:t>1.26</w:t>
            </w:r>
          </w:p>
        </w:tc>
        <w:tc>
          <w:tcPr>
            <w:tcW w:w="1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56"/>
              <w:spacing w:after="0"/>
              <w:rPr>
                <w:sz w:val="20"/>
                <w:szCs w:val="20"/>
                <w:color w:val="auto"/>
              </w:rPr>
            </w:pPr>
            <w:r>
              <w:rPr>
                <w:rFonts w:ascii="Arial" w:cs="Arial" w:eastAsia="Arial" w:hAnsi="Arial"/>
                <w:sz w:val="18"/>
                <w:szCs w:val="18"/>
                <w:b w:val="1"/>
                <w:bCs w:val="1"/>
                <w:color w:val="auto"/>
              </w:rPr>
              <w:t>3.75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2.56</w:t>
            </w:r>
          </w:p>
        </w:tc>
      </w:tr>
      <w:tr>
        <w:trPr>
          <w:trHeight w:val="20"/>
        </w:trPr>
        <w:tc>
          <w:tcPr>
            <w:tcW w:w="5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-839470</wp:posOffset>
            </wp:positionV>
            <wp:extent cx="192024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920240" cy="1714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-522605</wp:posOffset>
            </wp:positionV>
            <wp:extent cx="94615" cy="180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4615" cy="18034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-522605</wp:posOffset>
            </wp:positionV>
            <wp:extent cx="102870" cy="1803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-522605</wp:posOffset>
            </wp:positionV>
            <wp:extent cx="102870" cy="1803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-196850</wp:posOffset>
            </wp:positionV>
            <wp:extent cx="1920240" cy="1974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20240" cy="197485"/>
                    </a:xfrm>
                    <a:prstGeom prst="rect">
                      <a:avLst/>
                    </a:prstGeom>
                    <a:noFill/>
                  </pic:spPr>
                </pic:pic>
              </a:graphicData>
            </a:graphic>
          </wp:anchor>
        </w:drawing>
      </w:r>
    </w:p>
    <w:p>
      <w:pPr>
        <w:spacing w:after="0" w:line="75"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The dilutive impact of stock-based compensation is calculated using the treasury stock method. The treasury stock method assumes that the Company uses the proceeds from the exercise of awards to repurchase common stock at the average market price during the period. For each of the three and six months ended June 30, 2023, 1 million of outstanding stock options were excluded from the diluted EPS calculation because they were anti-dilutive. For the three and six months ended June 30, 2022, there were 2 million and 1 million, respectively, outstanding stock options excluded from the diluted EPS calculation because they were anti-dilutive. Basic and diluted EPS for the full-year is calculated using the weighted average shares of common stock outstanding during the year while quarterly basic and diluted EPS is calculated using the weighted average shares of common stock outstanding during the quarter; therefore, the sum of the four quarters’ EPS may not equal full-year EPS.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COMMON STOCK</w:t>
      </w:r>
    </w:p>
    <w:p>
      <w:pPr>
        <w:spacing w:after="0" w:line="114"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The Company's Board of Directors has authorized the Company to repurchase up to $4,000 million of its common stock pursuant to a stock repurchase program (the "Repurchase Program"). During the three and six months ended June 30, 2023, the Company repurchased $97 million and $137 million of its common stock under the Repurchase Program, leaving $898 million of authorized repurchases remaining under the Repurchase Program as of June 30, 2023. The Repurchase Program has no termination date, and the timing and amount of stock purchases are subject to market conditions and corporate needs. The Repurchase Program may be modified, suspended or discontinued at any time at the Company’s discretion.</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72"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70" w:lineRule="exact"/>
        <w:rPr>
          <w:sz w:val="20"/>
          <w:szCs w:val="20"/>
          <w:color w:val="auto"/>
        </w:rPr>
      </w:pPr>
    </w:p>
    <w:p>
      <w:pPr>
        <w:ind w:firstLine="494"/>
        <w:spacing w:after="0" w:line="250"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69" w:lineRule="exact"/>
        <w:rPr>
          <w:sz w:val="20"/>
          <w:szCs w:val="20"/>
          <w:color w:val="auto"/>
        </w:rPr>
      </w:pPr>
    </w:p>
    <w:p>
      <w:pPr>
        <w:ind w:right="180" w:firstLine="494"/>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2022 as filed with the Securities and Exchange Commission on February 16, 2023. Our actual results may differ materially from those contained in or implied by any forward-looking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8" w:lineRule="exact"/>
        <w:rPr>
          <w:sz w:val="20"/>
          <w:szCs w:val="20"/>
          <w:color w:val="auto"/>
        </w:rPr>
      </w:pPr>
    </w:p>
    <w:p>
      <w:pPr>
        <w:ind w:right="160" w:firstLine="494"/>
        <w:spacing w:after="0" w:line="243" w:lineRule="auto"/>
        <w:rPr>
          <w:sz w:val="20"/>
          <w:szCs w:val="20"/>
          <w:color w:val="auto"/>
        </w:rPr>
      </w:pPr>
      <w:r>
        <w:rPr>
          <w:rFonts w:ascii="Arial" w:cs="Arial" w:eastAsia="Arial" w:hAnsi="Arial"/>
          <w:sz w:val="18"/>
          <w:szCs w:val="18"/>
          <w:color w:val="auto"/>
        </w:rPr>
        <w:t>Allison Transmission Holdings, Inc. and its subsidiaries (“Allison,” the “Company,” “we,” “us” or “our”)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80" w:lineRule="exact"/>
        <w:rPr>
          <w:sz w:val="20"/>
          <w:szCs w:val="20"/>
          <w:color w:val="auto"/>
        </w:rPr>
      </w:pPr>
    </w:p>
    <w:p>
      <w:pPr>
        <w:ind w:right="100" w:firstLine="499"/>
        <w:spacing w:after="0" w:line="247" w:lineRule="auto"/>
        <w:rPr>
          <w:sz w:val="20"/>
          <w:szCs w:val="20"/>
          <w:color w:val="auto"/>
        </w:rPr>
      </w:pPr>
      <w:r>
        <w:rPr>
          <w:rFonts w:ascii="Arial" w:cs="Arial" w:eastAsia="Arial" w:hAnsi="Arial"/>
          <w:sz w:val="18"/>
          <w:szCs w:val="18"/>
          <w:color w:val="auto"/>
        </w:rPr>
        <w:t>Although approximately 74% of revenues were generated in North America in 2022, we have a global presence by serving customers in Asia, Europe, South America and Africa. We serve customers through an independent network of approximately 1,600 independent distributor and dealer locations worldwide.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14" w:lineRule="exact"/>
        <w:rPr>
          <w:sz w:val="20"/>
          <w:szCs w:val="20"/>
          <w:color w:val="auto"/>
        </w:rPr>
      </w:pPr>
    </w:p>
    <w:p>
      <w:pPr>
        <w:ind w:right="200" w:firstLine="499"/>
        <w:spacing w:after="0" w:line="243" w:lineRule="auto"/>
        <w:rPr>
          <w:sz w:val="20"/>
          <w:szCs w:val="20"/>
          <w:color w:val="auto"/>
        </w:rPr>
      </w:pPr>
      <w:r>
        <w:rPr>
          <w:rFonts w:ascii="Arial" w:cs="Arial" w:eastAsia="Arial" w:hAnsi="Arial"/>
          <w:sz w:val="18"/>
          <w:szCs w:val="18"/>
          <w:color w:val="auto"/>
        </w:rPr>
        <w:t>Our net sales are driven by commercial vehicle production, which tends to be highly correlated to macroeconomic conditions and continues to be impacted by global supply chain constraints. In 2023, we expect higher net sales driven by higher customer demand in the Global On-Highway and Service Parts, Support Equipment and Other end markets, price increases on certain products and the continued execution of growth initiatives.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3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Second Quarter Net Sales by End Market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Q2 2023</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434"/>
              <w:spacing w:after="0"/>
              <w:rPr>
                <w:sz w:val="20"/>
                <w:szCs w:val="20"/>
                <w:color w:val="auto"/>
              </w:rPr>
            </w:pPr>
            <w:r>
              <w:rPr>
                <w:rFonts w:ascii="Arial" w:cs="Arial" w:eastAsia="Arial" w:hAnsi="Arial"/>
                <w:sz w:val="14"/>
                <w:szCs w:val="14"/>
                <w:b w:val="1"/>
                <w:bCs w:val="1"/>
                <w:color w:val="auto"/>
              </w:rPr>
              <w:t>Q2 2022</w:t>
            </w: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End Market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Sales</w:t>
            </w: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Net Sales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Variance</w:t>
            </w:r>
          </w:p>
        </w:tc>
        <w:tc>
          <w:tcPr>
            <w:tcW w:w="100" w:type="dxa"/>
            <w:vAlign w:val="bottom"/>
          </w:tcPr>
          <w:p>
            <w:pPr>
              <w:spacing w:after="0"/>
              <w:rPr>
                <w:sz w:val="16"/>
                <w:szCs w:val="16"/>
                <w:color w:val="auto"/>
              </w:rPr>
            </w:pPr>
          </w:p>
        </w:tc>
      </w:tr>
      <w:tr>
        <w:trPr>
          <w:trHeight w:val="223"/>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 America On-Highway</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3"/>
              </w:rPr>
              <w:t>397</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340</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North America Off-Highway</w:t>
            </w:r>
          </w:p>
        </w:tc>
        <w:tc>
          <w:tcPr>
            <w:tcW w:w="96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20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25 %</w:t>
            </w:r>
          </w:p>
        </w:tc>
      </w:tr>
      <w:tr>
        <w:trPr>
          <w:trHeight w:val="230"/>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Defense</w:t>
            </w: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33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29</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Outside North America On-Highway</w:t>
            </w:r>
          </w:p>
        </w:tc>
        <w:tc>
          <w:tcPr>
            <w:tcW w:w="96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123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105</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17 %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Outside North America Off-Highway</w:t>
            </w:r>
          </w:p>
        </w:tc>
        <w:tc>
          <w:tcPr>
            <w:tcW w:w="96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b w:val="1"/>
                <w:bCs w:val="1"/>
                <w:color w:val="auto"/>
              </w:rPr>
              <w:t>24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32</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Service Parts, Support Equipment and Other</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181</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138</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31 %</w:t>
            </w:r>
          </w:p>
        </w:tc>
      </w:tr>
      <w:tr>
        <w:trPr>
          <w:trHeight w:val="263"/>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Net Sales</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3"/>
              </w:rPr>
              <w:t>783</w:t>
            </w:r>
          </w:p>
        </w:tc>
        <w:tc>
          <w:tcPr>
            <w:tcW w:w="1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664</w:t>
            </w:r>
          </w:p>
        </w:tc>
        <w:tc>
          <w:tcPr>
            <w:tcW w:w="1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1028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1028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0" w:lineRule="exact"/>
        <w:rPr>
          <w:sz w:val="20"/>
          <w:szCs w:val="20"/>
          <w:color w:val="auto"/>
        </w:rPr>
      </w:pPr>
    </w:p>
    <w:p>
      <w:pPr>
        <w:ind w:right="400" w:firstLine="494"/>
        <w:spacing w:after="0" w:line="289" w:lineRule="auto"/>
        <w:rPr>
          <w:sz w:val="20"/>
          <w:szCs w:val="20"/>
          <w:color w:val="auto"/>
        </w:rPr>
      </w:pPr>
      <w:r>
        <w:rPr>
          <w:rFonts w:ascii="Arial" w:cs="Arial" w:eastAsia="Arial" w:hAnsi="Arial"/>
          <w:sz w:val="17"/>
          <w:szCs w:val="17"/>
          <w:color w:val="auto"/>
        </w:rPr>
        <w:t>North America On-Highway end market net sales were up 17% for the second quarter 2023 compared to the second quarter 2022, principally driven by strength in customer demand for medium-duty and Class 8 vocational trucks and price increases on certain products.</w:t>
      </w:r>
    </w:p>
    <w:p>
      <w:pPr>
        <w:spacing w:after="0" w:line="42" w:lineRule="exact"/>
        <w:rPr>
          <w:sz w:val="20"/>
          <w:szCs w:val="20"/>
          <w:color w:val="auto"/>
        </w:rPr>
      </w:pPr>
    </w:p>
    <w:p>
      <w:pPr>
        <w:ind w:right="120" w:firstLine="494"/>
        <w:spacing w:after="0" w:line="247" w:lineRule="auto"/>
        <w:rPr>
          <w:sz w:val="20"/>
          <w:szCs w:val="20"/>
          <w:color w:val="auto"/>
        </w:rPr>
      </w:pPr>
      <w:r>
        <w:rPr>
          <w:rFonts w:ascii="Arial" w:cs="Arial" w:eastAsia="Arial" w:hAnsi="Arial"/>
          <w:sz w:val="18"/>
          <w:szCs w:val="18"/>
          <w:color w:val="auto"/>
        </w:rPr>
        <w:t>Global Off-Highway end market net sales were down 6% for the second quarter 2023 compared to the second quarter 2022, principally driven by lower demand in the energy sector outside of North America, partially offset by higher demand in the mining and construction sectors outside of North America and higher demand for hydraulic fracturing applications in the North American energy sector.</w:t>
      </w:r>
    </w:p>
    <w:p>
      <w:pPr>
        <w:spacing w:after="0" w:line="76" w:lineRule="exact"/>
        <w:rPr>
          <w:sz w:val="20"/>
          <w:szCs w:val="20"/>
          <w:color w:val="auto"/>
        </w:rPr>
      </w:pPr>
    </w:p>
    <w:p>
      <w:pPr>
        <w:ind w:right="360" w:firstLine="494"/>
        <w:spacing w:after="0" w:line="260" w:lineRule="auto"/>
        <w:rPr>
          <w:sz w:val="20"/>
          <w:szCs w:val="20"/>
          <w:color w:val="auto"/>
        </w:rPr>
      </w:pPr>
      <w:r>
        <w:rPr>
          <w:rFonts w:ascii="Arial" w:cs="Arial" w:eastAsia="Arial" w:hAnsi="Arial"/>
          <w:sz w:val="18"/>
          <w:szCs w:val="18"/>
          <w:color w:val="auto"/>
        </w:rPr>
        <w:t>Defense end market net sales were up 14% for the second quarter 2023 compared to the second quarter 2022, principally driven by increased demand for Wheeled vehicle applications.</w:t>
      </w:r>
    </w:p>
    <w:p>
      <w:pPr>
        <w:spacing w:after="0" w:line="65" w:lineRule="exact"/>
        <w:rPr>
          <w:sz w:val="20"/>
          <w:szCs w:val="20"/>
          <w:color w:val="auto"/>
        </w:rPr>
      </w:pPr>
    </w:p>
    <w:p>
      <w:pPr>
        <w:ind w:right="300" w:firstLine="494"/>
        <w:spacing w:after="0" w:line="247" w:lineRule="auto"/>
        <w:rPr>
          <w:sz w:val="20"/>
          <w:szCs w:val="20"/>
          <w:color w:val="auto"/>
        </w:rPr>
      </w:pPr>
      <w:r>
        <w:rPr>
          <w:rFonts w:ascii="Arial" w:cs="Arial" w:eastAsia="Arial" w:hAnsi="Arial"/>
          <w:sz w:val="18"/>
          <w:szCs w:val="18"/>
          <w:color w:val="auto"/>
        </w:rPr>
        <w:t>Outside North America On-Highway end market net sales were up 17% for the second quarter 2023 compared to the second quarter 2022, principally driven by strength in customer demand in Europe and Asia, the continued execution of our growth initiatives and price increases on certain products.</w:t>
      </w:r>
    </w:p>
    <w:p>
      <w:pPr>
        <w:spacing w:after="0" w:line="76" w:lineRule="exact"/>
        <w:rPr>
          <w:sz w:val="20"/>
          <w:szCs w:val="20"/>
          <w:color w:val="auto"/>
        </w:rPr>
      </w:pPr>
    </w:p>
    <w:p>
      <w:pPr>
        <w:ind w:right="220" w:firstLine="494"/>
        <w:spacing w:after="0" w:line="260" w:lineRule="auto"/>
        <w:rPr>
          <w:sz w:val="20"/>
          <w:szCs w:val="20"/>
          <w:color w:val="auto"/>
        </w:rPr>
      </w:pPr>
      <w:r>
        <w:rPr>
          <w:rFonts w:ascii="Arial" w:cs="Arial" w:eastAsia="Arial" w:hAnsi="Arial"/>
          <w:sz w:val="18"/>
          <w:szCs w:val="18"/>
          <w:color w:val="auto"/>
        </w:rPr>
        <w:t>Service Parts, Support Equipment and Other end market net sales were up 31% for the second quarter 2023 compared to the second quarter 2022, principally driven by higher demand for global service parts and support equipment and price increases on certain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14" w:lineRule="exact"/>
        <w:rPr>
          <w:sz w:val="20"/>
          <w:szCs w:val="20"/>
          <w:color w:val="auto"/>
        </w:rPr>
      </w:pPr>
    </w:p>
    <w:p>
      <w:pPr>
        <w:ind w:right="380" w:firstLine="494"/>
        <w:spacing w:after="0" w:line="239" w:lineRule="auto"/>
        <w:rPr>
          <w:sz w:val="20"/>
          <w:szCs w:val="20"/>
          <w:color w:val="auto"/>
        </w:rPr>
      </w:pPr>
      <w:r>
        <w:rPr>
          <w:rFonts w:ascii="Arial" w:cs="Arial" w:eastAsia="Arial" w:hAnsi="Arial"/>
          <w:sz w:val="18"/>
          <w:szCs w:val="18"/>
          <w:color w:val="auto"/>
        </w:rPr>
        <w:t>We generate our net sales primarily from the sale of vehicle propulsion solutions, service and component parts, support equipment, defense kits, engineering services, royalties and extended transmission coverage to a wide array of original equipment manufacturers, distributors and the U.S. government. Sales are recorded in accordance with the terms of the contract, net of provisions for customer incentives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14" w:lineRule="exact"/>
        <w:rPr>
          <w:sz w:val="20"/>
          <w:szCs w:val="20"/>
          <w:color w:val="auto"/>
        </w:rPr>
      </w:pPr>
    </w:p>
    <w:p>
      <w:pPr>
        <w:ind w:right="140" w:firstLine="494"/>
        <w:spacing w:after="0" w:line="239" w:lineRule="auto"/>
        <w:rPr>
          <w:sz w:val="20"/>
          <w:szCs w:val="20"/>
          <w:color w:val="auto"/>
        </w:rPr>
      </w:pPr>
      <w:r>
        <w:rPr>
          <w:rFonts w:ascii="Arial" w:cs="Arial" w:eastAsia="Arial" w:hAnsi="Arial"/>
          <w:sz w:val="18"/>
          <w:szCs w:val="18"/>
          <w:color w:val="auto"/>
        </w:rPr>
        <w:t>Our primary components of cost of sales are purchased parts, the overhead expense related to our manufacturing operations and direct labor associated with the manufacture and assembly of vehicle propulsion solutions and parts. For the six months ended June 30, 2023, direct material costs were approximately 67%, overhead costs were approximately 26%, and direct labor costs were approximately 7% of total cost of sales. We are subject to changes in our cost of sales caused by movements in underlying commodity prices. We seek to hedge against this risk by using LTAs, as appropriate. See Part I, Item 3, “Quantitative and Qualitative Disclosures about Market Risk— Commodity Price Risk” included below.</w:t>
      </w:r>
    </w:p>
    <w:p>
      <w:pPr>
        <w:spacing w:after="0" w:line="14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4" w:lineRule="exact"/>
        <w:rPr>
          <w:sz w:val="20"/>
          <w:szCs w:val="20"/>
          <w:color w:val="auto"/>
        </w:rPr>
      </w:pPr>
    </w:p>
    <w:p>
      <w:pPr>
        <w:ind w:right="440" w:firstLine="494"/>
        <w:spacing w:after="0" w:line="247" w:lineRule="auto"/>
        <w:rPr>
          <w:sz w:val="20"/>
          <w:szCs w:val="20"/>
          <w:color w:val="auto"/>
        </w:rPr>
      </w:pPr>
      <w:r>
        <w:rPr>
          <w:rFonts w:ascii="Arial" w:cs="Arial" w:eastAsia="Arial" w:hAnsi="Arial"/>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4" w:lineRule="exact"/>
        <w:rPr>
          <w:sz w:val="20"/>
          <w:szCs w:val="20"/>
          <w:color w:val="auto"/>
        </w:rPr>
      </w:pPr>
    </w:p>
    <w:p>
      <w:pPr>
        <w:ind w:firstLine="494"/>
        <w:spacing w:after="0" w:line="260"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68"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(the “Credit Agreement”) governing Allison Transmission, Inc.’s (“ATI”), our wholly-owned subsidiary, term loan facility in the amount of $622 million due March 2026 (“Term Loan”). Adjusted EBITDA as a percent of net sales is calculated as Adjusted EBITDA divided by net sales.</w:t>
      </w:r>
    </w:p>
    <w:p>
      <w:pPr>
        <w:spacing w:after="0" w:line="141" w:lineRule="exact"/>
        <w:rPr>
          <w:sz w:val="20"/>
          <w:szCs w:val="20"/>
          <w:color w:val="auto"/>
        </w:rPr>
      </w:pPr>
    </w:p>
    <w:p>
      <w:pPr>
        <w:ind w:right="140" w:firstLine="494"/>
        <w:spacing w:after="0" w:line="239" w:lineRule="auto"/>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83" w:lineRule="exact"/>
        <w:rPr>
          <w:sz w:val="20"/>
          <w:szCs w:val="20"/>
          <w:color w:val="auto"/>
        </w:rPr>
      </w:pPr>
    </w:p>
    <w:p>
      <w:pPr>
        <w:ind w:right="160" w:firstLine="494"/>
        <w:spacing w:after="0" w:line="258"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12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7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3"/>
        </w:trPr>
        <w:tc>
          <w:tcPr>
            <w:tcW w:w="5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5"/>
                <w:szCs w:val="15"/>
                <w:color w:val="auto"/>
              </w:rPr>
            </w:pPr>
          </w:p>
        </w:tc>
      </w:tr>
      <w:tr>
        <w:trPr>
          <w:trHeight w:val="22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(GAAP)</w:t>
            </w:r>
          </w:p>
        </w:tc>
        <w:tc>
          <w:tcPr>
            <w:tcW w:w="680" w:type="dxa"/>
            <w:vAlign w:val="bottom"/>
            <w:shd w:val="clear" w:color="auto" w:fill="CFF0FC"/>
          </w:tcPr>
          <w:p>
            <w:pPr>
              <w:jc w:val="right"/>
              <w:ind w:right="495"/>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ind w:right="71"/>
              <w:spacing w:after="0"/>
              <w:rPr>
                <w:sz w:val="20"/>
                <w:szCs w:val="20"/>
                <w:color w:val="auto"/>
              </w:rPr>
            </w:pPr>
            <w:r>
              <w:rPr>
                <w:rFonts w:ascii="Arial" w:cs="Arial" w:eastAsia="Arial" w:hAnsi="Arial"/>
                <w:sz w:val="18"/>
                <w:szCs w:val="18"/>
                <w:b w:val="1"/>
                <w:bCs w:val="1"/>
                <w:color w:val="auto"/>
              </w:rPr>
              <w:t>175</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FF0FC"/>
          </w:tcPr>
          <w:p>
            <w:pPr>
              <w:jc w:val="right"/>
              <w:ind w:right="73"/>
              <w:spacing w:after="0"/>
              <w:rPr>
                <w:sz w:val="20"/>
                <w:szCs w:val="20"/>
                <w:color w:val="auto"/>
              </w:rPr>
            </w:pPr>
            <w:r>
              <w:rPr>
                <w:rFonts w:ascii="Arial" w:cs="Arial" w:eastAsia="Arial" w:hAnsi="Arial"/>
                <w:sz w:val="18"/>
                <w:szCs w:val="18"/>
                <w:b w:val="1"/>
                <w:bCs w:val="1"/>
                <w:color w:val="auto"/>
              </w:rPr>
              <w:t>345</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251</w:t>
            </w:r>
          </w:p>
        </w:tc>
        <w:tc>
          <w:tcPr>
            <w:tcW w:w="40" w:type="dxa"/>
            <w:vAlign w:val="bottom"/>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plus:</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tax expense</w:t>
            </w:r>
          </w:p>
        </w:tc>
        <w:tc>
          <w:tcPr>
            <w:tcW w:w="6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71"/>
              <w:spacing w:after="0"/>
              <w:rPr>
                <w:sz w:val="20"/>
                <w:szCs w:val="20"/>
                <w:color w:val="auto"/>
              </w:rPr>
            </w:pPr>
            <w:r>
              <w:rPr>
                <w:rFonts w:ascii="Arial" w:cs="Arial" w:eastAsia="Arial" w:hAnsi="Arial"/>
                <w:sz w:val="18"/>
                <w:szCs w:val="18"/>
                <w:b w:val="1"/>
                <w:bCs w:val="1"/>
                <w:color w:val="auto"/>
              </w:rPr>
              <w:t>41</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3"/>
              <w:spacing w:after="0"/>
              <w:rPr>
                <w:sz w:val="20"/>
                <w:szCs w:val="20"/>
                <w:color w:val="auto"/>
              </w:rPr>
            </w:pPr>
            <w:r>
              <w:rPr>
                <w:rFonts w:ascii="Arial" w:cs="Arial" w:eastAsia="Arial" w:hAnsi="Arial"/>
                <w:sz w:val="18"/>
                <w:szCs w:val="18"/>
                <w:b w:val="1"/>
                <w:bCs w:val="1"/>
                <w:color w:val="auto"/>
              </w:rPr>
              <w:t>83</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9"/>
                <w:szCs w:val="19"/>
                <w:color w:val="auto"/>
              </w:rPr>
            </w:pPr>
          </w:p>
        </w:tc>
      </w:tr>
      <w:tr>
        <w:trPr>
          <w:trHeight w:val="229"/>
        </w:trPr>
        <w:tc>
          <w:tcPr>
            <w:tcW w:w="574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680" w:type="dxa"/>
            <w:vAlign w:val="bottom"/>
          </w:tcPr>
          <w:p>
            <w:pPr>
              <w:spacing w:after="0"/>
              <w:rPr>
                <w:sz w:val="19"/>
                <w:szCs w:val="19"/>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b w:val="1"/>
                <w:bCs w:val="1"/>
                <w:color w:val="auto"/>
              </w:rPr>
              <w:t>28</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b w:val="1"/>
                <w:bCs w:val="1"/>
                <w:color w:val="auto"/>
              </w:rPr>
              <w:t>56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r>
      <w:tr>
        <w:trPr>
          <w:trHeight w:val="230"/>
        </w:trPr>
        <w:tc>
          <w:tcPr>
            <w:tcW w:w="5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6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71"/>
              <w:spacing w:after="0"/>
              <w:rPr>
                <w:sz w:val="20"/>
                <w:szCs w:val="20"/>
                <w:color w:val="auto"/>
              </w:rPr>
            </w:pPr>
            <w:r>
              <w:rPr>
                <w:rFonts w:ascii="Arial" w:cs="Arial" w:eastAsia="Arial" w:hAnsi="Arial"/>
                <w:sz w:val="18"/>
                <w:szCs w:val="18"/>
                <w:b w:val="1"/>
                <w:bCs w:val="1"/>
                <w:color w:val="auto"/>
              </w:rPr>
              <w:t>27</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3"/>
              <w:spacing w:after="0"/>
              <w:rPr>
                <w:sz w:val="20"/>
                <w:szCs w:val="20"/>
                <w:color w:val="auto"/>
              </w:rPr>
            </w:pPr>
            <w:r>
              <w:rPr>
                <w:rFonts w:ascii="Arial" w:cs="Arial" w:eastAsia="Arial" w:hAnsi="Arial"/>
                <w:sz w:val="18"/>
                <w:szCs w:val="18"/>
                <w:b w:val="1"/>
                <w:bCs w:val="1"/>
                <w:color w:val="auto"/>
              </w:rPr>
              <w:t>53</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9"/>
                <w:szCs w:val="19"/>
                <w:color w:val="auto"/>
              </w:rPr>
            </w:pPr>
          </w:p>
        </w:tc>
      </w:tr>
      <w:tr>
        <w:trPr>
          <w:trHeight w:val="230"/>
        </w:trPr>
        <w:tc>
          <w:tcPr>
            <w:tcW w:w="574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680" w:type="dxa"/>
            <w:vAlign w:val="bottom"/>
          </w:tcPr>
          <w:p>
            <w:pPr>
              <w:spacing w:after="0"/>
              <w:rPr>
                <w:sz w:val="19"/>
                <w:szCs w:val="19"/>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b w:val="1"/>
                <w:bCs w:val="1"/>
                <w:color w:val="auto"/>
              </w:rPr>
              <w:t>22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r>
      <w:tr>
        <w:trPr>
          <w:trHeight w:val="230"/>
        </w:trPr>
        <w:tc>
          <w:tcPr>
            <w:tcW w:w="5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 expense (a)</w:t>
            </w:r>
          </w:p>
        </w:tc>
        <w:tc>
          <w:tcPr>
            <w:tcW w:w="6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71"/>
              <w:spacing w:after="0"/>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3"/>
              <w:spacing w:after="0"/>
              <w:rPr>
                <w:sz w:val="20"/>
                <w:szCs w:val="20"/>
                <w:color w:val="auto"/>
              </w:rPr>
            </w:pPr>
            <w:r>
              <w:rPr>
                <w:rFonts w:ascii="Arial" w:cs="Arial" w:eastAsia="Arial" w:hAnsi="Arial"/>
                <w:sz w:val="18"/>
                <w:szCs w:val="18"/>
                <w:b w:val="1"/>
                <w:bCs w:val="1"/>
                <w:color w:val="auto"/>
              </w:rPr>
              <w:t>11</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r>
      <w:tr>
        <w:trPr>
          <w:trHeight w:val="229"/>
        </w:trPr>
        <w:tc>
          <w:tcPr>
            <w:tcW w:w="5740" w:type="dxa"/>
            <w:vAlign w:val="bottom"/>
          </w:tcPr>
          <w:p>
            <w:pPr>
              <w:ind w:left="280"/>
              <w:spacing w:after="0"/>
              <w:rPr>
                <w:sz w:val="20"/>
                <w:szCs w:val="20"/>
                <w:color w:val="auto"/>
              </w:rPr>
            </w:pPr>
            <w:r>
              <w:rPr>
                <w:rFonts w:ascii="Arial" w:cs="Arial" w:eastAsia="Arial" w:hAnsi="Arial"/>
                <w:sz w:val="18"/>
                <w:szCs w:val="18"/>
                <w:color w:val="auto"/>
              </w:rPr>
              <w:t>Unrealized (gain) loss on marketable securities (b)</w:t>
            </w:r>
          </w:p>
        </w:tc>
        <w:tc>
          <w:tcPr>
            <w:tcW w:w="68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r>
      <w:tr>
        <w:trPr>
          <w:trHeight w:val="230"/>
        </w:trPr>
        <w:tc>
          <w:tcPr>
            <w:tcW w:w="5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Technology-related investments gain (c)</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40" w:type="dxa"/>
            <w:vAlign w:val="bottom"/>
          </w:tcPr>
          <w:p>
            <w:pPr>
              <w:spacing w:after="0"/>
              <w:rPr>
                <w:sz w:val="19"/>
                <w:szCs w:val="19"/>
                <w:color w:val="auto"/>
              </w:rPr>
            </w:pPr>
          </w:p>
        </w:tc>
      </w:tr>
      <w:tr>
        <w:trPr>
          <w:trHeight w:val="230"/>
        </w:trPr>
        <w:tc>
          <w:tcPr>
            <w:tcW w:w="5740" w:type="dxa"/>
            <w:vAlign w:val="bottom"/>
          </w:tcPr>
          <w:p>
            <w:pPr>
              <w:ind w:left="280"/>
              <w:spacing w:after="0"/>
              <w:rPr>
                <w:sz w:val="20"/>
                <w:szCs w:val="20"/>
                <w:color w:val="auto"/>
              </w:rPr>
            </w:pPr>
            <w:r>
              <w:rPr>
                <w:rFonts w:ascii="Arial" w:cs="Arial" w:eastAsia="Arial" w:hAnsi="Arial"/>
                <w:sz w:val="18"/>
                <w:szCs w:val="18"/>
                <w:color w:val="auto"/>
              </w:rPr>
              <w:t>Unrealized loss on foreign exchange (d)</w:t>
            </w:r>
          </w:p>
        </w:tc>
        <w:tc>
          <w:tcPr>
            <w:tcW w:w="68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r>
      <w:tr>
        <w:trPr>
          <w:trHeight w:val="230"/>
        </w:trPr>
        <w:tc>
          <w:tcPr>
            <w:tcW w:w="5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Acquisition-related earnouts (e)</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r>
      <w:tr>
        <w:trPr>
          <w:trHeight w:val="223"/>
        </w:trPr>
        <w:tc>
          <w:tcPr>
            <w:tcW w:w="57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6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288</w:t>
            </w:r>
          </w:p>
        </w:tc>
        <w:tc>
          <w:tcPr>
            <w:tcW w:w="160" w:type="dxa"/>
            <w:vAlign w:val="bottom"/>
            <w:tcBorders>
              <w:top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227</w:t>
            </w:r>
          </w:p>
        </w:tc>
        <w:tc>
          <w:tcPr>
            <w:tcW w:w="16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564</w:t>
            </w:r>
          </w:p>
        </w:tc>
        <w:tc>
          <w:tcPr>
            <w:tcW w:w="16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471</w:t>
            </w:r>
          </w:p>
        </w:tc>
        <w:tc>
          <w:tcPr>
            <w:tcW w:w="4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sales (GAAP)</w:t>
            </w:r>
          </w:p>
        </w:tc>
        <w:tc>
          <w:tcPr>
            <w:tcW w:w="680" w:type="dxa"/>
            <w:vAlign w:val="bottom"/>
            <w:shd w:val="clear" w:color="auto" w:fill="CFF0FC"/>
          </w:tcPr>
          <w:p>
            <w:pPr>
              <w:jc w:val="right"/>
              <w:ind w:right="495"/>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ind w:right="71"/>
              <w:spacing w:after="0"/>
              <w:rPr>
                <w:sz w:val="20"/>
                <w:szCs w:val="20"/>
                <w:color w:val="auto"/>
              </w:rPr>
            </w:pPr>
            <w:r>
              <w:rPr>
                <w:rFonts w:ascii="Arial" w:cs="Arial" w:eastAsia="Arial" w:hAnsi="Arial"/>
                <w:sz w:val="18"/>
                <w:szCs w:val="18"/>
                <w:b w:val="1"/>
                <w:bCs w:val="1"/>
                <w:color w:val="auto"/>
              </w:rPr>
              <w:t>783</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664</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FF0FC"/>
          </w:tcPr>
          <w:p>
            <w:pPr>
              <w:jc w:val="right"/>
              <w:ind w:right="73"/>
              <w:spacing w:after="0"/>
              <w:rPr>
                <w:sz w:val="20"/>
                <w:szCs w:val="20"/>
                <w:color w:val="auto"/>
              </w:rPr>
            </w:pPr>
            <w:r>
              <w:rPr>
                <w:rFonts w:ascii="Arial" w:cs="Arial" w:eastAsia="Arial" w:hAnsi="Arial"/>
                <w:sz w:val="18"/>
                <w:szCs w:val="18"/>
                <w:b w:val="1"/>
                <w:bCs w:val="1"/>
                <w:color w:val="auto"/>
              </w:rPr>
              <w:t>1,524</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1,341</w:t>
            </w:r>
          </w:p>
        </w:tc>
        <w:tc>
          <w:tcPr>
            <w:tcW w:w="40" w:type="dxa"/>
            <w:vAlign w:val="bottom"/>
          </w:tcPr>
          <w:p>
            <w:pPr>
              <w:spacing w:after="0"/>
              <w:rPr>
                <w:sz w:val="18"/>
                <w:szCs w:val="18"/>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Net income as a percent of net sales (GAAP)</w:t>
            </w:r>
          </w:p>
        </w:tc>
        <w:tc>
          <w:tcPr>
            <w:tcW w:w="68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22.3 %</w:t>
            </w:r>
          </w:p>
        </w:tc>
        <w:tc>
          <w:tcPr>
            <w:tcW w:w="7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18.4 %</w:t>
            </w:r>
          </w:p>
        </w:tc>
        <w:tc>
          <w:tcPr>
            <w:tcW w:w="2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22.6 %</w:t>
            </w: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18.7 %</w:t>
            </w:r>
          </w:p>
        </w:tc>
      </w:tr>
      <w:tr>
        <w:trPr>
          <w:trHeight w:val="22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 as a percent of net sales (Non-GAAP)</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w w:val="92"/>
              </w:rPr>
              <w:t>36.8 %</w:t>
            </w:r>
          </w:p>
        </w:tc>
        <w:tc>
          <w:tcPr>
            <w:tcW w:w="7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34.2 %</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37.0 %</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35.1 %</w:t>
            </w:r>
          </w:p>
        </w:tc>
        <w:tc>
          <w:tcPr>
            <w:tcW w:w="40" w:type="dxa"/>
            <w:vAlign w:val="bottom"/>
          </w:tcPr>
          <w:p>
            <w:pPr>
              <w:spacing w:after="0"/>
              <w:rPr>
                <w:sz w:val="19"/>
                <w:szCs w:val="19"/>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680" w:type="dxa"/>
            <w:vAlign w:val="bottom"/>
          </w:tcPr>
          <w:p>
            <w:pPr>
              <w:jc w:val="right"/>
              <w:ind w:right="495"/>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ind w:right="71"/>
              <w:spacing w:after="0"/>
              <w:rPr>
                <w:sz w:val="20"/>
                <w:szCs w:val="20"/>
                <w:color w:val="auto"/>
              </w:rPr>
            </w:pPr>
            <w:r>
              <w:rPr>
                <w:rFonts w:ascii="Arial" w:cs="Arial" w:eastAsia="Arial" w:hAnsi="Arial"/>
                <w:sz w:val="18"/>
                <w:szCs w:val="18"/>
                <w:b w:val="1"/>
                <w:bCs w:val="1"/>
                <w:color w:val="auto"/>
              </w:rPr>
              <w:t>141</w:t>
            </w:r>
          </w:p>
        </w:tc>
        <w:tc>
          <w:tcPr>
            <w:tcW w:w="160" w:type="dxa"/>
            <w:vAlign w:val="bottom"/>
          </w:tcPr>
          <w:p>
            <w:pPr>
              <w:spacing w:after="0"/>
              <w:rPr>
                <w:sz w:val="19"/>
                <w:szCs w:val="19"/>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b w:val="1"/>
                <w:bCs w:val="1"/>
                <w:color w:val="auto"/>
              </w:rPr>
              <w:t>334</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226</w:t>
            </w:r>
          </w:p>
        </w:tc>
        <w:tc>
          <w:tcPr>
            <w:tcW w:w="40" w:type="dxa"/>
            <w:vAlign w:val="bottom"/>
          </w:tcPr>
          <w:p>
            <w:pPr>
              <w:spacing w:after="0"/>
              <w:rPr>
                <w:sz w:val="19"/>
                <w:szCs w:val="19"/>
                <w:color w:val="auto"/>
              </w:rPr>
            </w:pPr>
          </w:p>
        </w:tc>
      </w:tr>
      <w:tr>
        <w:trPr>
          <w:trHeight w:val="230"/>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Deductions to reconcile to Adjusted free cash flow:</w:t>
            </w:r>
          </w:p>
        </w:tc>
        <w:tc>
          <w:tcPr>
            <w:tcW w:w="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Additions of long-lived assets</w:t>
            </w: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(19 )</w:t>
            </w:r>
          </w:p>
        </w:tc>
        <w:tc>
          <w:tcPr>
            <w:tcW w:w="1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(43 )</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40" w:type="dxa"/>
            <w:vAlign w:val="bottom"/>
          </w:tcPr>
          <w:p>
            <w:pPr>
              <w:spacing w:after="0"/>
              <w:rPr>
                <w:sz w:val="19"/>
                <w:szCs w:val="19"/>
                <w:color w:val="auto"/>
              </w:rPr>
            </w:pPr>
          </w:p>
        </w:tc>
      </w:tr>
      <w:tr>
        <w:trPr>
          <w:trHeight w:val="263"/>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Adjusted free cash flow (Non-GAAP)</w:t>
            </w:r>
          </w:p>
        </w:tc>
        <w:tc>
          <w:tcPr>
            <w:tcW w:w="680" w:type="dxa"/>
            <w:vAlign w:val="bottom"/>
            <w:tcBorders>
              <w:bottom w:val="single" w:sz="8" w:color="auto"/>
            </w:tcBorders>
            <w:shd w:val="clear" w:color="auto" w:fill="CFF0FC"/>
          </w:tcPr>
          <w:p>
            <w:pPr>
              <w:jc w:val="right"/>
              <w:ind w:right="495"/>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b w:val="1"/>
                <w:bCs w:val="1"/>
                <w:color w:val="auto"/>
              </w:rPr>
              <w:t>122</w:t>
            </w:r>
          </w:p>
        </w:tc>
        <w:tc>
          <w:tcPr>
            <w:tcW w:w="16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ind w:right="59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b w:val="1"/>
                <w:bCs w:val="1"/>
                <w:color w:val="auto"/>
              </w:rPr>
              <w:t>291</w:t>
            </w:r>
          </w:p>
        </w:tc>
        <w:tc>
          <w:tcPr>
            <w:tcW w:w="1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-1233805</wp:posOffset>
            </wp:positionV>
            <wp:extent cx="102870" cy="179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-1233805</wp:posOffset>
            </wp:positionV>
            <wp:extent cx="10287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-1233805</wp:posOffset>
            </wp:positionV>
            <wp:extent cx="102870"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102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1028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1028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102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102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028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0" w:lineRule="exact"/>
        <w:rPr>
          <w:sz w:val="20"/>
          <w:szCs w:val="20"/>
          <w:color w:val="auto"/>
        </w:rPr>
      </w:pPr>
    </w:p>
    <w:p>
      <w:pPr>
        <w:ind w:left="640" w:right="220" w:hanging="377"/>
        <w:spacing w:after="0" w:line="26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and Engineering — research and development).</w:t>
      </w: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79" w:lineRule="exact"/>
        <w:rPr>
          <w:sz w:val="20"/>
          <w:szCs w:val="20"/>
          <w:color w:val="auto"/>
        </w:rPr>
      </w:pPr>
    </w:p>
    <w:p>
      <w:pPr>
        <w:ind w:left="640" w:right="280" w:hanging="377"/>
        <w:spacing w:after="0" w:line="241"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(gains) losses (recorded in Other income (expense), net) related to an investment in the common stock of Jing-Jin Electric Technologies Co. Ltd.</w:t>
      </w:r>
    </w:p>
    <w:p>
      <w:pPr>
        <w:spacing w:after="0" w:line="1" w:lineRule="exact"/>
        <w:rPr>
          <w:rFonts w:ascii="Arial" w:cs="Arial" w:eastAsia="Arial" w:hAnsi="Arial"/>
          <w:sz w:val="18"/>
          <w:szCs w:val="18"/>
          <w:color w:val="auto"/>
        </w:rPr>
      </w:pPr>
    </w:p>
    <w:p>
      <w:pPr>
        <w:ind w:left="640" w:right="20" w:hanging="377"/>
        <w:spacing w:after="0" w:line="234"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gains (recorded in Other income (expense), net) related to investments in co-development agreements to expand our position in propulsion solution technologies.</w:t>
      </w:r>
    </w:p>
    <w:p>
      <w:pPr>
        <w:spacing w:after="0" w:line="1" w:lineRule="exact"/>
        <w:rPr>
          <w:rFonts w:ascii="Arial" w:cs="Arial" w:eastAsia="Arial" w:hAnsi="Arial"/>
          <w:sz w:val="18"/>
          <w:szCs w:val="18"/>
          <w:color w:val="auto"/>
        </w:rPr>
      </w:pPr>
    </w:p>
    <w:p>
      <w:pPr>
        <w:ind w:left="640" w:hanging="377"/>
        <w:spacing w:after="0" w:line="234"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losses (recorded in Other income (expense), net) on intercompany financing transactions for our India facility.</w:t>
      </w:r>
    </w:p>
    <w:p>
      <w:pPr>
        <w:ind w:left="640" w:hanging="377"/>
        <w:spacing w:after="0" w:line="24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expenses (recorded in Selling, general and administrative and Engineering – research and development) for earnouts related to our acquisition of Vantage Power Limited.</w:t>
      </w:r>
    </w:p>
    <w:p>
      <w:pPr>
        <w:spacing w:after="0" w:line="34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three months ended June 30, 2023 and 2022</w:t>
      </w:r>
    </w:p>
    <w:p>
      <w:pPr>
        <w:spacing w:after="0" w:line="114" w:lineRule="exact"/>
        <w:rPr>
          <w:sz w:val="20"/>
          <w:szCs w:val="20"/>
          <w:color w:val="auto"/>
        </w:rPr>
      </w:pPr>
    </w:p>
    <w:p>
      <w:pPr>
        <w:ind w:right="100" w:firstLine="494"/>
        <w:spacing w:after="0" w:line="247" w:lineRule="auto"/>
        <w:rPr>
          <w:sz w:val="20"/>
          <w:szCs w:val="20"/>
          <w:color w:val="auto"/>
        </w:rPr>
      </w:pPr>
      <w:r>
        <w:rPr>
          <w:rFonts w:ascii="Arial" w:cs="Arial" w:eastAsia="Arial" w:hAnsi="Arial"/>
          <w:sz w:val="18"/>
          <w:szCs w:val="18"/>
          <w:color w:val="auto"/>
        </w:rPr>
        <w:t>The following table sets forth certain financial information for the three months ended June 30, 2023 and 2022. The following table and discussion should be read in conjunction with the information contained in our condensed consolidated financial statements and the notes thereto included in Part I, Item 1 of this Quarterly Report on Form 10-Q.</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 June 30,</w:t>
            </w:r>
          </w:p>
        </w:tc>
        <w:tc>
          <w:tcPr>
            <w:tcW w:w="1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56"/>
        </w:trPr>
        <w:tc>
          <w:tcPr>
            <w:tcW w:w="5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ind w:right="414"/>
              <w:spacing w:after="0" w:line="156"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ind w:right="473"/>
              <w:spacing w:after="0" w:line="156"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9"/>
        </w:trPr>
        <w:tc>
          <w:tcPr>
            <w:tcW w:w="5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of net sales</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of net sales</w:t>
            </w:r>
          </w:p>
        </w:tc>
        <w:tc>
          <w:tcPr>
            <w:tcW w:w="180" w:type="dxa"/>
            <w:vAlign w:val="bottom"/>
            <w:gridSpan w:val="2"/>
          </w:tcPr>
          <w:p>
            <w:pPr>
              <w:spacing w:after="0"/>
              <w:rPr>
                <w:sz w:val="16"/>
                <w:szCs w:val="16"/>
                <w:color w:val="auto"/>
              </w:rPr>
            </w:pPr>
          </w:p>
        </w:tc>
      </w:tr>
      <w:tr>
        <w:trPr>
          <w:trHeight w:val="22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783</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87"/>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381</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5680" w:type="dxa"/>
            <w:vAlign w:val="bottom"/>
          </w:tcPr>
          <w:p>
            <w:pPr>
              <w:ind w:left="280"/>
              <w:spacing w:after="0"/>
              <w:rPr>
                <w:sz w:val="20"/>
                <w:szCs w:val="20"/>
                <w:color w:val="auto"/>
              </w:rPr>
            </w:pPr>
            <w:r>
              <w:rPr>
                <w:rFonts w:ascii="Arial" w:cs="Arial" w:eastAsia="Arial" w:hAnsi="Arial"/>
                <w:sz w:val="18"/>
                <w:szCs w:val="18"/>
                <w:color w:val="auto"/>
              </w:rPr>
              <w:t>Engineering — research and development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6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139</w:t>
            </w:r>
          </w:p>
        </w:tc>
        <w:tc>
          <w:tcPr>
            <w:tcW w:w="2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(28 )</w:t>
            </w:r>
          </w:p>
        </w:tc>
        <w:tc>
          <w:tcPr>
            <w:tcW w:w="14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b w:val="1"/>
                <w:bCs w:val="1"/>
                <w:color w:val="auto"/>
              </w:rPr>
              <w:t>(4 )</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(30 )</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(5 )</w:t>
            </w:r>
          </w:p>
        </w:tc>
        <w:tc>
          <w:tcPr>
            <w:tcW w:w="40" w:type="dxa"/>
            <w:vAlign w:val="bottom"/>
          </w:tcPr>
          <w:p>
            <w:pPr>
              <w:spacing w:after="0"/>
              <w:rPr>
                <w:sz w:val="19"/>
                <w:szCs w:val="19"/>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(3 )</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216</w:t>
            </w:r>
          </w:p>
        </w:tc>
        <w:tc>
          <w:tcPr>
            <w:tcW w:w="260" w:type="dxa"/>
            <w:vAlign w:val="bottom"/>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w:t>
            </w:r>
          </w:p>
        </w:tc>
        <w:tc>
          <w:tcPr>
            <w:tcW w:w="30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(41 )</w:t>
            </w:r>
          </w:p>
        </w:tc>
        <w:tc>
          <w:tcPr>
            <w:tcW w:w="14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(6 )</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(32 )</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(5 )</w:t>
            </w:r>
          </w:p>
        </w:tc>
        <w:tc>
          <w:tcPr>
            <w:tcW w:w="4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175</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87"/>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18 %</w:t>
            </w:r>
          </w:p>
        </w:tc>
        <w:tc>
          <w:tcPr>
            <w:tcW w:w="40" w:type="dxa"/>
            <w:vAlign w:val="bottom"/>
          </w:tcPr>
          <w:p>
            <w:pPr>
              <w:spacing w:after="0"/>
              <w:rPr>
                <w:sz w:val="21"/>
                <w:szCs w:val="21"/>
                <w:color w:val="auto"/>
              </w:rPr>
            </w:pP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-925195</wp:posOffset>
            </wp:positionV>
            <wp:extent cx="85725"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-925195</wp:posOffset>
            </wp:positionV>
            <wp:extent cx="85725"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-925195</wp:posOffset>
            </wp:positionV>
            <wp:extent cx="85725"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-925195</wp:posOffset>
            </wp:positionV>
            <wp:extent cx="85725"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85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14" w:lineRule="exact"/>
        <w:rPr>
          <w:sz w:val="20"/>
          <w:szCs w:val="20"/>
          <w:color w:val="auto"/>
        </w:rPr>
      </w:pPr>
    </w:p>
    <w:p>
      <w:pPr>
        <w:ind w:right="40" w:firstLine="494"/>
        <w:spacing w:after="0" w:line="237" w:lineRule="auto"/>
        <w:rPr>
          <w:sz w:val="20"/>
          <w:szCs w:val="20"/>
          <w:color w:val="auto"/>
        </w:rPr>
      </w:pPr>
      <w:r>
        <w:rPr>
          <w:rFonts w:ascii="Arial" w:cs="Arial" w:eastAsia="Arial" w:hAnsi="Arial"/>
          <w:sz w:val="18"/>
          <w:szCs w:val="18"/>
          <w:color w:val="auto"/>
        </w:rPr>
        <w:t>Net sales for the quarter ended June 30, 2023 were $783 million compared to $664 million for the quarter ended June 30, 2022, an increase of 18%. The increase was principally driven by a $57 million, or 17%, increase in net sales in the North America On-Highway end market principally driven by strength in customer demand for medium-duty and Class 8 vocational trucks and price increases on certain products, a $43 million, or 31%, increase in net sales in the Service Parts, Support Equipment and Other end market principally driven by higher demand for global service parts and support equipment and price increases on certain products, an $18 million, or 17%, increase in net sales in the Outside North America On-Highway end market principally driven by strength in customer demand in Europe and Asia, the continued execution of our growth initiatives and price increases on certain products, a $4 million, or 14%, increase in net sales in the Defense end market principally driven by increased demand for Wheeled vehicle applications, partially offset by a $3 million, or 6%, decrease in net sales in the Global Off-Highway end market principally driven by lower demand in the energy sector outside of North America, partially offset by higher demand in the mining and construction sectors outside of North America and higher demand for hydraulic fracturing applications in the North American energy sector.</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14" w:lineRule="exact"/>
        <w:rPr>
          <w:sz w:val="20"/>
          <w:szCs w:val="20"/>
          <w:color w:val="auto"/>
        </w:rPr>
      </w:pPr>
    </w:p>
    <w:p>
      <w:pPr>
        <w:jc w:val="both"/>
        <w:ind w:right="120" w:firstLine="494"/>
        <w:spacing w:after="0" w:line="247" w:lineRule="auto"/>
        <w:rPr>
          <w:sz w:val="20"/>
          <w:szCs w:val="20"/>
          <w:color w:val="auto"/>
        </w:rPr>
      </w:pPr>
      <w:r>
        <w:rPr>
          <w:rFonts w:ascii="Arial" w:cs="Arial" w:eastAsia="Arial" w:hAnsi="Arial"/>
          <w:sz w:val="18"/>
          <w:szCs w:val="18"/>
          <w:color w:val="auto"/>
        </w:rPr>
        <w:t>Cost of sales for the quarter ended June 30, 2023 was $402 million compared to $353 million for the quarter ended June 30, 2022, an increase of 14%. The increase was principally driven by increased direct material and manufacturing expense commensurate with increased net sales.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14" w:lineRule="exact"/>
        <w:rPr>
          <w:sz w:val="20"/>
          <w:szCs w:val="20"/>
          <w:color w:val="auto"/>
        </w:rPr>
      </w:pPr>
    </w:p>
    <w:p>
      <w:pPr>
        <w:ind w:right="280" w:firstLine="494"/>
        <w:spacing w:after="0" w:line="243" w:lineRule="auto"/>
        <w:rPr>
          <w:sz w:val="20"/>
          <w:szCs w:val="20"/>
          <w:color w:val="auto"/>
        </w:rPr>
      </w:pPr>
      <w:r>
        <w:rPr>
          <w:rFonts w:ascii="Arial" w:cs="Arial" w:eastAsia="Arial" w:hAnsi="Arial"/>
          <w:sz w:val="18"/>
          <w:szCs w:val="18"/>
          <w:color w:val="auto"/>
        </w:rPr>
        <w:t>Gross profit for the quarter ended June 30, 2023 was $381 million compared to $311 million for the quarter ended June 30, 2022, an increase of 23%. The increase was principally driven by $45 million of price increases on certain products and $ 43 million related to increased net sales, partially offset by $17 million of higher manufacturing expense. Gross profit as a percent of net sales for the three months ended June 30, 2023 increased</w:t>
      </w:r>
    </w:p>
    <w:p>
      <w:pPr>
        <w:spacing w:after="0" w:line="13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87"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190 basis points compared to the same period in 2022 principally driven by price increases on certain products and increased net sales, partially offset by increased cost of goods sold.</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4" w:lineRule="exact"/>
        <w:rPr>
          <w:sz w:val="20"/>
          <w:szCs w:val="20"/>
          <w:color w:val="auto"/>
        </w:rPr>
      </w:pPr>
    </w:p>
    <w:p>
      <w:pPr>
        <w:ind w:right="420" w:firstLine="494"/>
        <w:spacing w:after="0" w:line="247" w:lineRule="auto"/>
        <w:rPr>
          <w:sz w:val="20"/>
          <w:szCs w:val="20"/>
          <w:color w:val="auto"/>
        </w:rPr>
      </w:pPr>
      <w:r>
        <w:rPr>
          <w:rFonts w:ascii="Arial" w:cs="Arial" w:eastAsia="Arial" w:hAnsi="Arial"/>
          <w:sz w:val="18"/>
          <w:szCs w:val="18"/>
          <w:color w:val="auto"/>
        </w:rPr>
        <w:t>Selling, general and administrative expenses for the quarter ended June 30, 2023 were $92 million compared to $78 million for the quarter ended June 30, 2022, an increase of 18%. The increase was principally driven by increased commercial activities spending, $5 million of higher incentive compensation expense and $3 million of increased product warranty expense.</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Engineering expenses for the quarter ended June 30, 2023 were $47 million compared to $46 million for the quarter ended June 30,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4" w:lineRule="exact"/>
        <w:rPr>
          <w:sz w:val="20"/>
          <w:szCs w:val="20"/>
          <w:color w:val="auto"/>
        </w:rPr>
      </w:pPr>
    </w:p>
    <w:p>
      <w:pPr>
        <w:ind w:right="460" w:firstLine="494"/>
        <w:spacing w:after="0" w:line="260" w:lineRule="auto"/>
        <w:rPr>
          <w:sz w:val="20"/>
          <w:szCs w:val="20"/>
          <w:color w:val="auto"/>
        </w:rPr>
      </w:pPr>
      <w:r>
        <w:rPr>
          <w:rFonts w:ascii="Arial" w:cs="Arial" w:eastAsia="Arial" w:hAnsi="Arial"/>
          <w:sz w:val="18"/>
          <w:szCs w:val="18"/>
          <w:color w:val="auto"/>
        </w:rPr>
        <w:t>Interest expense, net for the quarter ended June 30, 2023 was $28 million compared to $30 million for the quarter ended June 30, 2022, a decrease of 7%. The decrease was principally driven by higher interest income on cash and cash equivalents.</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4" w:lineRule="exact"/>
        <w:rPr>
          <w:sz w:val="20"/>
          <w:szCs w:val="20"/>
          <w:color w:val="auto"/>
        </w:rPr>
      </w:pPr>
    </w:p>
    <w:p>
      <w:pPr>
        <w:jc w:val="both"/>
        <w:ind w:right="220" w:firstLine="494"/>
        <w:spacing w:after="0" w:line="247" w:lineRule="auto"/>
        <w:rPr>
          <w:sz w:val="20"/>
          <w:szCs w:val="20"/>
          <w:color w:val="auto"/>
        </w:rPr>
      </w:pPr>
      <w:r>
        <w:rPr>
          <w:rFonts w:ascii="Arial" w:cs="Arial" w:eastAsia="Arial" w:hAnsi="Arial"/>
          <w:sz w:val="18"/>
          <w:szCs w:val="18"/>
          <w:color w:val="auto"/>
        </w:rPr>
        <w:t>Other income (expense), net for the quarter ended June 30, 2023 was $2 million compared to ($3) million for the quarter ended June 30, 2022. The change was principally driven by $4 million of favorable foreign exchange and $3 million of favorable change associated with assets held in a rabbi trust, partially offset by $4 million of unfavorable change in marketable securities.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4" w:lineRule="exact"/>
        <w:rPr>
          <w:sz w:val="20"/>
          <w:szCs w:val="20"/>
          <w:color w:val="auto"/>
        </w:rPr>
      </w:pPr>
    </w:p>
    <w:p>
      <w:pPr>
        <w:ind w:right="180" w:firstLine="494"/>
        <w:spacing w:after="0" w:line="247" w:lineRule="auto"/>
        <w:rPr>
          <w:sz w:val="20"/>
          <w:szCs w:val="20"/>
          <w:color w:val="auto"/>
        </w:rPr>
      </w:pPr>
      <w:r>
        <w:rPr>
          <w:rFonts w:ascii="Arial" w:cs="Arial" w:eastAsia="Arial" w:hAnsi="Arial"/>
          <w:sz w:val="18"/>
          <w:szCs w:val="18"/>
          <w:color w:val="auto"/>
        </w:rPr>
        <w:t>Income tax expense for the three months ended June 30, 2023 was $41 million, resulting in an effective tax rate of 19%, compared to $32 million of income tax expense and an effective tax rate of 21% for the three months ended June 30, 2022. The increase in income tax expense was principally driven by increased taxable income.</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six months ended June 30, 2023 and 2022</w:t>
      </w:r>
    </w:p>
    <w:p>
      <w:pPr>
        <w:spacing w:after="0" w:line="114" w:lineRule="exact"/>
        <w:rPr>
          <w:sz w:val="20"/>
          <w:szCs w:val="20"/>
          <w:color w:val="auto"/>
        </w:rPr>
      </w:pPr>
    </w:p>
    <w:p>
      <w:pPr>
        <w:jc w:val="both"/>
        <w:ind w:right="280" w:firstLine="494"/>
        <w:spacing w:after="0" w:line="247" w:lineRule="auto"/>
        <w:rPr>
          <w:sz w:val="20"/>
          <w:szCs w:val="20"/>
          <w:color w:val="auto"/>
        </w:rPr>
      </w:pPr>
      <w:r>
        <w:rPr>
          <w:rFonts w:ascii="Arial" w:cs="Arial" w:eastAsia="Arial" w:hAnsi="Arial"/>
          <w:sz w:val="18"/>
          <w:szCs w:val="18"/>
          <w:color w:val="auto"/>
        </w:rPr>
        <w:t>The following table sets forth certain financial information for the six months ended June 30, 2023 and 2022. The following table and discussion should be read in conjunction with the information contained in our condensed consolidated financial statements and the notes thereto included in Part I, Item 1 of this Quarterly Report on Form 10-Q.</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56"/>
        </w:trPr>
        <w:tc>
          <w:tcPr>
            <w:tcW w:w="4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80" w:type="dxa"/>
            <w:vAlign w:val="bottom"/>
            <w:gridSpan w:val="2"/>
          </w:tcPr>
          <w:p>
            <w:pPr>
              <w:jc w:val="right"/>
              <w:ind w:right="553"/>
              <w:spacing w:after="0" w:line="156"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20" w:type="dxa"/>
            <w:vAlign w:val="bottom"/>
            <w:gridSpan w:val="2"/>
          </w:tcPr>
          <w:p>
            <w:pPr>
              <w:jc w:val="right"/>
              <w:ind w:right="613"/>
              <w:spacing w:after="0" w:line="156"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1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of net sales</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3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of net sales</w:t>
            </w:r>
          </w:p>
        </w:tc>
        <w:tc>
          <w:tcPr>
            <w:tcW w:w="40" w:type="dxa"/>
            <w:vAlign w:val="bottom"/>
          </w:tcPr>
          <w:p>
            <w:pPr>
              <w:spacing w:after="0"/>
              <w:rPr>
                <w:sz w:val="16"/>
                <w:szCs w:val="16"/>
                <w:color w:val="auto"/>
              </w:rPr>
            </w:pPr>
          </w:p>
        </w:tc>
      </w:tr>
      <w:tr>
        <w:trPr>
          <w:trHeight w:val="22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ind w:right="71"/>
              <w:spacing w:after="0"/>
              <w:rPr>
                <w:sz w:val="20"/>
                <w:szCs w:val="20"/>
                <w:color w:val="auto"/>
              </w:rPr>
            </w:pPr>
            <w:r>
              <w:rPr>
                <w:rFonts w:ascii="Arial" w:cs="Arial" w:eastAsia="Arial" w:hAnsi="Arial"/>
                <w:sz w:val="18"/>
                <w:szCs w:val="18"/>
                <w:b w:val="1"/>
                <w:bCs w:val="1"/>
                <w:color w:val="auto"/>
              </w:rPr>
              <w:t>1,524</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100 %</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1,341</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782</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51</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19"/>
                <w:szCs w:val="19"/>
                <w:color w:val="auto"/>
              </w:rPr>
            </w:pPr>
          </w:p>
        </w:tc>
        <w:tc>
          <w:tcPr>
            <w:tcW w:w="13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9"/>
                <w:szCs w:val="19"/>
                <w:color w:val="auto"/>
              </w:rPr>
            </w:pPr>
          </w:p>
        </w:tc>
      </w:tr>
      <w:tr>
        <w:trPr>
          <w:trHeight w:val="22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1"/>
              <w:spacing w:after="0"/>
              <w:rPr>
                <w:sz w:val="20"/>
                <w:szCs w:val="20"/>
                <w:color w:val="auto"/>
              </w:rPr>
            </w:pPr>
            <w:r>
              <w:rPr>
                <w:rFonts w:ascii="Arial" w:cs="Arial" w:eastAsia="Arial" w:hAnsi="Arial"/>
                <w:sz w:val="18"/>
                <w:szCs w:val="18"/>
                <w:b w:val="1"/>
                <w:bCs w:val="1"/>
                <w:color w:val="auto"/>
              </w:rPr>
              <w:t>742</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73"/>
              <w:spacing w:after="0"/>
              <w:rPr>
                <w:sz w:val="20"/>
                <w:szCs w:val="20"/>
                <w:color w:val="auto"/>
              </w:rPr>
            </w:pPr>
            <w:r>
              <w:rPr>
                <w:rFonts w:ascii="Arial" w:cs="Arial" w:eastAsia="Arial" w:hAnsi="Arial"/>
                <w:sz w:val="18"/>
                <w:szCs w:val="18"/>
                <w:b w:val="1"/>
                <w:bCs w:val="1"/>
                <w:color w:val="auto"/>
              </w:rPr>
              <w:t>49</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631</w:t>
            </w:r>
          </w:p>
        </w:tc>
        <w:tc>
          <w:tcPr>
            <w:tcW w:w="1520" w:type="dxa"/>
            <w:vAlign w:val="bottom"/>
            <w:gridSpan w:val="2"/>
            <w:shd w:val="clear" w:color="auto" w:fill="CFF0FC"/>
          </w:tcPr>
          <w:p>
            <w:pPr>
              <w:jc w:val="right"/>
              <w:ind w:right="53"/>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5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1"/>
              <w:spacing w:after="0"/>
              <w:rPr>
                <w:sz w:val="20"/>
                <w:szCs w:val="20"/>
                <w:color w:val="auto"/>
              </w:rPr>
            </w:pPr>
            <w:r>
              <w:rPr>
                <w:rFonts w:ascii="Arial" w:cs="Arial" w:eastAsia="Arial" w:hAnsi="Arial"/>
                <w:sz w:val="18"/>
                <w:szCs w:val="18"/>
                <w:b w:val="1"/>
                <w:bCs w:val="1"/>
                <w:color w:val="auto"/>
              </w:rPr>
              <w:t>179</w:t>
            </w:r>
          </w:p>
        </w:tc>
        <w:tc>
          <w:tcPr>
            <w:tcW w:w="1380" w:type="dxa"/>
            <w:vAlign w:val="bottom"/>
            <w:gridSpan w:val="2"/>
            <w:shd w:val="clear" w:color="auto" w:fill="CFF0FC"/>
          </w:tcPr>
          <w:p>
            <w:pPr>
              <w:jc w:val="right"/>
              <w:ind w:right="73"/>
              <w:spacing w:after="0"/>
              <w:rPr>
                <w:sz w:val="20"/>
                <w:szCs w:val="20"/>
                <w:color w:val="auto"/>
              </w:rPr>
            </w:pPr>
            <w:r>
              <w:rPr>
                <w:rFonts w:ascii="Arial" w:cs="Arial" w:eastAsia="Arial" w:hAnsi="Arial"/>
                <w:sz w:val="18"/>
                <w:szCs w:val="18"/>
                <w:b w:val="1"/>
                <w:bCs w:val="1"/>
                <w:color w:val="auto"/>
              </w:rPr>
              <w:t>12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153</w:t>
            </w:r>
          </w:p>
        </w:tc>
        <w:tc>
          <w:tcPr>
            <w:tcW w:w="1520" w:type="dxa"/>
            <w:vAlign w:val="bottom"/>
            <w:gridSpan w:val="2"/>
            <w:shd w:val="clear" w:color="auto" w:fill="CFF0FC"/>
          </w:tcPr>
          <w:p>
            <w:pPr>
              <w:jc w:val="right"/>
              <w:ind w:right="53"/>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r>
      <w:tr>
        <w:trPr>
          <w:trHeight w:val="230"/>
        </w:trPr>
        <w:tc>
          <w:tcPr>
            <w:tcW w:w="4580" w:type="dxa"/>
            <w:vAlign w:val="bottom"/>
          </w:tcPr>
          <w:p>
            <w:pPr>
              <w:ind w:left="280"/>
              <w:spacing w:after="0"/>
              <w:rPr>
                <w:sz w:val="20"/>
                <w:szCs w:val="20"/>
                <w:color w:val="auto"/>
              </w:rPr>
            </w:pPr>
            <w:r>
              <w:rPr>
                <w:rFonts w:ascii="Arial" w:cs="Arial" w:eastAsia="Arial" w:hAnsi="Arial"/>
                <w:sz w:val="18"/>
                <w:szCs w:val="18"/>
                <w:color w:val="auto"/>
              </w:rPr>
              <w:t>Engineering — research and development</w:t>
            </w:r>
          </w:p>
        </w:tc>
        <w:tc>
          <w:tcPr>
            <w:tcW w:w="1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91</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13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r>
      <w:tr>
        <w:trPr>
          <w:trHeight w:val="223"/>
        </w:trPr>
        <w:tc>
          <w:tcPr>
            <w:tcW w:w="45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1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b w:val="1"/>
                <w:bCs w:val="1"/>
                <w:color w:val="auto"/>
              </w:rPr>
              <w:t>270</w:t>
            </w: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b w:val="1"/>
                <w:bCs w:val="1"/>
                <w:color w:val="auto"/>
              </w:rPr>
              <w:t>18</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242</w:t>
            </w:r>
          </w:p>
        </w:tc>
        <w:tc>
          <w:tcPr>
            <w:tcW w:w="14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b w:val="1"/>
                <w:bCs w:val="1"/>
                <w:color w:val="auto"/>
              </w:rPr>
              <w:t>472</w:t>
            </w:r>
          </w:p>
        </w:tc>
        <w:tc>
          <w:tcPr>
            <w:tcW w:w="1380" w:type="dxa"/>
            <w:vAlign w:val="bottom"/>
            <w:gridSpan w:val="2"/>
          </w:tcPr>
          <w:p>
            <w:pPr>
              <w:jc w:val="right"/>
              <w:ind w:right="73"/>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389</w:t>
            </w:r>
          </w:p>
        </w:tc>
        <w:tc>
          <w:tcPr>
            <w:tcW w:w="1520" w:type="dxa"/>
            <w:vAlign w:val="bottom"/>
            <w:gridSpan w:val="2"/>
          </w:tcPr>
          <w:p>
            <w:pPr>
              <w:jc w:val="right"/>
              <w:ind w:right="53"/>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r>
      <w:tr>
        <w:trPr>
          <w:trHeight w:val="230"/>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(56 )</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(59 )</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4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40" w:type="dxa"/>
            <w:vAlign w:val="bottom"/>
          </w:tcPr>
          <w:p>
            <w:pPr>
              <w:spacing w:after="0"/>
              <w:rPr>
                <w:sz w:val="19"/>
                <w:szCs w:val="19"/>
                <w:color w:val="auto"/>
              </w:rPr>
            </w:pPr>
          </w:p>
        </w:tc>
      </w:tr>
      <w:tr>
        <w:trPr>
          <w:trHeight w:val="22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1"/>
              <w:spacing w:after="0"/>
              <w:rPr>
                <w:sz w:val="20"/>
                <w:szCs w:val="20"/>
                <w:color w:val="auto"/>
              </w:rPr>
            </w:pPr>
            <w:r>
              <w:rPr>
                <w:rFonts w:ascii="Arial" w:cs="Arial" w:eastAsia="Arial" w:hAnsi="Arial"/>
                <w:sz w:val="18"/>
                <w:szCs w:val="18"/>
                <w:b w:val="1"/>
                <w:bCs w:val="1"/>
                <w:color w:val="auto"/>
              </w:rPr>
              <w:t>428</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73"/>
              <w:spacing w:after="0"/>
              <w:rPr>
                <w:sz w:val="20"/>
                <w:szCs w:val="20"/>
                <w:color w:val="auto"/>
              </w:rPr>
            </w:pPr>
            <w:r>
              <w:rPr>
                <w:rFonts w:ascii="Arial" w:cs="Arial" w:eastAsia="Arial" w:hAnsi="Arial"/>
                <w:sz w:val="18"/>
                <w:szCs w:val="18"/>
                <w:b w:val="1"/>
                <w:bCs w:val="1"/>
                <w:color w:val="auto"/>
              </w:rPr>
              <w:t>28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317</w:t>
            </w:r>
          </w:p>
        </w:tc>
        <w:tc>
          <w:tcPr>
            <w:tcW w:w="1520" w:type="dxa"/>
            <w:vAlign w:val="bottom"/>
            <w:gridSpan w:val="2"/>
            <w:shd w:val="clear" w:color="auto" w:fill="CFF0FC"/>
          </w:tcPr>
          <w:p>
            <w:pPr>
              <w:jc w:val="right"/>
              <w:ind w:right="53"/>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(83 )</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(5 )</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14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40" w:type="dxa"/>
            <w:vAlign w:val="bottom"/>
          </w:tcPr>
          <w:p>
            <w:pPr>
              <w:spacing w:after="0"/>
              <w:rPr>
                <w:sz w:val="19"/>
                <w:szCs w:val="19"/>
                <w:color w:val="auto"/>
              </w:rPr>
            </w:pPr>
          </w:p>
        </w:tc>
      </w:tr>
      <w:tr>
        <w:trPr>
          <w:trHeight w:val="263"/>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b w:val="1"/>
                <w:bCs w:val="1"/>
                <w:color w:val="auto"/>
              </w:rPr>
              <w:t>345</w:t>
            </w:r>
          </w:p>
        </w:tc>
        <w:tc>
          <w:tcPr>
            <w:tcW w:w="12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23 %</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251</w:t>
            </w:r>
          </w:p>
        </w:tc>
        <w:tc>
          <w:tcPr>
            <w:tcW w:w="14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40" w:type="dxa"/>
            <w:vAlign w:val="bottom"/>
          </w:tcPr>
          <w:p>
            <w:pPr>
              <w:spacing w:after="0"/>
              <w:rPr>
                <w:sz w:val="22"/>
                <w:szCs w:val="22"/>
                <w:color w:val="auto"/>
              </w:rPr>
            </w:pPr>
          </w:p>
        </w:tc>
      </w:tr>
      <w:tr>
        <w:trPr>
          <w:trHeight w:val="575"/>
        </w:trPr>
        <w:tc>
          <w:tcPr>
            <w:tcW w:w="4580" w:type="dxa"/>
            <w:vAlign w:val="bottom"/>
          </w:tcPr>
          <w:p>
            <w:pPr>
              <w:spacing w:after="0"/>
              <w:rPr>
                <w:sz w:val="24"/>
                <w:szCs w:val="24"/>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29</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2"/>
        </w:trPr>
        <w:tc>
          <w:tcPr>
            <w:tcW w:w="45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-1379855</wp:posOffset>
            </wp:positionV>
            <wp:extent cx="85725"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-1379855</wp:posOffset>
            </wp:positionV>
            <wp:extent cx="10287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-1379855</wp:posOffset>
            </wp:positionV>
            <wp:extent cx="85725"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-479425</wp:posOffset>
            </wp:positionV>
            <wp:extent cx="857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-462280</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-479425</wp:posOffset>
            </wp:positionV>
            <wp:extent cx="1028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-462280</wp:posOffset>
            </wp:positionV>
            <wp:extent cx="1028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-479425</wp:posOffset>
            </wp:positionV>
            <wp:extent cx="857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-462280</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14"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Net sales for the six months ended June 30, 2023 were $1,524 million compared to $1,341 million for the six months ended June 30, 2022, an increase of 14%. The increase was principally driven by an $87 million, or 13%, increase in net sales in the North America On-Highway end market principally driven by strength in customer demand for medium-duty and Class 8 vocational trucks and price increases on certain products, an $ 87 million, or 31%, increase in net sales in the Service Parts, Support Equipment and Other end market principally driven by higher demand for global service parts and support equipment, price increases on certain products and higher demand for aluminum die cast components, and a $17 million, or 8%, increase in net sales in the Outside North America On-Highway end market principally driven by price increases on certain products and the continued execution of our growth initiatives, partially offset by a $4 million, or 6%, decrease in net sales in the Defense end market principally driven by lower demand for Tracked vehicle applications partially offset by higher demand for Wheeled vehicle applications and a $4 million, or 4%, decrease in net sales in the Global Off-Highway end market principally driven by lower demand in the energy sector outside of North America partially offset by higher demand for hydraulic fracturing applications in the North American energy sector and higher demand in the mining and construction sectors outside of North America.</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14" w:lineRule="exact"/>
        <w:rPr>
          <w:sz w:val="20"/>
          <w:szCs w:val="20"/>
          <w:color w:val="auto"/>
        </w:rPr>
      </w:pPr>
    </w:p>
    <w:p>
      <w:pPr>
        <w:ind w:right="120" w:firstLine="494"/>
        <w:spacing w:after="0" w:line="247" w:lineRule="auto"/>
        <w:rPr>
          <w:sz w:val="20"/>
          <w:szCs w:val="20"/>
          <w:color w:val="auto"/>
        </w:rPr>
      </w:pPr>
      <w:r>
        <w:rPr>
          <w:rFonts w:ascii="Arial" w:cs="Arial" w:eastAsia="Arial" w:hAnsi="Arial"/>
          <w:sz w:val="18"/>
          <w:szCs w:val="18"/>
          <w:color w:val="auto"/>
        </w:rPr>
        <w:t>Cost of sales for the six months ended June 30, 2023 was $782 million compared to $710 million for the six months ended June 30, 2022, an increase of 10%. The increase was principally driven by increased direct material and manufacturing expense commensurate with increased net sales and higher direct material costs.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14" w:lineRule="exact"/>
        <w:rPr>
          <w:sz w:val="20"/>
          <w:szCs w:val="20"/>
          <w:color w:val="auto"/>
        </w:rPr>
      </w:pPr>
    </w:p>
    <w:p>
      <w:pPr>
        <w:ind w:right="100" w:firstLine="494"/>
        <w:spacing w:after="0" w:line="241" w:lineRule="auto"/>
        <w:rPr>
          <w:sz w:val="20"/>
          <w:szCs w:val="20"/>
          <w:color w:val="auto"/>
        </w:rPr>
      </w:pPr>
      <w:r>
        <w:rPr>
          <w:rFonts w:ascii="Arial" w:cs="Arial" w:eastAsia="Arial" w:hAnsi="Arial"/>
          <w:sz w:val="18"/>
          <w:szCs w:val="18"/>
          <w:color w:val="auto"/>
        </w:rPr>
        <w:t>Gross profit for the six months ended June 30, 2023 was $742 million compared to $631 million for the six months ended June 30, 2022, an increase of 18%. The increase was principally driven by $101 million of price increases on certain products and $47 million related to increased net sales, partially offset by $27 million of higher manufacturing expense and $ 9 million of higher direct material costs. Gross profit as a percent of net sales for the six months ended June 30, 2023 increased 160 basis points compared to the same period in 2022 principally driven by price increases on certain products and increased net sales, partially offset by increased cost of goods sold.</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4" w:lineRule="exact"/>
        <w:rPr>
          <w:sz w:val="20"/>
          <w:szCs w:val="20"/>
          <w:color w:val="auto"/>
        </w:rPr>
      </w:pPr>
    </w:p>
    <w:p>
      <w:pPr>
        <w:jc w:val="both"/>
        <w:ind w:right="140" w:firstLine="494"/>
        <w:spacing w:after="0" w:line="247" w:lineRule="auto"/>
        <w:rPr>
          <w:sz w:val="20"/>
          <w:szCs w:val="20"/>
          <w:color w:val="auto"/>
        </w:rPr>
      </w:pPr>
      <w:r>
        <w:rPr>
          <w:rFonts w:ascii="Arial" w:cs="Arial" w:eastAsia="Arial" w:hAnsi="Arial"/>
          <w:sz w:val="18"/>
          <w:szCs w:val="18"/>
          <w:color w:val="auto"/>
        </w:rPr>
        <w:t>Selling, general and administrative expenses for the six months ended June 30, 2023 were $179 million compared to $153 million for the six months ended June 30, 2022, an increase of 17%. The increase was principally driven by increased commercial activities spending, $8 million of higher incentive compensation expense and $6 million of increased product warranty expense.</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4" w:lineRule="exact"/>
        <w:rPr>
          <w:sz w:val="20"/>
          <w:szCs w:val="20"/>
          <w:color w:val="auto"/>
        </w:rPr>
      </w:pPr>
    </w:p>
    <w:p>
      <w:pPr>
        <w:ind w:right="380" w:firstLine="494"/>
        <w:spacing w:after="0" w:line="260" w:lineRule="auto"/>
        <w:rPr>
          <w:sz w:val="20"/>
          <w:szCs w:val="20"/>
          <w:color w:val="auto"/>
        </w:rPr>
      </w:pPr>
      <w:r>
        <w:rPr>
          <w:rFonts w:ascii="Arial" w:cs="Arial" w:eastAsia="Arial" w:hAnsi="Arial"/>
          <w:sz w:val="18"/>
          <w:szCs w:val="18"/>
          <w:color w:val="auto"/>
        </w:rPr>
        <w:t>Engineering expenses for the six months ended June 30, 2023 were $91 million compared to $89 million for the six months ended June 30, 2022.</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4" w:lineRule="exact"/>
        <w:rPr>
          <w:sz w:val="20"/>
          <w:szCs w:val="20"/>
          <w:color w:val="auto"/>
        </w:rPr>
      </w:pPr>
    </w:p>
    <w:p>
      <w:pPr>
        <w:ind w:right="300" w:firstLine="494"/>
        <w:spacing w:after="0" w:line="260" w:lineRule="auto"/>
        <w:rPr>
          <w:sz w:val="20"/>
          <w:szCs w:val="20"/>
          <w:color w:val="auto"/>
        </w:rPr>
      </w:pPr>
      <w:r>
        <w:rPr>
          <w:rFonts w:ascii="Arial" w:cs="Arial" w:eastAsia="Arial" w:hAnsi="Arial"/>
          <w:sz w:val="18"/>
          <w:szCs w:val="18"/>
          <w:color w:val="auto"/>
        </w:rPr>
        <w:t>Interest expense, net for the six months ended June 30, 2023 was ($56) million compared to ($59) million for the six months ended June 30, 2022, a decrease of 5%. The decrease was principally driven by higher interest income on cash and cash equivalents.</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4" w:lineRule="exact"/>
        <w:rPr>
          <w:sz w:val="20"/>
          <w:szCs w:val="20"/>
          <w:color w:val="auto"/>
        </w:rPr>
      </w:pPr>
    </w:p>
    <w:p>
      <w:pPr>
        <w:ind w:right="120" w:firstLine="494"/>
        <w:spacing w:after="0" w:line="247" w:lineRule="auto"/>
        <w:rPr>
          <w:sz w:val="20"/>
          <w:szCs w:val="20"/>
          <w:color w:val="auto"/>
        </w:rPr>
      </w:pPr>
      <w:r>
        <w:rPr>
          <w:rFonts w:ascii="Arial" w:cs="Arial" w:eastAsia="Arial" w:hAnsi="Arial"/>
          <w:sz w:val="18"/>
          <w:szCs w:val="18"/>
          <w:color w:val="auto"/>
        </w:rPr>
        <w:t>Other income (expense), net for the six months ended June 30, 2023 was $12 million compared to ($13) million for the six months ended June 30, 2022. The change was principally driven by $14 million of favorable change in marketable securities, $8 million of favorable foreign exchange and $5 million of favorable change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assets held in a rabbi trust, partially offset by $3 million unfavorable change in technology-related investment gains.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4" w:lineRule="exact"/>
        <w:rPr>
          <w:sz w:val="20"/>
          <w:szCs w:val="20"/>
          <w:color w:val="auto"/>
        </w:rPr>
      </w:pPr>
    </w:p>
    <w:p>
      <w:pPr>
        <w:ind w:right="340" w:firstLine="494"/>
        <w:spacing w:after="0" w:line="247" w:lineRule="auto"/>
        <w:rPr>
          <w:sz w:val="20"/>
          <w:szCs w:val="20"/>
          <w:color w:val="auto"/>
        </w:rPr>
      </w:pPr>
      <w:r>
        <w:rPr>
          <w:rFonts w:ascii="Arial" w:cs="Arial" w:eastAsia="Arial" w:hAnsi="Arial"/>
          <w:sz w:val="18"/>
          <w:szCs w:val="18"/>
          <w:color w:val="auto"/>
        </w:rPr>
        <w:t>Income tax expense for the six months ended June 30, 2023 was $83 million, resulting in an effective tax rate of 19%, compared to $66 million of income tax expense and an effective tax rate of 21% for the six months ended June 30, 2022. The increase in income tax expense was principally driven by increased taxable income.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4"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$351 million and $232 million as of June 30, 2023 and December 31, 2022, respectively. Of the available cash and cash equivalents, $195 million was deposited in operating accounts and $156 million was invested in U.S. government backed securities and time deposits as of June 30, 2023, compared to $121 million deposited in operating accounts and $111 million invested in U.S. government backed securities as of December 31, 2022.</w:t>
      </w:r>
    </w:p>
    <w:p>
      <w:pPr>
        <w:spacing w:after="0" w:line="86"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As of June 30, 2023, the total of cash held by foreign subsidiaries was $90 million, the majority of which was at our subsidiaries located in the Netherlands, China, India and Japan. We manage our worldwide cash requirements considering available funds among the subsidiaries through which we conduct our business and the cost effectiveness with which those funds can be accessed. As a result, we do not currently anticipate that local liquidity restrictions will preclude us from funding our targeted initiatives or operating needs with local resources.</w:t>
      </w:r>
    </w:p>
    <w:p>
      <w:pPr>
        <w:spacing w:after="0" w:line="135" w:lineRule="exact"/>
        <w:rPr>
          <w:sz w:val="20"/>
          <w:szCs w:val="20"/>
          <w:color w:val="auto"/>
        </w:rPr>
      </w:pPr>
    </w:p>
    <w:p>
      <w:pPr>
        <w:ind w:right="20" w:firstLine="494"/>
        <w:spacing w:after="0" w:line="241" w:lineRule="auto"/>
        <w:rPr>
          <w:sz w:val="20"/>
          <w:szCs w:val="20"/>
          <w:color w:val="auto"/>
        </w:rPr>
      </w:pPr>
      <w:r>
        <w:rPr>
          <w:rFonts w:ascii="Arial" w:cs="Arial" w:eastAsia="Arial" w:hAnsi="Arial"/>
          <w:sz w:val="18"/>
          <w:szCs w:val="18"/>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35" w:lineRule="exact"/>
        <w:rPr>
          <w:sz w:val="20"/>
          <w:szCs w:val="20"/>
          <w:color w:val="auto"/>
        </w:rPr>
      </w:pPr>
    </w:p>
    <w:p>
      <w:pPr>
        <w:ind w:right="120" w:firstLine="494"/>
        <w:spacing w:after="0" w:line="238" w:lineRule="auto"/>
        <w:rPr>
          <w:sz w:val="20"/>
          <w:szCs w:val="20"/>
          <w:color w:val="auto"/>
        </w:rPr>
      </w:pPr>
      <w:r>
        <w:rPr>
          <w:rFonts w:ascii="Arial" w:cs="Arial" w:eastAsia="Arial" w:hAnsi="Arial"/>
          <w:sz w:val="18"/>
          <w:szCs w:val="18"/>
          <w:color w:val="auto"/>
        </w:rPr>
        <w:t>Our liquidity requirements are significant, primarily due to our debt service requirements. As of June 30, 2023, we had $622 million of indebtedness associated with ATI’s Term Loan, $400 million of indebtedness associated with ATI’s 4.75% Senior Notes due October 2027 (“4.75% Senior Notes”), $500 million of indebtedness associated with ATI’s 5.875% Senior Notes due June 2029 (“5.875% Senior Notes”) and $1,000 million of indebtedness associated with ATI’s 3.75% Senior Notes due January 2031 (“3.75% Senior Notes” and, together with the 4.75% Senior Notes and 5.875% Senior Notes, the “Senior Notes”). Short-term and long-term debt service liquidity requirements consist of $2 million of minimum required quarterly principal payments on ATI’s Term Loan through its maturity date of March 2026 and periodic interest payments on ATI’s Term Loan and the Senior Notes. There are no required quarterly principal payments on the Senior Notes. Long-term debt service liquidity requirements also consist of the payment in full of any remaining principal balance of ATI’s Term Loan and the Senior Notes upon their respective maturity dates.</w:t>
      </w:r>
    </w:p>
    <w:p>
      <w:pPr>
        <w:spacing w:after="0" w:line="137" w:lineRule="exact"/>
        <w:rPr>
          <w:sz w:val="20"/>
          <w:szCs w:val="20"/>
          <w:color w:val="auto"/>
        </w:rPr>
      </w:pPr>
    </w:p>
    <w:p>
      <w:pPr>
        <w:ind w:right="120" w:firstLine="494"/>
        <w:spacing w:after="0" w:line="247" w:lineRule="auto"/>
        <w:rPr>
          <w:sz w:val="20"/>
          <w:szCs w:val="20"/>
          <w:color w:val="auto"/>
        </w:rPr>
      </w:pPr>
      <w:r>
        <w:rPr>
          <w:rFonts w:ascii="Arial" w:cs="Arial" w:eastAsia="Arial" w:hAnsi="Arial"/>
          <w:sz w:val="18"/>
          <w:szCs w:val="18"/>
          <w:color w:val="auto"/>
        </w:rPr>
        <w:t>We made $3 million of principal payments on the Term Loan during each of the six months ended June 30, 2023 and 2022. Our ability to make payments on and refinance our indebtedness and to fund planned capital expenditures and growth initiatives will depend on our ability to generate cash in the future.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41" w:lineRule="exact"/>
        <w:rPr>
          <w:sz w:val="20"/>
          <w:szCs w:val="20"/>
          <w:color w:val="auto"/>
        </w:rPr>
      </w:pPr>
    </w:p>
    <w:p>
      <w:pPr>
        <w:ind w:right="120" w:firstLine="494"/>
        <w:spacing w:after="0" w:line="237" w:lineRule="auto"/>
        <w:rPr>
          <w:sz w:val="20"/>
          <w:szCs w:val="20"/>
          <w:color w:val="auto"/>
        </w:rPr>
      </w:pPr>
      <w:r>
        <w:rPr>
          <w:rFonts w:ascii="Arial" w:cs="Arial" w:eastAsia="Arial" w:hAnsi="Arial"/>
          <w:sz w:val="18"/>
          <w:szCs w:val="18"/>
          <w:color w:val="auto"/>
        </w:rPr>
        <w:t>The Senior Secured Credit Facility provides for a $650 million Revolving Credit Facility, net of an allowance for up to $75 million in outstanding letter of credit commitments. As of June 30, 2023, we had $645 million available under the Revolving Credit Facility, net of $5 million in letters of credit. As of June 30, 2023, we had no amounts outstanding under the Revolving Credit Facility.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June 30, 2023, our first lien net leverage ratio was 0.26x.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spacing w:after="0" w:line="141" w:lineRule="exact"/>
        <w:rPr>
          <w:sz w:val="20"/>
          <w:szCs w:val="20"/>
          <w:color w:val="auto"/>
        </w:rPr>
      </w:pPr>
    </w:p>
    <w:p>
      <w:pPr>
        <w:ind w:right="60" w:firstLine="494"/>
        <w:spacing w:after="0" w:line="239" w:lineRule="auto"/>
        <w:rPr>
          <w:sz w:val="20"/>
          <w:szCs w:val="20"/>
          <w:color w:val="auto"/>
        </w:rPr>
      </w:pPr>
      <w:r>
        <w:rPr>
          <w:rFonts w:ascii="Arial" w:cs="Arial" w:eastAsia="Arial" w:hAnsi="Arial"/>
          <w:sz w:val="18"/>
          <w:szCs w:val="18"/>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June 30, 2023, we are in compliance with all covenants under the Senior Secured Credit Facility and indentures governing the Senior Notes.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credit ratings and outlook are reviewed periodically by Moody’s Investors Service, Inc. (“Moody’s”) and Fitch Ratings, Inc. (“Fitch”).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our credit ratings from both Moody's and Fitch are shown in the table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June 30, 2023</w:t>
            </w:r>
          </w:p>
        </w:tc>
      </w:tr>
      <w:tr>
        <w:trPr>
          <w:trHeight w:val="183"/>
        </w:trPr>
        <w:tc>
          <w:tcPr>
            <w:tcW w:w="6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Credit Ratings</w:t>
            </w:r>
          </w:p>
        </w:tc>
        <w:tc>
          <w:tcPr>
            <w:tcW w:w="18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Moody's</w:t>
            </w:r>
          </w:p>
        </w:tc>
        <w:tc>
          <w:tcPr>
            <w:tcW w:w="6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Fitch</w:t>
            </w:r>
          </w:p>
        </w:tc>
      </w:tr>
      <w:tr>
        <w:trPr>
          <w:trHeight w:val="223"/>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Credit</w:t>
            </w:r>
          </w:p>
        </w:tc>
        <w:tc>
          <w:tcPr>
            <w:tcW w:w="1820" w:type="dxa"/>
            <w:vAlign w:val="bottom"/>
            <w:shd w:val="clear" w:color="auto" w:fill="CFF0FC"/>
          </w:tcPr>
          <w:p>
            <w:pPr>
              <w:jc w:val="center"/>
              <w:ind w:left="573"/>
              <w:spacing w:after="0"/>
              <w:rPr>
                <w:sz w:val="20"/>
                <w:szCs w:val="20"/>
                <w:color w:val="auto"/>
              </w:rPr>
            </w:pPr>
            <w:r>
              <w:rPr>
                <w:rFonts w:ascii="Arial" w:cs="Arial" w:eastAsia="Arial" w:hAnsi="Arial"/>
                <w:sz w:val="18"/>
                <w:szCs w:val="18"/>
                <w:color w:val="auto"/>
                <w:w w:val="99"/>
              </w:rPr>
              <w:t>Ba1</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Term Loan</w:t>
            </w:r>
          </w:p>
        </w:tc>
        <w:tc>
          <w:tcPr>
            <w:tcW w:w="1820" w:type="dxa"/>
            <w:vAlign w:val="bottom"/>
          </w:tcPr>
          <w:p>
            <w:pPr>
              <w:jc w:val="center"/>
              <w:ind w:left="593"/>
              <w:spacing w:after="0"/>
              <w:rPr>
                <w:sz w:val="20"/>
                <w:szCs w:val="20"/>
                <w:color w:val="auto"/>
              </w:rPr>
            </w:pPr>
            <w:r>
              <w:rPr>
                <w:rFonts w:ascii="Arial" w:cs="Arial" w:eastAsia="Arial" w:hAnsi="Arial"/>
                <w:sz w:val="18"/>
                <w:szCs w:val="18"/>
                <w:color w:val="auto"/>
                <w:w w:val="99"/>
              </w:rPr>
              <w:t>Baa2</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9"/>
              </w:rPr>
              <w:t>BBB-</w:t>
            </w:r>
          </w:p>
        </w:tc>
      </w:tr>
      <w:tr>
        <w:trPr>
          <w:trHeight w:val="229"/>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4.75% Senior Notes</w:t>
            </w:r>
          </w:p>
        </w:tc>
        <w:tc>
          <w:tcPr>
            <w:tcW w:w="1820" w:type="dxa"/>
            <w:vAlign w:val="bottom"/>
            <w:shd w:val="clear" w:color="auto" w:fill="CFF0FC"/>
          </w:tcPr>
          <w:p>
            <w:pPr>
              <w:jc w:val="center"/>
              <w:ind w:left="573"/>
              <w:spacing w:after="0"/>
              <w:rPr>
                <w:sz w:val="20"/>
                <w:szCs w:val="20"/>
                <w:color w:val="auto"/>
              </w:rPr>
            </w:pPr>
            <w:r>
              <w:rPr>
                <w:rFonts w:ascii="Arial" w:cs="Arial" w:eastAsia="Arial" w:hAnsi="Arial"/>
                <w:sz w:val="18"/>
                <w:szCs w:val="18"/>
                <w:color w:val="auto"/>
                <w:w w:val="99"/>
              </w:rPr>
              <w:t>Ba2</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5.875% Senior Notes</w:t>
            </w:r>
          </w:p>
        </w:tc>
        <w:tc>
          <w:tcPr>
            <w:tcW w:w="1820" w:type="dxa"/>
            <w:vAlign w:val="bottom"/>
          </w:tcPr>
          <w:p>
            <w:pPr>
              <w:jc w:val="center"/>
              <w:ind w:left="573"/>
              <w:spacing w:after="0"/>
              <w:rPr>
                <w:sz w:val="20"/>
                <w:szCs w:val="20"/>
                <w:color w:val="auto"/>
              </w:rPr>
            </w:pPr>
            <w:r>
              <w:rPr>
                <w:rFonts w:ascii="Arial" w:cs="Arial" w:eastAsia="Arial" w:hAnsi="Arial"/>
                <w:sz w:val="18"/>
                <w:szCs w:val="18"/>
                <w:color w:val="auto"/>
                <w:w w:val="99"/>
              </w:rPr>
              <w:t>Ba2</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8"/>
              </w:rPr>
              <w:t>BB+</w:t>
            </w:r>
          </w:p>
        </w:tc>
      </w:tr>
      <w:tr>
        <w:trPr>
          <w:trHeight w:val="230"/>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3.75% Senior Notes</w:t>
            </w:r>
          </w:p>
        </w:tc>
        <w:tc>
          <w:tcPr>
            <w:tcW w:w="1820" w:type="dxa"/>
            <w:vAlign w:val="bottom"/>
            <w:shd w:val="clear" w:color="auto" w:fill="CFF0FC"/>
          </w:tcPr>
          <w:p>
            <w:pPr>
              <w:jc w:val="center"/>
              <w:ind w:left="573"/>
              <w:spacing w:after="0"/>
              <w:rPr>
                <w:sz w:val="20"/>
                <w:szCs w:val="20"/>
                <w:color w:val="auto"/>
              </w:rPr>
            </w:pPr>
            <w:r>
              <w:rPr>
                <w:rFonts w:ascii="Arial" w:cs="Arial" w:eastAsia="Arial" w:hAnsi="Arial"/>
                <w:sz w:val="18"/>
                <w:szCs w:val="18"/>
                <w:color w:val="auto"/>
                <w:w w:val="99"/>
              </w:rPr>
              <w:t>Ba2</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bl>
    <w:p>
      <w:pPr>
        <w:spacing w:after="0" w:line="149" w:lineRule="exact"/>
        <w:rPr>
          <w:sz w:val="20"/>
          <w:szCs w:val="20"/>
          <w:color w:val="auto"/>
        </w:rPr>
      </w:pPr>
    </w:p>
    <w:p>
      <w:pPr>
        <w:ind w:right="20" w:firstLine="494"/>
        <w:spacing w:after="0" w:line="243" w:lineRule="auto"/>
        <w:rPr>
          <w:sz w:val="20"/>
          <w:szCs w:val="20"/>
          <w:color w:val="auto"/>
        </w:rPr>
      </w:pPr>
      <w:r>
        <w:rPr>
          <w:rFonts w:ascii="Arial" w:cs="Arial" w:eastAsia="Arial" w:hAnsi="Arial"/>
          <w:sz w:val="18"/>
          <w:szCs w:val="18"/>
          <w:color w:val="auto"/>
        </w:rPr>
        <w:t>Our Board of Directors has authorized us to repurchase up to $4,000 million of our common stock pursuant to a stock repurchase program (the "Repurchase Program"). During the six months ended June 30, 2023, we repurchased approximately $ 137 million of our common stock under the Repurchase Program. All of the repurchase transactions during the six months ended June 30, 2023 were settled in cash during the same period. As of June 30, 2023, we had approximately $898 million available under the Repurchase Program.</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sources and uses of funds for the six months ended June 30, 2023 and 2022 (dollars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tcPr>
          <w:p>
            <w:pPr>
              <w:spacing w:after="0"/>
              <w:rPr>
                <w:sz w:val="14"/>
                <w:szCs w:val="14"/>
                <w:color w:val="auto"/>
              </w:rPr>
            </w:pPr>
          </w:p>
        </w:tc>
      </w:tr>
      <w:tr>
        <w:trPr>
          <w:trHeight w:val="189"/>
        </w:trPr>
        <w:tc>
          <w:tcPr>
            <w:tcW w:w="76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r>
      <w:tr>
        <w:trPr>
          <w:trHeight w:val="183"/>
        </w:trPr>
        <w:tc>
          <w:tcPr>
            <w:tcW w:w="7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Statements of Cash Flows Data</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2022</w:t>
            </w:r>
          </w:p>
        </w:tc>
      </w:tr>
      <w:tr>
        <w:trPr>
          <w:trHeight w:val="22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1020" w:type="dxa"/>
            <w:vAlign w:val="bottom"/>
            <w:shd w:val="clear" w:color="auto" w:fill="CFF0FC"/>
          </w:tcPr>
          <w:p>
            <w:pPr>
              <w:jc w:val="right"/>
              <w:ind w:right="835"/>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FF0FC"/>
          </w:tcPr>
          <w:p>
            <w:pPr>
              <w:jc w:val="right"/>
              <w:ind w:right="77"/>
              <w:spacing w:after="0"/>
              <w:rPr>
                <w:sz w:val="20"/>
                <w:szCs w:val="20"/>
                <w:color w:val="auto"/>
              </w:rPr>
            </w:pPr>
            <w:r>
              <w:rPr>
                <w:rFonts w:ascii="Arial" w:cs="Arial" w:eastAsia="Arial" w:hAnsi="Arial"/>
                <w:sz w:val="18"/>
                <w:szCs w:val="18"/>
                <w:b w:val="1"/>
                <w:bCs w:val="1"/>
                <w:color w:val="auto"/>
              </w:rPr>
              <w:t>334</w:t>
            </w:r>
          </w:p>
        </w:tc>
        <w:tc>
          <w:tcPr>
            <w:tcW w:w="7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226</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1020" w:type="dxa"/>
            <w:vAlign w:val="bottom"/>
          </w:tcPr>
          <w:p>
            <w:pPr>
              <w:jc w:val="right"/>
              <w:ind w:right="835"/>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(41 )</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2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1020" w:type="dxa"/>
            <w:vAlign w:val="bottom"/>
            <w:shd w:val="clear" w:color="auto" w:fill="CFF0FC"/>
          </w:tcPr>
          <w:p>
            <w:pPr>
              <w:jc w:val="right"/>
              <w:ind w:right="835"/>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(174 )</w:t>
            </w:r>
          </w:p>
        </w:tc>
        <w:tc>
          <w:tcPr>
            <w:tcW w:w="7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(162 )</w:t>
            </w:r>
          </w:p>
        </w:tc>
      </w:tr>
    </w:tbl>
    <w:p>
      <w:pPr>
        <w:spacing w:after="0" w:line="190" w:lineRule="exact"/>
        <w:rPr>
          <w:sz w:val="20"/>
          <w:szCs w:val="20"/>
          <w:color w:val="auto"/>
        </w:rPr>
      </w:pPr>
    </w:p>
    <w:p>
      <w:pPr>
        <w:ind w:right="40" w:firstLine="494"/>
        <w:spacing w:after="0" w:line="262" w:lineRule="auto"/>
        <w:rPr>
          <w:sz w:val="20"/>
          <w:szCs w:val="20"/>
          <w:color w:val="auto"/>
        </w:rPr>
      </w:pPr>
      <w:r>
        <w:rPr>
          <w:rFonts w:ascii="Arial" w:cs="Arial" w:eastAsia="Arial" w:hAnsi="Arial"/>
          <w:sz w:val="17"/>
          <w:szCs w:val="17"/>
          <w:color w:val="auto"/>
        </w:rPr>
        <w:t>Generally, cash provided by operating activities has been adequate to fund our operations. We have significant liquidity, including $ 351 million of cash and cash equivalents and $645 million available under the Revolving Credit Facility, net of $5 million of letters of credit, as of June 30, 2023. At this time, we believe cash provided by operating activities, cash and cash equivalents and borrowing capacity under the Revolving Credit Facility will be sufficient to meet our known and anticipated cash requirements for the next twelve months and thereafter.</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4" w:lineRule="exact"/>
        <w:rPr>
          <w:sz w:val="20"/>
          <w:szCs w:val="20"/>
          <w:color w:val="auto"/>
        </w:rPr>
      </w:pPr>
    </w:p>
    <w:p>
      <w:pPr>
        <w:ind w:right="260" w:firstLine="494"/>
        <w:spacing w:after="0" w:line="247" w:lineRule="auto"/>
        <w:rPr>
          <w:sz w:val="20"/>
          <w:szCs w:val="20"/>
          <w:color w:val="auto"/>
        </w:rPr>
      </w:pPr>
      <w:r>
        <w:rPr>
          <w:rFonts w:ascii="Arial" w:cs="Arial" w:eastAsia="Arial" w:hAnsi="Arial"/>
          <w:sz w:val="18"/>
          <w:szCs w:val="18"/>
          <w:color w:val="auto"/>
        </w:rPr>
        <w:t>Operating activities for the six months ended June 30, 2023 generated $334 million of cash compared to $226 million for the six months ended June 30, 2022. The increase was principally driven by higher gross profit and lower operating working capital requirements, partially offset by higher cash income taxes.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14" w:lineRule="exact"/>
        <w:rPr>
          <w:sz w:val="20"/>
          <w:szCs w:val="20"/>
          <w:color w:val="auto"/>
        </w:rPr>
      </w:pPr>
    </w:p>
    <w:p>
      <w:pPr>
        <w:ind w:right="100" w:firstLine="499"/>
        <w:spacing w:after="0" w:line="243" w:lineRule="auto"/>
        <w:rPr>
          <w:sz w:val="20"/>
          <w:szCs w:val="20"/>
          <w:color w:val="auto"/>
        </w:rPr>
      </w:pPr>
      <w:r>
        <w:rPr>
          <w:rFonts w:ascii="Arial" w:cs="Arial" w:eastAsia="Arial" w:hAnsi="Arial"/>
          <w:sz w:val="18"/>
          <w:szCs w:val="18"/>
          <w:color w:val="auto"/>
        </w:rPr>
        <w:t>Investing activities for the six months ended June 30, 2023 used $41 million of cash compared to $68 million for the six months ended June 30, 2022. The decrease was principally driven by $23 million in cash paid for business acquisitions during the first half of 2022 that did not reoccur in the first half of 2023 and a $7 million decrease in capital expenditures, partially offset by $4 million of lower proceeds from technology-related investments.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14" w:lineRule="exact"/>
        <w:rPr>
          <w:sz w:val="20"/>
          <w:szCs w:val="20"/>
          <w:color w:val="auto"/>
        </w:rPr>
      </w:pPr>
    </w:p>
    <w:p>
      <w:pPr>
        <w:jc w:val="both"/>
        <w:ind w:right="340" w:firstLine="494"/>
        <w:spacing w:after="0" w:line="247" w:lineRule="auto"/>
        <w:rPr>
          <w:sz w:val="20"/>
          <w:szCs w:val="20"/>
          <w:color w:val="auto"/>
        </w:rPr>
      </w:pPr>
      <w:r>
        <w:rPr>
          <w:rFonts w:ascii="Arial" w:cs="Arial" w:eastAsia="Arial" w:hAnsi="Arial"/>
          <w:sz w:val="18"/>
          <w:szCs w:val="18"/>
          <w:color w:val="auto"/>
        </w:rPr>
        <w:t>Financing activities for the six months ended June 30, 2023 used $174 million of cash compared to $162 million for the six months ended June 30, 2022. The increase was principally driven by $22 million of increased stock repurchases under the Repurchase Program, partially offset by $13 million of higher proceeds from the exercise of stock options.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14"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14"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A discussion of our critical accounting policies and significant accounting estimates is included in Part II, Item 7, “Management’s Discussion and Analysis of Financial Condition and Results of Operations” in our Annual Report on Form 10-K for the year ended December 31, 2022 as filed with the Securities and Exchange Commission on February 16, 2023.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three and six months ended June 30,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B. Summary of Significant Accounting Policies” in Part I, Item 1, of this Quarterly Report on Form 10-Q.</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4" w:lineRule="exact"/>
        <w:rPr>
          <w:sz w:val="20"/>
          <w:szCs w:val="20"/>
          <w:color w:val="auto"/>
        </w:rPr>
      </w:pPr>
    </w:p>
    <w:p>
      <w:pPr>
        <w:ind w:firstLine="494"/>
        <w:spacing w:after="0" w:line="235" w:lineRule="auto"/>
        <w:rPr>
          <w:sz w:val="20"/>
          <w:szCs w:val="20"/>
          <w:color w:val="auto"/>
        </w:rPr>
      </w:pPr>
      <w:r>
        <w:rPr>
          <w:rFonts w:ascii="Arial" w:cs="Arial" w:eastAsia="Arial" w:hAnsi="Arial"/>
          <w:sz w:val="18"/>
          <w:szCs w:val="18"/>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 wars and pandemics; global economic volatility; general economic and industry conditions, including the risk of recession; labor strikes, work stoppages or similar labor disputes, which could significantly disrupt our operations or those of our principal customers or suppliers; the duration and spread of the COVID-19 pandemic, including new variants of the virus and the pace and availability of vaccines and boosters, mitigating efforts deployed by government agencies and the public at large, and the overall impact from such outbreak on economic conditions, financial market volatility and our business, including but not limited to the operations of our manufacturing and other facilities, the availability of labor, our supply chain, our distribution processes and demand for our products and the corresponding impacts to our net sales and cash flow; the highly cyclical industries in which certain of our end users operate; uncertainty in the global regulatory and business environments in which we operate; the concentration of our net sales in our top five customers and the loss of any one of these;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w:t>
      </w:r>
    </w:p>
    <w:p>
      <w:pPr>
        <w:spacing w:after="0" w:line="104" w:lineRule="exact"/>
        <w:rPr>
          <w:sz w:val="20"/>
          <w:szCs w:val="20"/>
          <w:color w:val="auto"/>
        </w:rPr>
      </w:pPr>
    </w:p>
    <w:p>
      <w:pPr>
        <w:ind w:right="80" w:firstLine="494"/>
        <w:spacing w:after="0" w:line="239"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2022 as filed with the Securities and Exchange Commission on February 16, 2023 and Part II, Item 1A of this Quarterly Report on Form 10-Q. All written and oral forward-looking statements attributable to us, or persons acting on our behalf, are expressly qualified in their entirety by these cautionary statements as well as other cautionary statements that are made from time to time in our other Securities and Exchange Commission filings or public communications. You should evaluate all forward-looking statements made in this Quarterly Report on Form 10-Q in the context of these risks and uncertainties.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6" w:lineRule="exact"/>
        <w:rPr>
          <w:sz w:val="20"/>
          <w:szCs w:val="20"/>
          <w:color w:val="auto"/>
        </w:rPr>
      </w:pPr>
    </w:p>
    <w:p>
      <w:pPr>
        <w:ind w:right="420" w:firstLine="499"/>
        <w:spacing w:after="0" w:line="260" w:lineRule="auto"/>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4" w:lineRule="exact"/>
        <w:rPr>
          <w:sz w:val="20"/>
          <w:szCs w:val="20"/>
          <w:color w:val="auto"/>
        </w:rPr>
      </w:pPr>
    </w:p>
    <w:p>
      <w:pPr>
        <w:ind w:right="80" w:firstLine="499"/>
        <w:spacing w:after="0" w:line="239" w:lineRule="auto"/>
        <w:rPr>
          <w:sz w:val="20"/>
          <w:szCs w:val="20"/>
          <w:color w:val="auto"/>
        </w:rPr>
      </w:pPr>
      <w:r>
        <w:rPr>
          <w:rFonts w:ascii="Arial" w:cs="Arial" w:eastAsia="Arial" w:hAnsi="Arial"/>
          <w:sz w:val="18"/>
          <w:szCs w:val="18"/>
          <w:color w:val="auto"/>
        </w:rPr>
        <w:t>Our principal interest rate exposure relates to outstanding amounts under our Senior Secured Credit Facility. Our Senior Secured Credit Facility provides for variable rate borrowings of up to $1,267 million, including $645 million under our Revolving Credit Facility, net of $5 million of letters of credit. As of June 30, 2023, we held interest rate swap contracts that, in the aggregate, effectively hedge $500 million of the variable rate debt associated with the Term Loan at the forward-looking term rate based on the Secured Overnight Financing Rate weighted average fixed rate of 2.81% through September 2025. A one-eighth percent increase or decrease in assumed interest rates for the Senior Secured Credit Facility, if fully drawn as of June 30, 2023, would have an impact of approximately $1 million on interest expense per year. As of June 30, 2023, we had no outstanding borrowings against the Revolving Credit Facility.</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4" w:lineRule="exact"/>
        <w:rPr>
          <w:sz w:val="20"/>
          <w:szCs w:val="20"/>
          <w:color w:val="auto"/>
        </w:rPr>
      </w:pPr>
    </w:p>
    <w:p>
      <w:pPr>
        <w:ind w:right="160" w:firstLine="499"/>
        <w:spacing w:after="0" w:line="243"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80" w:lineRule="exact"/>
        <w:rPr>
          <w:sz w:val="20"/>
          <w:szCs w:val="20"/>
          <w:color w:val="auto"/>
        </w:rPr>
      </w:pPr>
    </w:p>
    <w:p>
      <w:pPr>
        <w:jc w:val="both"/>
        <w:ind w:firstLine="499"/>
        <w:spacing w:after="0" w:line="247"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Chinese Yuan Renminbi, Euro, Indian Rupee, and Japanese Yen would correspondingly change our earnings, net of tax, by an estimated $6 million per year. We believe our other direct exposure to foreign currencies is immaterial.</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4" w:lineRule="exact"/>
        <w:rPr>
          <w:sz w:val="20"/>
          <w:szCs w:val="20"/>
          <w:color w:val="auto"/>
        </w:rPr>
      </w:pPr>
    </w:p>
    <w:p>
      <w:pPr>
        <w:ind w:right="60" w:firstLine="499"/>
        <w:spacing w:after="0" w:line="239" w:lineRule="auto"/>
        <w:rPr>
          <w:sz w:val="20"/>
          <w:szCs w:val="20"/>
          <w:color w:val="auto"/>
        </w:rPr>
      </w:pPr>
      <w:r>
        <w:rPr>
          <w:rFonts w:ascii="Arial" w:cs="Arial" w:eastAsia="Arial" w:hAnsi="Arial"/>
          <w:sz w:val="18"/>
          <w:szCs w:val="18"/>
          <w:color w:val="auto"/>
        </w:rPr>
        <w:t>We are subject to changes in our cost of sales caused by movements in underlying commodity prices. As of June 30, 2023, approximately 67% of our cost of sales consisted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includes an index-based component. As our costs change, we are able to pass through a portion of the changes in commodity prices to certain of our customers according to our LTAs. We historically have not entered into long-term purchase contracts related to the purchase of aluminum and steel.</w:t>
      </w:r>
    </w:p>
    <w:p>
      <w:pPr>
        <w:spacing w:after="0" w:line="83" w:lineRule="exact"/>
        <w:rPr>
          <w:sz w:val="20"/>
          <w:szCs w:val="20"/>
          <w:color w:val="auto"/>
        </w:rPr>
      </w:pPr>
    </w:p>
    <w:p>
      <w:pPr>
        <w:ind w:right="220" w:firstLine="499"/>
        <w:spacing w:after="0" w:line="260" w:lineRule="auto"/>
        <w:rPr>
          <w:sz w:val="20"/>
          <w:szCs w:val="20"/>
          <w:color w:val="auto"/>
        </w:rPr>
      </w:pPr>
      <w:r>
        <w:rPr>
          <w:rFonts w:ascii="Arial" w:cs="Arial" w:eastAsia="Arial" w:hAnsi="Arial"/>
          <w:sz w:val="18"/>
          <w:szCs w:val="18"/>
          <w:color w:val="auto"/>
        </w:rPr>
        <w:t>Assuming current levels of commodity purchases, a 10% variation in the price of aluminum and steel would correspondingly change our earnings by approximately $9 million and $12 million per year, respectively.</w:t>
      </w:r>
    </w:p>
    <w:p>
      <w:pPr>
        <w:spacing w:after="0" w:line="65" w:lineRule="exact"/>
        <w:rPr>
          <w:sz w:val="20"/>
          <w:szCs w:val="20"/>
          <w:color w:val="auto"/>
        </w:rPr>
      </w:pPr>
    </w:p>
    <w:p>
      <w:pPr>
        <w:ind w:right="40" w:firstLine="499"/>
        <w:spacing w:after="0" w:line="260" w:lineRule="auto"/>
        <w:rPr>
          <w:sz w:val="20"/>
          <w:szCs w:val="20"/>
          <w:color w:val="auto"/>
        </w:rPr>
      </w:pPr>
      <w:r>
        <w:rPr>
          <w:rFonts w:ascii="Arial" w:cs="Arial" w:eastAsia="Arial" w:hAnsi="Arial"/>
          <w:sz w:val="18"/>
          <w:szCs w:val="18"/>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4" w:lineRule="exact"/>
        <w:rPr>
          <w:sz w:val="20"/>
          <w:szCs w:val="20"/>
          <w:color w:val="auto"/>
        </w:rPr>
      </w:pPr>
    </w:p>
    <w:p>
      <w:pPr>
        <w:ind w:right="100" w:firstLine="499"/>
        <w:spacing w:after="0" w:line="23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83" w:lineRule="exact"/>
        <w:rPr>
          <w:sz w:val="20"/>
          <w:szCs w:val="20"/>
          <w:color w:val="auto"/>
        </w:rPr>
      </w:pPr>
    </w:p>
    <w:p>
      <w:pPr>
        <w:ind w:firstLine="499"/>
        <w:spacing w:after="0" w:line="239" w:lineRule="auto"/>
        <w:rPr>
          <w:sz w:val="20"/>
          <w:szCs w:val="20"/>
          <w:color w:val="auto"/>
        </w:rPr>
      </w:pPr>
      <w:r>
        <w:rPr>
          <w:rFonts w:ascii="Arial" w:cs="Arial" w:eastAsia="Arial" w:hAnsi="Arial"/>
          <w:sz w:val="18"/>
          <w:szCs w:val="18"/>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4" w:lineRule="exact"/>
        <w:rPr>
          <w:sz w:val="20"/>
          <w:szCs w:val="20"/>
          <w:color w:val="auto"/>
        </w:rPr>
      </w:pPr>
    </w:p>
    <w:p>
      <w:pPr>
        <w:ind w:right="20" w:firstLine="499"/>
        <w:spacing w:after="0" w:line="247"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4" w:lineRule="exact"/>
        <w:rPr>
          <w:sz w:val="20"/>
          <w:szCs w:val="20"/>
          <w:color w:val="auto"/>
        </w:rPr>
      </w:pPr>
    </w:p>
    <w:p>
      <w:pPr>
        <w:ind w:right="100" w:firstLine="499"/>
        <w:spacing w:after="0" w:line="262" w:lineRule="auto"/>
        <w:rPr>
          <w:sz w:val="20"/>
          <w:szCs w:val="20"/>
          <w:color w:val="auto"/>
        </w:rPr>
      </w:pPr>
      <w:r>
        <w:rPr>
          <w:rFonts w:ascii="Arial" w:cs="Arial" w:eastAsia="Arial" w:hAnsi="Arial"/>
          <w:sz w:val="17"/>
          <w:szCs w:val="17"/>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P. Commitments and Contingencies” in the notes to the condensed consolidated financial statements included in Part I, Item 1 of this Quarterly Report on Form 10-Q, which information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4" w:lineRule="exact"/>
        <w:rPr>
          <w:sz w:val="20"/>
          <w:szCs w:val="20"/>
          <w:color w:val="auto"/>
        </w:rPr>
      </w:pPr>
    </w:p>
    <w:p>
      <w:pPr>
        <w:ind w:right="20" w:firstLine="499"/>
        <w:spacing w:after="0" w:line="260"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2022 as filed with the Securities and Exchange Commission on February 16, 2023.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4" w:lineRule="exact"/>
        <w:rPr>
          <w:sz w:val="20"/>
          <w:szCs w:val="20"/>
          <w:color w:val="auto"/>
        </w:rPr>
      </w:pPr>
    </w:p>
    <w:p>
      <w:pPr>
        <w:ind w:right="500" w:firstLine="499"/>
        <w:spacing w:after="0" w:line="260" w:lineRule="auto"/>
        <w:rPr>
          <w:sz w:val="20"/>
          <w:szCs w:val="20"/>
          <w:color w:val="auto"/>
        </w:rPr>
      </w:pPr>
      <w:r>
        <w:rPr>
          <w:rFonts w:ascii="Arial" w:cs="Arial" w:eastAsia="Arial" w:hAnsi="Arial"/>
          <w:sz w:val="18"/>
          <w:szCs w:val="18"/>
          <w:color w:val="auto"/>
        </w:rPr>
        <w:t>The following table sets forth information related to our repurchases of our common stock on a monthly basis in the three months ended June 30,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66"/>
              <w:spacing w:after="0"/>
              <w:rPr>
                <w:sz w:val="20"/>
                <w:szCs w:val="20"/>
                <w:color w:val="auto"/>
              </w:rPr>
            </w:pPr>
            <w:r>
              <w:rPr>
                <w:rFonts w:ascii="Arial" w:cs="Arial" w:eastAsia="Arial" w:hAnsi="Arial"/>
                <w:sz w:val="14"/>
                <w:szCs w:val="14"/>
                <w:b w:val="1"/>
                <w:bCs w:val="1"/>
                <w:color w:val="auto"/>
              </w:rPr>
              <w:t>Total Number</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6"/>
              <w:spacing w:after="0"/>
              <w:rPr>
                <w:sz w:val="20"/>
                <w:szCs w:val="20"/>
                <w:color w:val="auto"/>
              </w:rPr>
            </w:pPr>
            <w:r>
              <w:rPr>
                <w:rFonts w:ascii="Arial" w:cs="Arial" w:eastAsia="Arial" w:hAnsi="Arial"/>
                <w:sz w:val="14"/>
                <w:szCs w:val="14"/>
                <w:b w:val="1"/>
                <w:bCs w:val="1"/>
                <w:color w:val="auto"/>
              </w:rPr>
              <w:t>of Shares</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6"/>
              <w:spacing w:after="0"/>
              <w:rPr>
                <w:sz w:val="20"/>
                <w:szCs w:val="20"/>
                <w:color w:val="auto"/>
              </w:rPr>
            </w:pPr>
            <w:r>
              <w:rPr>
                <w:rFonts w:ascii="Arial" w:cs="Arial" w:eastAsia="Arial" w:hAnsi="Arial"/>
                <w:sz w:val="14"/>
                <w:szCs w:val="14"/>
                <w:b w:val="1"/>
                <w:bCs w:val="1"/>
                <w:color w:val="auto"/>
              </w:rPr>
              <w:t>Purchased</w:t>
            </w:r>
          </w:p>
        </w:tc>
        <w:tc>
          <w:tcPr>
            <w:tcW w:w="280" w:type="dxa"/>
            <w:vAlign w:val="bottom"/>
          </w:tcPr>
          <w:p>
            <w:pPr>
              <w:spacing w:after="0"/>
              <w:rPr>
                <w:sz w:val="14"/>
                <w:szCs w:val="14"/>
                <w:color w:val="auto"/>
              </w:rPr>
            </w:pPr>
          </w:p>
        </w:tc>
        <w:tc>
          <w:tcPr>
            <w:tcW w:w="1140" w:type="dxa"/>
            <w:vAlign w:val="bottom"/>
          </w:tcPr>
          <w:p>
            <w:pPr>
              <w:jc w:val="center"/>
              <w:ind w:right="176"/>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5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6"/>
              <w:spacing w:after="0"/>
              <w:rPr>
                <w:sz w:val="20"/>
                <w:szCs w:val="20"/>
                <w:color w:val="auto"/>
              </w:rPr>
            </w:pPr>
            <w:r>
              <w:rPr>
                <w:rFonts w:ascii="Arial" w:cs="Arial" w:eastAsia="Arial" w:hAnsi="Arial"/>
                <w:sz w:val="14"/>
                <w:szCs w:val="14"/>
                <w:b w:val="1"/>
                <w:bCs w:val="1"/>
                <w:color w:val="auto"/>
              </w:rPr>
              <w:t>as Part of</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5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66"/>
              <w:spacing w:after="0"/>
              <w:rPr>
                <w:sz w:val="20"/>
                <w:szCs w:val="20"/>
                <w:color w:val="auto"/>
              </w:rPr>
            </w:pPr>
            <w:r>
              <w:rPr>
                <w:rFonts w:ascii="Arial" w:cs="Arial" w:eastAsia="Arial" w:hAnsi="Arial"/>
                <w:sz w:val="14"/>
                <w:szCs w:val="14"/>
                <w:b w:val="1"/>
                <w:bCs w:val="1"/>
                <w:color w:val="auto"/>
              </w:rPr>
              <w:t>Publicly</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that May</w:t>
            </w:r>
          </w:p>
        </w:tc>
      </w:tr>
      <w:tr>
        <w:trPr>
          <w:trHeight w:val="162"/>
        </w:trPr>
        <w:tc>
          <w:tcPr>
            <w:tcW w:w="5580" w:type="dxa"/>
            <w:vAlign w:val="bottom"/>
          </w:tcPr>
          <w:p>
            <w:pPr>
              <w:spacing w:after="0"/>
              <w:rPr>
                <w:sz w:val="14"/>
                <w:szCs w:val="14"/>
                <w:color w:val="auto"/>
              </w:rPr>
            </w:pPr>
          </w:p>
        </w:tc>
        <w:tc>
          <w:tcPr>
            <w:tcW w:w="1320" w:type="dxa"/>
            <w:vAlign w:val="bottom"/>
          </w:tcPr>
          <w:p>
            <w:pPr>
              <w:jc w:val="center"/>
              <w:ind w:right="44"/>
              <w:spacing w:after="0"/>
              <w:rPr>
                <w:sz w:val="20"/>
                <w:szCs w:val="20"/>
                <w:color w:val="auto"/>
              </w:rPr>
            </w:pPr>
            <w:r>
              <w:rPr>
                <w:rFonts w:ascii="Arial" w:cs="Arial" w:eastAsia="Arial" w:hAnsi="Arial"/>
                <w:sz w:val="14"/>
                <w:szCs w:val="14"/>
                <w:b w:val="1"/>
                <w:bCs w:val="1"/>
                <w:color w:val="auto"/>
              </w:rPr>
              <w:t>Total Number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238"/>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340" w:type="dxa"/>
            <w:vAlign w:val="bottom"/>
          </w:tcPr>
          <w:p>
            <w:pPr>
              <w:jc w:val="center"/>
              <w:ind w:right="66"/>
              <w:spacing w:after="0"/>
              <w:rPr>
                <w:sz w:val="20"/>
                <w:szCs w:val="20"/>
                <w:color w:val="auto"/>
              </w:rPr>
            </w:pPr>
            <w:r>
              <w:rPr>
                <w:rFonts w:ascii="Arial" w:cs="Arial" w:eastAsia="Arial" w:hAnsi="Arial"/>
                <w:sz w:val="14"/>
                <w:szCs w:val="14"/>
                <w:b w:val="1"/>
                <w:bCs w:val="1"/>
                <w:color w:val="auto"/>
              </w:rPr>
              <w:t>Announced</w:t>
            </w:r>
          </w:p>
        </w:tc>
        <w:tc>
          <w:tcPr>
            <w:tcW w:w="280" w:type="dxa"/>
            <w:vAlign w:val="bottom"/>
          </w:tcPr>
          <w:p>
            <w:pPr>
              <w:spacing w:after="0"/>
              <w:rPr>
                <w:sz w:val="14"/>
                <w:szCs w:val="14"/>
                <w:color w:val="auto"/>
              </w:rPr>
            </w:pPr>
          </w:p>
        </w:tc>
        <w:tc>
          <w:tcPr>
            <w:tcW w:w="1140" w:type="dxa"/>
            <w:vAlign w:val="bottom"/>
          </w:tcPr>
          <w:p>
            <w:pPr>
              <w:jc w:val="center"/>
              <w:ind w:right="216"/>
              <w:spacing w:after="0"/>
              <w:rPr>
                <w:sz w:val="20"/>
                <w:szCs w:val="20"/>
                <w:color w:val="auto"/>
              </w:rPr>
            </w:pPr>
            <w:r>
              <w:rPr>
                <w:rFonts w:ascii="Arial" w:cs="Arial" w:eastAsia="Arial" w:hAnsi="Arial"/>
                <w:sz w:val="14"/>
                <w:szCs w:val="14"/>
                <w:b w:val="1"/>
                <w:bCs w:val="1"/>
                <w:color w:val="auto"/>
              </w:rPr>
              <w:t>Yet Be</w:t>
            </w:r>
          </w:p>
        </w:tc>
      </w:tr>
      <w:tr>
        <w:trPr>
          <w:trHeight w:val="162"/>
        </w:trPr>
        <w:tc>
          <w:tcPr>
            <w:tcW w:w="5580" w:type="dxa"/>
            <w:vAlign w:val="bottom"/>
          </w:tcPr>
          <w:p>
            <w:pPr>
              <w:spacing w:after="0"/>
              <w:rPr>
                <w:sz w:val="14"/>
                <w:szCs w:val="14"/>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218"/>
              <w:spacing w:after="0"/>
              <w:rPr>
                <w:sz w:val="20"/>
                <w:szCs w:val="20"/>
                <w:color w:val="auto"/>
              </w:rPr>
            </w:pPr>
            <w:r>
              <w:rPr>
                <w:rFonts w:ascii="Arial" w:cs="Arial" w:eastAsia="Arial" w:hAnsi="Arial"/>
                <w:sz w:val="14"/>
                <w:szCs w:val="14"/>
                <w:b w:val="1"/>
                <w:bCs w:val="1"/>
                <w:color w:val="auto"/>
              </w:rPr>
              <w:t>Price Paid</w:t>
            </w:r>
          </w:p>
        </w:tc>
        <w:tc>
          <w:tcPr>
            <w:tcW w:w="120" w:type="dxa"/>
            <w:vAlign w:val="bottom"/>
          </w:tcPr>
          <w:p>
            <w:pPr>
              <w:spacing w:after="0"/>
              <w:rPr>
                <w:sz w:val="14"/>
                <w:szCs w:val="14"/>
                <w:color w:val="auto"/>
              </w:rPr>
            </w:pPr>
          </w:p>
        </w:tc>
        <w:tc>
          <w:tcPr>
            <w:tcW w:w="1340" w:type="dxa"/>
            <w:vAlign w:val="bottom"/>
          </w:tcPr>
          <w:p>
            <w:pPr>
              <w:jc w:val="center"/>
              <w:ind w:right="66"/>
              <w:spacing w:after="0"/>
              <w:rPr>
                <w:sz w:val="20"/>
                <w:szCs w:val="20"/>
                <w:color w:val="auto"/>
              </w:rPr>
            </w:pPr>
            <w:r>
              <w:rPr>
                <w:rFonts w:ascii="Arial" w:cs="Arial" w:eastAsia="Arial" w:hAnsi="Arial"/>
                <w:sz w:val="14"/>
                <w:szCs w:val="14"/>
                <w:b w:val="1"/>
                <w:bCs w:val="1"/>
                <w:color w:val="auto"/>
              </w:rPr>
              <w:t>Plans or</w:t>
            </w:r>
          </w:p>
        </w:tc>
        <w:tc>
          <w:tcPr>
            <w:tcW w:w="280" w:type="dxa"/>
            <w:vAlign w:val="bottom"/>
          </w:tcPr>
          <w:p>
            <w:pPr>
              <w:spacing w:after="0"/>
              <w:rPr>
                <w:sz w:val="14"/>
                <w:szCs w:val="14"/>
                <w:color w:val="auto"/>
              </w:rPr>
            </w:pPr>
          </w:p>
        </w:tc>
        <w:tc>
          <w:tcPr>
            <w:tcW w:w="1140" w:type="dxa"/>
            <w:vAlign w:val="bottom"/>
          </w:tcPr>
          <w:p>
            <w:pPr>
              <w:jc w:val="center"/>
              <w:ind w:right="176"/>
              <w:spacing w:after="0"/>
              <w:rPr>
                <w:sz w:val="20"/>
                <w:szCs w:val="20"/>
                <w:color w:val="auto"/>
              </w:rPr>
            </w:pPr>
            <w:r>
              <w:rPr>
                <w:rFonts w:ascii="Arial" w:cs="Arial" w:eastAsia="Arial" w:hAnsi="Arial"/>
                <w:sz w:val="14"/>
                <w:szCs w:val="14"/>
                <w:b w:val="1"/>
                <w:bCs w:val="1"/>
                <w:color w:val="auto"/>
              </w:rPr>
              <w:t>Purchased</w:t>
            </w:r>
          </w:p>
        </w:tc>
      </w:tr>
      <w:tr>
        <w:trPr>
          <w:trHeight w:val="189"/>
        </w:trPr>
        <w:tc>
          <w:tcPr>
            <w:tcW w:w="5580" w:type="dxa"/>
            <w:vAlign w:val="bottom"/>
          </w:tcPr>
          <w:p>
            <w:pPr>
              <w:spacing w:after="0"/>
              <w:rPr>
                <w:sz w:val="16"/>
                <w:szCs w:val="16"/>
                <w:color w:val="auto"/>
              </w:rPr>
            </w:pPr>
          </w:p>
        </w:tc>
        <w:tc>
          <w:tcPr>
            <w:tcW w:w="13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rPr>
              <w:t>Programs</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 Plans(1)</w:t>
            </w:r>
          </w:p>
        </w:tc>
      </w:tr>
      <w:tr>
        <w:trPr>
          <w:trHeight w:val="197"/>
        </w:trPr>
        <w:tc>
          <w:tcPr>
            <w:tcW w:w="6900" w:type="dxa"/>
            <w:vAlign w:val="bottom"/>
            <w:gridSpan w:val="2"/>
            <w:shd w:val="clear" w:color="auto" w:fill="CFF0FC"/>
          </w:tcPr>
          <w:p>
            <w:pPr>
              <w:ind w:left="20"/>
              <w:spacing w:after="0" w:line="197" w:lineRule="exact"/>
              <w:rPr>
                <w:sz w:val="20"/>
                <w:szCs w:val="20"/>
                <w:color w:val="auto"/>
              </w:rPr>
            </w:pPr>
            <w:r>
              <w:rPr>
                <w:rFonts w:ascii="Arial" w:cs="Arial" w:eastAsia="Arial" w:hAnsi="Arial"/>
                <w:sz w:val="18"/>
                <w:szCs w:val="18"/>
                <w:color w:val="auto"/>
              </w:rPr>
              <w:t>April 1 – April 30, 2023</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6"/>
              <w:spacing w:after="0" w:line="197" w:lineRule="exact"/>
              <w:rPr>
                <w:sz w:val="20"/>
                <w:szCs w:val="20"/>
                <w:color w:val="auto"/>
              </w:rPr>
            </w:pPr>
            <w:r>
              <w:rPr>
                <w:rFonts w:ascii="Arial" w:cs="Arial" w:eastAsia="Arial" w:hAnsi="Arial"/>
                <w:sz w:val="18"/>
                <w:szCs w:val="18"/>
                <w:color w:val="auto"/>
              </w:rPr>
              <w:t>957,132,40</w:t>
            </w:r>
          </w:p>
        </w:tc>
      </w:tr>
      <w:tr>
        <w:trPr>
          <w:trHeight w:val="229"/>
        </w:trPr>
        <w:tc>
          <w:tcPr>
            <w:tcW w:w="6900" w:type="dxa"/>
            <w:vAlign w:val="bottom"/>
            <w:gridSpan w:val="2"/>
            <w:shd w:val="clear" w:color="auto" w:fill="CFF0FC"/>
          </w:tcPr>
          <w:p>
            <w:pPr>
              <w:jc w:val="right"/>
              <w:ind w:right="64"/>
              <w:spacing w:after="0"/>
              <w:rPr>
                <w:sz w:val="20"/>
                <w:szCs w:val="20"/>
                <w:color w:val="auto"/>
              </w:rPr>
            </w:pPr>
            <w:r>
              <w:rPr>
                <w:rFonts w:ascii="Arial" w:cs="Arial" w:eastAsia="Arial" w:hAnsi="Arial"/>
                <w:sz w:val="18"/>
                <w:szCs w:val="18"/>
                <w:color w:val="auto"/>
              </w:rPr>
              <w:t>832,020</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45.67</w:t>
            </w:r>
          </w:p>
        </w:tc>
        <w:tc>
          <w:tcPr>
            <w:tcW w:w="1460" w:type="dxa"/>
            <w:vAlign w:val="bottom"/>
            <w:gridSpan w:val="2"/>
            <w:shd w:val="clear" w:color="auto" w:fill="CFF0FC"/>
          </w:tcPr>
          <w:p>
            <w:pPr>
              <w:jc w:val="right"/>
              <w:ind w:right="86"/>
              <w:spacing w:after="0"/>
              <w:rPr>
                <w:sz w:val="20"/>
                <w:szCs w:val="20"/>
                <w:color w:val="auto"/>
              </w:rPr>
            </w:pPr>
            <w:r>
              <w:rPr>
                <w:rFonts w:ascii="Arial" w:cs="Arial" w:eastAsia="Arial" w:hAnsi="Arial"/>
                <w:sz w:val="18"/>
                <w:szCs w:val="18"/>
                <w:color w:val="auto"/>
              </w:rPr>
              <w:t>832,020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5</w:t>
            </w:r>
          </w:p>
        </w:tc>
      </w:tr>
      <w:tr>
        <w:trPr>
          <w:trHeight w:val="203"/>
        </w:trPr>
        <w:tc>
          <w:tcPr>
            <w:tcW w:w="690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May 1 – May 31, 2023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56"/>
              <w:spacing w:after="0" w:line="203" w:lineRule="exact"/>
              <w:rPr>
                <w:sz w:val="20"/>
                <w:szCs w:val="20"/>
                <w:color w:val="auto"/>
              </w:rPr>
            </w:pPr>
            <w:r>
              <w:rPr>
                <w:rFonts w:ascii="Arial" w:cs="Arial" w:eastAsia="Arial" w:hAnsi="Arial"/>
                <w:sz w:val="18"/>
                <w:szCs w:val="18"/>
                <w:color w:val="auto"/>
              </w:rPr>
              <w:t>907,121,14</w:t>
            </w:r>
          </w:p>
        </w:tc>
      </w:tr>
      <w:tr>
        <w:trPr>
          <w:trHeight w:val="229"/>
        </w:trPr>
        <w:tc>
          <w:tcPr>
            <w:tcW w:w="6900" w:type="dxa"/>
            <w:vAlign w:val="bottom"/>
            <w:gridSpan w:val="2"/>
          </w:tcPr>
          <w:p>
            <w:pPr>
              <w:jc w:val="right"/>
              <w:ind w:right="64"/>
              <w:spacing w:after="0"/>
              <w:rPr>
                <w:sz w:val="20"/>
                <w:szCs w:val="20"/>
                <w:color w:val="auto"/>
              </w:rPr>
            </w:pPr>
            <w:r>
              <w:rPr>
                <w:rFonts w:ascii="Arial" w:cs="Arial" w:eastAsia="Arial" w:hAnsi="Arial"/>
                <w:sz w:val="18"/>
                <w:szCs w:val="18"/>
                <w:color w:val="auto"/>
              </w:rPr>
              <w:t>1,040,523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48.06</w:t>
            </w:r>
          </w:p>
        </w:tc>
        <w:tc>
          <w:tcPr>
            <w:tcW w:w="1460" w:type="dxa"/>
            <w:vAlign w:val="bottom"/>
            <w:gridSpan w:val="2"/>
          </w:tcPr>
          <w:p>
            <w:pPr>
              <w:jc w:val="right"/>
              <w:ind w:right="86"/>
              <w:spacing w:after="0"/>
              <w:rPr>
                <w:sz w:val="20"/>
                <w:szCs w:val="20"/>
                <w:color w:val="auto"/>
              </w:rPr>
            </w:pPr>
            <w:r>
              <w:rPr>
                <w:rFonts w:ascii="Arial" w:cs="Arial" w:eastAsia="Arial" w:hAnsi="Arial"/>
                <w:sz w:val="18"/>
                <w:szCs w:val="18"/>
                <w:color w:val="auto"/>
              </w:rPr>
              <w:t>1,040,523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7</w:t>
            </w:r>
          </w:p>
        </w:tc>
      </w:tr>
      <w:tr>
        <w:trPr>
          <w:trHeight w:val="190"/>
        </w:trPr>
        <w:tc>
          <w:tcPr>
            <w:tcW w:w="6900" w:type="dxa"/>
            <w:vAlign w:val="bottom"/>
            <w:gridSpan w:val="2"/>
            <w:shd w:val="clear" w:color="auto" w:fill="CFF0FC"/>
          </w:tcPr>
          <w:p>
            <w:pPr>
              <w:ind w:left="20"/>
              <w:spacing w:after="0" w:line="189" w:lineRule="exact"/>
              <w:rPr>
                <w:sz w:val="20"/>
                <w:szCs w:val="20"/>
                <w:color w:val="auto"/>
              </w:rPr>
            </w:pPr>
            <w:r>
              <w:rPr>
                <w:rFonts w:ascii="Arial" w:cs="Arial" w:eastAsia="Arial" w:hAnsi="Arial"/>
                <w:sz w:val="18"/>
                <w:szCs w:val="18"/>
                <w:color w:val="auto"/>
              </w:rPr>
              <w:t>June 1 – June 30, 2023</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56"/>
              <w:spacing w:after="0" w:line="189" w:lineRule="exact"/>
              <w:rPr>
                <w:sz w:val="20"/>
                <w:szCs w:val="20"/>
                <w:color w:val="auto"/>
              </w:rPr>
            </w:pPr>
            <w:r>
              <w:rPr>
                <w:rFonts w:ascii="Arial" w:cs="Arial" w:eastAsia="Arial" w:hAnsi="Arial"/>
                <w:sz w:val="18"/>
                <w:szCs w:val="18"/>
                <w:color w:val="auto"/>
              </w:rPr>
              <w:t>898,119,72</w:t>
            </w:r>
          </w:p>
        </w:tc>
      </w:tr>
      <w:tr>
        <w:trPr>
          <w:trHeight w:val="229"/>
        </w:trPr>
        <w:tc>
          <w:tcPr>
            <w:tcW w:w="55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8"/>
                <w:szCs w:val="18"/>
                <w:color w:val="auto"/>
              </w:rPr>
              <w:t>179,611</w:t>
            </w:r>
          </w:p>
        </w:tc>
        <w:tc>
          <w:tcPr>
            <w:tcW w:w="3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78"/>
              <w:spacing w:after="0"/>
              <w:rPr>
                <w:sz w:val="20"/>
                <w:szCs w:val="20"/>
                <w:color w:val="auto"/>
              </w:rPr>
            </w:pPr>
            <w:r>
              <w:rPr>
                <w:rFonts w:ascii="Arial" w:cs="Arial" w:eastAsia="Arial" w:hAnsi="Arial"/>
                <w:sz w:val="18"/>
                <w:szCs w:val="18"/>
                <w:color w:val="auto"/>
              </w:rPr>
              <w:t>50.12</w:t>
            </w:r>
          </w:p>
        </w:tc>
        <w:tc>
          <w:tcPr>
            <w:tcW w:w="1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86"/>
              <w:spacing w:after="0"/>
              <w:rPr>
                <w:sz w:val="20"/>
                <w:szCs w:val="20"/>
                <w:color w:val="auto"/>
              </w:rPr>
            </w:pPr>
            <w:r>
              <w:rPr>
                <w:rFonts w:ascii="Arial" w:cs="Arial" w:eastAsia="Arial" w:hAnsi="Arial"/>
                <w:sz w:val="18"/>
                <w:szCs w:val="18"/>
                <w:color w:val="auto"/>
              </w:rPr>
              <w:t>179,611</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ind w:right="56"/>
              <w:spacing w:after="0"/>
              <w:rPr>
                <w:sz w:val="20"/>
                <w:szCs w:val="20"/>
                <w:color w:val="auto"/>
              </w:rPr>
            </w:pPr>
            <w:r>
              <w:rPr>
                <w:rFonts w:ascii="Arial" w:cs="Arial" w:eastAsia="Arial" w:hAnsi="Arial"/>
                <w:sz w:val="18"/>
                <w:szCs w:val="18"/>
                <w:color w:val="auto"/>
              </w:rPr>
              <w:t>7</w:t>
            </w:r>
          </w:p>
        </w:tc>
      </w:tr>
      <w:tr>
        <w:trPr>
          <w:trHeight w:val="223"/>
        </w:trPr>
        <w:tc>
          <w:tcPr>
            <w:tcW w:w="6900" w:type="dxa"/>
            <w:vAlign w:val="bottom"/>
            <w:gridSpan w:val="2"/>
          </w:tcPr>
          <w:p>
            <w:pPr>
              <w:jc w:val="right"/>
              <w:ind w:right="64"/>
              <w:spacing w:after="0"/>
              <w:rPr>
                <w:sz w:val="20"/>
                <w:szCs w:val="20"/>
                <w:color w:val="auto"/>
              </w:rPr>
            </w:pPr>
            <w:r>
              <w:rPr>
                <w:rFonts w:ascii="Arial" w:cs="Arial" w:eastAsia="Arial" w:hAnsi="Arial"/>
                <w:sz w:val="18"/>
                <w:szCs w:val="18"/>
                <w:color w:val="auto"/>
              </w:rPr>
              <w:t>2,052,154</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47.27</w:t>
            </w:r>
          </w:p>
        </w:tc>
        <w:tc>
          <w:tcPr>
            <w:tcW w:w="1460" w:type="dxa"/>
            <w:vAlign w:val="bottom"/>
            <w:gridSpan w:val="2"/>
          </w:tcPr>
          <w:p>
            <w:pPr>
              <w:jc w:val="right"/>
              <w:ind w:right="86"/>
              <w:spacing w:after="0"/>
              <w:rPr>
                <w:sz w:val="20"/>
                <w:szCs w:val="20"/>
                <w:color w:val="auto"/>
              </w:rPr>
            </w:pPr>
            <w:r>
              <w:rPr>
                <w:rFonts w:ascii="Arial" w:cs="Arial" w:eastAsia="Arial" w:hAnsi="Arial"/>
                <w:sz w:val="18"/>
                <w:szCs w:val="18"/>
                <w:color w:val="auto"/>
              </w:rPr>
              <w:t>2,052,154</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-179070</wp:posOffset>
            </wp:positionV>
            <wp:extent cx="102870" cy="1797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-179070</wp:posOffset>
            </wp:positionV>
            <wp:extent cx="94615" cy="179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4615" cy="179705"/>
                    </a:xfrm>
                    <a:prstGeom prst="rect">
                      <a:avLst/>
                    </a:prstGeom>
                    <a:noFill/>
                  </pic:spPr>
                </pic:pic>
              </a:graphicData>
            </a:graphic>
          </wp:anchor>
        </w:drawing>
      </w:r>
    </w:p>
    <w:p>
      <w:pPr>
        <w:spacing w:after="0" w:line="170" w:lineRule="exact"/>
        <w:rPr>
          <w:sz w:val="20"/>
          <w:szCs w:val="20"/>
          <w:color w:val="auto"/>
        </w:rPr>
      </w:pPr>
    </w:p>
    <w:p>
      <w:pPr>
        <w:ind w:left="640" w:right="240" w:hanging="372"/>
        <w:spacing w:after="0" w:line="243"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values reflect the amounts that may be repurchased under the Repurchase Program approved by the Board of Directors on November 14, 2016 and the increases approved by the Board of Directors on November 8, 2017, July 30, 2018, May 9, 2019 and February 24, 2022, which in the aggregate total authorized repurchases of $4,000 million. The Repurchase Program has no termination date.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Insider Trading Arrangements</w:t>
      </w:r>
    </w:p>
    <w:p>
      <w:pPr>
        <w:spacing w:after="0" w:line="114" w:lineRule="exact"/>
        <w:rPr>
          <w:sz w:val="20"/>
          <w:szCs w:val="20"/>
          <w:color w:val="auto"/>
        </w:rPr>
      </w:pPr>
    </w:p>
    <w:p>
      <w:pPr>
        <w:ind w:right="120" w:firstLine="499"/>
        <w:spacing w:after="0" w:line="243" w:lineRule="auto"/>
        <w:rPr>
          <w:sz w:val="20"/>
          <w:szCs w:val="20"/>
          <w:color w:val="auto"/>
        </w:rPr>
      </w:pPr>
      <w:r>
        <w:rPr>
          <w:rFonts w:ascii="Arial" w:cs="Arial" w:eastAsia="Arial" w:hAnsi="Arial"/>
          <w:sz w:val="18"/>
          <w:szCs w:val="18"/>
          <w:color w:val="auto"/>
        </w:rPr>
        <w:t>The following table sets forth information related to the Company's directors and officers who adopted, modified or terminated any contract, instruction or written plan for the purchase or sale of Company securities that was intended to satisfy the affirmative defense conditions of Rule 10b5-1(c) ("Rule 10b5-1 trading arrangement") or any “non-Rule 10b5-1 trading arrangement,” as such term is defined in Item 408(c) of Regulation S-K, during the three months ended June 30, 2023:</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Trading Arrangement</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56"/>
        </w:trPr>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Non-Rule</w:t>
            </w:r>
          </w:p>
        </w:tc>
        <w:tc>
          <w:tcPr>
            <w:tcW w:w="140" w:type="dxa"/>
            <w:vAlign w:val="bottom"/>
          </w:tcPr>
          <w:p>
            <w:pPr>
              <w:spacing w:after="0"/>
              <w:rPr>
                <w:sz w:val="13"/>
                <w:szCs w:val="13"/>
                <w:color w:val="auto"/>
              </w:rPr>
            </w:pPr>
          </w:p>
        </w:tc>
        <w:tc>
          <w:tcPr>
            <w:tcW w:w="1180" w:type="dxa"/>
            <w:vAlign w:val="bottom"/>
          </w:tcPr>
          <w:p>
            <w:pPr>
              <w:jc w:val="right"/>
              <w:ind w:right="68"/>
              <w:spacing w:after="0" w:line="156" w:lineRule="exact"/>
              <w:rPr>
                <w:sz w:val="20"/>
                <w:szCs w:val="20"/>
                <w:color w:val="auto"/>
              </w:rPr>
            </w:pPr>
            <w:r>
              <w:rPr>
                <w:rFonts w:ascii="Arial" w:cs="Arial" w:eastAsia="Arial" w:hAnsi="Arial"/>
                <w:sz w:val="14"/>
                <w:szCs w:val="14"/>
                <w:b w:val="1"/>
                <w:bCs w:val="1"/>
                <w:color w:val="auto"/>
              </w:rPr>
              <w:t>Total Shares to</w:t>
            </w:r>
          </w:p>
        </w:tc>
        <w:tc>
          <w:tcPr>
            <w:tcW w:w="18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Expiration</w:t>
            </w:r>
          </w:p>
        </w:tc>
      </w:tr>
      <w:tr>
        <w:trPr>
          <w:trHeight w:val="189"/>
        </w:trPr>
        <w:tc>
          <w:tcPr>
            <w:tcW w:w="1640" w:type="dxa"/>
            <w:vAlign w:val="bottom"/>
          </w:tcPr>
          <w:p>
            <w:pPr>
              <w:jc w:val="right"/>
              <w:ind w:right="536"/>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6"/>
                <w:szCs w:val="16"/>
                <w:color w:val="auto"/>
              </w:rPr>
            </w:pPr>
          </w:p>
        </w:tc>
        <w:tc>
          <w:tcPr>
            <w:tcW w:w="2560" w:type="dxa"/>
            <w:vAlign w:val="bottom"/>
          </w:tcPr>
          <w:p>
            <w:pPr>
              <w:ind w:left="1140"/>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Action</w:t>
            </w:r>
          </w:p>
        </w:tc>
        <w:tc>
          <w:tcPr>
            <w:tcW w:w="18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Date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Rule 10b5-1*</w:t>
            </w: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10b5-1**</w:t>
            </w:r>
          </w:p>
        </w:tc>
        <w:tc>
          <w:tcPr>
            <w:tcW w:w="140" w:type="dxa"/>
            <w:vAlign w:val="bottom"/>
          </w:tcPr>
          <w:p>
            <w:pPr>
              <w:spacing w:after="0"/>
              <w:rPr>
                <w:sz w:val="16"/>
                <w:szCs w:val="16"/>
                <w:color w:val="auto"/>
              </w:rPr>
            </w:pPr>
          </w:p>
        </w:tc>
        <w:tc>
          <w:tcPr>
            <w:tcW w:w="1180" w:type="dxa"/>
            <w:vAlign w:val="bottom"/>
          </w:tcPr>
          <w:p>
            <w:pPr>
              <w:jc w:val="right"/>
              <w:ind w:right="328"/>
              <w:spacing w:after="0"/>
              <w:rPr>
                <w:sz w:val="20"/>
                <w:szCs w:val="20"/>
                <w:color w:val="auto"/>
              </w:rPr>
            </w:pPr>
            <w:r>
              <w:rPr>
                <w:rFonts w:ascii="Arial" w:cs="Arial" w:eastAsia="Arial" w:hAnsi="Arial"/>
                <w:sz w:val="14"/>
                <w:szCs w:val="14"/>
                <w:b w:val="1"/>
                <w:bCs w:val="1"/>
                <w:color w:val="auto"/>
              </w:rPr>
              <w:t>be Sold</w:t>
            </w:r>
          </w:p>
        </w:tc>
        <w:tc>
          <w:tcPr>
            <w:tcW w:w="1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173"/>
        </w:trPr>
        <w:tc>
          <w:tcPr>
            <w:tcW w:w="1640" w:type="dxa"/>
            <w:vAlign w:val="bottom"/>
            <w:tcBorders>
              <w:top w:val="single" w:sz="8" w:color="auto"/>
            </w:tcBorders>
            <w:shd w:val="clear" w:color="auto" w:fill="CFF0FC"/>
          </w:tcPr>
          <w:p>
            <w:pPr>
              <w:jc w:val="right"/>
              <w:ind w:right="536"/>
              <w:spacing w:after="0" w:line="174" w:lineRule="exact"/>
              <w:rPr>
                <w:sz w:val="20"/>
                <w:szCs w:val="20"/>
                <w:color w:val="auto"/>
              </w:rPr>
            </w:pPr>
            <w:r>
              <w:rPr>
                <w:rFonts w:ascii="Arial" w:cs="Arial" w:eastAsia="Arial" w:hAnsi="Arial"/>
                <w:sz w:val="18"/>
                <w:szCs w:val="18"/>
                <w:color w:val="auto"/>
              </w:rPr>
              <w:t>G. Frederick</w:t>
            </w:r>
          </w:p>
        </w:tc>
        <w:tc>
          <w:tcPr>
            <w:tcW w:w="160" w:type="dxa"/>
            <w:vAlign w:val="bottom"/>
            <w:shd w:val="clear" w:color="auto" w:fill="CFF0FC"/>
          </w:tcPr>
          <w:p>
            <w:pPr>
              <w:spacing w:after="0"/>
              <w:rPr>
                <w:sz w:val="15"/>
                <w:szCs w:val="15"/>
                <w:color w:val="auto"/>
              </w:rPr>
            </w:pPr>
          </w:p>
        </w:tc>
        <w:tc>
          <w:tcPr>
            <w:tcW w:w="2560" w:type="dxa"/>
            <w:vAlign w:val="bottom"/>
            <w:tcBorders>
              <w:top w:val="single" w:sz="8" w:color="auto"/>
            </w:tcBorders>
            <w:shd w:val="clear" w:color="auto" w:fill="CFF0FC"/>
          </w:tcPr>
          <w:p>
            <w:pPr>
              <w:ind w:left="20"/>
              <w:spacing w:after="0" w:line="174" w:lineRule="exact"/>
              <w:rPr>
                <w:sz w:val="20"/>
                <w:szCs w:val="20"/>
                <w:color w:val="auto"/>
              </w:rPr>
            </w:pPr>
            <w:r>
              <w:rPr>
                <w:rFonts w:ascii="Arial" w:cs="Arial" w:eastAsia="Arial" w:hAnsi="Arial"/>
                <w:sz w:val="18"/>
                <w:szCs w:val="18"/>
                <w:color w:val="auto"/>
              </w:rPr>
              <w:t>Senior Vice President, Chief</w:t>
            </w:r>
          </w:p>
        </w:tc>
        <w:tc>
          <w:tcPr>
            <w:tcW w:w="180" w:type="dxa"/>
            <w:vAlign w:val="bottom"/>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r>
      <w:tr>
        <w:trPr>
          <w:trHeight w:val="252"/>
        </w:trPr>
        <w:tc>
          <w:tcPr>
            <w:tcW w:w="1640" w:type="dxa"/>
            <w:vAlign w:val="bottom"/>
            <w:shd w:val="clear" w:color="auto" w:fill="CFF0FC"/>
          </w:tcPr>
          <w:p>
            <w:pPr>
              <w:jc w:val="right"/>
              <w:ind w:right="836"/>
              <w:spacing w:after="0" w:line="252" w:lineRule="exact"/>
              <w:rPr>
                <w:sz w:val="20"/>
                <w:szCs w:val="20"/>
                <w:color w:val="auto"/>
              </w:rPr>
            </w:pPr>
            <w:r>
              <w:rPr>
                <w:rFonts w:ascii="Arial" w:cs="Arial" w:eastAsia="Arial" w:hAnsi="Arial"/>
                <w:sz w:val="18"/>
                <w:szCs w:val="18"/>
                <w:color w:val="auto"/>
                <w:w w:val="93"/>
              </w:rPr>
              <w:t>Bohley</w:t>
            </w:r>
            <w:r>
              <w:rPr>
                <w:rFonts w:ascii="Arial" w:cs="Arial" w:eastAsia="Arial" w:hAnsi="Arial"/>
                <w:sz w:val="24"/>
                <w:szCs w:val="24"/>
                <w:color w:val="auto"/>
                <w:w w:val="93"/>
                <w:vertAlign w:val="superscript"/>
              </w:rPr>
              <w:t>(1)</w:t>
            </w:r>
          </w:p>
        </w:tc>
        <w:tc>
          <w:tcPr>
            <w:tcW w:w="160" w:type="dxa"/>
            <w:vAlign w:val="bottom"/>
            <w:shd w:val="clear" w:color="auto" w:fill="CFF0FC"/>
          </w:tcPr>
          <w:p>
            <w:pPr>
              <w:spacing w:after="0"/>
              <w:rPr>
                <w:sz w:val="21"/>
                <w:szCs w:val="21"/>
                <w:color w:val="auto"/>
              </w:rPr>
            </w:pPr>
          </w:p>
        </w:tc>
        <w:tc>
          <w:tcPr>
            <w:tcW w:w="2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Officer and Treasurer</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Adopted</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5/30/2023</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4,950</w:t>
            </w:r>
          </w:p>
        </w:tc>
        <w:tc>
          <w:tcPr>
            <w:tcW w:w="104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2/16/2024</w:t>
            </w:r>
          </w:p>
        </w:tc>
      </w:tr>
    </w:tbl>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Intended to satisfy the affirmative defense of Rule 10b5-1(c)</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Not intended to satisfy the affirmative defense of Rule 10b5-1(c)</w:t>
      </w:r>
    </w:p>
    <w:p>
      <w:pPr>
        <w:ind w:left="640" w:right="160" w:hanging="371"/>
        <w:spacing w:after="0" w:line="246" w:lineRule="auto"/>
        <w:tabs>
          <w:tab w:leader="none" w:pos="536"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Bohley’s plan provides for the potential exercise of up to 4,950 vested stock options prior to their expiration on February 18, 2024 and the associated sale of the underlying common stock.</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Item 6.</w:t>
            </w:r>
          </w:p>
        </w:tc>
        <w:tc>
          <w:tcPr>
            <w:tcW w:w="8600" w:type="dxa"/>
            <w:vAlign w:val="bottom"/>
            <w:gridSpan w:val="5"/>
          </w:tcPr>
          <w:p>
            <w:pPr>
              <w:ind w:left="20"/>
              <w:spacing w:after="0"/>
              <w:rPr>
                <w:sz w:val="20"/>
                <w:szCs w:val="20"/>
                <w:color w:val="auto"/>
              </w:rPr>
            </w:pPr>
            <w:r>
              <w:rPr>
                <w:rFonts w:ascii="Arial" w:cs="Arial" w:eastAsia="Arial" w:hAnsi="Arial"/>
                <w:sz w:val="18"/>
                <w:szCs w:val="18"/>
                <w:b w:val="1"/>
                <w:bCs w:val="1"/>
                <w:color w:val="auto"/>
              </w:rPr>
              <w:t>Exhibits</w:t>
            </w: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4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1440" w:type="dxa"/>
            <w:vAlign w:val="bottom"/>
            <w:gridSpan w:val="3"/>
          </w:tcPr>
          <w:p>
            <w:pPr>
              <w:spacing w:after="0"/>
              <w:rPr>
                <w:sz w:val="20"/>
                <w:szCs w:val="20"/>
                <w:color w:val="auto"/>
              </w:rPr>
            </w:pPr>
            <w:r>
              <w:rPr>
                <w:rFonts w:ascii="Arial" w:cs="Arial" w:eastAsia="Arial" w:hAnsi="Arial"/>
                <w:sz w:val="18"/>
                <w:szCs w:val="18"/>
                <w:color w:val="auto"/>
              </w:rPr>
              <w:t>(a) Exhibits</w:t>
            </w:r>
          </w:p>
        </w:tc>
        <w:tc>
          <w:tcPr>
            <w:tcW w:w="3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Number</w:t>
            </w:r>
          </w:p>
        </w:tc>
        <w:tc>
          <w:tcPr>
            <w:tcW w:w="4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12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ind w:left="60"/>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Arial" w:cs="Arial" w:eastAsia="Arial" w:hAnsi="Arial"/>
                <w:sz w:val="18"/>
                <w:szCs w:val="18"/>
                <w:color w:val="auto"/>
              </w:rPr>
              <w:t>Amended and Restated Bylaws of Allison Transmission Holdings, Inc. effective as of May 4, 2023 (incorporated by</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0" w:type="dxa"/>
            <w:vAlign w:val="bottom"/>
            <w:gridSpan w:val="5"/>
          </w:tcPr>
          <w:p>
            <w:pPr>
              <w:spacing w:after="0"/>
              <w:rPr>
                <w:sz w:val="20"/>
                <w:szCs w:val="20"/>
                <w:color w:val="auto"/>
              </w:rPr>
            </w:pPr>
            <w:r>
              <w:rPr>
                <w:rFonts w:ascii="Arial" w:cs="Arial" w:eastAsia="Arial" w:hAnsi="Arial"/>
                <w:sz w:val="18"/>
                <w:szCs w:val="18"/>
                <w:color w:val="auto"/>
              </w:rPr>
              <w:t>reference to Exhibit 3.1 to the Registrant’s Current Report on Form 8-K filed May 5, 2023)</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460" w:type="dxa"/>
            <w:vAlign w:val="bottom"/>
          </w:tcPr>
          <w:p>
            <w:pPr>
              <w:ind w:left="60"/>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0" w:type="dxa"/>
            <w:vAlign w:val="bottom"/>
            <w:gridSpan w:val="5"/>
          </w:tcPr>
          <w:p>
            <w:pPr>
              <w:spacing w:after="0"/>
              <w:rPr>
                <w:sz w:val="20"/>
                <w:szCs w:val="20"/>
                <w:color w:val="auto"/>
              </w:rPr>
            </w:pPr>
            <w:r>
              <w:rPr>
                <w:rFonts w:ascii="Arial" w:cs="Arial" w:eastAsia="Arial" w:hAnsi="Arial"/>
                <w:sz w:val="18"/>
                <w:szCs w:val="18"/>
                <w:color w:val="0000FF"/>
                <w:w w:val="99"/>
              </w:rPr>
              <w:t>Certification of Chief Executive Officer pursuant to Rule 13a-14(a)/15d-14(a) as adopted pursuant to Section</w:t>
            </w:r>
          </w:p>
        </w:tc>
        <w:tc>
          <w:tcPr>
            <w:tcW w:w="1200" w:type="dxa"/>
            <w:vAlign w:val="bottom"/>
            <w:gridSpan w:val="4"/>
          </w:tcPr>
          <w:p>
            <w:pPr>
              <w:ind w:left="80"/>
              <w:spacing w:after="0"/>
              <w:rPr>
                <w:sz w:val="20"/>
                <w:szCs w:val="20"/>
                <w:color w:val="auto"/>
              </w:rPr>
            </w:pPr>
            <w:r>
              <w:rPr>
                <w:rFonts w:ascii="Arial" w:cs="Arial" w:eastAsia="Arial" w:hAnsi="Arial"/>
                <w:sz w:val="18"/>
                <w:szCs w:val="18"/>
                <w:color w:val="0000FF"/>
              </w:rPr>
              <w:t>302 of the</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Sarbanes-Oxley Act of 2002 (filed herewith)</w:t>
            </w:r>
          </w:p>
        </w:tc>
        <w:tc>
          <w:tcPr>
            <w:tcW w:w="8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ind w:left="60"/>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0" w:type="dxa"/>
            <w:vAlign w:val="bottom"/>
            <w:gridSpan w:val="5"/>
          </w:tcPr>
          <w:p>
            <w:pPr>
              <w:spacing w:after="0"/>
              <w:rPr>
                <w:sz w:val="20"/>
                <w:szCs w:val="20"/>
                <w:color w:val="auto"/>
              </w:rPr>
            </w:pPr>
            <w:r>
              <w:rPr>
                <w:rFonts w:ascii="Arial" w:cs="Arial" w:eastAsia="Arial" w:hAnsi="Arial"/>
                <w:sz w:val="18"/>
                <w:szCs w:val="18"/>
                <w:color w:val="0000FF"/>
              </w:rPr>
              <w:t>Certification of Chief Financial Officer pursuant to Rule 13a-14(a)/15d-14(a) as adopted pursuant to Section</w:t>
            </w:r>
          </w:p>
        </w:tc>
        <w:tc>
          <w:tcPr>
            <w:tcW w:w="1200" w:type="dxa"/>
            <w:vAlign w:val="bottom"/>
            <w:gridSpan w:val="4"/>
          </w:tcPr>
          <w:p>
            <w:pPr>
              <w:ind w:left="20"/>
              <w:spacing w:after="0"/>
              <w:rPr>
                <w:sz w:val="20"/>
                <w:szCs w:val="20"/>
                <w:color w:val="auto"/>
              </w:rPr>
            </w:pPr>
            <w:r>
              <w:rPr>
                <w:rFonts w:ascii="Arial" w:cs="Arial" w:eastAsia="Arial" w:hAnsi="Arial"/>
                <w:sz w:val="18"/>
                <w:szCs w:val="18"/>
                <w:color w:val="0000FF"/>
              </w:rPr>
              <w:t>302 of the</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Sarbanes-Oxley Act of 2002 (filed herewith)</w:t>
            </w:r>
          </w:p>
        </w:tc>
        <w:tc>
          <w:tcPr>
            <w:tcW w:w="8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ind w:left="60"/>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Arial" w:cs="Arial" w:eastAsia="Arial" w:hAnsi="Arial"/>
                <w:sz w:val="18"/>
                <w:szCs w:val="18"/>
                <w:color w:val="0000FF"/>
              </w:rPr>
              <w:t>Certification of Periodic Report by Chief Executive Officer and Chief Financial Officer pursuant to 18 U.S.C. Section 1350,</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as adopted pursuant to Section 906 of the Sarbanes-Oxley Act of 2002 (filed herewith)</w:t>
            </w:r>
          </w:p>
        </w:tc>
        <w:tc>
          <w:tcPr>
            <w:tcW w:w="8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6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1440" w:right="380" w:hanging="1378"/>
        <w:spacing w:after="0" w:line="241" w:lineRule="auto"/>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June 30, 2023, formatted in Inline XBRL (eXtensible Business Reporting Language): (i) the Condensed Consolidated Balance Sheets; (ii) the Condensed Consolidated Statements of Comprehensive Income; (iii) the Condensed Consolidated Statements of Cash Flows; (iv) the Condensed Consolidated Statements of Stockholders’ Equity; and (v) the Notes to Condensed Consolidated Financial Statements</w:t>
      </w:r>
    </w:p>
    <w:p>
      <w:pPr>
        <w:spacing w:after="0" w:line="149" w:lineRule="exact"/>
        <w:rPr>
          <w:sz w:val="20"/>
          <w:szCs w:val="20"/>
          <w:color w:val="auto"/>
        </w:rPr>
      </w:pPr>
    </w:p>
    <w:p>
      <w:pPr>
        <w:ind w:left="1440" w:right="320" w:hanging="1378"/>
        <w:spacing w:after="0" w:line="260" w:lineRule="auto"/>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the Registrant’s Quarterly Report on Form 10-Q for the quarter ended June 30, 2023, formatted in Inline XBRL and contained in Exhibit 101</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ind w:right="420" w:firstLine="499"/>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b w:val="1"/>
                <w:bCs w:val="1"/>
                <w:color w:val="auto"/>
              </w:rPr>
              <w:t>ALLISON TRANSMISSION HOLDINGS, INC.</w:t>
            </w:r>
          </w:p>
        </w:tc>
        <w:tc>
          <w:tcPr>
            <w:tcW w:w="2020" w:type="dxa"/>
            <w:vAlign w:val="bottom"/>
          </w:tcPr>
          <w:p>
            <w:pPr>
              <w:spacing w:after="0"/>
              <w:rPr>
                <w:sz w:val="21"/>
                <w:szCs w:val="21"/>
                <w:color w:val="auto"/>
              </w:rPr>
            </w:pPr>
          </w:p>
        </w:tc>
      </w:tr>
      <w:tr>
        <w:trPr>
          <w:trHeight w:val="488"/>
        </w:trPr>
        <w:tc>
          <w:tcPr>
            <w:tcW w:w="2080" w:type="dxa"/>
            <w:vAlign w:val="bottom"/>
          </w:tcPr>
          <w:p>
            <w:pPr>
              <w:ind w:left="20"/>
              <w:spacing w:after="0"/>
              <w:rPr>
                <w:sz w:val="20"/>
                <w:szCs w:val="20"/>
                <w:color w:val="auto"/>
              </w:rPr>
            </w:pPr>
            <w:r>
              <w:rPr>
                <w:rFonts w:ascii="Arial" w:cs="Arial" w:eastAsia="Arial" w:hAnsi="Arial"/>
                <w:sz w:val="18"/>
                <w:szCs w:val="18"/>
                <w:color w:val="auto"/>
              </w:rPr>
              <w:t>Date: July 28, 2023</w:t>
            </w:r>
          </w:p>
        </w:tc>
        <w:tc>
          <w:tcPr>
            <w:tcW w:w="980" w:type="dxa"/>
            <w:vAlign w:val="bottom"/>
          </w:tcPr>
          <w:p>
            <w:pPr>
              <w:ind w:left="500"/>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David S. Graziosi</w:t>
            </w:r>
          </w:p>
        </w:tc>
        <w:tc>
          <w:tcPr>
            <w:tcW w:w="2020" w:type="dxa"/>
            <w:vAlign w:val="bottom"/>
          </w:tcPr>
          <w:p>
            <w:pPr>
              <w:spacing w:after="0"/>
              <w:rPr>
                <w:sz w:val="24"/>
                <w:szCs w:val="24"/>
                <w:color w:val="auto"/>
              </w:rPr>
            </w:pPr>
          </w:p>
        </w:tc>
      </w:tr>
      <w:tr>
        <w:trPr>
          <w:trHeight w:val="466"/>
        </w:trPr>
        <w:tc>
          <w:tcPr>
            <w:tcW w:w="2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jc w:val="center"/>
              <w:ind w:left="110"/>
              <w:spacing w:after="0"/>
              <w:rPr>
                <w:sz w:val="20"/>
                <w:szCs w:val="20"/>
                <w:color w:val="auto"/>
              </w:rPr>
            </w:pPr>
            <w:r>
              <w:rPr>
                <w:rFonts w:ascii="Arial" w:cs="Arial" w:eastAsia="Arial" w:hAnsi="Arial"/>
                <w:sz w:val="18"/>
                <w:szCs w:val="18"/>
                <w:color w:val="auto"/>
                <w:w w:val="98"/>
              </w:rPr>
              <w:t>Name:</w:t>
            </w:r>
          </w:p>
        </w:tc>
        <w:tc>
          <w:tcPr>
            <w:tcW w:w="5000" w:type="dxa"/>
            <w:vAlign w:val="bottom"/>
          </w:tcPr>
          <w:p>
            <w:pPr>
              <w:ind w:left="200"/>
              <w:spacing w:after="0"/>
              <w:rPr>
                <w:sz w:val="20"/>
                <w:szCs w:val="20"/>
                <w:color w:val="auto"/>
              </w:rPr>
            </w:pPr>
            <w:r>
              <w:rPr>
                <w:rFonts w:ascii="Arial" w:cs="Arial" w:eastAsia="Arial" w:hAnsi="Arial"/>
                <w:sz w:val="18"/>
                <w:szCs w:val="18"/>
                <w:color w:val="auto"/>
              </w:rPr>
              <w:t>David S. Graziosi</w:t>
            </w:r>
          </w:p>
        </w:tc>
        <w:tc>
          <w:tcPr>
            <w:tcW w:w="2020" w:type="dxa"/>
            <w:vAlign w:val="bottom"/>
          </w:tcPr>
          <w:p>
            <w:pPr>
              <w:spacing w:after="0"/>
              <w:rPr>
                <w:sz w:val="24"/>
                <w:szCs w:val="24"/>
                <w:color w:val="auto"/>
              </w:rPr>
            </w:pPr>
          </w:p>
        </w:tc>
      </w:tr>
      <w:tr>
        <w:trPr>
          <w:trHeight w:val="271"/>
        </w:trPr>
        <w:tc>
          <w:tcPr>
            <w:tcW w:w="20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60" w:type="dxa"/>
            <w:vAlign w:val="bottom"/>
          </w:tcPr>
          <w:p>
            <w:pPr>
              <w:jc w:val="center"/>
              <w:ind w:left="90"/>
              <w:spacing w:after="0"/>
              <w:rPr>
                <w:sz w:val="20"/>
                <w:szCs w:val="20"/>
                <w:color w:val="auto"/>
              </w:rPr>
            </w:pPr>
            <w:r>
              <w:rPr>
                <w:rFonts w:ascii="Arial" w:cs="Arial" w:eastAsia="Arial" w:hAnsi="Arial"/>
                <w:sz w:val="18"/>
                <w:szCs w:val="18"/>
                <w:color w:val="auto"/>
                <w:w w:val="97"/>
              </w:rPr>
              <w:t>Title:</w:t>
            </w:r>
          </w:p>
        </w:tc>
        <w:tc>
          <w:tcPr>
            <w:tcW w:w="5000" w:type="dxa"/>
            <w:vAlign w:val="bottom"/>
          </w:tcPr>
          <w:p>
            <w:pPr>
              <w:ind w:left="200"/>
              <w:spacing w:after="0"/>
              <w:rPr>
                <w:sz w:val="20"/>
                <w:szCs w:val="20"/>
                <w:color w:val="auto"/>
              </w:rPr>
            </w:pPr>
            <w:r>
              <w:rPr>
                <w:rFonts w:ascii="Arial" w:cs="Arial" w:eastAsia="Arial" w:hAnsi="Arial"/>
                <w:sz w:val="18"/>
                <w:szCs w:val="18"/>
                <w:color w:val="auto"/>
              </w:rPr>
              <w:t>Chairman, President and Chief Executive Officer</w:t>
            </w:r>
          </w:p>
        </w:tc>
        <w:tc>
          <w:tcPr>
            <w:tcW w:w="2020" w:type="dxa"/>
            <w:vAlign w:val="bottom"/>
          </w:tcPr>
          <w:p>
            <w:pPr>
              <w:spacing w:after="0"/>
              <w:rPr>
                <w:sz w:val="23"/>
                <w:szCs w:val="23"/>
                <w:color w:val="auto"/>
              </w:rPr>
            </w:pPr>
          </w:p>
        </w:tc>
      </w:tr>
      <w:tr>
        <w:trPr>
          <w:trHeight w:val="229"/>
        </w:trPr>
        <w:tc>
          <w:tcPr>
            <w:tcW w:w="2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(Principal Executive Officer)</w:t>
            </w:r>
          </w:p>
        </w:tc>
        <w:tc>
          <w:tcPr>
            <w:tcW w:w="2020" w:type="dxa"/>
            <w:vAlign w:val="bottom"/>
          </w:tcPr>
          <w:p>
            <w:pPr>
              <w:spacing w:after="0"/>
              <w:rPr>
                <w:sz w:val="19"/>
                <w:szCs w:val="19"/>
                <w:color w:val="auto"/>
              </w:rPr>
            </w:pPr>
          </w:p>
        </w:tc>
      </w:tr>
      <w:tr>
        <w:trPr>
          <w:trHeight w:val="675"/>
        </w:trPr>
        <w:tc>
          <w:tcPr>
            <w:tcW w:w="2080" w:type="dxa"/>
            <w:vAlign w:val="bottom"/>
          </w:tcPr>
          <w:p>
            <w:pPr>
              <w:ind w:left="20"/>
              <w:spacing w:after="0"/>
              <w:rPr>
                <w:sz w:val="20"/>
                <w:szCs w:val="20"/>
                <w:color w:val="auto"/>
              </w:rPr>
            </w:pPr>
            <w:r>
              <w:rPr>
                <w:rFonts w:ascii="Arial" w:cs="Arial" w:eastAsia="Arial" w:hAnsi="Arial"/>
                <w:sz w:val="18"/>
                <w:szCs w:val="18"/>
                <w:color w:val="auto"/>
              </w:rPr>
              <w:t>Date: July 28, 2023</w:t>
            </w:r>
          </w:p>
        </w:tc>
        <w:tc>
          <w:tcPr>
            <w:tcW w:w="980" w:type="dxa"/>
            <w:vAlign w:val="bottom"/>
          </w:tcPr>
          <w:p>
            <w:pPr>
              <w:ind w:left="500"/>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G. Frederick Bohley</w:t>
            </w:r>
          </w:p>
        </w:tc>
        <w:tc>
          <w:tcPr>
            <w:tcW w:w="2020" w:type="dxa"/>
            <w:vAlign w:val="bottom"/>
          </w:tcPr>
          <w:p>
            <w:pPr>
              <w:spacing w:after="0"/>
              <w:rPr>
                <w:sz w:val="24"/>
                <w:szCs w:val="24"/>
                <w:color w:val="auto"/>
              </w:rPr>
            </w:pPr>
          </w:p>
        </w:tc>
      </w:tr>
      <w:tr>
        <w:trPr>
          <w:trHeight w:val="466"/>
        </w:trPr>
        <w:tc>
          <w:tcPr>
            <w:tcW w:w="2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jc w:val="center"/>
              <w:ind w:left="110"/>
              <w:spacing w:after="0"/>
              <w:rPr>
                <w:sz w:val="20"/>
                <w:szCs w:val="20"/>
                <w:color w:val="auto"/>
              </w:rPr>
            </w:pPr>
            <w:r>
              <w:rPr>
                <w:rFonts w:ascii="Arial" w:cs="Arial" w:eastAsia="Arial" w:hAnsi="Arial"/>
                <w:sz w:val="18"/>
                <w:szCs w:val="18"/>
                <w:color w:val="auto"/>
                <w:w w:val="98"/>
              </w:rPr>
              <w:t>Name:</w:t>
            </w:r>
          </w:p>
        </w:tc>
        <w:tc>
          <w:tcPr>
            <w:tcW w:w="5000" w:type="dxa"/>
            <w:vAlign w:val="bottom"/>
          </w:tcPr>
          <w:p>
            <w:pPr>
              <w:ind w:left="200"/>
              <w:spacing w:after="0"/>
              <w:rPr>
                <w:sz w:val="20"/>
                <w:szCs w:val="20"/>
                <w:color w:val="auto"/>
              </w:rPr>
            </w:pPr>
            <w:r>
              <w:rPr>
                <w:rFonts w:ascii="Arial" w:cs="Arial" w:eastAsia="Arial" w:hAnsi="Arial"/>
                <w:sz w:val="18"/>
                <w:szCs w:val="18"/>
                <w:color w:val="auto"/>
              </w:rPr>
              <w:t>G. Frederick Bohley</w:t>
            </w:r>
          </w:p>
        </w:tc>
        <w:tc>
          <w:tcPr>
            <w:tcW w:w="2020" w:type="dxa"/>
            <w:vAlign w:val="bottom"/>
          </w:tcPr>
          <w:p>
            <w:pPr>
              <w:spacing w:after="0"/>
              <w:rPr>
                <w:sz w:val="24"/>
                <w:szCs w:val="24"/>
                <w:color w:val="auto"/>
              </w:rPr>
            </w:pPr>
          </w:p>
        </w:tc>
      </w:tr>
      <w:tr>
        <w:trPr>
          <w:trHeight w:val="244"/>
        </w:trPr>
        <w:tc>
          <w:tcPr>
            <w:tcW w:w="2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60" w:type="dxa"/>
            <w:vAlign w:val="bottom"/>
          </w:tcPr>
          <w:p>
            <w:pPr>
              <w:jc w:val="center"/>
              <w:ind w:left="90"/>
              <w:spacing w:after="0"/>
              <w:rPr>
                <w:sz w:val="20"/>
                <w:szCs w:val="20"/>
                <w:color w:val="auto"/>
              </w:rPr>
            </w:pPr>
            <w:r>
              <w:rPr>
                <w:rFonts w:ascii="Arial" w:cs="Arial" w:eastAsia="Arial" w:hAnsi="Arial"/>
                <w:sz w:val="18"/>
                <w:szCs w:val="18"/>
                <w:color w:val="auto"/>
                <w:w w:val="97"/>
              </w:rPr>
              <w:t>Title:</w:t>
            </w:r>
          </w:p>
        </w:tc>
        <w:tc>
          <w:tcPr>
            <w:tcW w:w="5000" w:type="dxa"/>
            <w:vAlign w:val="bottom"/>
          </w:tcPr>
          <w:p>
            <w:pPr>
              <w:ind w:left="200"/>
              <w:spacing w:after="0"/>
              <w:rPr>
                <w:sz w:val="20"/>
                <w:szCs w:val="20"/>
                <w:color w:val="auto"/>
              </w:rPr>
            </w:pPr>
            <w:r>
              <w:rPr>
                <w:rFonts w:ascii="Arial" w:cs="Arial" w:eastAsia="Arial" w:hAnsi="Arial"/>
                <w:sz w:val="18"/>
                <w:szCs w:val="18"/>
                <w:color w:val="auto"/>
                <w:w w:val="99"/>
              </w:rPr>
              <w:t>Senior Vice President, Chief Financial Officer and Treasurer</w:t>
            </w:r>
          </w:p>
        </w:tc>
        <w:tc>
          <w:tcPr>
            <w:tcW w:w="2020" w:type="dxa"/>
            <w:vAlign w:val="bottom"/>
          </w:tcPr>
          <w:p>
            <w:pPr>
              <w:spacing w:after="0"/>
              <w:rPr>
                <w:sz w:val="21"/>
                <w:szCs w:val="21"/>
                <w:color w:val="auto"/>
              </w:rPr>
            </w:pPr>
          </w:p>
        </w:tc>
      </w:tr>
      <w:tr>
        <w:trPr>
          <w:trHeight w:val="229"/>
        </w:trPr>
        <w:tc>
          <w:tcPr>
            <w:tcW w:w="2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(Principal Financial Officer and Principal Accounting Officer)</w:t>
            </w:r>
          </w:p>
        </w:tc>
        <w:tc>
          <w:tcPr>
            <w:tcW w:w="2020" w:type="dxa"/>
            <w:vAlign w:val="bottom"/>
          </w:tcPr>
          <w:p>
            <w:pPr>
              <w:spacing w:after="0"/>
              <w:rPr>
                <w:sz w:val="19"/>
                <w:szCs w:val="19"/>
                <w:color w:val="auto"/>
              </w:rPr>
            </w:pPr>
          </w:p>
        </w:tc>
      </w:tr>
      <w:tr>
        <w:trPr>
          <w:trHeight w:val="797"/>
        </w:trPr>
        <w:tc>
          <w:tcPr>
            <w:tcW w:w="2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0" w:type="dxa"/>
            <w:vAlign w:val="bottom"/>
          </w:tcPr>
          <w:p>
            <w:pPr>
              <w:ind w:left="1300"/>
              <w:spacing w:after="0"/>
              <w:rPr>
                <w:sz w:val="20"/>
                <w:szCs w:val="20"/>
                <w:color w:val="auto"/>
              </w:rPr>
            </w:pPr>
            <w:r>
              <w:rPr>
                <w:rFonts w:ascii="Arial" w:cs="Arial" w:eastAsia="Arial" w:hAnsi="Arial"/>
                <w:sz w:val="18"/>
                <w:szCs w:val="18"/>
                <w:color w:val="auto"/>
              </w:rPr>
              <w:t>41</w:t>
            </w:r>
          </w:p>
        </w:tc>
        <w:tc>
          <w:tcPr>
            <w:tcW w:w="2020" w:type="dxa"/>
            <w:vAlign w:val="bottom"/>
          </w:tcPr>
          <w:p>
            <w:pPr>
              <w:spacing w:after="0"/>
              <w:rPr>
                <w:sz w:val="24"/>
                <w:szCs w:val="24"/>
                <w:color w:val="auto"/>
              </w:rPr>
            </w:pPr>
          </w:p>
        </w:tc>
      </w:tr>
      <w:tr>
        <w:trPr>
          <w:trHeight w:val="102"/>
        </w:trPr>
        <w:tc>
          <w:tcPr>
            <w:tcW w:w="20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500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225" w:lineRule="exact"/>
        <w:rPr>
          <w:sz w:val="20"/>
          <w:szCs w:val="20"/>
          <w:color w:val="auto"/>
        </w:rPr>
      </w:pPr>
    </w:p>
    <w:p>
      <w:pPr>
        <w:ind w:left="760" w:hanging="752"/>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40" w:hanging="752"/>
        <w:spacing w:after="0" w:line="308"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60" w:right="40" w:hanging="752"/>
        <w:spacing w:after="0" w:line="263"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140" w:hanging="743"/>
        <w:spacing w:after="0" w:line="286" w:lineRule="auto"/>
        <w:tabs>
          <w:tab w:leader="none" w:pos="150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40" w:hanging="743"/>
        <w:spacing w:after="0" w:line="263"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hanging="743"/>
        <w:spacing w:after="0" w:line="342" w:lineRule="auto"/>
        <w:tabs>
          <w:tab w:leader="none" w:pos="15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40" w:hanging="743"/>
        <w:spacing w:after="0" w:line="263"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60" w:hanging="752"/>
        <w:spacing w:after="0" w:line="342"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300" w:hanging="743"/>
        <w:spacing w:after="0" w:line="342" w:lineRule="auto"/>
        <w:tabs>
          <w:tab w:leader="none" w:pos="15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right="580" w:hanging="743"/>
        <w:spacing w:after="0" w:line="277"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3566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David S. Graziosi</w:t>
      </w:r>
    </w:p>
    <w:p>
      <w:pPr>
        <w:spacing w:after="0" w:line="3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Title:</w:t>
        <w:tab/>
        <w:t>Chairman, 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G. Frederick Bohley, certify that:</w:t>
      </w:r>
    </w:p>
    <w:p>
      <w:pPr>
        <w:spacing w:after="0" w:line="225" w:lineRule="exact"/>
        <w:rPr>
          <w:sz w:val="20"/>
          <w:szCs w:val="20"/>
          <w:color w:val="auto"/>
        </w:rPr>
      </w:pPr>
    </w:p>
    <w:p>
      <w:pPr>
        <w:ind w:left="760" w:hanging="752"/>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40" w:hanging="752"/>
        <w:spacing w:after="0" w:line="308"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60" w:right="40" w:hanging="752"/>
        <w:spacing w:after="0" w:line="26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140" w:hanging="743"/>
        <w:spacing w:after="0" w:line="286" w:lineRule="auto"/>
        <w:tabs>
          <w:tab w:leader="none" w:pos="15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40" w:hanging="743"/>
        <w:spacing w:after="0" w:line="263"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hanging="743"/>
        <w:spacing w:after="0" w:line="342" w:lineRule="auto"/>
        <w:tabs>
          <w:tab w:leader="none" w:pos="1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40" w:hanging="743"/>
        <w:spacing w:after="0" w:line="263"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60" w:hanging="752"/>
        <w:spacing w:after="0" w:line="342"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300" w:hanging="743"/>
        <w:spacing w:after="0" w:line="342" w:lineRule="auto"/>
        <w:tabs>
          <w:tab w:leader="none" w:pos="1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right="580" w:hanging="743"/>
        <w:spacing w:after="0" w:line="277"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504888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G. Frederick Bohley</w:t>
      </w:r>
    </w:p>
    <w:p>
      <w:pPr>
        <w:spacing w:after="0" w:line="36"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Financial Officer and Treasurer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9200"/>
        <w:spacing w:after="0"/>
        <w:rPr>
          <w:sz w:val="20"/>
          <w:szCs w:val="20"/>
          <w:color w:val="auto"/>
        </w:rPr>
      </w:pPr>
      <w:r>
        <w:rPr>
          <w:rFonts w:ascii="Arial" w:cs="Arial" w:eastAsia="Arial" w:hAnsi="Arial"/>
          <w:sz w:val="16"/>
          <w:szCs w:val="16"/>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687705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June 30, 2023 as filed with the Securities and Exchange Commission on the date hereof (the “Report”), we, David S. Graziosi, Chairman, President and Chief Executive Officer of the Company, and G. Frederick Bohley, Senior Vice President, Chief Financial Officer and Treasurer of the Company, certify, pursuant to 18 U.S.C. § 1350 as adopted pursuant to § 906 of the Sarbanes-Oxley Act of 2002, that:</w:t>
      </w:r>
    </w:p>
    <w:p>
      <w:pPr>
        <w:spacing w:after="0" w:line="187" w:lineRule="exact"/>
        <w:rPr>
          <w:sz w:val="20"/>
          <w:szCs w:val="20"/>
          <w:color w:val="auto"/>
        </w:rPr>
      </w:pPr>
    </w:p>
    <w:p>
      <w:pPr>
        <w:ind w:left="760" w:hanging="75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60" w:hanging="752"/>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325755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S. Graziosi</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32575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 Frederick Bohley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2"/>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01"/>
    </w:lvl>
  </w:abstractNum>
  <w:abstractNum w:abstractNumId="7">
    <w:nsid w:val="12200854"/>
    <w:multiLevelType w:val="hybridMultilevel"/>
    <w:lvl w:ilvl="0">
      <w:lvlJc w:val="left"/>
      <w:lvlText w:val="%1"/>
      <w:numFmt w:val="decimal"/>
      <w:start w:val="104"/>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2023-07-28T07:55:36Z</dcterms:created>
  <dcterms:modified xsi:type="dcterms:W3CDTF">2023-07-28T07:55:36Z</dcterms:modified>
</cp:coreProperties>
</file>