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57785</wp:posOffset>
            </wp:positionV>
            <wp:extent cx="23717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76200</wp:posOffset>
            </wp:positionV>
            <wp:extent cx="2371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207" w:lineRule="exact"/>
        <w:rPr>
          <w:sz w:val="24"/>
          <w:szCs w:val="24"/>
          <w:color w:val="auto"/>
        </w:rPr>
      </w:pPr>
    </w:p>
    <w:p>
      <w:pPr>
        <w:ind w:left="3980" w:right="2820" w:hanging="3959"/>
        <w:spacing w:after="0" w:line="330" w:lineRule="auto"/>
        <w:tabs>
          <w:tab w:leader="none" w:pos="42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5"/>
          <w:szCs w:val="15"/>
          <w:b w:val="1"/>
          <w:bCs w:val="1"/>
          <w:color w:val="auto"/>
        </w:rPr>
        <w:t>For the Fiscal Year Ended December 31,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103" w:lineRule="exact"/>
        <w:rPr>
          <w:sz w:val="24"/>
          <w:szCs w:val="24"/>
          <w:color w:val="auto"/>
        </w:rPr>
      </w:pPr>
    </w:p>
    <w:p>
      <w:pPr>
        <w:ind w:left="4320" w:right="2520" w:hanging="4299"/>
        <w:spacing w:after="0" w:line="379" w:lineRule="auto"/>
        <w:tabs>
          <w:tab w:leader="none" w:pos="429"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5"/>
          <w:szCs w:val="15"/>
          <w:b w:val="1"/>
          <w:bCs w:val="1"/>
          <w:color w:val="auto"/>
        </w:rPr>
        <w:t>Commission File Number 001-35456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-25400</wp:posOffset>
            </wp:positionV>
            <wp:extent cx="2371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ALLISON TRANSMISSION HOLDINGS,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55245</wp:posOffset>
            </wp:positionV>
            <wp:extent cx="2371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156" w:lineRule="exact"/>
        <w:rPr>
          <w:sz w:val="24"/>
          <w:szCs w:val="24"/>
          <w:color w:val="auto"/>
        </w:rPr>
      </w:pPr>
    </w:p>
    <w:tbl>
      <w:tblPr>
        <w:tblLayout w:type="fixed"/>
        <w:tblInd w:w="1400" w:type="dxa"/>
        <w:tblCellMar>
          <w:top w:w="0" w:type="dxa"/>
          <w:left w:w="0" w:type="dxa"/>
          <w:bottom w:w="0" w:type="dxa"/>
          <w:right w:w="0" w:type="dxa"/>
        </w:tblCellMar>
      </w:tblPr>
      <w:tr>
        <w:trPr>
          <w:trHeight w:val="190"/>
        </w:trPr>
        <w:tc>
          <w:tcPr>
            <w:tcW w:w="4560" w:type="dxa"/>
            <w:vAlign w:val="bottom"/>
          </w:tcPr>
          <w:p>
            <w:pPr>
              <w:jc w:val="center"/>
              <w:ind w:right="1713"/>
              <w:spacing w:after="0"/>
              <w:rPr>
                <w:sz w:val="20"/>
                <w:szCs w:val="20"/>
                <w:color w:val="auto"/>
              </w:rPr>
            </w:pPr>
            <w:r>
              <w:rPr>
                <w:rFonts w:ascii="Arial" w:cs="Arial" w:eastAsia="Arial" w:hAnsi="Arial"/>
                <w:sz w:val="15"/>
                <w:szCs w:val="15"/>
                <w:b w:val="1"/>
                <w:bCs w:val="1"/>
                <w:color w:val="auto"/>
              </w:rPr>
              <w:t>Delaware</w:t>
            </w:r>
          </w:p>
        </w:tc>
        <w:tc>
          <w:tcPr>
            <w:tcW w:w="3160" w:type="dxa"/>
            <w:vAlign w:val="bottom"/>
          </w:tcPr>
          <w:p>
            <w:pPr>
              <w:jc w:val="center"/>
              <w:ind w:left="1793"/>
              <w:spacing w:after="0"/>
              <w:rPr>
                <w:sz w:val="20"/>
                <w:szCs w:val="20"/>
                <w:color w:val="auto"/>
              </w:rPr>
            </w:pPr>
            <w:r>
              <w:rPr>
                <w:rFonts w:ascii="Arial" w:cs="Arial" w:eastAsia="Arial" w:hAnsi="Arial"/>
                <w:sz w:val="15"/>
                <w:szCs w:val="15"/>
                <w:b w:val="1"/>
                <w:bCs w:val="1"/>
                <w:color w:val="auto"/>
              </w:rPr>
              <w:t>26-0414014</w:t>
            </w:r>
          </w:p>
        </w:tc>
      </w:tr>
      <w:tr>
        <w:trPr>
          <w:trHeight w:val="135"/>
        </w:trPr>
        <w:tc>
          <w:tcPr>
            <w:tcW w:w="4560" w:type="dxa"/>
            <w:vAlign w:val="bottom"/>
          </w:tcPr>
          <w:p>
            <w:pPr>
              <w:jc w:val="center"/>
              <w:ind w:right="1753"/>
              <w:spacing w:after="0" w:line="135" w:lineRule="exact"/>
              <w:rPr>
                <w:sz w:val="20"/>
                <w:szCs w:val="20"/>
                <w:color w:val="auto"/>
              </w:rPr>
            </w:pPr>
            <w:r>
              <w:rPr>
                <w:rFonts w:ascii="Arial" w:cs="Arial" w:eastAsia="Arial" w:hAnsi="Arial"/>
                <w:sz w:val="13"/>
                <w:szCs w:val="13"/>
                <w:b w:val="1"/>
                <w:bCs w:val="1"/>
                <w:color w:val="auto"/>
                <w:w w:val="97"/>
              </w:rPr>
              <w:t>(State or other jurisdiction of incorporation or</w:t>
            </w:r>
          </w:p>
        </w:tc>
        <w:tc>
          <w:tcPr>
            <w:tcW w:w="3160" w:type="dxa"/>
            <w:vAlign w:val="bottom"/>
          </w:tcPr>
          <w:p>
            <w:pPr>
              <w:jc w:val="center"/>
              <w:ind w:left="1733"/>
              <w:spacing w:after="0" w:line="135" w:lineRule="exact"/>
              <w:rPr>
                <w:sz w:val="20"/>
                <w:szCs w:val="20"/>
                <w:color w:val="auto"/>
              </w:rPr>
            </w:pPr>
            <w:r>
              <w:rPr>
                <w:rFonts w:ascii="Arial" w:cs="Arial" w:eastAsia="Arial" w:hAnsi="Arial"/>
                <w:sz w:val="13"/>
                <w:szCs w:val="13"/>
                <w:b w:val="1"/>
                <w:bCs w:val="1"/>
                <w:color w:val="auto"/>
                <w:w w:val="96"/>
              </w:rPr>
              <w:t>(I.R.S. Employer</w:t>
            </w:r>
          </w:p>
        </w:tc>
      </w:tr>
      <w:tr>
        <w:trPr>
          <w:trHeight w:val="172"/>
        </w:trPr>
        <w:tc>
          <w:tcPr>
            <w:tcW w:w="4560" w:type="dxa"/>
            <w:vAlign w:val="bottom"/>
          </w:tcPr>
          <w:p>
            <w:pPr>
              <w:jc w:val="center"/>
              <w:ind w:right="1713"/>
              <w:spacing w:after="0"/>
              <w:rPr>
                <w:sz w:val="20"/>
                <w:szCs w:val="20"/>
                <w:color w:val="auto"/>
              </w:rPr>
            </w:pPr>
            <w:r>
              <w:rPr>
                <w:rFonts w:ascii="Arial" w:cs="Arial" w:eastAsia="Arial" w:hAnsi="Arial"/>
                <w:sz w:val="13"/>
                <w:szCs w:val="13"/>
                <w:b w:val="1"/>
                <w:bCs w:val="1"/>
                <w:color w:val="auto"/>
                <w:w w:val="95"/>
              </w:rPr>
              <w:t>organization)</w:t>
            </w:r>
          </w:p>
        </w:tc>
        <w:tc>
          <w:tcPr>
            <w:tcW w:w="3160" w:type="dxa"/>
            <w:vAlign w:val="bottom"/>
          </w:tcPr>
          <w:p>
            <w:pPr>
              <w:jc w:val="center"/>
              <w:ind w:left="1773"/>
              <w:spacing w:after="0"/>
              <w:rPr>
                <w:sz w:val="20"/>
                <w:szCs w:val="20"/>
                <w:color w:val="auto"/>
              </w:rPr>
            </w:pPr>
            <w:r>
              <w:rPr>
                <w:rFonts w:ascii="Arial" w:cs="Arial" w:eastAsia="Arial" w:hAnsi="Arial"/>
                <w:sz w:val="13"/>
                <w:szCs w:val="13"/>
                <w:b w:val="1"/>
                <w:bCs w:val="1"/>
                <w:color w:val="auto"/>
                <w:w w:val="95"/>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2693670</wp:posOffset>
            </wp:positionH>
            <wp:positionV relativeFrom="paragraph">
              <wp:posOffset>39370</wp:posOffset>
            </wp:positionV>
            <wp:extent cx="1729740" cy="522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29740"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One Allison Way</w:t>
      </w:r>
    </w:p>
    <w:p>
      <w:pPr>
        <w:jc w:val="center"/>
        <w:spacing w:after="0" w:line="228" w:lineRule="auto"/>
        <w:rPr>
          <w:sz w:val="20"/>
          <w:szCs w:val="20"/>
          <w:color w:val="auto"/>
        </w:rPr>
      </w:pPr>
      <w:r>
        <w:rPr>
          <w:rFonts w:ascii="Arial" w:cs="Arial" w:eastAsia="Arial" w:hAnsi="Arial"/>
          <w:sz w:val="15"/>
          <w:szCs w:val="15"/>
          <w:b w:val="1"/>
          <w:bCs w:val="1"/>
          <w:color w:val="auto"/>
        </w:rPr>
        <w:t>Indianapolis, IN 46222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 offices and zip code)</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(317) 242-5000</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4560" w:type="dxa"/>
            <w:vAlign w:val="bottom"/>
            <w:gridSpan w:val="5"/>
          </w:tcPr>
          <w:p>
            <w:pPr>
              <w:ind w:left="60"/>
              <w:spacing w:after="0"/>
              <w:rPr>
                <w:sz w:val="20"/>
                <w:szCs w:val="20"/>
                <w:color w:val="auto"/>
              </w:rPr>
            </w:pPr>
            <w:r>
              <w:rPr>
                <w:rFonts w:ascii="Arial" w:cs="Arial" w:eastAsia="Arial" w:hAnsi="Arial"/>
                <w:sz w:val="15"/>
                <w:szCs w:val="15"/>
                <w:b w:val="1"/>
                <w:bCs w:val="1"/>
                <w:color w:val="auto"/>
              </w:rPr>
              <w:t>Securities registered pursuant to Section 12(b) of the Act:</w:t>
            </w:r>
          </w:p>
        </w:tc>
        <w:tc>
          <w:tcPr>
            <w:tcW w:w="62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41"/>
        </w:trPr>
        <w:tc>
          <w:tcPr>
            <w:tcW w:w="3460" w:type="dxa"/>
            <w:vAlign w:val="bottom"/>
            <w:tcBorders>
              <w:bottom w:val="single" w:sz="8" w:color="auto"/>
            </w:tcBorders>
          </w:tcPr>
          <w:p>
            <w:pPr>
              <w:jc w:val="center"/>
              <w:ind w:left="984"/>
              <w:spacing w:after="0"/>
              <w:rPr>
                <w:sz w:val="20"/>
                <w:szCs w:val="20"/>
                <w:color w:val="auto"/>
              </w:rPr>
            </w:pPr>
            <w:r>
              <w:rPr>
                <w:rFonts w:ascii="Arial" w:cs="Arial" w:eastAsia="Arial" w:hAnsi="Arial"/>
                <w:sz w:val="15"/>
                <w:szCs w:val="15"/>
                <w:b w:val="1"/>
                <w:bCs w:val="1"/>
                <w:color w:val="auto"/>
              </w:rPr>
              <w:t>Title of Each Class</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Trading Symbol(s)</w:t>
            </w:r>
          </w:p>
        </w:tc>
        <w:tc>
          <w:tcPr>
            <w:tcW w:w="120" w:type="dxa"/>
            <w:vAlign w:val="bottom"/>
          </w:tcPr>
          <w:p>
            <w:pPr>
              <w:spacing w:after="0"/>
              <w:rPr>
                <w:sz w:val="20"/>
                <w:szCs w:val="20"/>
                <w:color w:val="auto"/>
              </w:rPr>
            </w:pPr>
          </w:p>
        </w:tc>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238"/>
        </w:trPr>
        <w:tc>
          <w:tcPr>
            <w:tcW w:w="3460" w:type="dxa"/>
            <w:vAlign w:val="bottom"/>
          </w:tcPr>
          <w:p>
            <w:pPr>
              <w:jc w:val="center"/>
              <w:ind w:left="984"/>
              <w:spacing w:after="0"/>
              <w:rPr>
                <w:sz w:val="20"/>
                <w:szCs w:val="20"/>
                <w:color w:val="auto"/>
              </w:rPr>
            </w:pPr>
            <w:r>
              <w:rPr>
                <w:rFonts w:ascii="Arial" w:cs="Arial" w:eastAsia="Arial" w:hAnsi="Arial"/>
                <w:sz w:val="15"/>
                <w:szCs w:val="15"/>
                <w:b w:val="1"/>
                <w:bCs w:val="1"/>
                <w:color w:val="auto"/>
              </w:rPr>
              <w:t>Common Stock, $0.01 par value</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Arial" w:cs="Arial" w:eastAsia="Arial" w:hAnsi="Arial"/>
                <w:sz w:val="15"/>
                <w:szCs w:val="15"/>
                <w:b w:val="1"/>
                <w:bCs w:val="1"/>
                <w:color w:val="auto"/>
                <w:w w:val="97"/>
              </w:rPr>
              <w:t>ALSN</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20" w:type="dxa"/>
            <w:vAlign w:val="bottom"/>
            <w:gridSpan w:val="2"/>
          </w:tcPr>
          <w:p>
            <w:pPr>
              <w:jc w:val="center"/>
              <w:ind w:right="824"/>
              <w:spacing w:after="0"/>
              <w:rPr>
                <w:sz w:val="20"/>
                <w:szCs w:val="20"/>
                <w:color w:val="auto"/>
              </w:rPr>
            </w:pPr>
            <w:r>
              <w:rPr>
                <w:rFonts w:ascii="Arial" w:cs="Arial" w:eastAsia="Arial" w:hAnsi="Arial"/>
                <w:sz w:val="15"/>
                <w:szCs w:val="15"/>
                <w:b w:val="1"/>
                <w:bCs w:val="1"/>
                <w:color w:val="auto"/>
              </w:rPr>
              <w:t>New York Stock Exchange</w:t>
            </w:r>
          </w:p>
        </w:tc>
      </w:tr>
      <w:tr>
        <w:trPr>
          <w:trHeight w:val="235"/>
        </w:trPr>
        <w:tc>
          <w:tcPr>
            <w:tcW w:w="7000" w:type="dxa"/>
            <w:vAlign w:val="bottom"/>
            <w:gridSpan w:val="4"/>
          </w:tcPr>
          <w:p>
            <w:pPr>
              <w:spacing w:after="0"/>
              <w:rPr>
                <w:sz w:val="20"/>
                <w:szCs w:val="20"/>
                <w:color w:val="auto"/>
              </w:rPr>
            </w:pPr>
            <w:r>
              <w:rPr>
                <w:rFonts w:ascii="Arial" w:cs="Arial" w:eastAsia="Arial" w:hAnsi="Arial"/>
                <w:sz w:val="15"/>
                <w:szCs w:val="15"/>
                <w:color w:val="auto"/>
              </w:rPr>
              <w:t>Securities registered pursuant to Section 12(g) of the Act: None</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277"/>
        </w:trPr>
        <w:tc>
          <w:tcPr>
            <w:tcW w:w="8020" w:type="dxa"/>
            <w:vAlign w:val="bottom"/>
            <w:gridSpan w:val="6"/>
          </w:tcPr>
          <w:p>
            <w:pPr>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tc>
        <w:tc>
          <w:tcPr>
            <w:tcW w:w="620" w:type="dxa"/>
            <w:vAlign w:val="bottom"/>
          </w:tcPr>
          <w:p>
            <w:pPr>
              <w:ind w:left="4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tc>
        <w:tc>
          <w:tcPr>
            <w:tcW w:w="2600" w:type="dxa"/>
            <w:vAlign w:val="bottom"/>
          </w:tcPr>
          <w:p>
            <w:pPr>
              <w:ind w:left="2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r>
      <w:tr>
        <w:trPr>
          <w:trHeight w:val="258"/>
        </w:trPr>
        <w:tc>
          <w:tcPr>
            <w:tcW w:w="8020" w:type="dxa"/>
            <w:vAlign w:val="bottom"/>
            <w:gridSpan w:val="6"/>
          </w:tcPr>
          <w:p>
            <w:pPr>
              <w:spacing w:after="0"/>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Act.</w:t>
            </w:r>
          </w:p>
        </w:tc>
        <w:tc>
          <w:tcPr>
            <w:tcW w:w="620" w:type="dxa"/>
            <w:vAlign w:val="bottom"/>
          </w:tcPr>
          <w:p>
            <w:pPr>
              <w:ind w:left="14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tc>
        <w:tc>
          <w:tcPr>
            <w:tcW w:w="2600" w:type="dxa"/>
            <w:vAlign w:val="bottom"/>
          </w:tcPr>
          <w:p>
            <w:pPr>
              <w:ind w:left="14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r>
    </w:tbl>
    <w:p>
      <w:pPr>
        <w:spacing w:after="0" w:line="20" w:lineRule="exact"/>
        <w:rPr>
          <w:sz w:val="24"/>
          <w:szCs w:val="24"/>
          <w:color w:val="auto"/>
        </w:rPr>
      </w:pPr>
    </w:p>
    <w:p>
      <w:pPr>
        <w:ind w:right="120"/>
        <w:spacing w:after="0" w:line="241"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73" w:lineRule="exact"/>
        <w:tabs>
          <w:tab w:leader="none" w:pos="740" w:val="left"/>
          <w:tab w:leader="none" w:pos="1340" w:val="left"/>
        </w:tabs>
        <w:rPr>
          <w:sz w:val="20"/>
          <w:szCs w:val="20"/>
          <w:color w:val="auto"/>
        </w:rPr>
      </w:pPr>
      <w:r>
        <w:rPr>
          <w:rFonts w:ascii="Arial" w:cs="Arial" w:eastAsia="Arial" w:hAnsi="Arial"/>
          <w:sz w:val="15"/>
          <w:szCs w:val="15"/>
          <w:color w:val="auto"/>
        </w:rPr>
        <w:t>90 days.</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73" w:lineRule="exact"/>
        <w:rPr>
          <w:sz w:val="24"/>
          <w:szCs w:val="24"/>
          <w:color w:val="auto"/>
        </w:rPr>
      </w:pPr>
    </w:p>
    <w:p>
      <w:pPr>
        <w:ind w:right="40"/>
        <w:spacing w:after="0" w:line="19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1" w:lineRule="exact"/>
        <w:rPr>
          <w:sz w:val="24"/>
          <w:szCs w:val="24"/>
          <w:color w:val="auto"/>
        </w:rPr>
      </w:pPr>
    </w:p>
    <w:p>
      <w:pPr>
        <w:ind w:right="160"/>
        <w:spacing w:after="0" w:line="244"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p>
      <w:pPr>
        <w:ind w:left="20"/>
        <w:spacing w:after="0" w:line="173" w:lineRule="exact"/>
        <w:tabs>
          <w:tab w:leader="none" w:pos="2260" w:val="left"/>
          <w:tab w:leader="none" w:pos="4060" w:val="left"/>
          <w:tab w:leader="none" w:pos="6200" w:val="left"/>
          <w:tab w:leader="none" w:pos="8780" w:val="left"/>
        </w:tabs>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119" w:lineRule="exact"/>
        <w:rPr>
          <w:sz w:val="24"/>
          <w:szCs w:val="24"/>
          <w:color w:val="auto"/>
        </w:rPr>
      </w:pPr>
    </w:p>
    <w:p>
      <w:pPr>
        <w:ind w:right="240"/>
        <w:spacing w:after="0" w:line="19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35" w:lineRule="exact"/>
        <w:rPr>
          <w:sz w:val="24"/>
          <w:szCs w:val="24"/>
          <w:color w:val="auto"/>
        </w:rPr>
      </w:pPr>
    </w:p>
    <w:p>
      <w:pPr>
        <w:ind w:right="340"/>
        <w:spacing w:after="0" w:line="241"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report. </w:t>
      </w:r>
      <w:r>
        <w:rPr>
          <w:rFonts w:ascii="MS PGothic" w:cs="MS PGothic" w:eastAsia="MS PGothic" w:hAnsi="MS PGothic"/>
          <w:sz w:val="15"/>
          <w:szCs w:val="15"/>
          <w:color w:val="auto"/>
        </w:rPr>
        <w:t>☒</w:t>
      </w:r>
    </w:p>
    <w:p>
      <w:pPr>
        <w:spacing w:after="0" w:line="60" w:lineRule="exact"/>
        <w:rPr>
          <w:sz w:val="24"/>
          <w:szCs w:val="24"/>
          <w:color w:val="auto"/>
        </w:rPr>
      </w:pPr>
    </w:p>
    <w:p>
      <w:pPr>
        <w:ind w:right="220"/>
        <w:spacing w:after="0" w:line="199"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21" w:lineRule="exact"/>
        <w:rPr>
          <w:sz w:val="24"/>
          <w:szCs w:val="24"/>
          <w:color w:val="auto"/>
        </w:rPr>
      </w:pPr>
    </w:p>
    <w:p>
      <w:pPr>
        <w:ind w:right="60"/>
        <w:spacing w:after="0" w:line="199"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3" w:lineRule="exact"/>
        <w:rPr>
          <w:sz w:val="24"/>
          <w:szCs w:val="24"/>
          <w:color w:val="auto"/>
        </w:rPr>
      </w:pPr>
    </w:p>
    <w:p>
      <w:pPr>
        <w:spacing w:after="0" w:line="173" w:lineRule="exact"/>
        <w:tabs>
          <w:tab w:leader="none" w:pos="7800" w:val="left"/>
          <w:tab w:leader="none" w:pos="842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106" w:lineRule="exact"/>
        <w:rPr>
          <w:sz w:val="24"/>
          <w:szCs w:val="24"/>
          <w:color w:val="auto"/>
        </w:rPr>
      </w:pPr>
    </w:p>
    <w:p>
      <w:pPr>
        <w:spacing w:after="0"/>
        <w:rPr>
          <w:sz w:val="20"/>
          <w:szCs w:val="20"/>
          <w:color w:val="auto"/>
        </w:rPr>
      </w:pPr>
      <w:r>
        <w:rPr>
          <w:rFonts w:ascii="Arial" w:cs="Arial" w:eastAsia="Arial" w:hAnsi="Arial"/>
          <w:sz w:val="15"/>
          <w:szCs w:val="15"/>
          <w:color w:val="auto"/>
        </w:rPr>
        <w:t>The aggregate market value of the voting and non-voting stock held by non-affiliates was approximately $5,034 million as of June 30, 2023.</w:t>
      </w:r>
    </w:p>
    <w:p>
      <w:pPr>
        <w:spacing w:after="0" w:line="57" w:lineRule="exact"/>
        <w:rPr>
          <w:sz w:val="24"/>
          <w:szCs w:val="24"/>
          <w:color w:val="auto"/>
        </w:rPr>
      </w:pPr>
    </w:p>
    <w:p>
      <w:pPr>
        <w:spacing w:after="0"/>
        <w:rPr>
          <w:sz w:val="20"/>
          <w:szCs w:val="20"/>
          <w:color w:val="auto"/>
        </w:rPr>
      </w:pPr>
      <w:r>
        <w:rPr>
          <w:rFonts w:ascii="Arial" w:cs="Arial" w:eastAsia="Arial" w:hAnsi="Arial"/>
          <w:sz w:val="15"/>
          <w:szCs w:val="15"/>
          <w:color w:val="auto"/>
        </w:rPr>
        <w:t>As of February 1, 2024, there were 87,214,197 shares of Common Stock outstanding.</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Documents Incorporated by Reference</w:t>
      </w:r>
    </w:p>
    <w:p>
      <w:pPr>
        <w:spacing w:after="0" w:line="59" w:lineRule="exact"/>
        <w:rPr>
          <w:sz w:val="24"/>
          <w:szCs w:val="24"/>
          <w:color w:val="auto"/>
        </w:rPr>
      </w:pPr>
    </w:p>
    <w:p>
      <w:pPr>
        <w:ind w:right="40"/>
        <w:spacing w:after="0" w:line="263" w:lineRule="auto"/>
        <w:rPr>
          <w:sz w:val="20"/>
          <w:szCs w:val="20"/>
          <w:color w:val="auto"/>
        </w:rPr>
      </w:pPr>
      <w:r>
        <w:rPr>
          <w:rFonts w:ascii="Arial" w:cs="Arial" w:eastAsia="Arial" w:hAnsi="Arial"/>
          <w:sz w:val="15"/>
          <w:szCs w:val="15"/>
          <w:color w:val="auto"/>
        </w:rPr>
        <w:t>Portions of the Registrant’s definitive Proxy Statement for its 2024 annual meeting of stockholders will be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580390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80" w:type="dxa"/>
            <w:vAlign w:val="bottom"/>
            <w:gridSpan w:val="30"/>
          </w:tcPr>
          <w:p>
            <w:pPr>
              <w:spacing w:after="0"/>
              <w:rPr>
                <w:sz w:val="20"/>
                <w:szCs w:val="20"/>
                <w:color w:val="auto"/>
              </w:rPr>
            </w:pPr>
            <w:r>
              <w:rPr>
                <w:rFonts w:ascii="Arial" w:cs="Arial" w:eastAsia="Arial" w:hAnsi="Arial"/>
                <w:sz w:val="18"/>
                <w:szCs w:val="18"/>
                <w:color w:val="0000FF"/>
              </w:rPr>
              <w:t>Table of Contents</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37"/>
        </w:trPr>
        <w:tc>
          <w:tcPr>
            <w:tcW w:w="10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80" w:type="dxa"/>
            <w:vAlign w:val="bottom"/>
            <w:gridSpan w:val="9"/>
          </w:tcPr>
          <w:p>
            <w:pPr>
              <w:jc w:val="center"/>
              <w:ind w:right="3920"/>
              <w:spacing w:after="0"/>
              <w:rPr>
                <w:sz w:val="20"/>
                <w:szCs w:val="20"/>
                <w:color w:val="auto"/>
              </w:rPr>
            </w:pPr>
            <w:r>
              <w:rPr>
                <w:rFonts w:ascii="Arial" w:cs="Arial" w:eastAsia="Arial" w:hAnsi="Arial"/>
                <w:sz w:val="18"/>
                <w:szCs w:val="18"/>
                <w:b w:val="1"/>
                <w:bCs w:val="1"/>
                <w:color w:val="auto"/>
                <w:w w:val="99"/>
              </w:rPr>
              <w:t>Table Of Contents</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6"/>
        </w:trPr>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Page</w:t>
            </w:r>
          </w:p>
        </w:tc>
        <w:tc>
          <w:tcPr>
            <w:tcW w:w="60" w:type="dxa"/>
            <w:vAlign w:val="bottom"/>
          </w:tcPr>
          <w:p>
            <w:pPr>
              <w:spacing w:after="0"/>
              <w:rPr>
                <w:sz w:val="24"/>
                <w:szCs w:val="24"/>
                <w:color w:val="auto"/>
              </w:rPr>
            </w:pPr>
          </w:p>
        </w:tc>
      </w:tr>
      <w:tr>
        <w:trPr>
          <w:trHeight w:val="182"/>
        </w:trPr>
        <w:tc>
          <w:tcPr>
            <w:tcW w:w="100" w:type="dxa"/>
            <w:vAlign w:val="bottom"/>
          </w:tcPr>
          <w:p>
            <w:pPr>
              <w:spacing w:after="0"/>
              <w:rPr>
                <w:sz w:val="15"/>
                <w:szCs w:val="15"/>
                <w:color w:val="auto"/>
              </w:rPr>
            </w:pPr>
          </w:p>
        </w:tc>
        <w:tc>
          <w:tcPr>
            <w:tcW w:w="800" w:type="dxa"/>
            <w:vAlign w:val="bottom"/>
            <w:gridSpan w:val="4"/>
          </w:tcPr>
          <w:p>
            <w:pPr>
              <w:spacing w:after="0" w:line="182" w:lineRule="exact"/>
              <w:rPr>
                <w:sz w:val="20"/>
                <w:szCs w:val="20"/>
                <w:color w:val="auto"/>
              </w:rPr>
            </w:pPr>
            <w:r>
              <w:rPr>
                <w:rFonts w:ascii="Arial" w:cs="Arial" w:eastAsia="Arial" w:hAnsi="Arial"/>
                <w:sz w:val="18"/>
                <w:szCs w:val="18"/>
                <w:b w:val="1"/>
                <w:bCs w:val="1"/>
                <w:color w:val="0000FF"/>
              </w:rPr>
              <w:t>PART I.</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rPr>
              <w:t>Item 1.</w:t>
            </w:r>
          </w:p>
        </w:tc>
        <w:tc>
          <w:tcPr>
            <w:tcW w:w="9580" w:type="dxa"/>
            <w:vAlign w:val="bottom"/>
            <w:gridSpan w:val="25"/>
          </w:tcPr>
          <w:p>
            <w:pPr>
              <w:ind w:left="80"/>
              <w:spacing w:after="0"/>
              <w:rPr>
                <w:sz w:val="20"/>
                <w:szCs w:val="20"/>
                <w:color w:val="auto"/>
              </w:rPr>
            </w:pPr>
            <w:r>
              <w:rPr>
                <w:rFonts w:ascii="Arial" w:cs="Arial" w:eastAsia="Arial" w:hAnsi="Arial"/>
                <w:sz w:val="18"/>
                <w:szCs w:val="18"/>
                <w:color w:val="0000FF"/>
              </w:rPr>
              <w:t>Business</w:t>
            </w: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rPr>
              <w:t>Item 1A.</w:t>
            </w:r>
          </w:p>
        </w:tc>
        <w:tc>
          <w:tcPr>
            <w:tcW w:w="9580" w:type="dxa"/>
            <w:vAlign w:val="bottom"/>
            <w:gridSpan w:val="25"/>
          </w:tcPr>
          <w:p>
            <w:pPr>
              <w:ind w:left="80"/>
              <w:spacing w:after="0"/>
              <w:rPr>
                <w:sz w:val="20"/>
                <w:szCs w:val="20"/>
                <w:color w:val="auto"/>
              </w:rPr>
            </w:pPr>
            <w:r>
              <w:rPr>
                <w:rFonts w:ascii="Arial" w:cs="Arial" w:eastAsia="Arial" w:hAnsi="Arial"/>
                <w:sz w:val="18"/>
                <w:szCs w:val="18"/>
                <w:color w:val="0000FF"/>
              </w:rPr>
              <w:t>Risk Factors</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rPr>
              <w:t>Item 1B.</w:t>
            </w:r>
          </w:p>
        </w:tc>
        <w:tc>
          <w:tcPr>
            <w:tcW w:w="9580" w:type="dxa"/>
            <w:vAlign w:val="bottom"/>
            <w:gridSpan w:val="25"/>
          </w:tcPr>
          <w:p>
            <w:pPr>
              <w:ind w:left="80"/>
              <w:spacing w:after="0"/>
              <w:rPr>
                <w:sz w:val="20"/>
                <w:szCs w:val="20"/>
                <w:color w:val="auto"/>
              </w:rPr>
            </w:pPr>
            <w:r>
              <w:rPr>
                <w:rFonts w:ascii="Arial" w:cs="Arial" w:eastAsia="Arial" w:hAnsi="Arial"/>
                <w:sz w:val="18"/>
                <w:szCs w:val="18"/>
                <w:color w:val="0000FF"/>
              </w:rPr>
              <w:t>Unresolved Staff Comments</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rPr>
              <w:t>Item 1C.</w:t>
            </w:r>
          </w:p>
        </w:tc>
        <w:tc>
          <w:tcPr>
            <w:tcW w:w="9580" w:type="dxa"/>
            <w:vAlign w:val="bottom"/>
            <w:gridSpan w:val="25"/>
          </w:tcPr>
          <w:p>
            <w:pPr>
              <w:ind w:left="80"/>
              <w:spacing w:after="0"/>
              <w:rPr>
                <w:sz w:val="20"/>
                <w:szCs w:val="20"/>
                <w:color w:val="auto"/>
              </w:rPr>
            </w:pPr>
            <w:r>
              <w:rPr>
                <w:rFonts w:ascii="Arial" w:cs="Arial" w:eastAsia="Arial" w:hAnsi="Arial"/>
                <w:sz w:val="18"/>
                <w:szCs w:val="18"/>
                <w:color w:val="0000FF"/>
              </w:rPr>
              <w:t>Cybersecurity</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rPr>
              <w:t>Item 2.</w:t>
            </w:r>
          </w:p>
        </w:tc>
        <w:tc>
          <w:tcPr>
            <w:tcW w:w="9580" w:type="dxa"/>
            <w:vAlign w:val="bottom"/>
            <w:gridSpan w:val="25"/>
          </w:tcPr>
          <w:p>
            <w:pPr>
              <w:ind w:left="80"/>
              <w:spacing w:after="0"/>
              <w:rPr>
                <w:sz w:val="20"/>
                <w:szCs w:val="20"/>
                <w:color w:val="auto"/>
              </w:rPr>
            </w:pPr>
            <w:r>
              <w:rPr>
                <w:rFonts w:ascii="Arial" w:cs="Arial" w:eastAsia="Arial" w:hAnsi="Arial"/>
                <w:sz w:val="18"/>
                <w:szCs w:val="18"/>
                <w:color w:val="0000FF"/>
              </w:rPr>
              <w:t>Properties</w:t>
            </w: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rPr>
              <w:t>Item 3.</w:t>
            </w:r>
          </w:p>
        </w:tc>
        <w:tc>
          <w:tcPr>
            <w:tcW w:w="9580" w:type="dxa"/>
            <w:vAlign w:val="bottom"/>
            <w:gridSpan w:val="25"/>
          </w:tcPr>
          <w:p>
            <w:pPr>
              <w:ind w:left="80"/>
              <w:spacing w:after="0"/>
              <w:rPr>
                <w:sz w:val="20"/>
                <w:szCs w:val="20"/>
                <w:color w:val="auto"/>
              </w:rPr>
            </w:pPr>
            <w:r>
              <w:rPr>
                <w:rFonts w:ascii="Arial" w:cs="Arial" w:eastAsia="Arial" w:hAnsi="Arial"/>
                <w:sz w:val="18"/>
                <w:szCs w:val="18"/>
                <w:color w:val="0000FF"/>
              </w:rPr>
              <w:t>Legal Proceedings</w:t>
            </w: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rPr>
              <w:t>Item 4.</w:t>
            </w:r>
          </w:p>
        </w:tc>
        <w:tc>
          <w:tcPr>
            <w:tcW w:w="9580" w:type="dxa"/>
            <w:vAlign w:val="bottom"/>
            <w:gridSpan w:val="25"/>
          </w:tcPr>
          <w:p>
            <w:pPr>
              <w:ind w:left="80"/>
              <w:spacing w:after="0"/>
              <w:rPr>
                <w:sz w:val="20"/>
                <w:szCs w:val="20"/>
                <w:color w:val="auto"/>
              </w:rPr>
            </w:pPr>
            <w:r>
              <w:rPr>
                <w:rFonts w:ascii="Arial" w:cs="Arial" w:eastAsia="Arial" w:hAnsi="Arial"/>
                <w:sz w:val="18"/>
                <w:szCs w:val="18"/>
                <w:color w:val="0000FF"/>
              </w:rPr>
              <w:t>Mine Safety Disclosures</w:t>
            </w: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8"/>
                <w:szCs w:val="18"/>
                <w:b w:val="1"/>
                <w:bCs w:val="1"/>
                <w:color w:val="0000FF"/>
              </w:rPr>
              <w:t>PART II.</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rPr>
              <w:t>Item 5.</w:t>
            </w:r>
          </w:p>
        </w:tc>
        <w:tc>
          <w:tcPr>
            <w:tcW w:w="9580" w:type="dxa"/>
            <w:vAlign w:val="bottom"/>
            <w:gridSpan w:val="25"/>
          </w:tcPr>
          <w:p>
            <w:pPr>
              <w:ind w:left="80"/>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rPr>
              <w:t>Item 6.</w:t>
            </w:r>
          </w:p>
        </w:tc>
        <w:tc>
          <w:tcPr>
            <w:tcW w:w="9580" w:type="dxa"/>
            <w:vAlign w:val="bottom"/>
            <w:gridSpan w:val="25"/>
          </w:tcPr>
          <w:p>
            <w:pPr>
              <w:ind w:left="80"/>
              <w:spacing w:after="0"/>
              <w:rPr>
                <w:sz w:val="20"/>
                <w:szCs w:val="20"/>
                <w:color w:val="auto"/>
              </w:rPr>
            </w:pPr>
            <w:r>
              <w:rPr>
                <w:rFonts w:ascii="Arial" w:cs="Arial" w:eastAsia="Arial" w:hAnsi="Arial"/>
                <w:sz w:val="18"/>
                <w:szCs w:val="18"/>
                <w:color w:val="0000FF"/>
              </w:rPr>
              <w:t>[Reserved]</w:t>
            </w: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rPr>
              <w:t>Item 7.</w:t>
            </w:r>
          </w:p>
        </w:tc>
        <w:tc>
          <w:tcPr>
            <w:tcW w:w="9580" w:type="dxa"/>
            <w:vAlign w:val="bottom"/>
            <w:gridSpan w:val="25"/>
          </w:tcPr>
          <w:p>
            <w:pPr>
              <w:ind w:left="8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rPr>
              <w:t>Item 7A.</w:t>
            </w:r>
          </w:p>
        </w:tc>
        <w:tc>
          <w:tcPr>
            <w:tcW w:w="9580" w:type="dxa"/>
            <w:vAlign w:val="bottom"/>
            <w:gridSpan w:val="25"/>
          </w:tcPr>
          <w:p>
            <w:pPr>
              <w:ind w:left="80"/>
              <w:spacing w:after="0"/>
              <w:rPr>
                <w:sz w:val="20"/>
                <w:szCs w:val="20"/>
                <w:color w:val="auto"/>
              </w:rPr>
            </w:pPr>
            <w:r>
              <w:rPr>
                <w:rFonts w:ascii="Arial" w:cs="Arial" w:eastAsia="Arial" w:hAnsi="Arial"/>
                <w:sz w:val="18"/>
                <w:szCs w:val="18"/>
                <w:color w:val="0000FF"/>
              </w:rPr>
              <w:t>Quantitative and Qualitative Disclosures About Market Risk</w:t>
            </w: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rPr>
              <w:t>Item 8.</w:t>
            </w:r>
          </w:p>
        </w:tc>
        <w:tc>
          <w:tcPr>
            <w:tcW w:w="9580" w:type="dxa"/>
            <w:vAlign w:val="bottom"/>
            <w:gridSpan w:val="25"/>
          </w:tcPr>
          <w:p>
            <w:pPr>
              <w:ind w:left="80"/>
              <w:spacing w:after="0"/>
              <w:rPr>
                <w:sz w:val="20"/>
                <w:szCs w:val="20"/>
                <w:color w:val="auto"/>
              </w:rPr>
            </w:pPr>
            <w:r>
              <w:rPr>
                <w:rFonts w:ascii="Arial" w:cs="Arial" w:eastAsia="Arial" w:hAnsi="Arial"/>
                <w:sz w:val="18"/>
                <w:szCs w:val="18"/>
                <w:color w:val="0000FF"/>
              </w:rPr>
              <w:t>Financial Statements and Supplementary Data</w:t>
            </w: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rPr>
              <w:t>Item 9.</w:t>
            </w:r>
          </w:p>
        </w:tc>
        <w:tc>
          <w:tcPr>
            <w:tcW w:w="9580" w:type="dxa"/>
            <w:vAlign w:val="bottom"/>
            <w:gridSpan w:val="25"/>
          </w:tcPr>
          <w:p>
            <w:pPr>
              <w:ind w:left="80"/>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0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rPr>
              <w:t>Item 9A.</w:t>
            </w:r>
          </w:p>
        </w:tc>
        <w:tc>
          <w:tcPr>
            <w:tcW w:w="9580" w:type="dxa"/>
            <w:vAlign w:val="bottom"/>
            <w:gridSpan w:val="25"/>
          </w:tcPr>
          <w:p>
            <w:pPr>
              <w:ind w:left="80"/>
              <w:spacing w:after="0"/>
              <w:rPr>
                <w:sz w:val="20"/>
                <w:szCs w:val="20"/>
                <w:color w:val="auto"/>
              </w:rPr>
            </w:pPr>
            <w:r>
              <w:rPr>
                <w:rFonts w:ascii="Arial" w:cs="Arial" w:eastAsia="Arial" w:hAnsi="Arial"/>
                <w:sz w:val="18"/>
                <w:szCs w:val="18"/>
                <w:color w:val="0000FF"/>
              </w:rPr>
              <w:t>Controls and Procedures</w:t>
            </w:r>
          </w:p>
        </w:tc>
        <w:tc>
          <w:tcPr>
            <w:tcW w:w="70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rPr>
              <w:t>Item 9B.</w:t>
            </w:r>
          </w:p>
        </w:tc>
        <w:tc>
          <w:tcPr>
            <w:tcW w:w="9580" w:type="dxa"/>
            <w:vAlign w:val="bottom"/>
            <w:gridSpan w:val="25"/>
          </w:tcPr>
          <w:p>
            <w:pPr>
              <w:ind w:left="80"/>
              <w:spacing w:after="0"/>
              <w:rPr>
                <w:sz w:val="20"/>
                <w:szCs w:val="20"/>
                <w:color w:val="auto"/>
              </w:rPr>
            </w:pPr>
            <w:r>
              <w:rPr>
                <w:rFonts w:ascii="Arial" w:cs="Arial" w:eastAsia="Arial" w:hAnsi="Arial"/>
                <w:sz w:val="18"/>
                <w:szCs w:val="18"/>
                <w:color w:val="0000FF"/>
              </w:rPr>
              <w:t>Other Information</w:t>
            </w:r>
          </w:p>
        </w:tc>
        <w:tc>
          <w:tcPr>
            <w:tcW w:w="700" w:type="dxa"/>
            <w:vAlign w:val="bottom"/>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rPr>
              <w:t>Item 9C.</w:t>
            </w:r>
          </w:p>
        </w:tc>
        <w:tc>
          <w:tcPr>
            <w:tcW w:w="9580" w:type="dxa"/>
            <w:vAlign w:val="bottom"/>
            <w:gridSpan w:val="25"/>
          </w:tcPr>
          <w:p>
            <w:pPr>
              <w:ind w:left="80"/>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00" w:type="dxa"/>
            <w:vAlign w:val="bottom"/>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2"/>
        </w:trPr>
        <w:tc>
          <w:tcPr>
            <w:tcW w:w="10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8"/>
                <w:szCs w:val="18"/>
                <w:b w:val="1"/>
                <w:bCs w:val="1"/>
                <w:color w:val="0000FF"/>
              </w:rPr>
              <w:t>PART III.</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rPr>
              <w:t>Item 10.</w:t>
            </w:r>
          </w:p>
        </w:tc>
        <w:tc>
          <w:tcPr>
            <w:tcW w:w="9580" w:type="dxa"/>
            <w:vAlign w:val="bottom"/>
            <w:gridSpan w:val="25"/>
          </w:tcPr>
          <w:p>
            <w:pPr>
              <w:ind w:left="80"/>
              <w:spacing w:after="0"/>
              <w:rPr>
                <w:sz w:val="20"/>
                <w:szCs w:val="20"/>
                <w:color w:val="auto"/>
              </w:rPr>
            </w:pPr>
            <w:r>
              <w:rPr>
                <w:rFonts w:ascii="Arial" w:cs="Arial" w:eastAsia="Arial" w:hAnsi="Arial"/>
                <w:sz w:val="18"/>
                <w:szCs w:val="18"/>
                <w:color w:val="0000FF"/>
              </w:rPr>
              <w:t>Directors, Executive Officers and Corporate Governance</w:t>
            </w: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rPr>
              <w:t>Item 11.</w:t>
            </w:r>
          </w:p>
        </w:tc>
        <w:tc>
          <w:tcPr>
            <w:tcW w:w="9580" w:type="dxa"/>
            <w:vAlign w:val="bottom"/>
            <w:gridSpan w:val="25"/>
          </w:tcPr>
          <w:p>
            <w:pPr>
              <w:ind w:left="80"/>
              <w:spacing w:after="0"/>
              <w:rPr>
                <w:sz w:val="20"/>
                <w:szCs w:val="20"/>
                <w:color w:val="auto"/>
              </w:rPr>
            </w:pPr>
            <w:r>
              <w:rPr>
                <w:rFonts w:ascii="Arial" w:cs="Arial" w:eastAsia="Arial" w:hAnsi="Arial"/>
                <w:sz w:val="18"/>
                <w:szCs w:val="18"/>
                <w:color w:val="0000FF"/>
              </w:rPr>
              <w:t>Executive Compensation</w:t>
            </w: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rPr>
              <w:t>Item 12.</w:t>
            </w:r>
          </w:p>
        </w:tc>
        <w:tc>
          <w:tcPr>
            <w:tcW w:w="9580" w:type="dxa"/>
            <w:vAlign w:val="bottom"/>
            <w:gridSpan w:val="25"/>
          </w:tcPr>
          <w:p>
            <w:pPr>
              <w:ind w:left="80"/>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rPr>
              <w:t>Item 13.</w:t>
            </w:r>
          </w:p>
        </w:tc>
        <w:tc>
          <w:tcPr>
            <w:tcW w:w="9580" w:type="dxa"/>
            <w:vAlign w:val="bottom"/>
            <w:gridSpan w:val="25"/>
          </w:tcPr>
          <w:p>
            <w:pPr>
              <w:ind w:left="80"/>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rPr>
              <w:t>Item 14.</w:t>
            </w:r>
          </w:p>
        </w:tc>
        <w:tc>
          <w:tcPr>
            <w:tcW w:w="9580" w:type="dxa"/>
            <w:vAlign w:val="bottom"/>
            <w:gridSpan w:val="25"/>
          </w:tcPr>
          <w:p>
            <w:pPr>
              <w:ind w:left="80"/>
              <w:spacing w:after="0"/>
              <w:rPr>
                <w:sz w:val="20"/>
                <w:szCs w:val="20"/>
                <w:color w:val="auto"/>
              </w:rPr>
            </w:pPr>
            <w:r>
              <w:rPr>
                <w:rFonts w:ascii="Arial" w:cs="Arial" w:eastAsia="Arial" w:hAnsi="Arial"/>
                <w:sz w:val="18"/>
                <w:szCs w:val="18"/>
                <w:color w:val="0000FF"/>
              </w:rPr>
              <w:t>Principal Accountant Fees and Services</w:t>
            </w: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8"/>
                <w:szCs w:val="18"/>
                <w:b w:val="1"/>
                <w:bCs w:val="1"/>
                <w:color w:val="0000FF"/>
              </w:rPr>
              <w:t>PART IV.</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5980" w:type="dxa"/>
            <w:vAlign w:val="bottom"/>
            <w:gridSpan w:val="1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rPr>
              <w:t>Item 15.</w:t>
            </w:r>
          </w:p>
        </w:tc>
        <w:tc>
          <w:tcPr>
            <w:tcW w:w="9580" w:type="dxa"/>
            <w:vAlign w:val="bottom"/>
            <w:gridSpan w:val="25"/>
          </w:tcPr>
          <w:p>
            <w:pPr>
              <w:ind w:left="80"/>
              <w:spacing w:after="0"/>
              <w:rPr>
                <w:sz w:val="20"/>
                <w:szCs w:val="20"/>
                <w:color w:val="auto"/>
              </w:rPr>
            </w:pPr>
            <w:r>
              <w:rPr>
                <w:rFonts w:ascii="Arial" w:cs="Arial" w:eastAsia="Arial" w:hAnsi="Arial"/>
                <w:sz w:val="18"/>
                <w:szCs w:val="18"/>
                <w:color w:val="0000FF"/>
              </w:rPr>
              <w:t>Exhibits and Financial Statement Schedules</w:t>
            </w:r>
          </w:p>
        </w:tc>
        <w:tc>
          <w:tcPr>
            <w:tcW w:w="700" w:type="dxa"/>
            <w:vAlign w:val="bottom"/>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5980" w:type="dxa"/>
            <w:vAlign w:val="bottom"/>
            <w:gridSpan w:val="1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rPr>
              <w:t>Item 16.</w:t>
            </w:r>
          </w:p>
        </w:tc>
        <w:tc>
          <w:tcPr>
            <w:tcW w:w="9580" w:type="dxa"/>
            <w:vAlign w:val="bottom"/>
            <w:gridSpan w:val="25"/>
          </w:tcPr>
          <w:p>
            <w:pPr>
              <w:ind w:left="80"/>
              <w:spacing w:after="0"/>
              <w:rPr>
                <w:sz w:val="20"/>
                <w:szCs w:val="20"/>
                <w:color w:val="auto"/>
              </w:rPr>
            </w:pPr>
            <w:r>
              <w:rPr>
                <w:rFonts w:ascii="Arial" w:cs="Arial" w:eastAsia="Arial" w:hAnsi="Arial"/>
                <w:sz w:val="18"/>
                <w:szCs w:val="18"/>
                <w:color w:val="0000FF"/>
              </w:rPr>
              <w:t>Form 10-K Summary</w:t>
            </w: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24"/>
                <w:szCs w:val="24"/>
                <w:color w:val="auto"/>
              </w:rPr>
            </w:pPr>
          </w:p>
        </w:tc>
      </w:tr>
      <w:tr>
        <w:trPr>
          <w:trHeight w:val="452"/>
        </w:trPr>
        <w:tc>
          <w:tcPr>
            <w:tcW w:w="10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Signatures</w:t>
            </w:r>
          </w:p>
        </w:tc>
        <w:tc>
          <w:tcPr>
            <w:tcW w:w="7820" w:type="dxa"/>
            <w:vAlign w:val="bottom"/>
            <w:gridSpan w:val="15"/>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4"/>
                <w:szCs w:val="24"/>
                <w:color w:val="auto"/>
              </w:rPr>
            </w:pPr>
          </w:p>
        </w:tc>
      </w:tr>
      <w:tr>
        <w:trPr>
          <w:trHeight w:val="685"/>
        </w:trPr>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Borders>
              <w:top w:val="single" w:sz="8" w:color="0000FF"/>
            </w:tcBorders>
            <w:gridSpan w:val="4"/>
          </w:tcPr>
          <w:p>
            <w:pPr>
              <w:spacing w:after="0"/>
              <w:rPr>
                <w:sz w:val="24"/>
                <w:szCs w:val="24"/>
                <w:color w:val="auto"/>
              </w:rPr>
            </w:pPr>
          </w:p>
        </w:tc>
        <w:tc>
          <w:tcPr>
            <w:tcW w:w="3840" w:type="dxa"/>
            <w:vAlign w:val="bottom"/>
            <w:gridSpan w:val="13"/>
          </w:tcPr>
          <w:p>
            <w:pPr>
              <w:jc w:val="right"/>
              <w:ind w:right="20"/>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45"/>
        </w:trPr>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1" w:lineRule="exact"/>
        <w:rPr>
          <w:sz w:val="20"/>
          <w:szCs w:val="20"/>
          <w:color w:val="auto"/>
        </w:rPr>
      </w:pPr>
    </w:p>
    <w:p>
      <w:pPr>
        <w:ind w:firstLine="562"/>
        <w:spacing w:after="0" w:line="251" w:lineRule="auto"/>
        <w:rPr>
          <w:sz w:val="20"/>
          <w:szCs w:val="20"/>
          <w:color w:val="auto"/>
        </w:rPr>
      </w:pPr>
      <w:r>
        <w:rPr>
          <w:rFonts w:ascii="Arial" w:cs="Arial" w:eastAsia="Arial" w:hAnsi="Arial"/>
          <w:sz w:val="17"/>
          <w:szCs w:val="17"/>
          <w:color w:val="auto"/>
        </w:rPr>
        <w:t>This Annual Report on Form 10-K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our participation in markets that are competitive; our ability to prepare for, respond to and successfully achieve our objectives relating to technological and market developments, competitive threats and changing customer needs, including with respect to electric hybrid and fully electric commercial vehicles; increases in cost, disruption of supply or shortage of labor, freight, raw materials, energy or components used to manufacture or transport our products or those of our customers or suppliers, including as a result of geopolitical risks, wars and pandemics; global economic volatility; general economic and industry conditions, including the risk of recession; labor strikes, work stoppages or similar labor disputes, which could significantly disrupt our operations or those of our principal customers or suppliers; the highly cyclical industries in which certain of our end users operate; uncertainty in the global regulatory and business environments in which we operate; the concentration of our net sales in our top five customers and the loss of any one of these; the failure of markets outside North America to increase adoption of fully automatic transmissions; the success of our research and development efforts, the outcome of which is uncertain; U.S. and foreign defense spending; risks associated with our international operations, including acts of war and increased trade protectionism; the discovery of defects in our products, resulting in delays in new model launches, recall campaigns and/or increased warranty costs and reduction in future sales or damage to our brand and reputation; our ability to identify, consummate and effectively integrate acquisitions and collaborations; and risks related to our indebtedness.</w:t>
      </w:r>
    </w:p>
    <w:p>
      <w:pPr>
        <w:spacing w:after="0" w:line="321"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under Part I, Item 1A., “Risk Factors” in this Annual Report on Form 10-K. All written and oral forward-looking statements attributable to us, or persons acting on our behalf, are expressly qualified in their entirety by these cautionary statements as well as other cautionary statements that are made from time to time in our other United States Securities and Exchange Commission ("SEC") filings or public communications. You should evaluate all forward-looking statements made in this Annual Report on Form 10-K in the context of these risks and uncertainties.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Trademarks</w:t>
      </w:r>
    </w:p>
    <w:p>
      <w:pPr>
        <w:spacing w:after="0" w:line="211"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 xml:space="preserve">This Annual Report on Form 10-K includes trademarks, such as Allison Transmission, eGen Flex, eGen Power, FracTran, ReTran and Walker Die Casting, which are protected under applicable intellectual property laws and are our property and/or the property of our subsidiaries. This report also contains trademarks, service marks, copyrights and trade names of other companies, which are the property of their respective owners. We do not intend our use or display of other companies’ trademarks, service marks, copyrights or trade names to imply a relationship with, or endorsement or sponsorship of us by, any other companies. Solely for convenience, our trademarks and trade names referred to in this report may appear without the ® or </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or the rights of the applicable licensor to these trademarks and trade names.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155" w:lineRule="exact"/>
        <w:rPr>
          <w:sz w:val="20"/>
          <w:szCs w:val="20"/>
          <w:color w:val="auto"/>
        </w:rPr>
      </w:pPr>
    </w:p>
    <w:p>
      <w:pPr>
        <w:ind w:right="80" w:firstLine="494"/>
        <w:spacing w:after="0" w:line="246" w:lineRule="auto"/>
        <w:rPr>
          <w:sz w:val="20"/>
          <w:szCs w:val="20"/>
          <w:color w:val="auto"/>
        </w:rPr>
      </w:pPr>
      <w:r>
        <w:rPr>
          <w:rFonts w:ascii="Arial" w:cs="Arial" w:eastAsia="Arial" w:hAnsi="Arial"/>
          <w:sz w:val="18"/>
          <w:szCs w:val="18"/>
          <w:color w:val="auto"/>
        </w:rPr>
        <w:t>Allison Transmission Holdings, Inc. and its subsidiaries (“Allison,” “we,” “us” or “our”)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is traded on the New York Stock Exchange under the symbol “ALSN”.</w:t>
      </w:r>
    </w:p>
    <w:p>
      <w:pPr>
        <w:spacing w:after="0" w:line="122" w:lineRule="exact"/>
        <w:rPr>
          <w:sz w:val="20"/>
          <w:szCs w:val="20"/>
          <w:color w:val="auto"/>
        </w:rPr>
      </w:pPr>
    </w:p>
    <w:p>
      <w:pPr>
        <w:ind w:right="60" w:firstLine="494"/>
        <w:spacing w:after="0" w:line="252" w:lineRule="auto"/>
        <w:rPr>
          <w:sz w:val="20"/>
          <w:szCs w:val="20"/>
          <w:color w:val="auto"/>
        </w:rPr>
      </w:pPr>
      <w:r>
        <w:rPr>
          <w:rFonts w:ascii="Arial" w:cs="Arial" w:eastAsia="Arial" w:hAnsi="Arial"/>
          <w:sz w:val="18"/>
          <w:szCs w:val="18"/>
          <w:color w:val="auto"/>
        </w:rPr>
        <w:t>We have a global presence by serving customers in North America, Asia, Europe, South America, and Africa, with approximately 75% of our revenues being generated in North America in 2023. We serve customers through an independent network of approximately 1,600 independent distributor and dealer locations worldwide.</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w:t>
      </w:r>
    </w:p>
    <w:p>
      <w:pPr>
        <w:spacing w:after="0" w:line="155" w:lineRule="exact"/>
        <w:rPr>
          <w:sz w:val="20"/>
          <w:szCs w:val="20"/>
          <w:color w:val="auto"/>
        </w:rPr>
      </w:pPr>
    </w:p>
    <w:p>
      <w:pPr>
        <w:ind w:right="80" w:firstLine="494"/>
        <w:spacing w:after="0"/>
        <w:rPr>
          <w:sz w:val="20"/>
          <w:szCs w:val="20"/>
          <w:color w:val="auto"/>
        </w:rPr>
      </w:pPr>
      <w:r>
        <w:rPr>
          <w:rFonts w:ascii="Arial" w:cs="Arial" w:eastAsia="Arial" w:hAnsi="Arial"/>
          <w:sz w:val="18"/>
          <w:szCs w:val="18"/>
          <w:color w:val="auto"/>
        </w:rPr>
        <w:t>We are the world’s largest manufacturer of fully automatic transmissions for medium- and heavy-duty commercial vehicles and medium- and heavy-tactical U.S. defense vehicles and a leader in electrified propulsion systems. Allison products are used in a wide variety of applications, including on-highway trucks (distribution, refuse, construction, fire and emergency), buses (primarily school and transit), motorhomes, off-highway vehicles and equipment (primarily energy, mining and construction applications) and defense vehicles (tactical wheeled and tracked). We believe the Allison brand is one of the most recognized in our industry as a result of the performance, reliability and fuel efficiency of our propulsion solutions and is associated with high quality, durability, vocational value, technological leadership and superior customer service.</w:t>
      </w:r>
    </w:p>
    <w:p>
      <w:pPr>
        <w:spacing w:after="0" w:line="129"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We introduced the world’s first fully automatic transmission for commercial vehicles over 75 years ago. Since that time, we have driven the trend in North America and other parts of the world towards increasing automaticity by targeting a diverse range of commercial vehicle vocations. Allison products are optimized for the unique performance requirements of end users, which typically vary by vocation. Our products are highly engineered, requiring advanced manufacturing processes, and employ complex software algorithms for our propulsion system controls to maximize end user performance. We have more than 200 different models that are compatible with more than 500 combinations of engine brands, models and ratings (including diesel, gasoline, natural gas and other alternative fuels). Additionally, we have created thousands of unique Allison-developed calibrations available to be used with our control modules.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Industry</w:t>
      </w:r>
    </w:p>
    <w:p>
      <w:pPr>
        <w:spacing w:after="0" w:line="155"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Commercial vehicles typically employ one of three transmission types: manual, automated manual or fully automatic. Manual transmissions and automated manual transmissions ("AMT") are the most prevalent transmission types used in Class 8 tractors in North America. Manual transmissions are the most prevalent in medium- and heavy-duty commercial vehicles, generally, outside North America. Manual transmissions utilize a disconnect clutch causing power to be interrupted during each gear shift resulting in energy loss-related inefficiencies and less work being accomplished for a given amount of fuel consumed. In long-distance trucking, this power interruption is not a significant factor, as the manual transmission provides its highest degree of fuel economy during steady-state cruising. However, steady-state cruising is only one part of the duty cycle. When the duty cycle requires a high degree of “start and stop” activity or speed transients, as is common in many vocations as well as in urban environments, we believe manual transmissions result in reduced performance, lower fuel efficiency, lower average speed for a given amount of fuel consumed and inferior ride quality. Moreover, the clutches must be replaced regularly, resulting in increased maintenance expense and vehicle downtime. Manual transmissions also</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require a skilled driver to operate the disconnect clutch when launching the vehicle and shifting gears. AMTs are manual transmissions that feature automated operation of the disconnect clutch. Fully automatic transmissions utilize technology that smoothly shifts gears instead of a disconnect clutch, thereby delivering uninterrupted power to the wheels during gear shifts and requiring minimal driver input. These transmissions deliver superior acceleration, higher productivity, increased fuel efficiency, reduced operating costs, less driveline shock and smoother shifting relative to both manual transmissions and AMTs in vocations with a high degree of “start and stop” activity, as well as in urban environments.</w:t>
      </w:r>
    </w:p>
    <w:p>
      <w:pPr>
        <w:spacing w:after="0" w:line="128" w:lineRule="exact"/>
        <w:rPr>
          <w:sz w:val="20"/>
          <w:szCs w:val="20"/>
          <w:color w:val="auto"/>
        </w:rPr>
      </w:pPr>
    </w:p>
    <w:p>
      <w:pPr>
        <w:ind w:firstLine="494"/>
        <w:spacing w:after="0" w:line="258" w:lineRule="auto"/>
        <w:rPr>
          <w:sz w:val="20"/>
          <w:szCs w:val="20"/>
          <w:color w:val="auto"/>
        </w:rPr>
      </w:pPr>
      <w:r>
        <w:rPr>
          <w:rFonts w:ascii="Arial" w:cs="Arial" w:eastAsia="Arial" w:hAnsi="Arial"/>
          <w:sz w:val="17"/>
          <w:szCs w:val="17"/>
          <w:color w:val="auto"/>
        </w:rPr>
        <w:t>Emerging technologies in commercial-duty propulsion solutions include electric hybrid and fully electric propulsion solutions in certain end markets and are in part driven by efforts to reduce fuel consumption, noise and greenhouse gas emissions. Fully electric powertrains differ from electric hybrid powertrains because they only propel the vehicle with an electric motor; while electric hybrids generally utilize both a conventional internal combustion power source and powertrain as well as the means to propel the vehicle electrically. While both emerging technologies are gaining use in automotive markets and electric hybrids and fully electric propulsion solutions have gained use in the bus market, fully electric propulsion solutions remain in a developmental phase in the medium- and heavy-duty commercial vehicle market.</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8" w:right="41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Served Markets</w:t>
      </w:r>
    </w:p>
    <w:p>
      <w:pPr>
        <w:spacing w:after="0" w:line="155" w:lineRule="exact"/>
        <w:rPr>
          <w:sz w:val="20"/>
          <w:szCs w:val="20"/>
          <w:color w:val="auto"/>
        </w:rPr>
      </w:pPr>
    </w:p>
    <w:p>
      <w:pPr>
        <w:ind w:right="20" w:firstLine="494"/>
        <w:spacing w:after="0" w:line="246" w:lineRule="auto"/>
        <w:rPr>
          <w:sz w:val="20"/>
          <w:szCs w:val="20"/>
          <w:color w:val="auto"/>
        </w:rPr>
      </w:pPr>
      <w:r>
        <w:rPr>
          <w:rFonts w:ascii="Arial" w:cs="Arial" w:eastAsia="Arial" w:hAnsi="Arial"/>
          <w:sz w:val="18"/>
          <w:szCs w:val="18"/>
          <w:color w:val="auto"/>
        </w:rPr>
        <w:t>We sell our propulsion solutions globally for use in medium- and heavy-duty on-highway commercial vehicles, off-highway vehicles and equipment and defense vehicles. In addition to the sale of propulsion solutions, we also sell branded replacement parts, support equipment, aluminum die cast components and other products necessary to service the installed base of vehicles utilizing our solutions. The following table provides a summary of our business by end market for the fiscal year ended December 31, 2023.</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1880" w:type="dxa"/>
            <w:vAlign w:val="bottom"/>
            <w:tcBorders>
              <w:top w:val="single" w:sz="8" w:color="auto"/>
              <w:left w:val="single" w:sz="8" w:color="auto"/>
              <w:right w:val="single" w:sz="8" w:color="auto"/>
            </w:tcBorders>
          </w:tcPr>
          <w:p>
            <w:pPr>
              <w:spacing w:after="0"/>
              <w:rPr>
                <w:sz w:val="17"/>
                <w:szCs w:val="17"/>
                <w:color w:val="auto"/>
              </w:rPr>
            </w:pPr>
          </w:p>
        </w:tc>
        <w:tc>
          <w:tcPr>
            <w:tcW w:w="2720" w:type="dxa"/>
            <w:vAlign w:val="bottom"/>
            <w:tcBorders>
              <w:top w:val="single" w:sz="8" w:color="auto"/>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NORTH AMERICA</w:t>
            </w:r>
          </w:p>
        </w:tc>
        <w:tc>
          <w:tcPr>
            <w:tcW w:w="480" w:type="dxa"/>
            <w:vAlign w:val="bottom"/>
            <w:tcBorders>
              <w:top w:val="single" w:sz="8" w:color="auto"/>
              <w:bottom w:val="single" w:sz="8" w:color="auto"/>
              <w:right w:val="single" w:sz="8" w:color="auto"/>
            </w:tcBorders>
          </w:tcPr>
          <w:p>
            <w:pPr>
              <w:spacing w:after="0"/>
              <w:rPr>
                <w:sz w:val="17"/>
                <w:szCs w:val="17"/>
                <w:color w:val="auto"/>
              </w:rPr>
            </w:pPr>
          </w:p>
        </w:tc>
        <w:tc>
          <w:tcPr>
            <w:tcW w:w="2440" w:type="dxa"/>
            <w:vAlign w:val="bottom"/>
            <w:tcBorders>
              <w:top w:val="single" w:sz="8" w:color="auto"/>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OUTSIDE NORTH AMERICA</w:t>
            </w:r>
          </w:p>
        </w:tc>
        <w:tc>
          <w:tcPr>
            <w:tcW w:w="540" w:type="dxa"/>
            <w:vAlign w:val="bottom"/>
            <w:tcBorders>
              <w:top w:val="single" w:sz="8" w:color="auto"/>
              <w:bottom w:val="single" w:sz="8" w:color="auto"/>
              <w:right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480" w:type="dxa"/>
            <w:vAlign w:val="bottom"/>
            <w:tcBorders>
              <w:top w:val="single" w:sz="8" w:color="auto"/>
              <w:right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80" w:type="dxa"/>
            <w:vAlign w:val="bottom"/>
            <w:tcBorders>
              <w:top w:val="single" w:sz="8" w:color="auto"/>
              <w:right w:val="single" w:sz="8" w:color="auto"/>
            </w:tcBorders>
          </w:tcPr>
          <w:p>
            <w:pPr>
              <w:spacing w:after="0"/>
              <w:rPr>
                <w:sz w:val="17"/>
                <w:szCs w:val="17"/>
                <w:color w:val="auto"/>
              </w:rPr>
            </w:pPr>
          </w:p>
        </w:tc>
      </w:tr>
      <w:tr>
        <w:trPr>
          <w:trHeight w:val="160"/>
        </w:trPr>
        <w:tc>
          <w:tcPr>
            <w:tcW w:w="1880" w:type="dxa"/>
            <w:vAlign w:val="bottom"/>
            <w:tcBorders>
              <w:left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240" w:type="dxa"/>
            <w:vAlign w:val="bottom"/>
          </w:tcPr>
          <w:p>
            <w:pPr>
              <w:jc w:val="center"/>
              <w:ind w:left="308"/>
              <w:spacing w:after="0" w:line="159" w:lineRule="exact"/>
              <w:rPr>
                <w:sz w:val="20"/>
                <w:szCs w:val="20"/>
                <w:color w:val="auto"/>
              </w:rPr>
            </w:pPr>
            <w:r>
              <w:rPr>
                <w:rFonts w:ascii="Arial" w:cs="Arial" w:eastAsia="Arial" w:hAnsi="Arial"/>
                <w:sz w:val="14"/>
                <w:szCs w:val="14"/>
                <w:b w:val="1"/>
                <w:bCs w:val="1"/>
                <w:color w:val="auto"/>
              </w:rPr>
              <w:t>SERVICE</w:t>
            </w:r>
          </w:p>
        </w:tc>
        <w:tc>
          <w:tcPr>
            <w:tcW w:w="380" w:type="dxa"/>
            <w:vAlign w:val="bottom"/>
            <w:tcBorders>
              <w:right w:val="single" w:sz="8" w:color="auto"/>
            </w:tcBorders>
          </w:tcPr>
          <w:p>
            <w:pPr>
              <w:spacing w:after="0"/>
              <w:rPr>
                <w:sz w:val="13"/>
                <w:szCs w:val="13"/>
                <w:color w:val="auto"/>
              </w:rPr>
            </w:pPr>
          </w:p>
        </w:tc>
      </w:tr>
      <w:tr>
        <w:trPr>
          <w:trHeight w:val="162"/>
        </w:trPr>
        <w:tc>
          <w:tcPr>
            <w:tcW w:w="1880" w:type="dxa"/>
            <w:vAlign w:val="bottom"/>
            <w:tcBorders>
              <w:left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1240" w:type="dxa"/>
            <w:vAlign w:val="bottom"/>
          </w:tcPr>
          <w:p>
            <w:pPr>
              <w:jc w:val="center"/>
              <w:ind w:left="268"/>
              <w:spacing w:after="0"/>
              <w:rPr>
                <w:sz w:val="20"/>
                <w:szCs w:val="20"/>
                <w:color w:val="auto"/>
              </w:rPr>
            </w:pPr>
            <w:r>
              <w:rPr>
                <w:rFonts w:ascii="Arial" w:cs="Arial" w:eastAsia="Arial" w:hAnsi="Arial"/>
                <w:sz w:val="14"/>
                <w:szCs w:val="14"/>
                <w:b w:val="1"/>
                <w:bCs w:val="1"/>
                <w:color w:val="auto"/>
                <w:w w:val="97"/>
              </w:rPr>
              <w:t>PARTS,</w:t>
            </w:r>
          </w:p>
        </w:tc>
        <w:tc>
          <w:tcPr>
            <w:tcW w:w="380" w:type="dxa"/>
            <w:vAlign w:val="bottom"/>
            <w:tcBorders>
              <w:right w:val="single" w:sz="8" w:color="auto"/>
            </w:tcBorders>
          </w:tcPr>
          <w:p>
            <w:pPr>
              <w:spacing w:after="0"/>
              <w:rPr>
                <w:sz w:val="14"/>
                <w:szCs w:val="14"/>
                <w:color w:val="auto"/>
              </w:rPr>
            </w:pPr>
          </w:p>
        </w:tc>
      </w:tr>
      <w:tr>
        <w:trPr>
          <w:trHeight w:val="162"/>
        </w:trPr>
        <w:tc>
          <w:tcPr>
            <w:tcW w:w="1880" w:type="dxa"/>
            <w:vAlign w:val="bottom"/>
            <w:tcBorders>
              <w:left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1240" w:type="dxa"/>
            <w:vAlign w:val="bottom"/>
          </w:tcPr>
          <w:p>
            <w:pPr>
              <w:jc w:val="center"/>
              <w:ind w:left="308"/>
              <w:spacing w:after="0"/>
              <w:rPr>
                <w:sz w:val="20"/>
                <w:szCs w:val="20"/>
                <w:color w:val="auto"/>
              </w:rPr>
            </w:pPr>
            <w:r>
              <w:rPr>
                <w:rFonts w:ascii="Arial" w:cs="Arial" w:eastAsia="Arial" w:hAnsi="Arial"/>
                <w:sz w:val="14"/>
                <w:szCs w:val="14"/>
                <w:b w:val="1"/>
                <w:bCs w:val="1"/>
                <w:color w:val="auto"/>
              </w:rPr>
              <w:t>SUPPORT</w:t>
            </w:r>
          </w:p>
        </w:tc>
        <w:tc>
          <w:tcPr>
            <w:tcW w:w="380" w:type="dxa"/>
            <w:vAlign w:val="bottom"/>
            <w:tcBorders>
              <w:right w:val="single" w:sz="8" w:color="auto"/>
            </w:tcBorders>
          </w:tcPr>
          <w:p>
            <w:pPr>
              <w:spacing w:after="0"/>
              <w:rPr>
                <w:sz w:val="14"/>
                <w:szCs w:val="14"/>
                <w:color w:val="auto"/>
              </w:rPr>
            </w:pPr>
          </w:p>
        </w:tc>
      </w:tr>
      <w:tr>
        <w:trPr>
          <w:trHeight w:val="162"/>
        </w:trPr>
        <w:tc>
          <w:tcPr>
            <w:tcW w:w="1880" w:type="dxa"/>
            <w:vAlign w:val="bottom"/>
            <w:tcBorders>
              <w:left w:val="single" w:sz="8" w:color="auto"/>
              <w:right w:val="single" w:sz="8" w:color="auto"/>
            </w:tcBorders>
          </w:tcPr>
          <w:p>
            <w:pPr>
              <w:spacing w:after="0"/>
              <w:rPr>
                <w:sz w:val="14"/>
                <w:szCs w:val="14"/>
                <w:color w:val="auto"/>
              </w:rPr>
            </w:pPr>
          </w:p>
        </w:tc>
        <w:tc>
          <w:tcPr>
            <w:tcW w:w="960" w:type="dxa"/>
            <w:vAlign w:val="bottom"/>
          </w:tcPr>
          <w:p>
            <w:pPr>
              <w:jc w:val="center"/>
              <w:ind w:left="428"/>
              <w:spacing w:after="0"/>
              <w:rPr>
                <w:sz w:val="20"/>
                <w:szCs w:val="20"/>
                <w:color w:val="auto"/>
              </w:rPr>
            </w:pPr>
            <w:r>
              <w:rPr>
                <w:rFonts w:ascii="Arial" w:cs="Arial" w:eastAsia="Arial" w:hAnsi="Arial"/>
                <w:sz w:val="14"/>
                <w:szCs w:val="14"/>
                <w:b w:val="1"/>
                <w:bCs w:val="1"/>
                <w:color w:val="auto"/>
              </w:rPr>
              <w:t>ON-</w:t>
            </w:r>
          </w:p>
        </w:tc>
        <w:tc>
          <w:tcPr>
            <w:tcW w:w="640" w:type="dxa"/>
            <w:vAlign w:val="bottom"/>
            <w:tcBorders>
              <w:right w:val="single" w:sz="8" w:color="auto"/>
            </w:tcBorders>
          </w:tcPr>
          <w:p>
            <w:pPr>
              <w:spacing w:after="0"/>
              <w:rPr>
                <w:sz w:val="14"/>
                <w:szCs w:val="14"/>
                <w:color w:val="auto"/>
              </w:rPr>
            </w:pPr>
          </w:p>
        </w:tc>
        <w:tc>
          <w:tcPr>
            <w:tcW w:w="1120" w:type="dxa"/>
            <w:vAlign w:val="bottom"/>
          </w:tcPr>
          <w:p>
            <w:pPr>
              <w:jc w:val="center"/>
              <w:ind w:left="268"/>
              <w:spacing w:after="0"/>
              <w:rPr>
                <w:sz w:val="20"/>
                <w:szCs w:val="20"/>
                <w:color w:val="auto"/>
              </w:rPr>
            </w:pPr>
            <w:r>
              <w:rPr>
                <w:rFonts w:ascii="Arial" w:cs="Arial" w:eastAsia="Arial" w:hAnsi="Arial"/>
                <w:sz w:val="14"/>
                <w:szCs w:val="14"/>
                <w:b w:val="1"/>
                <w:bCs w:val="1"/>
                <w:color w:val="auto"/>
              </w:rPr>
              <w:t>OFF-</w:t>
            </w:r>
          </w:p>
        </w:tc>
        <w:tc>
          <w:tcPr>
            <w:tcW w:w="480" w:type="dxa"/>
            <w:vAlign w:val="bottom"/>
            <w:tcBorders>
              <w:right w:val="single" w:sz="8" w:color="auto"/>
            </w:tcBorders>
          </w:tcPr>
          <w:p>
            <w:pPr>
              <w:spacing w:after="0"/>
              <w:rPr>
                <w:sz w:val="14"/>
                <w:szCs w:val="14"/>
                <w:color w:val="auto"/>
              </w:rPr>
            </w:pPr>
          </w:p>
        </w:tc>
        <w:tc>
          <w:tcPr>
            <w:tcW w:w="1040" w:type="dxa"/>
            <w:vAlign w:val="bottom"/>
          </w:tcPr>
          <w:p>
            <w:pPr>
              <w:jc w:val="center"/>
              <w:ind w:left="288"/>
              <w:spacing w:after="0"/>
              <w:rPr>
                <w:sz w:val="20"/>
                <w:szCs w:val="20"/>
                <w:color w:val="auto"/>
              </w:rPr>
            </w:pPr>
            <w:r>
              <w:rPr>
                <w:rFonts w:ascii="Arial" w:cs="Arial" w:eastAsia="Arial" w:hAnsi="Arial"/>
                <w:sz w:val="14"/>
                <w:szCs w:val="14"/>
                <w:b w:val="1"/>
                <w:bCs w:val="1"/>
                <w:color w:val="auto"/>
              </w:rPr>
              <w:t>ON-</w:t>
            </w:r>
          </w:p>
        </w:tc>
        <w:tc>
          <w:tcPr>
            <w:tcW w:w="480" w:type="dxa"/>
            <w:vAlign w:val="bottom"/>
            <w:tcBorders>
              <w:right w:val="single" w:sz="8" w:color="auto"/>
            </w:tcBorders>
          </w:tcPr>
          <w:p>
            <w:pPr>
              <w:spacing w:after="0"/>
              <w:rPr>
                <w:sz w:val="14"/>
                <w:szCs w:val="14"/>
                <w:color w:val="auto"/>
              </w:rPr>
            </w:pPr>
          </w:p>
        </w:tc>
        <w:tc>
          <w:tcPr>
            <w:tcW w:w="920" w:type="dxa"/>
            <w:vAlign w:val="bottom"/>
          </w:tcPr>
          <w:p>
            <w:pPr>
              <w:jc w:val="center"/>
              <w:ind w:left="348"/>
              <w:spacing w:after="0"/>
              <w:rPr>
                <w:sz w:val="20"/>
                <w:szCs w:val="20"/>
                <w:color w:val="auto"/>
              </w:rPr>
            </w:pPr>
            <w:r>
              <w:rPr>
                <w:rFonts w:ascii="Arial" w:cs="Arial" w:eastAsia="Arial" w:hAnsi="Arial"/>
                <w:sz w:val="14"/>
                <w:szCs w:val="14"/>
                <w:b w:val="1"/>
                <w:bCs w:val="1"/>
                <w:color w:val="auto"/>
              </w:rPr>
              <w:t>OFF-</w:t>
            </w:r>
          </w:p>
        </w:tc>
        <w:tc>
          <w:tcPr>
            <w:tcW w:w="540" w:type="dxa"/>
            <w:vAlign w:val="bottom"/>
            <w:tcBorders>
              <w:right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1240" w:type="dxa"/>
            <w:vAlign w:val="bottom"/>
          </w:tcPr>
          <w:p>
            <w:pPr>
              <w:jc w:val="center"/>
              <w:ind w:left="308"/>
              <w:spacing w:after="0"/>
              <w:rPr>
                <w:sz w:val="20"/>
                <w:szCs w:val="20"/>
                <w:color w:val="auto"/>
              </w:rPr>
            </w:pPr>
            <w:r>
              <w:rPr>
                <w:rFonts w:ascii="Arial" w:cs="Arial" w:eastAsia="Arial" w:hAnsi="Arial"/>
                <w:sz w:val="14"/>
                <w:szCs w:val="14"/>
                <w:b w:val="1"/>
                <w:bCs w:val="1"/>
                <w:color w:val="auto"/>
              </w:rPr>
              <w:t>EQUIPMENT</w:t>
            </w:r>
          </w:p>
        </w:tc>
        <w:tc>
          <w:tcPr>
            <w:tcW w:w="380" w:type="dxa"/>
            <w:vAlign w:val="bottom"/>
            <w:tcBorders>
              <w:right w:val="single" w:sz="8" w:color="auto"/>
            </w:tcBorders>
          </w:tcPr>
          <w:p>
            <w:pPr>
              <w:spacing w:after="0"/>
              <w:rPr>
                <w:sz w:val="14"/>
                <w:szCs w:val="14"/>
                <w:color w:val="auto"/>
              </w:rPr>
            </w:pPr>
          </w:p>
        </w:tc>
      </w:tr>
      <w:tr>
        <w:trPr>
          <w:trHeight w:val="185"/>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END MARKET</w:t>
            </w:r>
          </w:p>
        </w:tc>
        <w:tc>
          <w:tcPr>
            <w:tcW w:w="1600" w:type="dxa"/>
            <w:vAlign w:val="bottom"/>
            <w:tcBorders>
              <w:bottom w:val="single" w:sz="8" w:color="auto"/>
              <w:right w:val="single" w:sz="8" w:color="auto"/>
            </w:tcBorders>
            <w:gridSpan w:val="2"/>
          </w:tcPr>
          <w:p>
            <w:pPr>
              <w:jc w:val="center"/>
              <w:ind w:right="68"/>
              <w:spacing w:after="0"/>
              <w:rPr>
                <w:sz w:val="20"/>
                <w:szCs w:val="20"/>
                <w:color w:val="auto"/>
              </w:rPr>
            </w:pPr>
            <w:r>
              <w:rPr>
                <w:rFonts w:ascii="Arial" w:cs="Arial" w:eastAsia="Arial" w:hAnsi="Arial"/>
                <w:sz w:val="14"/>
                <w:szCs w:val="14"/>
                <w:b w:val="1"/>
                <w:bCs w:val="1"/>
                <w:color w:val="auto"/>
                <w:w w:val="97"/>
              </w:rPr>
              <w:t>HIGHWAY</w:t>
            </w:r>
          </w:p>
        </w:tc>
        <w:tc>
          <w:tcPr>
            <w:tcW w:w="112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rPr>
              <w:t>HIGHWAY</w:t>
            </w:r>
          </w:p>
        </w:tc>
        <w:tc>
          <w:tcPr>
            <w:tcW w:w="48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rPr>
              <w:t>HIGHWAY</w:t>
            </w:r>
          </w:p>
        </w:tc>
        <w:tc>
          <w:tcPr>
            <w:tcW w:w="48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rPr>
              <w:t>HIGHWAY</w:t>
            </w: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DEFENSE</w:t>
            </w:r>
          </w:p>
        </w:tc>
        <w:tc>
          <w:tcPr>
            <w:tcW w:w="48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rPr>
              <w:t>&amp; OTHER</w:t>
            </w:r>
          </w:p>
        </w:tc>
        <w:tc>
          <w:tcPr>
            <w:tcW w:w="380" w:type="dxa"/>
            <w:vAlign w:val="bottom"/>
            <w:tcBorders>
              <w:bottom w:val="single" w:sz="8" w:color="auto"/>
              <w:right w:val="single" w:sz="8" w:color="auto"/>
            </w:tcBorders>
          </w:tcPr>
          <w:p>
            <w:pPr>
              <w:spacing w:after="0"/>
              <w:rPr>
                <w:sz w:val="16"/>
                <w:szCs w:val="16"/>
                <w:color w:val="auto"/>
              </w:rPr>
            </w:pPr>
          </w:p>
        </w:tc>
      </w:tr>
      <w:tr>
        <w:trPr>
          <w:trHeight w:val="160"/>
        </w:trPr>
        <w:tc>
          <w:tcPr>
            <w:tcW w:w="1880" w:type="dxa"/>
            <w:vAlign w:val="bottom"/>
            <w:tcBorders>
              <w:left w:val="single" w:sz="8" w:color="auto"/>
              <w:right w:val="single" w:sz="8" w:color="auto"/>
            </w:tcBorders>
            <w:shd w:val="clear" w:color="auto" w:fill="CFF0FC"/>
          </w:tcPr>
          <w:p>
            <w:pPr>
              <w:ind w:left="40"/>
              <w:spacing w:after="0" w:line="159" w:lineRule="exact"/>
              <w:rPr>
                <w:sz w:val="20"/>
                <w:szCs w:val="20"/>
                <w:color w:val="auto"/>
              </w:rPr>
            </w:pPr>
            <w:r>
              <w:rPr>
                <w:rFonts w:ascii="Arial" w:cs="Arial" w:eastAsia="Arial" w:hAnsi="Arial"/>
                <w:sz w:val="14"/>
                <w:szCs w:val="14"/>
                <w:b w:val="1"/>
                <w:bCs w:val="1"/>
                <w:color w:val="auto"/>
              </w:rPr>
              <w:t>2023 NET SALES</w:t>
            </w:r>
          </w:p>
        </w:tc>
        <w:tc>
          <w:tcPr>
            <w:tcW w:w="960" w:type="dxa"/>
            <w:vAlign w:val="bottom"/>
            <w:shd w:val="clear" w:color="auto" w:fill="CFF0FC"/>
          </w:tcPr>
          <w:p>
            <w:pPr>
              <w:spacing w:after="0"/>
              <w:rPr>
                <w:sz w:val="13"/>
                <w:szCs w:val="13"/>
                <w:color w:val="auto"/>
              </w:rPr>
            </w:pPr>
          </w:p>
        </w:tc>
        <w:tc>
          <w:tcPr>
            <w:tcW w:w="640" w:type="dxa"/>
            <w:vAlign w:val="bottom"/>
            <w:tcBorders>
              <w:right w:val="single" w:sz="8" w:color="auto"/>
            </w:tcBorders>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80" w:type="dxa"/>
            <w:vAlign w:val="bottom"/>
            <w:tcBorders>
              <w:right w:val="single" w:sz="8" w:color="auto"/>
            </w:tcBorders>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480" w:type="dxa"/>
            <w:vAlign w:val="bottom"/>
            <w:tcBorders>
              <w:right w:val="single" w:sz="8" w:color="auto"/>
            </w:tcBorders>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540" w:type="dxa"/>
            <w:vAlign w:val="bottom"/>
            <w:tcBorders>
              <w:right w:val="single" w:sz="8" w:color="auto"/>
            </w:tcBorders>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480" w:type="dxa"/>
            <w:vAlign w:val="bottom"/>
            <w:tcBorders>
              <w:right w:val="single" w:sz="8" w:color="auto"/>
            </w:tcBorders>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380" w:type="dxa"/>
            <w:vAlign w:val="bottom"/>
            <w:tcBorders>
              <w:right w:val="single" w:sz="8" w:color="auto"/>
            </w:tcBorders>
            <w:shd w:val="clear" w:color="auto" w:fill="CFF0FC"/>
          </w:tcPr>
          <w:p>
            <w:pPr>
              <w:spacing w:after="0"/>
              <w:rPr>
                <w:sz w:val="13"/>
                <w:szCs w:val="13"/>
                <w:color w:val="auto"/>
              </w:rPr>
            </w:pPr>
          </w:p>
        </w:tc>
      </w:tr>
      <w:tr>
        <w:trPr>
          <w:trHeight w:val="185"/>
        </w:trPr>
        <w:tc>
          <w:tcPr>
            <w:tcW w:w="188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right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1,529</w:t>
            </w:r>
          </w:p>
        </w:tc>
        <w:tc>
          <w:tcPr>
            <w:tcW w:w="11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right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63</w:t>
            </w:r>
          </w:p>
        </w:tc>
        <w:tc>
          <w:tcPr>
            <w:tcW w:w="104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right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477</w:t>
            </w:r>
          </w:p>
        </w:tc>
        <w:tc>
          <w:tcPr>
            <w:tcW w:w="9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right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104</w:t>
            </w:r>
          </w:p>
        </w:tc>
        <w:tc>
          <w:tcPr>
            <w:tcW w:w="108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right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166</w:t>
            </w:r>
          </w:p>
        </w:tc>
        <w:tc>
          <w:tcPr>
            <w:tcW w:w="12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right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696</w:t>
            </w:r>
          </w:p>
        </w:tc>
      </w:tr>
      <w:tr>
        <w:trPr>
          <w:trHeight w:val="182"/>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 OF TOTAL</w:t>
            </w:r>
          </w:p>
        </w:tc>
        <w:tc>
          <w:tcPr>
            <w:tcW w:w="9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color w:val="auto"/>
              </w:rPr>
              <w:t>50%</w:t>
            </w:r>
          </w:p>
        </w:tc>
        <w:tc>
          <w:tcPr>
            <w:tcW w:w="6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color w:val="auto"/>
                <w:w w:val="98"/>
              </w:rPr>
              <w:t>2%</w:t>
            </w:r>
          </w:p>
        </w:tc>
        <w:tc>
          <w:tcPr>
            <w:tcW w:w="48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color w:val="auto"/>
                <w:w w:val="99"/>
              </w:rPr>
              <w:t>16%</w:t>
            </w:r>
          </w:p>
        </w:tc>
        <w:tc>
          <w:tcPr>
            <w:tcW w:w="48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color w:val="auto"/>
                <w:w w:val="98"/>
              </w:rPr>
              <w:t>4%</w:t>
            </w:r>
          </w:p>
        </w:tc>
        <w:tc>
          <w:tcPr>
            <w:tcW w:w="54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5%</w:t>
            </w:r>
          </w:p>
        </w:tc>
        <w:tc>
          <w:tcPr>
            <w:tcW w:w="4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color w:val="auto"/>
              </w:rPr>
              <w:t>23%</w:t>
            </w:r>
          </w:p>
        </w:tc>
        <w:tc>
          <w:tcPr>
            <w:tcW w:w="380" w:type="dxa"/>
            <w:vAlign w:val="bottom"/>
            <w:tcBorders>
              <w:bottom w:val="single" w:sz="8" w:color="auto"/>
              <w:right w:val="single" w:sz="8" w:color="auto"/>
            </w:tcBorders>
          </w:tcPr>
          <w:p>
            <w:pPr>
              <w:spacing w:after="0"/>
              <w:rPr>
                <w:sz w:val="15"/>
                <w:szCs w:val="15"/>
                <w:color w:val="auto"/>
              </w:rPr>
            </w:pPr>
          </w:p>
        </w:tc>
      </w:tr>
      <w:tr>
        <w:trPr>
          <w:trHeight w:val="160"/>
        </w:trPr>
        <w:tc>
          <w:tcPr>
            <w:tcW w:w="1880" w:type="dxa"/>
            <w:vAlign w:val="bottom"/>
            <w:tcBorders>
              <w:left w:val="single" w:sz="8" w:color="auto"/>
              <w:right w:val="single" w:sz="8" w:color="auto"/>
            </w:tcBorders>
            <w:shd w:val="clear" w:color="auto" w:fill="CFF0FC"/>
          </w:tcPr>
          <w:p>
            <w:pPr>
              <w:spacing w:after="0"/>
              <w:rPr>
                <w:sz w:val="13"/>
                <w:szCs w:val="13"/>
                <w:color w:val="auto"/>
              </w:rPr>
            </w:pPr>
          </w:p>
        </w:tc>
        <w:tc>
          <w:tcPr>
            <w:tcW w:w="1600" w:type="dxa"/>
            <w:vAlign w:val="bottom"/>
            <w:tcBorders>
              <w:right w:val="single" w:sz="8" w:color="auto"/>
            </w:tcBorders>
            <w:gridSpan w:val="2"/>
            <w:shd w:val="clear" w:color="auto" w:fill="CFF0FC"/>
          </w:tcPr>
          <w:p>
            <w:pPr>
              <w:ind w:left="120"/>
              <w:spacing w:after="0" w:line="159" w:lineRule="exact"/>
              <w:rPr>
                <w:sz w:val="20"/>
                <w:szCs w:val="20"/>
                <w:color w:val="auto"/>
              </w:rPr>
            </w:pPr>
            <w:r>
              <w:rPr>
                <w:rFonts w:ascii="Arial" w:cs="Arial" w:eastAsia="Arial" w:hAnsi="Arial"/>
                <w:sz w:val="14"/>
                <w:szCs w:val="14"/>
                <w:color w:val="auto"/>
              </w:rPr>
              <w:t>• Construction</w:t>
            </w:r>
          </w:p>
        </w:tc>
        <w:tc>
          <w:tcPr>
            <w:tcW w:w="1120" w:type="dxa"/>
            <w:vAlign w:val="bottom"/>
            <w:shd w:val="clear" w:color="auto" w:fill="CFF0FC"/>
          </w:tcPr>
          <w:p>
            <w:pPr>
              <w:ind w:left="120"/>
              <w:spacing w:after="0" w:line="159" w:lineRule="exact"/>
              <w:rPr>
                <w:sz w:val="20"/>
                <w:szCs w:val="20"/>
                <w:color w:val="auto"/>
              </w:rPr>
            </w:pPr>
            <w:r>
              <w:rPr>
                <w:rFonts w:ascii="Arial" w:cs="Arial" w:eastAsia="Arial" w:hAnsi="Arial"/>
                <w:sz w:val="14"/>
                <w:szCs w:val="14"/>
                <w:color w:val="auto"/>
              </w:rPr>
              <w:t>• Construction</w:t>
            </w:r>
          </w:p>
        </w:tc>
        <w:tc>
          <w:tcPr>
            <w:tcW w:w="480" w:type="dxa"/>
            <w:vAlign w:val="bottom"/>
            <w:tcBorders>
              <w:right w:val="single" w:sz="8" w:color="auto"/>
            </w:tcBorders>
            <w:shd w:val="clear" w:color="auto" w:fill="CFF0FC"/>
          </w:tcPr>
          <w:p>
            <w:pPr>
              <w:spacing w:after="0"/>
              <w:rPr>
                <w:sz w:val="13"/>
                <w:szCs w:val="13"/>
                <w:color w:val="auto"/>
              </w:rPr>
            </w:pPr>
          </w:p>
        </w:tc>
        <w:tc>
          <w:tcPr>
            <w:tcW w:w="1040" w:type="dxa"/>
            <w:vAlign w:val="bottom"/>
            <w:shd w:val="clear" w:color="auto" w:fill="CFF0FC"/>
          </w:tcPr>
          <w:p>
            <w:pPr>
              <w:ind w:left="100"/>
              <w:spacing w:after="0" w:line="159" w:lineRule="exact"/>
              <w:rPr>
                <w:sz w:val="20"/>
                <w:szCs w:val="20"/>
                <w:color w:val="auto"/>
              </w:rPr>
            </w:pPr>
            <w:r>
              <w:rPr>
                <w:rFonts w:ascii="Arial" w:cs="Arial" w:eastAsia="Arial" w:hAnsi="Arial"/>
                <w:sz w:val="14"/>
                <w:szCs w:val="14"/>
                <w:color w:val="auto"/>
              </w:rPr>
              <w:t>• Construction</w:t>
            </w:r>
          </w:p>
        </w:tc>
        <w:tc>
          <w:tcPr>
            <w:tcW w:w="480" w:type="dxa"/>
            <w:vAlign w:val="bottom"/>
            <w:tcBorders>
              <w:right w:val="single" w:sz="8" w:color="auto"/>
            </w:tcBorders>
            <w:shd w:val="clear" w:color="auto" w:fill="CFF0FC"/>
          </w:tcPr>
          <w:p>
            <w:pPr>
              <w:spacing w:after="0"/>
              <w:rPr>
                <w:sz w:val="13"/>
                <w:szCs w:val="13"/>
                <w:color w:val="auto"/>
              </w:rPr>
            </w:pPr>
          </w:p>
        </w:tc>
        <w:tc>
          <w:tcPr>
            <w:tcW w:w="1460" w:type="dxa"/>
            <w:vAlign w:val="bottom"/>
            <w:tcBorders>
              <w:right w:val="single" w:sz="8" w:color="auto"/>
            </w:tcBorders>
            <w:gridSpan w:val="2"/>
            <w:shd w:val="clear" w:color="auto" w:fill="CFF0FC"/>
          </w:tcPr>
          <w:p>
            <w:pPr>
              <w:ind w:left="120"/>
              <w:spacing w:after="0" w:line="159" w:lineRule="exact"/>
              <w:rPr>
                <w:sz w:val="20"/>
                <w:szCs w:val="20"/>
                <w:color w:val="auto"/>
              </w:rPr>
            </w:pPr>
            <w:r>
              <w:rPr>
                <w:rFonts w:ascii="Arial" w:cs="Arial" w:eastAsia="Arial" w:hAnsi="Arial"/>
                <w:sz w:val="14"/>
                <w:szCs w:val="14"/>
                <w:color w:val="auto"/>
              </w:rPr>
              <w:t>• Construction</w:t>
            </w:r>
          </w:p>
        </w:tc>
        <w:tc>
          <w:tcPr>
            <w:tcW w:w="1560" w:type="dxa"/>
            <w:vAlign w:val="bottom"/>
            <w:tcBorders>
              <w:right w:val="single" w:sz="8" w:color="auto"/>
            </w:tcBorders>
            <w:gridSpan w:val="2"/>
            <w:shd w:val="clear" w:color="auto" w:fill="CFF0FC"/>
          </w:tcPr>
          <w:p>
            <w:pPr>
              <w:ind w:left="120"/>
              <w:spacing w:after="0" w:line="159" w:lineRule="exact"/>
              <w:rPr>
                <w:sz w:val="20"/>
                <w:szCs w:val="20"/>
                <w:color w:val="auto"/>
              </w:rPr>
            </w:pPr>
            <w:r>
              <w:rPr>
                <w:rFonts w:ascii="Arial" w:cs="Arial" w:eastAsia="Arial" w:hAnsi="Arial"/>
                <w:sz w:val="14"/>
                <w:szCs w:val="14"/>
                <w:color w:val="auto"/>
              </w:rPr>
              <w:t>• Global tracked</w:t>
            </w:r>
          </w:p>
        </w:tc>
        <w:tc>
          <w:tcPr>
            <w:tcW w:w="1620" w:type="dxa"/>
            <w:vAlign w:val="bottom"/>
            <w:tcBorders>
              <w:right w:val="single" w:sz="8" w:color="auto"/>
            </w:tcBorders>
            <w:gridSpan w:val="2"/>
            <w:shd w:val="clear" w:color="auto" w:fill="CFF0FC"/>
          </w:tcPr>
          <w:p>
            <w:pPr>
              <w:ind w:left="120"/>
              <w:spacing w:after="0" w:line="159" w:lineRule="exact"/>
              <w:rPr>
                <w:sz w:val="20"/>
                <w:szCs w:val="20"/>
                <w:color w:val="auto"/>
              </w:rPr>
            </w:pPr>
            <w:r>
              <w:rPr>
                <w:rFonts w:ascii="Arial" w:cs="Arial" w:eastAsia="Arial" w:hAnsi="Arial"/>
                <w:sz w:val="14"/>
                <w:szCs w:val="14"/>
                <w:color w:val="auto"/>
              </w:rPr>
              <w:t>• Aluminum die cast</w:t>
            </w:r>
          </w:p>
        </w:tc>
      </w:tr>
      <w:tr>
        <w:trPr>
          <w:trHeight w:val="162"/>
        </w:trPr>
        <w:tc>
          <w:tcPr>
            <w:tcW w:w="1880" w:type="dxa"/>
            <w:vAlign w:val="bottom"/>
            <w:tcBorders>
              <w:left w:val="single" w:sz="8" w:color="auto"/>
              <w:right w:val="single" w:sz="8" w:color="auto"/>
            </w:tcBorders>
            <w:shd w:val="clear" w:color="auto" w:fill="CFF0FC"/>
          </w:tcPr>
          <w:p>
            <w:pPr>
              <w:spacing w:after="0"/>
              <w:rPr>
                <w:sz w:val="14"/>
                <w:szCs w:val="14"/>
                <w:color w:val="auto"/>
              </w:rPr>
            </w:pPr>
          </w:p>
        </w:tc>
        <w:tc>
          <w:tcPr>
            <w:tcW w:w="1600" w:type="dxa"/>
            <w:vAlign w:val="bottom"/>
            <w:tcBorders>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 Day Cab Tractors</w:t>
            </w:r>
          </w:p>
        </w:tc>
        <w:tc>
          <w:tcPr>
            <w:tcW w:w="1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Energy</w:t>
            </w:r>
          </w:p>
        </w:tc>
        <w:tc>
          <w:tcPr>
            <w:tcW w:w="480" w:type="dxa"/>
            <w:vAlign w:val="bottom"/>
            <w:tcBorders>
              <w:right w:val="single" w:sz="8" w:color="auto"/>
            </w:tcBorders>
            <w:shd w:val="clear" w:color="auto" w:fill="CFF0FC"/>
          </w:tcPr>
          <w:p>
            <w:pPr>
              <w:spacing w:after="0"/>
              <w:rPr>
                <w:sz w:val="14"/>
                <w:szCs w:val="14"/>
                <w:color w:val="auto"/>
              </w:rPr>
            </w:pPr>
          </w:p>
        </w:tc>
        <w:tc>
          <w:tcPr>
            <w:tcW w:w="10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 Distribution</w:t>
            </w:r>
          </w:p>
        </w:tc>
        <w:tc>
          <w:tcPr>
            <w:tcW w:w="480" w:type="dxa"/>
            <w:vAlign w:val="bottom"/>
            <w:tcBorders>
              <w:right w:val="single" w:sz="8" w:color="auto"/>
            </w:tcBorders>
            <w:shd w:val="clear" w:color="auto" w:fill="CFF0FC"/>
          </w:tcPr>
          <w:p>
            <w:pPr>
              <w:spacing w:after="0"/>
              <w:rPr>
                <w:sz w:val="14"/>
                <w:szCs w:val="14"/>
                <w:color w:val="auto"/>
              </w:rPr>
            </w:pPr>
          </w:p>
        </w:tc>
        <w:tc>
          <w:tcPr>
            <w:tcW w:w="9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Energy</w:t>
            </w:r>
          </w:p>
        </w:tc>
        <w:tc>
          <w:tcPr>
            <w:tcW w:w="540" w:type="dxa"/>
            <w:vAlign w:val="bottom"/>
            <w:tcBorders>
              <w:right w:val="single" w:sz="8" w:color="auto"/>
            </w:tcBorders>
            <w:shd w:val="clear" w:color="auto" w:fill="CFF0FC"/>
          </w:tcPr>
          <w:p>
            <w:pPr>
              <w:spacing w:after="0"/>
              <w:rPr>
                <w:sz w:val="14"/>
                <w:szCs w:val="14"/>
                <w:color w:val="auto"/>
              </w:rPr>
            </w:pPr>
          </w:p>
        </w:tc>
        <w:tc>
          <w:tcPr>
            <w:tcW w:w="1560" w:type="dxa"/>
            <w:vAlign w:val="bottom"/>
            <w:tcBorders>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combat platforms</w:t>
            </w:r>
          </w:p>
        </w:tc>
        <w:tc>
          <w:tcPr>
            <w:tcW w:w="12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components</w:t>
            </w:r>
          </w:p>
        </w:tc>
        <w:tc>
          <w:tcPr>
            <w:tcW w:w="380" w:type="dxa"/>
            <w:vAlign w:val="bottom"/>
            <w:tcBorders>
              <w:right w:val="single" w:sz="8" w:color="auto"/>
            </w:tcBorders>
            <w:shd w:val="clear" w:color="auto" w:fill="CFF0FC"/>
          </w:tcPr>
          <w:p>
            <w:pPr>
              <w:spacing w:after="0"/>
              <w:rPr>
                <w:sz w:val="14"/>
                <w:szCs w:val="14"/>
                <w:color w:val="auto"/>
              </w:rPr>
            </w:pPr>
          </w:p>
        </w:tc>
      </w:tr>
      <w:tr>
        <w:trPr>
          <w:trHeight w:val="162"/>
        </w:trPr>
        <w:tc>
          <w:tcPr>
            <w:tcW w:w="1880" w:type="dxa"/>
            <w:vAlign w:val="bottom"/>
            <w:tcBorders>
              <w:left w:val="single" w:sz="8" w:color="auto"/>
              <w:right w:val="single" w:sz="8" w:color="auto"/>
            </w:tcBorders>
            <w:shd w:val="clear" w:color="auto" w:fill="CFF0FC"/>
          </w:tcPr>
          <w:p>
            <w:pPr>
              <w:spacing w:after="0"/>
              <w:rPr>
                <w:sz w:val="14"/>
                <w:szCs w:val="14"/>
                <w:color w:val="auto"/>
              </w:rPr>
            </w:pPr>
          </w:p>
        </w:tc>
        <w:tc>
          <w:tcPr>
            <w:tcW w:w="9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Distribution</w:t>
            </w:r>
          </w:p>
        </w:tc>
        <w:tc>
          <w:tcPr>
            <w:tcW w:w="640" w:type="dxa"/>
            <w:vAlign w:val="bottom"/>
            <w:tcBorders>
              <w:right w:val="single" w:sz="8" w:color="auto"/>
            </w:tcBorders>
            <w:shd w:val="clear" w:color="auto" w:fill="CFF0FC"/>
          </w:tcPr>
          <w:p>
            <w:pPr>
              <w:spacing w:after="0"/>
              <w:rPr>
                <w:sz w:val="14"/>
                <w:szCs w:val="14"/>
                <w:color w:val="auto"/>
              </w:rPr>
            </w:pPr>
          </w:p>
        </w:tc>
        <w:tc>
          <w:tcPr>
            <w:tcW w:w="1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Mining</w:t>
            </w:r>
          </w:p>
        </w:tc>
        <w:tc>
          <w:tcPr>
            <w:tcW w:w="480" w:type="dxa"/>
            <w:vAlign w:val="bottom"/>
            <w:tcBorders>
              <w:right w:val="single" w:sz="8" w:color="auto"/>
            </w:tcBorders>
            <w:shd w:val="clear" w:color="auto" w:fill="CFF0FC"/>
          </w:tcPr>
          <w:p>
            <w:pPr>
              <w:spacing w:after="0"/>
              <w:rPr>
                <w:sz w:val="14"/>
                <w:szCs w:val="14"/>
                <w:color w:val="auto"/>
              </w:rPr>
            </w:pPr>
          </w:p>
        </w:tc>
        <w:tc>
          <w:tcPr>
            <w:tcW w:w="10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 Emergency</w:t>
            </w:r>
          </w:p>
        </w:tc>
        <w:tc>
          <w:tcPr>
            <w:tcW w:w="480" w:type="dxa"/>
            <w:vAlign w:val="bottom"/>
            <w:tcBorders>
              <w:right w:val="single" w:sz="8" w:color="auto"/>
            </w:tcBorders>
            <w:shd w:val="clear" w:color="auto" w:fill="CFF0FC"/>
          </w:tcPr>
          <w:p>
            <w:pPr>
              <w:spacing w:after="0"/>
              <w:rPr>
                <w:sz w:val="14"/>
                <w:szCs w:val="14"/>
                <w:color w:val="auto"/>
              </w:rPr>
            </w:pPr>
          </w:p>
        </w:tc>
        <w:tc>
          <w:tcPr>
            <w:tcW w:w="9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Mining</w:t>
            </w:r>
          </w:p>
        </w:tc>
        <w:tc>
          <w:tcPr>
            <w:tcW w:w="540" w:type="dxa"/>
            <w:vAlign w:val="bottom"/>
            <w:tcBorders>
              <w:right w:val="single" w:sz="8" w:color="auto"/>
            </w:tcBorders>
            <w:shd w:val="clear" w:color="auto" w:fill="CFF0FC"/>
          </w:tcPr>
          <w:p>
            <w:pPr>
              <w:spacing w:after="0"/>
              <w:rPr>
                <w:sz w:val="14"/>
                <w:szCs w:val="14"/>
                <w:color w:val="auto"/>
              </w:rPr>
            </w:pPr>
          </w:p>
        </w:tc>
        <w:tc>
          <w:tcPr>
            <w:tcW w:w="1560" w:type="dxa"/>
            <w:vAlign w:val="bottom"/>
            <w:tcBorders>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 North America</w:t>
            </w:r>
          </w:p>
        </w:tc>
        <w:tc>
          <w:tcPr>
            <w:tcW w:w="12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Extended</w:t>
            </w:r>
          </w:p>
        </w:tc>
        <w:tc>
          <w:tcPr>
            <w:tcW w:w="380" w:type="dxa"/>
            <w:vAlign w:val="bottom"/>
            <w:tcBorders>
              <w:right w:val="single" w:sz="8" w:color="auto"/>
            </w:tcBorders>
            <w:shd w:val="clear" w:color="auto" w:fill="CFF0FC"/>
          </w:tcPr>
          <w:p>
            <w:pPr>
              <w:spacing w:after="0"/>
              <w:rPr>
                <w:sz w:val="14"/>
                <w:szCs w:val="14"/>
                <w:color w:val="auto"/>
              </w:rPr>
            </w:pPr>
          </w:p>
        </w:tc>
      </w:tr>
      <w:tr>
        <w:trPr>
          <w:trHeight w:val="162"/>
        </w:trPr>
        <w:tc>
          <w:tcPr>
            <w:tcW w:w="1880" w:type="dxa"/>
            <w:vAlign w:val="bottom"/>
            <w:tcBorders>
              <w:left w:val="single" w:sz="8" w:color="auto"/>
              <w:right w:val="single" w:sz="8" w:color="auto"/>
            </w:tcBorders>
            <w:shd w:val="clear" w:color="auto" w:fill="CFF0FC"/>
          </w:tcPr>
          <w:p>
            <w:pPr>
              <w:spacing w:after="0"/>
              <w:rPr>
                <w:sz w:val="14"/>
                <w:szCs w:val="14"/>
                <w:color w:val="auto"/>
              </w:rPr>
            </w:pPr>
          </w:p>
        </w:tc>
        <w:tc>
          <w:tcPr>
            <w:tcW w:w="9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Emergency</w:t>
            </w:r>
          </w:p>
        </w:tc>
        <w:tc>
          <w:tcPr>
            <w:tcW w:w="640" w:type="dxa"/>
            <w:vAlign w:val="bottom"/>
            <w:tcBorders>
              <w:right w:val="single" w:sz="8" w:color="auto"/>
            </w:tcBorders>
            <w:shd w:val="clear" w:color="auto" w:fill="CFF0FC"/>
          </w:tcPr>
          <w:p>
            <w:pPr>
              <w:spacing w:after="0"/>
              <w:rPr>
                <w:sz w:val="14"/>
                <w:szCs w:val="14"/>
                <w:color w:val="auto"/>
              </w:rPr>
            </w:pPr>
          </w:p>
        </w:tc>
        <w:tc>
          <w:tcPr>
            <w:tcW w:w="1600" w:type="dxa"/>
            <w:vAlign w:val="bottom"/>
            <w:tcBorders>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 Specialty vehicle</w:t>
            </w:r>
          </w:p>
        </w:tc>
        <w:tc>
          <w:tcPr>
            <w:tcW w:w="10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 Mining</w:t>
            </w:r>
          </w:p>
        </w:tc>
        <w:tc>
          <w:tcPr>
            <w:tcW w:w="480" w:type="dxa"/>
            <w:vAlign w:val="bottom"/>
            <w:tcBorders>
              <w:right w:val="single" w:sz="8" w:color="auto"/>
            </w:tcBorders>
            <w:shd w:val="clear" w:color="auto" w:fill="CFF0FC"/>
          </w:tcPr>
          <w:p>
            <w:pPr>
              <w:spacing w:after="0"/>
              <w:rPr>
                <w:sz w:val="14"/>
                <w:szCs w:val="14"/>
                <w:color w:val="auto"/>
              </w:rPr>
            </w:pPr>
          </w:p>
        </w:tc>
        <w:tc>
          <w:tcPr>
            <w:tcW w:w="9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Specialty</w:t>
            </w:r>
          </w:p>
        </w:tc>
        <w:tc>
          <w:tcPr>
            <w:tcW w:w="540" w:type="dxa"/>
            <w:vAlign w:val="bottom"/>
            <w:tcBorders>
              <w:right w:val="single" w:sz="8" w:color="auto"/>
            </w:tcBorders>
            <w:shd w:val="clear" w:color="auto" w:fill="CFF0FC"/>
          </w:tcPr>
          <w:p>
            <w:pPr>
              <w:spacing w:after="0"/>
              <w:rPr>
                <w:sz w:val="14"/>
                <w:szCs w:val="14"/>
                <w:color w:val="auto"/>
              </w:rPr>
            </w:pPr>
          </w:p>
        </w:tc>
        <w:tc>
          <w:tcPr>
            <w:tcW w:w="10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medium- and</w:t>
            </w:r>
          </w:p>
        </w:tc>
        <w:tc>
          <w:tcPr>
            <w:tcW w:w="480" w:type="dxa"/>
            <w:vAlign w:val="bottom"/>
            <w:tcBorders>
              <w:right w:val="single" w:sz="8" w:color="auto"/>
            </w:tcBorders>
            <w:shd w:val="clear" w:color="auto" w:fill="CFF0FC"/>
          </w:tcPr>
          <w:p>
            <w:pPr>
              <w:spacing w:after="0"/>
              <w:rPr>
                <w:sz w:val="14"/>
                <w:szCs w:val="14"/>
                <w:color w:val="auto"/>
              </w:rPr>
            </w:pPr>
          </w:p>
        </w:tc>
        <w:tc>
          <w:tcPr>
            <w:tcW w:w="12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transmission</w:t>
            </w:r>
          </w:p>
        </w:tc>
        <w:tc>
          <w:tcPr>
            <w:tcW w:w="380" w:type="dxa"/>
            <w:vAlign w:val="bottom"/>
            <w:tcBorders>
              <w:right w:val="single" w:sz="8" w:color="auto"/>
            </w:tcBorders>
            <w:shd w:val="clear" w:color="auto" w:fill="CFF0FC"/>
          </w:tcPr>
          <w:p>
            <w:pPr>
              <w:spacing w:after="0"/>
              <w:rPr>
                <w:sz w:val="14"/>
                <w:szCs w:val="14"/>
                <w:color w:val="auto"/>
              </w:rPr>
            </w:pPr>
          </w:p>
        </w:tc>
      </w:tr>
      <w:tr>
        <w:trPr>
          <w:trHeight w:val="162"/>
        </w:trPr>
        <w:tc>
          <w:tcPr>
            <w:tcW w:w="1880" w:type="dxa"/>
            <w:vAlign w:val="bottom"/>
            <w:tcBorders>
              <w:left w:val="single" w:sz="8" w:color="auto"/>
              <w:right w:val="single" w:sz="8" w:color="auto"/>
            </w:tcBorders>
            <w:shd w:val="clear" w:color="auto" w:fill="CFF0FC"/>
          </w:tcPr>
          <w:p>
            <w:pPr>
              <w:spacing w:after="0"/>
              <w:rPr>
                <w:sz w:val="14"/>
                <w:szCs w:val="14"/>
                <w:color w:val="auto"/>
              </w:rPr>
            </w:pPr>
          </w:p>
        </w:tc>
        <w:tc>
          <w:tcPr>
            <w:tcW w:w="9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Motorhome</w:t>
            </w:r>
          </w:p>
        </w:tc>
        <w:tc>
          <w:tcPr>
            <w:tcW w:w="640" w:type="dxa"/>
            <w:vAlign w:val="bottom"/>
            <w:tcBorders>
              <w:right w:val="single" w:sz="8" w:color="auto"/>
            </w:tcBorders>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80" w:type="dxa"/>
            <w:vAlign w:val="bottom"/>
            <w:tcBorders>
              <w:right w:val="single" w:sz="8" w:color="auto"/>
            </w:tcBorders>
            <w:shd w:val="clear" w:color="auto" w:fill="CFF0FC"/>
          </w:tcPr>
          <w:p>
            <w:pPr>
              <w:spacing w:after="0"/>
              <w:rPr>
                <w:sz w:val="14"/>
                <w:szCs w:val="14"/>
                <w:color w:val="auto"/>
              </w:rPr>
            </w:pPr>
          </w:p>
        </w:tc>
        <w:tc>
          <w:tcPr>
            <w:tcW w:w="10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 Refuse</w:t>
            </w:r>
          </w:p>
        </w:tc>
        <w:tc>
          <w:tcPr>
            <w:tcW w:w="480" w:type="dxa"/>
            <w:vAlign w:val="bottom"/>
            <w:tcBorders>
              <w:right w:val="single" w:sz="8" w:color="auto"/>
            </w:tcBorders>
            <w:shd w:val="clear" w:color="auto" w:fill="CFF0FC"/>
          </w:tcPr>
          <w:p>
            <w:pPr>
              <w:spacing w:after="0"/>
              <w:rPr>
                <w:sz w:val="14"/>
                <w:szCs w:val="14"/>
                <w:color w:val="auto"/>
              </w:rPr>
            </w:pPr>
          </w:p>
        </w:tc>
        <w:tc>
          <w:tcPr>
            <w:tcW w:w="9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vehicle</w:t>
            </w:r>
          </w:p>
        </w:tc>
        <w:tc>
          <w:tcPr>
            <w:tcW w:w="540" w:type="dxa"/>
            <w:vAlign w:val="bottom"/>
            <w:tcBorders>
              <w:right w:val="single" w:sz="8" w:color="auto"/>
            </w:tcBorders>
            <w:shd w:val="clear" w:color="auto" w:fill="CFF0FC"/>
          </w:tcPr>
          <w:p>
            <w:pPr>
              <w:spacing w:after="0"/>
              <w:rPr>
                <w:sz w:val="14"/>
                <w:szCs w:val="14"/>
                <w:color w:val="auto"/>
              </w:rPr>
            </w:pPr>
          </w:p>
        </w:tc>
        <w:tc>
          <w:tcPr>
            <w:tcW w:w="10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heavy-tactical</w:t>
            </w:r>
          </w:p>
        </w:tc>
        <w:tc>
          <w:tcPr>
            <w:tcW w:w="480" w:type="dxa"/>
            <w:vAlign w:val="bottom"/>
            <w:tcBorders>
              <w:right w:val="single" w:sz="8" w:color="auto"/>
            </w:tcBorders>
            <w:shd w:val="clear" w:color="auto" w:fill="CFF0FC"/>
          </w:tcPr>
          <w:p>
            <w:pPr>
              <w:spacing w:after="0"/>
              <w:rPr>
                <w:sz w:val="14"/>
                <w:szCs w:val="14"/>
                <w:color w:val="auto"/>
              </w:rPr>
            </w:pPr>
          </w:p>
        </w:tc>
        <w:tc>
          <w:tcPr>
            <w:tcW w:w="12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coverage</w:t>
            </w:r>
          </w:p>
        </w:tc>
        <w:tc>
          <w:tcPr>
            <w:tcW w:w="380" w:type="dxa"/>
            <w:vAlign w:val="bottom"/>
            <w:tcBorders>
              <w:right w:val="single" w:sz="8" w:color="auto"/>
            </w:tcBorders>
            <w:shd w:val="clear" w:color="auto" w:fill="CFF0FC"/>
          </w:tcPr>
          <w:p>
            <w:pPr>
              <w:spacing w:after="0"/>
              <w:rPr>
                <w:sz w:val="14"/>
                <w:szCs w:val="14"/>
                <w:color w:val="auto"/>
              </w:rPr>
            </w:pPr>
          </w:p>
        </w:tc>
      </w:tr>
      <w:tr>
        <w:trPr>
          <w:trHeight w:val="162"/>
        </w:trPr>
        <w:tc>
          <w:tcPr>
            <w:tcW w:w="1880" w:type="dxa"/>
            <w:vAlign w:val="bottom"/>
            <w:tcBorders>
              <w:left w:val="single" w:sz="8" w:color="auto"/>
              <w:right w:val="single" w:sz="8" w:color="auto"/>
            </w:tcBorders>
            <w:shd w:val="clear" w:color="auto" w:fill="CFF0FC"/>
          </w:tcPr>
          <w:p>
            <w:pPr>
              <w:spacing w:after="0"/>
              <w:rPr>
                <w:sz w:val="14"/>
                <w:szCs w:val="14"/>
                <w:color w:val="auto"/>
              </w:rPr>
            </w:pPr>
          </w:p>
        </w:tc>
        <w:tc>
          <w:tcPr>
            <w:tcW w:w="9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Refuse</w:t>
            </w:r>
          </w:p>
        </w:tc>
        <w:tc>
          <w:tcPr>
            <w:tcW w:w="640" w:type="dxa"/>
            <w:vAlign w:val="bottom"/>
            <w:tcBorders>
              <w:right w:val="single" w:sz="8" w:color="auto"/>
            </w:tcBorders>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80" w:type="dxa"/>
            <w:vAlign w:val="bottom"/>
            <w:tcBorders>
              <w:right w:val="single" w:sz="8" w:color="auto"/>
            </w:tcBorders>
            <w:shd w:val="clear" w:color="auto" w:fill="CFF0FC"/>
          </w:tcPr>
          <w:p>
            <w:pPr>
              <w:spacing w:after="0"/>
              <w:rPr>
                <w:sz w:val="14"/>
                <w:szCs w:val="14"/>
                <w:color w:val="auto"/>
              </w:rPr>
            </w:pPr>
          </w:p>
        </w:tc>
        <w:tc>
          <w:tcPr>
            <w:tcW w:w="10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 School,</w:t>
            </w:r>
          </w:p>
        </w:tc>
        <w:tc>
          <w:tcPr>
            <w:tcW w:w="480" w:type="dxa"/>
            <w:vAlign w:val="bottom"/>
            <w:tcBorders>
              <w:right w:val="single" w:sz="8" w:color="auto"/>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40" w:type="dxa"/>
            <w:vAlign w:val="bottom"/>
            <w:tcBorders>
              <w:right w:val="single" w:sz="8" w:color="auto"/>
            </w:tcBorders>
            <w:shd w:val="clear" w:color="auto" w:fill="CFF0FC"/>
          </w:tcPr>
          <w:p>
            <w:pPr>
              <w:spacing w:after="0"/>
              <w:rPr>
                <w:sz w:val="14"/>
                <w:szCs w:val="14"/>
                <w:color w:val="auto"/>
              </w:rPr>
            </w:pPr>
          </w:p>
        </w:tc>
        <w:tc>
          <w:tcPr>
            <w:tcW w:w="1560" w:type="dxa"/>
            <w:vAlign w:val="bottom"/>
            <w:tcBorders>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wheeled platforms</w:t>
            </w:r>
          </w:p>
        </w:tc>
        <w:tc>
          <w:tcPr>
            <w:tcW w:w="1620" w:type="dxa"/>
            <w:vAlign w:val="bottom"/>
            <w:tcBorders>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 Remanufactured</w:t>
            </w:r>
          </w:p>
        </w:tc>
      </w:tr>
      <w:tr>
        <w:trPr>
          <w:trHeight w:val="162"/>
        </w:trPr>
        <w:tc>
          <w:tcPr>
            <w:tcW w:w="1880" w:type="dxa"/>
            <w:vAlign w:val="bottom"/>
            <w:tcBorders>
              <w:left w:val="single" w:sz="8" w:color="auto"/>
              <w:right w:val="single" w:sz="8" w:color="auto"/>
            </w:tcBorders>
            <w:shd w:val="clear" w:color="auto" w:fill="CFF0FC"/>
          </w:tcPr>
          <w:p>
            <w:pPr>
              <w:spacing w:after="0"/>
              <w:rPr>
                <w:sz w:val="14"/>
                <w:szCs w:val="14"/>
                <w:color w:val="auto"/>
              </w:rPr>
            </w:pPr>
          </w:p>
        </w:tc>
        <w:tc>
          <w:tcPr>
            <w:tcW w:w="1600" w:type="dxa"/>
            <w:vAlign w:val="bottom"/>
            <w:tcBorders>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 School, transit,</w:t>
            </w:r>
          </w:p>
        </w:tc>
        <w:tc>
          <w:tcPr>
            <w:tcW w:w="1120" w:type="dxa"/>
            <w:vAlign w:val="bottom"/>
            <w:shd w:val="clear" w:color="auto" w:fill="CFF0FC"/>
          </w:tcPr>
          <w:p>
            <w:pPr>
              <w:spacing w:after="0"/>
              <w:rPr>
                <w:sz w:val="14"/>
                <w:szCs w:val="14"/>
                <w:color w:val="auto"/>
              </w:rPr>
            </w:pPr>
          </w:p>
        </w:tc>
        <w:tc>
          <w:tcPr>
            <w:tcW w:w="480" w:type="dxa"/>
            <w:vAlign w:val="bottom"/>
            <w:tcBorders>
              <w:right w:val="single" w:sz="8" w:color="auto"/>
            </w:tcBorders>
            <w:shd w:val="clear" w:color="auto" w:fill="CFF0FC"/>
          </w:tcPr>
          <w:p>
            <w:pPr>
              <w:spacing w:after="0"/>
              <w:rPr>
                <w:sz w:val="14"/>
                <w:szCs w:val="14"/>
                <w:color w:val="auto"/>
              </w:rPr>
            </w:pPr>
          </w:p>
        </w:tc>
        <w:tc>
          <w:tcPr>
            <w:tcW w:w="10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transit, shuttle</w:t>
            </w:r>
          </w:p>
        </w:tc>
        <w:tc>
          <w:tcPr>
            <w:tcW w:w="480" w:type="dxa"/>
            <w:vAlign w:val="bottom"/>
            <w:tcBorders>
              <w:right w:val="single" w:sz="8" w:color="auto"/>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40" w:type="dxa"/>
            <w:vAlign w:val="bottom"/>
            <w:tcBorders>
              <w:right w:val="single" w:sz="8" w:color="auto"/>
            </w:tcBorders>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480" w:type="dxa"/>
            <w:vAlign w:val="bottom"/>
            <w:tcBorders>
              <w:right w:val="single" w:sz="8" w:color="auto"/>
            </w:tcBorders>
            <w:shd w:val="clear" w:color="auto" w:fill="CFF0FC"/>
          </w:tcPr>
          <w:p>
            <w:pPr>
              <w:spacing w:after="0"/>
              <w:rPr>
                <w:sz w:val="14"/>
                <w:szCs w:val="14"/>
                <w:color w:val="auto"/>
              </w:rPr>
            </w:pPr>
          </w:p>
        </w:tc>
        <w:tc>
          <w:tcPr>
            <w:tcW w:w="12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transmissions</w:t>
            </w:r>
          </w:p>
        </w:tc>
        <w:tc>
          <w:tcPr>
            <w:tcW w:w="380" w:type="dxa"/>
            <w:vAlign w:val="bottom"/>
            <w:tcBorders>
              <w:right w:val="single" w:sz="8" w:color="auto"/>
            </w:tcBorders>
            <w:shd w:val="clear" w:color="auto" w:fill="CFF0FC"/>
          </w:tcPr>
          <w:p>
            <w:pPr>
              <w:spacing w:after="0"/>
              <w:rPr>
                <w:sz w:val="14"/>
                <w:szCs w:val="14"/>
                <w:color w:val="auto"/>
              </w:rPr>
            </w:pPr>
          </w:p>
        </w:tc>
      </w:tr>
      <w:tr>
        <w:trPr>
          <w:trHeight w:val="162"/>
        </w:trPr>
        <w:tc>
          <w:tcPr>
            <w:tcW w:w="1880" w:type="dxa"/>
            <w:vAlign w:val="bottom"/>
            <w:tcBorders>
              <w:left w:val="single" w:sz="8" w:color="auto"/>
              <w:right w:val="single" w:sz="8" w:color="auto"/>
            </w:tcBorders>
            <w:shd w:val="clear" w:color="auto" w:fill="CFF0FC"/>
          </w:tcPr>
          <w:p>
            <w:pPr>
              <w:spacing w:after="0"/>
              <w:rPr>
                <w:sz w:val="14"/>
                <w:szCs w:val="14"/>
                <w:color w:val="auto"/>
              </w:rPr>
            </w:pPr>
          </w:p>
        </w:tc>
        <w:tc>
          <w:tcPr>
            <w:tcW w:w="1600" w:type="dxa"/>
            <w:vAlign w:val="bottom"/>
            <w:tcBorders>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shuttle and coach</w:t>
            </w:r>
          </w:p>
        </w:tc>
        <w:tc>
          <w:tcPr>
            <w:tcW w:w="1120" w:type="dxa"/>
            <w:vAlign w:val="bottom"/>
            <w:shd w:val="clear" w:color="auto" w:fill="CFF0FC"/>
          </w:tcPr>
          <w:p>
            <w:pPr>
              <w:spacing w:after="0"/>
              <w:rPr>
                <w:sz w:val="14"/>
                <w:szCs w:val="14"/>
                <w:color w:val="auto"/>
              </w:rPr>
            </w:pPr>
          </w:p>
        </w:tc>
        <w:tc>
          <w:tcPr>
            <w:tcW w:w="480" w:type="dxa"/>
            <w:vAlign w:val="bottom"/>
            <w:tcBorders>
              <w:right w:val="single" w:sz="8" w:color="auto"/>
            </w:tcBorders>
            <w:shd w:val="clear" w:color="auto" w:fill="CFF0FC"/>
          </w:tcPr>
          <w:p>
            <w:pPr>
              <w:spacing w:after="0"/>
              <w:rPr>
                <w:sz w:val="14"/>
                <w:szCs w:val="14"/>
                <w:color w:val="auto"/>
              </w:rPr>
            </w:pPr>
          </w:p>
        </w:tc>
        <w:tc>
          <w:tcPr>
            <w:tcW w:w="1520" w:type="dxa"/>
            <w:vAlign w:val="bottom"/>
            <w:tcBorders>
              <w:right w:val="single" w:sz="8" w:color="auto"/>
            </w:tcBorders>
            <w:gridSpan w:val="2"/>
            <w:shd w:val="clear" w:color="auto" w:fill="CFF0FC"/>
          </w:tcPr>
          <w:p>
            <w:pPr>
              <w:ind w:left="100"/>
              <w:spacing w:after="0"/>
              <w:rPr>
                <w:sz w:val="20"/>
                <w:szCs w:val="20"/>
                <w:color w:val="auto"/>
              </w:rPr>
            </w:pPr>
            <w:r>
              <w:rPr>
                <w:rFonts w:ascii="Arial" w:cs="Arial" w:eastAsia="Arial" w:hAnsi="Arial"/>
                <w:sz w:val="14"/>
                <w:szCs w:val="14"/>
                <w:color w:val="auto"/>
              </w:rPr>
              <w:t>and coach buses</w:t>
            </w:r>
          </w:p>
        </w:tc>
        <w:tc>
          <w:tcPr>
            <w:tcW w:w="920" w:type="dxa"/>
            <w:vAlign w:val="bottom"/>
            <w:shd w:val="clear" w:color="auto" w:fill="CFF0FC"/>
          </w:tcPr>
          <w:p>
            <w:pPr>
              <w:spacing w:after="0"/>
              <w:rPr>
                <w:sz w:val="14"/>
                <w:szCs w:val="14"/>
                <w:color w:val="auto"/>
              </w:rPr>
            </w:pPr>
          </w:p>
        </w:tc>
        <w:tc>
          <w:tcPr>
            <w:tcW w:w="540" w:type="dxa"/>
            <w:vAlign w:val="bottom"/>
            <w:tcBorders>
              <w:right w:val="single" w:sz="8" w:color="auto"/>
            </w:tcBorders>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480" w:type="dxa"/>
            <w:vAlign w:val="bottom"/>
            <w:tcBorders>
              <w:right w:val="single" w:sz="8" w:color="auto"/>
            </w:tcBorders>
            <w:shd w:val="clear" w:color="auto" w:fill="CFF0FC"/>
          </w:tcPr>
          <w:p>
            <w:pPr>
              <w:spacing w:after="0"/>
              <w:rPr>
                <w:sz w:val="14"/>
                <w:szCs w:val="14"/>
                <w:color w:val="auto"/>
              </w:rPr>
            </w:pPr>
          </w:p>
        </w:tc>
        <w:tc>
          <w:tcPr>
            <w:tcW w:w="12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Royalties</w:t>
            </w:r>
          </w:p>
        </w:tc>
        <w:tc>
          <w:tcPr>
            <w:tcW w:w="380" w:type="dxa"/>
            <w:vAlign w:val="bottom"/>
            <w:tcBorders>
              <w:right w:val="single" w:sz="8" w:color="auto"/>
            </w:tcBorders>
            <w:shd w:val="clear" w:color="auto" w:fill="CFF0FC"/>
          </w:tcPr>
          <w:p>
            <w:pPr>
              <w:spacing w:after="0"/>
              <w:rPr>
                <w:sz w:val="14"/>
                <w:szCs w:val="14"/>
                <w:color w:val="auto"/>
              </w:rPr>
            </w:pPr>
          </w:p>
        </w:tc>
      </w:tr>
      <w:tr>
        <w:trPr>
          <w:trHeight w:val="162"/>
        </w:trPr>
        <w:tc>
          <w:tcPr>
            <w:tcW w:w="1880" w:type="dxa"/>
            <w:vAlign w:val="bottom"/>
            <w:tcBorders>
              <w:left w:val="single" w:sz="8" w:color="auto"/>
              <w:right w:val="single" w:sz="8" w:color="auto"/>
            </w:tcBorders>
            <w:shd w:val="clear" w:color="auto" w:fill="CFF0FC"/>
          </w:tcPr>
          <w:p>
            <w:pPr>
              <w:spacing w:after="0"/>
              <w:rPr>
                <w:sz w:val="14"/>
                <w:szCs w:val="14"/>
                <w:color w:val="auto"/>
              </w:rPr>
            </w:pPr>
          </w:p>
        </w:tc>
        <w:tc>
          <w:tcPr>
            <w:tcW w:w="9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buses</w:t>
            </w:r>
          </w:p>
        </w:tc>
        <w:tc>
          <w:tcPr>
            <w:tcW w:w="640" w:type="dxa"/>
            <w:vAlign w:val="bottom"/>
            <w:tcBorders>
              <w:right w:val="single" w:sz="8" w:color="auto"/>
            </w:tcBorders>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80" w:type="dxa"/>
            <w:vAlign w:val="bottom"/>
            <w:tcBorders>
              <w:right w:val="single" w:sz="8" w:color="auto"/>
            </w:tcBorders>
            <w:shd w:val="clear" w:color="auto" w:fill="CFF0FC"/>
          </w:tcPr>
          <w:p>
            <w:pPr>
              <w:spacing w:after="0"/>
              <w:rPr>
                <w:sz w:val="14"/>
                <w:szCs w:val="14"/>
                <w:color w:val="auto"/>
              </w:rPr>
            </w:pPr>
          </w:p>
        </w:tc>
        <w:tc>
          <w:tcPr>
            <w:tcW w:w="10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 Specialty</w:t>
            </w:r>
          </w:p>
        </w:tc>
        <w:tc>
          <w:tcPr>
            <w:tcW w:w="480" w:type="dxa"/>
            <w:vAlign w:val="bottom"/>
            <w:tcBorders>
              <w:right w:val="single" w:sz="8" w:color="auto"/>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40" w:type="dxa"/>
            <w:vAlign w:val="bottom"/>
            <w:tcBorders>
              <w:right w:val="single" w:sz="8" w:color="auto"/>
            </w:tcBorders>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480" w:type="dxa"/>
            <w:vAlign w:val="bottom"/>
            <w:tcBorders>
              <w:right w:val="single" w:sz="8" w:color="auto"/>
            </w:tcBorders>
            <w:shd w:val="clear" w:color="auto" w:fill="CFF0FC"/>
          </w:tcPr>
          <w:p>
            <w:pPr>
              <w:spacing w:after="0"/>
              <w:rPr>
                <w:sz w:val="14"/>
                <w:szCs w:val="14"/>
                <w:color w:val="auto"/>
              </w:rPr>
            </w:pPr>
          </w:p>
        </w:tc>
        <w:tc>
          <w:tcPr>
            <w:tcW w:w="12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Saleable</w:t>
            </w:r>
          </w:p>
        </w:tc>
        <w:tc>
          <w:tcPr>
            <w:tcW w:w="380" w:type="dxa"/>
            <w:vAlign w:val="bottom"/>
            <w:tcBorders>
              <w:right w:val="single" w:sz="8" w:color="auto"/>
            </w:tcBorders>
            <w:shd w:val="clear" w:color="auto" w:fill="CFF0FC"/>
          </w:tcPr>
          <w:p>
            <w:pPr>
              <w:spacing w:after="0"/>
              <w:rPr>
                <w:sz w:val="14"/>
                <w:szCs w:val="14"/>
                <w:color w:val="auto"/>
              </w:rPr>
            </w:pPr>
          </w:p>
        </w:tc>
      </w:tr>
      <w:tr>
        <w:trPr>
          <w:trHeight w:val="162"/>
        </w:trPr>
        <w:tc>
          <w:tcPr>
            <w:tcW w:w="1880" w:type="dxa"/>
            <w:vAlign w:val="bottom"/>
            <w:tcBorders>
              <w:left w:val="single" w:sz="8" w:color="auto"/>
              <w:right w:val="single" w:sz="8" w:color="auto"/>
            </w:tcBorders>
            <w:shd w:val="clear" w:color="auto" w:fill="CFF0FC"/>
          </w:tcPr>
          <w:p>
            <w:pPr>
              <w:spacing w:after="0"/>
              <w:rPr>
                <w:sz w:val="14"/>
                <w:szCs w:val="14"/>
                <w:color w:val="auto"/>
              </w:rPr>
            </w:pPr>
          </w:p>
        </w:tc>
        <w:tc>
          <w:tcPr>
            <w:tcW w:w="9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Utility</w:t>
            </w:r>
          </w:p>
        </w:tc>
        <w:tc>
          <w:tcPr>
            <w:tcW w:w="640" w:type="dxa"/>
            <w:vAlign w:val="bottom"/>
            <w:tcBorders>
              <w:right w:val="single" w:sz="8" w:color="auto"/>
            </w:tcBorders>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80" w:type="dxa"/>
            <w:vAlign w:val="bottom"/>
            <w:tcBorders>
              <w:right w:val="single" w:sz="8" w:color="auto"/>
            </w:tcBorders>
            <w:shd w:val="clear" w:color="auto" w:fill="CFF0FC"/>
          </w:tcPr>
          <w:p>
            <w:pPr>
              <w:spacing w:after="0"/>
              <w:rPr>
                <w:sz w:val="14"/>
                <w:szCs w:val="14"/>
                <w:color w:val="auto"/>
              </w:rPr>
            </w:pPr>
          </w:p>
        </w:tc>
        <w:tc>
          <w:tcPr>
            <w:tcW w:w="10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 Utility</w:t>
            </w:r>
          </w:p>
        </w:tc>
        <w:tc>
          <w:tcPr>
            <w:tcW w:w="480" w:type="dxa"/>
            <w:vAlign w:val="bottom"/>
            <w:tcBorders>
              <w:right w:val="single" w:sz="8" w:color="auto"/>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40" w:type="dxa"/>
            <w:vAlign w:val="bottom"/>
            <w:tcBorders>
              <w:right w:val="single" w:sz="8" w:color="auto"/>
            </w:tcBorders>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480" w:type="dxa"/>
            <w:vAlign w:val="bottom"/>
            <w:tcBorders>
              <w:right w:val="single" w:sz="8" w:color="auto"/>
            </w:tcBorders>
            <w:shd w:val="clear" w:color="auto" w:fill="CFF0FC"/>
          </w:tcPr>
          <w:p>
            <w:pPr>
              <w:spacing w:after="0"/>
              <w:rPr>
                <w:sz w:val="14"/>
                <w:szCs w:val="14"/>
                <w:color w:val="auto"/>
              </w:rPr>
            </w:pPr>
          </w:p>
        </w:tc>
        <w:tc>
          <w:tcPr>
            <w:tcW w:w="12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engineering</w:t>
            </w:r>
          </w:p>
        </w:tc>
        <w:tc>
          <w:tcPr>
            <w:tcW w:w="380" w:type="dxa"/>
            <w:vAlign w:val="bottom"/>
            <w:tcBorders>
              <w:right w:val="single" w:sz="8" w:color="auto"/>
            </w:tcBorders>
            <w:shd w:val="clear" w:color="auto" w:fill="CFF0FC"/>
          </w:tcPr>
          <w:p>
            <w:pPr>
              <w:spacing w:after="0"/>
              <w:rPr>
                <w:sz w:val="14"/>
                <w:szCs w:val="14"/>
                <w:color w:val="auto"/>
              </w:rPr>
            </w:pPr>
          </w:p>
        </w:tc>
      </w:tr>
      <w:tr>
        <w:trPr>
          <w:trHeight w:val="162"/>
        </w:trPr>
        <w:tc>
          <w:tcPr>
            <w:tcW w:w="1880" w:type="dxa"/>
            <w:vAlign w:val="bottom"/>
            <w:tcBorders>
              <w:left w:val="single" w:sz="8" w:color="auto"/>
              <w:right w:val="single" w:sz="8" w:color="auto"/>
            </w:tcBorders>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40" w:type="dxa"/>
            <w:vAlign w:val="bottom"/>
            <w:tcBorders>
              <w:right w:val="single" w:sz="8" w:color="auto"/>
            </w:tcBorders>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80" w:type="dxa"/>
            <w:vAlign w:val="bottom"/>
            <w:tcBorders>
              <w:right w:val="single" w:sz="8" w:color="auto"/>
            </w:tcBorders>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80" w:type="dxa"/>
            <w:vAlign w:val="bottom"/>
            <w:tcBorders>
              <w:right w:val="single" w:sz="8" w:color="auto"/>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40" w:type="dxa"/>
            <w:vAlign w:val="bottom"/>
            <w:tcBorders>
              <w:right w:val="single" w:sz="8" w:color="auto"/>
            </w:tcBorders>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480" w:type="dxa"/>
            <w:vAlign w:val="bottom"/>
            <w:tcBorders>
              <w:right w:val="single" w:sz="8" w:color="auto"/>
            </w:tcBorders>
            <w:shd w:val="clear" w:color="auto" w:fill="CFF0FC"/>
          </w:tcPr>
          <w:p>
            <w:pPr>
              <w:spacing w:after="0"/>
              <w:rPr>
                <w:sz w:val="14"/>
                <w:szCs w:val="14"/>
                <w:color w:val="auto"/>
              </w:rPr>
            </w:pPr>
          </w:p>
        </w:tc>
        <w:tc>
          <w:tcPr>
            <w:tcW w:w="12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Service parts</w:t>
            </w:r>
          </w:p>
        </w:tc>
        <w:tc>
          <w:tcPr>
            <w:tcW w:w="380" w:type="dxa"/>
            <w:vAlign w:val="bottom"/>
            <w:tcBorders>
              <w:right w:val="single" w:sz="8" w:color="auto"/>
            </w:tcBorders>
            <w:shd w:val="clear" w:color="auto" w:fill="CFF0FC"/>
          </w:tcPr>
          <w:p>
            <w:pPr>
              <w:spacing w:after="0"/>
              <w:rPr>
                <w:sz w:val="14"/>
                <w:szCs w:val="14"/>
                <w:color w:val="auto"/>
              </w:rPr>
            </w:pPr>
          </w:p>
        </w:tc>
      </w:tr>
      <w:tr>
        <w:trPr>
          <w:trHeight w:val="162"/>
        </w:trPr>
        <w:tc>
          <w:tcPr>
            <w:tcW w:w="1880" w:type="dxa"/>
            <w:vAlign w:val="bottom"/>
            <w:tcBorders>
              <w:left w:val="single" w:sz="8" w:color="auto"/>
              <w:right w:val="single" w:sz="8" w:color="auto"/>
            </w:tcBorders>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40" w:type="dxa"/>
            <w:vAlign w:val="bottom"/>
            <w:tcBorders>
              <w:right w:val="single" w:sz="8" w:color="auto"/>
            </w:tcBorders>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80" w:type="dxa"/>
            <w:vAlign w:val="bottom"/>
            <w:tcBorders>
              <w:right w:val="single" w:sz="8" w:color="auto"/>
            </w:tcBorders>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80" w:type="dxa"/>
            <w:vAlign w:val="bottom"/>
            <w:tcBorders>
              <w:right w:val="single" w:sz="8" w:color="auto"/>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40" w:type="dxa"/>
            <w:vAlign w:val="bottom"/>
            <w:tcBorders>
              <w:right w:val="single" w:sz="8" w:color="auto"/>
            </w:tcBorders>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480" w:type="dxa"/>
            <w:vAlign w:val="bottom"/>
            <w:tcBorders>
              <w:right w:val="single" w:sz="8" w:color="auto"/>
            </w:tcBorders>
            <w:shd w:val="clear" w:color="auto" w:fill="CFF0FC"/>
          </w:tcPr>
          <w:p>
            <w:pPr>
              <w:spacing w:after="0"/>
              <w:rPr>
                <w:sz w:val="14"/>
                <w:szCs w:val="14"/>
                <w:color w:val="auto"/>
              </w:rPr>
            </w:pPr>
          </w:p>
        </w:tc>
        <w:tc>
          <w:tcPr>
            <w:tcW w:w="1620" w:type="dxa"/>
            <w:vAlign w:val="bottom"/>
            <w:tcBorders>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 Support equipment</w:t>
            </w:r>
          </w:p>
        </w:tc>
      </w:tr>
      <w:tr>
        <w:trPr>
          <w:trHeight w:val="185"/>
        </w:trPr>
        <w:tc>
          <w:tcPr>
            <w:tcW w:w="1880" w:type="dxa"/>
            <w:vAlign w:val="bottom"/>
            <w:tcBorders>
              <w:left w:val="single" w:sz="8" w:color="auto"/>
              <w:bottom w:val="single" w:sz="8" w:color="auto"/>
              <w:right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right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right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right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right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right w:val="single" w:sz="8" w:color="auto"/>
            </w:tcBorders>
            <w:shd w:val="clear" w:color="auto" w:fill="CFF0FC"/>
          </w:tcPr>
          <w:p>
            <w:pPr>
              <w:spacing w:after="0"/>
              <w:rPr>
                <w:sz w:val="16"/>
                <w:szCs w:val="16"/>
                <w:color w:val="auto"/>
              </w:rPr>
            </w:pPr>
          </w:p>
        </w:tc>
        <w:tc>
          <w:tcPr>
            <w:tcW w:w="1620" w:type="dxa"/>
            <w:vAlign w:val="bottom"/>
            <w:tcBorders>
              <w:bottom w:val="single" w:sz="8" w:color="auto"/>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 Transmission fluids</w:t>
            </w:r>
          </w:p>
        </w:tc>
      </w:tr>
    </w:tbl>
    <w:p>
      <w:pPr>
        <w:spacing w:after="0" w:line="170" w:lineRule="exact"/>
        <w:rPr>
          <w:sz w:val="20"/>
          <w:szCs w:val="20"/>
          <w:color w:val="auto"/>
        </w:rPr>
      </w:pPr>
    </w:p>
    <w:p>
      <w:pPr>
        <w:ind w:right="540" w:firstLine="562"/>
        <w:spacing w:after="0" w:line="271" w:lineRule="auto"/>
        <w:rPr>
          <w:sz w:val="20"/>
          <w:szCs w:val="20"/>
          <w:color w:val="auto"/>
        </w:rPr>
      </w:pPr>
      <w:r>
        <w:rPr>
          <w:rFonts w:ascii="Arial" w:cs="Arial" w:eastAsia="Arial" w:hAnsi="Arial"/>
          <w:sz w:val="18"/>
          <w:szCs w:val="18"/>
          <w:color w:val="auto"/>
        </w:rPr>
        <w:t>Refer to "Note 19. Concentration of Risk” in Part II, Item 8., of this Annual Report on Form 10-K for additional information on our significant original equipment manufacturer (“OEM”) customers.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On-Highway. </w:t>
      </w:r>
      <w:r>
        <w:rPr>
          <w:rFonts w:ascii="Arial" w:cs="Arial" w:eastAsia="Arial" w:hAnsi="Arial"/>
          <w:sz w:val="18"/>
          <w:szCs w:val="18"/>
          <w:color w:val="auto"/>
        </w:rPr>
        <w:t>We are the largest manufacturer of fully automatic transmissions for the on-highway medium- and heavy-duty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commercial vehicle market in North America. The following is a summary of our on-highway net sales by vehicle class in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1649095</wp:posOffset>
            </wp:positionH>
            <wp:positionV relativeFrom="paragraph">
              <wp:posOffset>100330</wp:posOffset>
            </wp:positionV>
            <wp:extent cx="4135755" cy="29025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35755" cy="2902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20" w:firstLine="494"/>
        <w:spacing w:after="0" w:line="239" w:lineRule="auto"/>
        <w:rPr>
          <w:sz w:val="20"/>
          <w:szCs w:val="20"/>
          <w:color w:val="auto"/>
        </w:rPr>
      </w:pPr>
      <w:r>
        <w:rPr>
          <w:rFonts w:ascii="Arial" w:cs="Arial" w:eastAsia="Arial" w:hAnsi="Arial"/>
          <w:sz w:val="18"/>
          <w:szCs w:val="18"/>
          <w:color w:val="auto"/>
        </w:rPr>
        <w:t>Our core North American on-highway market includes Class 4-5, Class 6-7 and Class 8 straight trucks and regional haul tractors, conventional transit, shuttle and coach buses, school buses and motorhomes. Class 8 trucks are subdivided into two markets: straight and tractor. Class 8 straight trucks are those with a unified body (e.g., refuse, construction, and dump trucks), while tractors have a vehicle chassis that is separable from the trailer they pull. Class 8 tractor is further divided into two subcategories: regional haul and line-haul. Regional haul tractors are typically used for local or regional hauling, whereas line-haul tractors are typically used in extended duration long distance hauling. We have been supplying transmissions for Class 8 straight trucks for decades, and it is a core end market for us. We have limited exposure to the Class 8 line-haul tractor market because lower priced manual transmissions and AMTs generally meet the needs of these vehicles which are primarily used in long distance hauling.</w:t>
      </w:r>
    </w:p>
    <w:p>
      <w:pPr>
        <w:spacing w:after="0" w:line="131" w:lineRule="exact"/>
        <w:rPr>
          <w:sz w:val="20"/>
          <w:szCs w:val="20"/>
          <w:color w:val="auto"/>
        </w:rPr>
      </w:pPr>
    </w:p>
    <w:p>
      <w:pPr>
        <w:ind w:right="40" w:firstLine="494"/>
        <w:spacing w:after="0" w:line="246" w:lineRule="auto"/>
        <w:rPr>
          <w:sz w:val="20"/>
          <w:szCs w:val="20"/>
          <w:color w:val="auto"/>
        </w:rPr>
      </w:pPr>
      <w:r>
        <w:rPr>
          <w:rFonts w:ascii="Arial" w:cs="Arial" w:eastAsia="Arial" w:hAnsi="Arial"/>
          <w:sz w:val="18"/>
          <w:szCs w:val="18"/>
          <w:color w:val="auto"/>
        </w:rPr>
        <w:t>We also provide electric hybrid and fully electric propulsion solutions within the North American on-highway market. The interest in conserving fuel and reducing greenhouse gas emissions is driving demand for more fuel-efficient commercial vehicles. Our electric hybrid and fully electric propulsion customers include bus and truck applications. We compete primarily with BAE Systems plc and manufacturers of fully electric propulsion solutions such as Dana Incorporated ("Dana") and Cummins Inc. as well as certain vertically integrated OEMs.</w:t>
      </w:r>
    </w:p>
    <w:p>
      <w:pPr>
        <w:spacing w:after="0" w:line="122"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We sell substantially all of our propulsion solutions in the North American on-highway market to OEMs. These OEMs, in turn, install our propulsion solutions in vehicles in which our product is either the exclusive propulsion solution available or is specifically requested by end users. In 2023, OEM customers representing over 90% of our North American on-highway unit volume participated in long-term agreements (“LTAs”) with us. Generally, these LTAs offer the OEM customer defined levels of mutual commitment with respect to growing Allison’s presence in the OEMs’ products and promotional efforts, pricing and sharing of commodity cost risk. The length of our LTAs is typically between three and five years. We often compete in this market against (i) independent manufacturers 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manual transmissions, AMTs, electric hybrid and fully electric propulsion solutions, (ii) fully automatic transmissions manufactured by Ford Motor Company (“Ford”), ZF Friedrichshafen AG (“ZF”) and Voith GmbH (“Voith”) and (iii) vertically integrated OEMs in certain weight classes that use their own internally manufactured transmissions in certain vehicles.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 summary of our market share by vehicle class in the North America On-Highway end market.</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1840" w:type="dxa"/>
            <w:vAlign w:val="bottom"/>
            <w:tcBorders>
              <w:top w:val="single" w:sz="8" w:color="auto"/>
              <w:left w:val="single" w:sz="8" w:color="auto"/>
              <w:right w:val="single" w:sz="8" w:color="auto"/>
            </w:tcBorders>
          </w:tcPr>
          <w:p>
            <w:pPr>
              <w:spacing w:after="0"/>
              <w:rPr>
                <w:sz w:val="15"/>
                <w:szCs w:val="15"/>
                <w:color w:val="auto"/>
              </w:rPr>
            </w:pPr>
          </w:p>
        </w:tc>
        <w:tc>
          <w:tcPr>
            <w:tcW w:w="1500" w:type="dxa"/>
            <w:vAlign w:val="bottom"/>
            <w:tcBorders>
              <w:top w:val="single" w:sz="8" w:color="auto"/>
              <w:right w:val="single" w:sz="8" w:color="auto"/>
            </w:tcBorders>
          </w:tcPr>
          <w:p>
            <w:pPr>
              <w:spacing w:after="0"/>
              <w:rPr>
                <w:sz w:val="15"/>
                <w:szCs w:val="15"/>
                <w:color w:val="auto"/>
              </w:rPr>
            </w:pPr>
          </w:p>
        </w:tc>
        <w:tc>
          <w:tcPr>
            <w:tcW w:w="1600" w:type="dxa"/>
            <w:vAlign w:val="bottom"/>
            <w:tcBorders>
              <w:top w:val="single" w:sz="8" w:color="auto"/>
              <w:right w:val="single" w:sz="8" w:color="auto"/>
            </w:tcBorders>
          </w:tcPr>
          <w:p>
            <w:pPr>
              <w:spacing w:after="0"/>
              <w:rPr>
                <w:sz w:val="15"/>
                <w:szCs w:val="15"/>
                <w:color w:val="auto"/>
              </w:rPr>
            </w:pPr>
          </w:p>
        </w:tc>
        <w:tc>
          <w:tcPr>
            <w:tcW w:w="1580" w:type="dxa"/>
            <w:vAlign w:val="bottom"/>
            <w:tcBorders>
              <w:top w:val="single" w:sz="8" w:color="auto"/>
              <w:right w:val="single" w:sz="8" w:color="auto"/>
            </w:tcBorders>
          </w:tcPr>
          <w:p>
            <w:pPr>
              <w:spacing w:after="0"/>
              <w:rPr>
                <w:sz w:val="15"/>
                <w:szCs w:val="15"/>
                <w:color w:val="auto"/>
              </w:rPr>
            </w:pPr>
          </w:p>
        </w:tc>
        <w:tc>
          <w:tcPr>
            <w:tcW w:w="1580" w:type="dxa"/>
            <w:vAlign w:val="bottom"/>
            <w:tcBorders>
              <w:top w:val="single" w:sz="8" w:color="auto"/>
              <w:right w:val="single" w:sz="8" w:color="auto"/>
            </w:tcBorders>
          </w:tcPr>
          <w:p>
            <w:pPr>
              <w:spacing w:after="0"/>
              <w:rPr>
                <w:sz w:val="15"/>
                <w:szCs w:val="15"/>
                <w:color w:val="auto"/>
              </w:rPr>
            </w:pP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CLASS 8</w:t>
            </w:r>
          </w:p>
        </w:tc>
        <w:tc>
          <w:tcPr>
            <w:tcW w:w="1560" w:type="dxa"/>
            <w:vAlign w:val="bottom"/>
            <w:tcBorders>
              <w:top w:val="single" w:sz="8" w:color="auto"/>
              <w:right w:val="single" w:sz="8" w:color="auto"/>
            </w:tcBorders>
          </w:tcPr>
          <w:p>
            <w:pPr>
              <w:spacing w:after="0"/>
              <w:rPr>
                <w:sz w:val="15"/>
                <w:szCs w:val="15"/>
                <w:color w:val="auto"/>
              </w:rPr>
            </w:pPr>
          </w:p>
        </w:tc>
      </w:tr>
      <w:tr>
        <w:trPr>
          <w:trHeight w:val="162"/>
        </w:trPr>
        <w:tc>
          <w:tcPr>
            <w:tcW w:w="1840" w:type="dxa"/>
            <w:vAlign w:val="bottom"/>
            <w:tcBorders>
              <w:left w:val="single" w:sz="8" w:color="auto"/>
              <w:right w:val="single" w:sz="8" w:color="auto"/>
            </w:tcBorders>
          </w:tcPr>
          <w:p>
            <w:pPr>
              <w:spacing w:after="0"/>
              <w:rPr>
                <w:sz w:val="14"/>
                <w:szCs w:val="14"/>
                <w:color w:val="auto"/>
              </w:rPr>
            </w:pPr>
          </w:p>
        </w:tc>
        <w:tc>
          <w:tcPr>
            <w:tcW w:w="1500" w:type="dxa"/>
            <w:vAlign w:val="bottom"/>
            <w:tcBorders>
              <w:right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CLASS 4-5</w:t>
            </w:r>
          </w:p>
        </w:tc>
        <w:tc>
          <w:tcPr>
            <w:tcW w:w="160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CLASS 6-7</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STRAIGHT</w:t>
            </w:r>
          </w:p>
        </w:tc>
        <w:tc>
          <w:tcPr>
            <w:tcW w:w="1560" w:type="dxa"/>
            <w:vAlign w:val="bottom"/>
            <w:tcBorders>
              <w:right w:val="single" w:sz="8" w:color="auto"/>
            </w:tcBorders>
          </w:tcPr>
          <w:p>
            <w:pPr>
              <w:jc w:val="center"/>
              <w:ind w:left="2"/>
              <w:spacing w:after="0"/>
              <w:rPr>
                <w:sz w:val="20"/>
                <w:szCs w:val="20"/>
                <w:color w:val="auto"/>
              </w:rPr>
            </w:pPr>
            <w:r>
              <w:rPr>
                <w:rFonts w:ascii="Arial" w:cs="Arial" w:eastAsia="Arial" w:hAnsi="Arial"/>
                <w:sz w:val="14"/>
                <w:szCs w:val="14"/>
                <w:b w:val="1"/>
                <w:bCs w:val="1"/>
                <w:color w:val="auto"/>
              </w:rPr>
              <w:t>CLASS 8</w:t>
            </w:r>
          </w:p>
        </w:tc>
      </w:tr>
      <w:tr>
        <w:trPr>
          <w:trHeight w:val="206"/>
        </w:trPr>
        <w:tc>
          <w:tcPr>
            <w:tcW w:w="1840" w:type="dxa"/>
            <w:vAlign w:val="bottom"/>
            <w:tcBorders>
              <w:left w:val="single" w:sz="8" w:color="auto"/>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9"/>
              </w:rPr>
              <w:t>TRUCKS</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MOTOR HOME</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SCHOOL BUS</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TRUCKS</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TRUCKS</w:t>
            </w:r>
          </w:p>
        </w:tc>
        <w:tc>
          <w:tcPr>
            <w:tcW w:w="1560" w:type="dxa"/>
            <w:vAlign w:val="bottom"/>
            <w:tcBorders>
              <w:bottom w:val="single" w:sz="8" w:color="auto"/>
              <w:right w:val="single" w:sz="8" w:color="auto"/>
            </w:tcBorders>
          </w:tcPr>
          <w:p>
            <w:pPr>
              <w:jc w:val="center"/>
              <w:ind w:left="42"/>
              <w:spacing w:after="0"/>
              <w:rPr>
                <w:sz w:val="20"/>
                <w:szCs w:val="20"/>
                <w:color w:val="auto"/>
              </w:rPr>
            </w:pPr>
            <w:r>
              <w:rPr>
                <w:rFonts w:ascii="Arial" w:cs="Arial" w:eastAsia="Arial" w:hAnsi="Arial"/>
                <w:sz w:val="14"/>
                <w:szCs w:val="14"/>
                <w:b w:val="1"/>
                <w:bCs w:val="1"/>
                <w:color w:val="auto"/>
              </w:rPr>
              <w:t>DAY CAB</w:t>
            </w:r>
          </w:p>
        </w:tc>
      </w:tr>
      <w:tr>
        <w:trPr>
          <w:trHeight w:val="206"/>
        </w:trPr>
        <w:tc>
          <w:tcPr>
            <w:tcW w:w="1840" w:type="dxa"/>
            <w:vAlign w:val="bottom"/>
            <w:tcBorders>
              <w:top w:val="single" w:sz="8" w:color="auto"/>
              <w:left w:val="single" w:sz="8" w:color="auto"/>
              <w:bottom w:val="single" w:sz="8" w:color="auto"/>
              <w:right w:val="single" w:sz="8" w:color="auto"/>
            </w:tcBorders>
            <w:shd w:val="clear" w:color="auto" w:fill="CFF0FC"/>
          </w:tcPr>
          <w:p>
            <w:pPr>
              <w:ind w:left="40"/>
              <w:spacing w:after="0" w:line="206" w:lineRule="exact"/>
              <w:rPr>
                <w:sz w:val="20"/>
                <w:szCs w:val="20"/>
                <w:color w:val="auto"/>
              </w:rPr>
            </w:pPr>
            <w:r>
              <w:rPr>
                <w:rFonts w:ascii="Arial" w:cs="Arial" w:eastAsia="Arial" w:hAnsi="Arial"/>
                <w:sz w:val="18"/>
                <w:szCs w:val="18"/>
                <w:b w:val="1"/>
                <w:bCs w:val="1"/>
                <w:color w:val="auto"/>
              </w:rPr>
              <w:t>2023 SHARE</w:t>
            </w:r>
          </w:p>
        </w:tc>
        <w:tc>
          <w:tcPr>
            <w:tcW w:w="1500" w:type="dxa"/>
            <w:vAlign w:val="bottom"/>
            <w:tcBorders>
              <w:top w:val="single" w:sz="8" w:color="CFF0FC"/>
              <w:bottom w:val="single" w:sz="8" w:color="auto"/>
              <w:right w:val="single" w:sz="8" w:color="auto"/>
            </w:tcBorders>
            <w:shd w:val="clear" w:color="auto" w:fill="CFF0FC"/>
          </w:tcPr>
          <w:p>
            <w:pPr>
              <w:jc w:val="center"/>
              <w:ind w:right="62"/>
              <w:spacing w:after="0" w:line="206" w:lineRule="exact"/>
              <w:rPr>
                <w:sz w:val="20"/>
                <w:szCs w:val="20"/>
                <w:color w:val="auto"/>
              </w:rPr>
            </w:pPr>
            <w:r>
              <w:rPr>
                <w:rFonts w:ascii="Arial" w:cs="Arial" w:eastAsia="Arial" w:hAnsi="Arial"/>
                <w:sz w:val="18"/>
                <w:szCs w:val="18"/>
                <w:color w:val="auto"/>
                <w:w w:val="99"/>
              </w:rPr>
              <w:t>15%</w:t>
            </w:r>
          </w:p>
        </w:tc>
        <w:tc>
          <w:tcPr>
            <w:tcW w:w="1600" w:type="dxa"/>
            <w:vAlign w:val="bottom"/>
            <w:tcBorders>
              <w:top w:val="single" w:sz="8" w:color="CFF0FC"/>
              <w:bottom w:val="single" w:sz="8" w:color="auto"/>
              <w:right w:val="single" w:sz="8" w:color="auto"/>
            </w:tcBorders>
            <w:shd w:val="clear" w:color="auto" w:fill="CFF0FC"/>
          </w:tcPr>
          <w:p>
            <w:pPr>
              <w:jc w:val="right"/>
              <w:ind w:right="539"/>
              <w:spacing w:after="0" w:line="206" w:lineRule="exact"/>
              <w:rPr>
                <w:sz w:val="20"/>
                <w:szCs w:val="20"/>
                <w:color w:val="auto"/>
              </w:rPr>
            </w:pPr>
            <w:r>
              <w:rPr>
                <w:rFonts w:ascii="Arial" w:cs="Arial" w:eastAsia="Arial" w:hAnsi="Arial"/>
                <w:sz w:val="18"/>
                <w:szCs w:val="18"/>
                <w:color w:val="auto"/>
              </w:rPr>
              <w:t>33%</w:t>
            </w:r>
          </w:p>
        </w:tc>
        <w:tc>
          <w:tcPr>
            <w:tcW w:w="1580" w:type="dxa"/>
            <w:vAlign w:val="bottom"/>
            <w:tcBorders>
              <w:top w:val="single" w:sz="8" w:color="CFF0FC"/>
              <w:bottom w:val="single" w:sz="8" w:color="auto"/>
              <w:right w:val="single" w:sz="8" w:color="auto"/>
            </w:tcBorders>
            <w:shd w:val="clear" w:color="auto" w:fill="CFF0FC"/>
          </w:tcPr>
          <w:p>
            <w:pPr>
              <w:jc w:val="right"/>
              <w:ind w:right="519"/>
              <w:spacing w:after="0" w:line="206" w:lineRule="exact"/>
              <w:rPr>
                <w:sz w:val="20"/>
                <w:szCs w:val="20"/>
                <w:color w:val="auto"/>
              </w:rPr>
            </w:pPr>
            <w:r>
              <w:rPr>
                <w:rFonts w:ascii="Arial" w:cs="Arial" w:eastAsia="Arial" w:hAnsi="Arial"/>
                <w:sz w:val="18"/>
                <w:szCs w:val="18"/>
                <w:color w:val="auto"/>
              </w:rPr>
              <w:t>79%</w:t>
            </w:r>
          </w:p>
        </w:tc>
        <w:tc>
          <w:tcPr>
            <w:tcW w:w="1580" w:type="dxa"/>
            <w:vAlign w:val="bottom"/>
            <w:tcBorders>
              <w:top w:val="single" w:sz="8" w:color="CFF0FC"/>
              <w:bottom w:val="single" w:sz="8" w:color="auto"/>
              <w:right w:val="single" w:sz="8" w:color="auto"/>
            </w:tcBorders>
            <w:shd w:val="clear" w:color="auto" w:fill="CFF0FC"/>
          </w:tcPr>
          <w:p>
            <w:pPr>
              <w:jc w:val="center"/>
              <w:spacing w:after="0" w:line="206" w:lineRule="exact"/>
              <w:rPr>
                <w:sz w:val="20"/>
                <w:szCs w:val="20"/>
                <w:color w:val="auto"/>
              </w:rPr>
            </w:pPr>
            <w:r>
              <w:rPr>
                <w:rFonts w:ascii="Arial" w:cs="Arial" w:eastAsia="Arial" w:hAnsi="Arial"/>
                <w:sz w:val="18"/>
                <w:szCs w:val="18"/>
                <w:color w:val="auto"/>
                <w:w w:val="99"/>
              </w:rPr>
              <w:t>79%</w:t>
            </w:r>
          </w:p>
        </w:tc>
        <w:tc>
          <w:tcPr>
            <w:tcW w:w="1580" w:type="dxa"/>
            <w:vAlign w:val="bottom"/>
            <w:tcBorders>
              <w:top w:val="single" w:sz="8" w:color="CFF0FC"/>
              <w:bottom w:val="single" w:sz="8" w:color="auto"/>
              <w:right w:val="single" w:sz="8" w:color="auto"/>
            </w:tcBorders>
            <w:shd w:val="clear" w:color="auto" w:fill="CFF0FC"/>
          </w:tcPr>
          <w:p>
            <w:pPr>
              <w:jc w:val="center"/>
              <w:spacing w:after="0" w:line="206" w:lineRule="exact"/>
              <w:rPr>
                <w:sz w:val="20"/>
                <w:szCs w:val="20"/>
                <w:color w:val="auto"/>
              </w:rPr>
            </w:pPr>
            <w:r>
              <w:rPr>
                <w:rFonts w:ascii="Arial" w:cs="Arial" w:eastAsia="Arial" w:hAnsi="Arial"/>
                <w:sz w:val="18"/>
                <w:szCs w:val="18"/>
                <w:color w:val="auto"/>
                <w:w w:val="99"/>
              </w:rPr>
              <w:t>82%</w:t>
            </w:r>
          </w:p>
        </w:tc>
        <w:tc>
          <w:tcPr>
            <w:tcW w:w="1560" w:type="dxa"/>
            <w:vAlign w:val="bottom"/>
            <w:tcBorders>
              <w:top w:val="single" w:sz="8" w:color="CFF0FC"/>
              <w:bottom w:val="single" w:sz="8" w:color="auto"/>
              <w:right w:val="single" w:sz="8" w:color="CFF0FC"/>
            </w:tcBorders>
            <w:shd w:val="clear" w:color="auto" w:fill="CFF0FC"/>
          </w:tcPr>
          <w:p>
            <w:pPr>
              <w:jc w:val="center"/>
              <w:ind w:left="22"/>
              <w:spacing w:after="0" w:line="206" w:lineRule="exact"/>
              <w:rPr>
                <w:sz w:val="20"/>
                <w:szCs w:val="20"/>
                <w:color w:val="auto"/>
              </w:rPr>
            </w:pPr>
            <w:r>
              <w:rPr>
                <w:rFonts w:ascii="Arial" w:cs="Arial" w:eastAsia="Arial" w:hAnsi="Arial"/>
                <w:sz w:val="18"/>
                <w:szCs w:val="18"/>
                <w:color w:val="auto"/>
                <w:w w:val="99"/>
              </w:rPr>
              <w:t>5%</w:t>
            </w:r>
          </w:p>
        </w:tc>
      </w:tr>
    </w:tbl>
    <w:p>
      <w:pPr>
        <w:spacing w:after="0" w:line="143" w:lineRule="exact"/>
        <w:rPr>
          <w:sz w:val="20"/>
          <w:szCs w:val="20"/>
          <w:color w:val="auto"/>
        </w:rPr>
      </w:pPr>
    </w:p>
    <w:p>
      <w:pPr>
        <w:ind w:right="240" w:firstLine="494"/>
        <w:spacing w:after="0" w:line="243" w:lineRule="auto"/>
        <w:rPr>
          <w:sz w:val="20"/>
          <w:szCs w:val="20"/>
          <w:color w:val="auto"/>
        </w:rPr>
      </w:pPr>
      <w:r>
        <w:rPr>
          <w:rFonts w:ascii="Arial" w:cs="Arial" w:eastAsia="Arial" w:hAnsi="Arial"/>
          <w:sz w:val="18"/>
          <w:szCs w:val="18"/>
          <w:b w:val="1"/>
          <w:bCs w:val="1"/>
          <w:i w:val="1"/>
          <w:iCs w:val="1"/>
          <w:color w:val="auto"/>
        </w:rPr>
        <w:t xml:space="preserve">Off-Highway. </w:t>
      </w:r>
      <w:r>
        <w:rPr>
          <w:rFonts w:ascii="Arial" w:cs="Arial" w:eastAsia="Arial" w:hAnsi="Arial"/>
          <w:sz w:val="18"/>
          <w:szCs w:val="18"/>
          <w:color w:val="auto"/>
        </w:rPr>
        <w:t>We have provided products used in vehicles and equipment that primarily serve energy, mining and construction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in North America for over 70 years. Off-highway energy applications include hydraulic fracturing equipment, well-stimulation equipment, pumping equipment, and well-servicing rigs, which often use a fully automatic transmission in stationary pumping applications. We supply our heavy duty off-highway transmissions to producers of well-stimulation and well-servicing equipment. Competition in this end market includes Caterpillar Inc. (“Caterpillar”) and Twin Disc, Inc. (“Twin Disc”).</w:t>
      </w:r>
    </w:p>
    <w:p>
      <w:pPr>
        <w:spacing w:after="0" w:line="125"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We also provide heavy-duty transmissions used in mining trucks, specialty vehicles and construction vehicles. Off-highway mining and construction applications include trucks used to haul various commodities and other products around construction sites and mines, including underground mines. These trucks include rigid dump trucks, wide-body dump trucks and underground trucks with load capacities between 40 to 110 tons. Our major competitors in this end market include vertically integrated companies that manufacture fully automatic transmissions for their vehicles. These vertically integrated competitors include Caterpillar, Komatsu Ltd. (“Komatsu”), and Volvo Group (“Volvo”). We also compete with independent manufacturers ZF and Dana. Specialty vehicles using our heavy-duty off-highway transmissions include airport rescue and firefighting vehicles. Our major competitor in this end market is Twin Disc.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Outside North America</w:t>
      </w:r>
    </w:p>
    <w:p>
      <w:pPr>
        <w:spacing w:after="0" w:line="211"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Outside North America we serve several different markets, including: Asia-Pacific, Europe, Middle East, Africa (collectively, “EMEA”), and South America.</w:t>
      </w:r>
    </w:p>
    <w:p>
      <w:pPr>
        <w:spacing w:after="0" w:line="99" w:lineRule="exact"/>
        <w:rPr>
          <w:sz w:val="20"/>
          <w:szCs w:val="20"/>
          <w:color w:val="auto"/>
        </w:rPr>
      </w:pPr>
    </w:p>
    <w:p>
      <w:pPr>
        <w:ind w:right="140" w:firstLine="494"/>
        <w:spacing w:after="0" w:line="252" w:lineRule="auto"/>
        <w:rPr>
          <w:sz w:val="20"/>
          <w:szCs w:val="20"/>
          <w:color w:val="auto"/>
        </w:rPr>
      </w:pPr>
      <w:r>
        <w:rPr>
          <w:rFonts w:ascii="Arial" w:cs="Arial" w:eastAsia="Arial" w:hAnsi="Arial"/>
          <w:sz w:val="17"/>
          <w:szCs w:val="17"/>
          <w:b w:val="1"/>
          <w:bCs w:val="1"/>
          <w:i w:val="1"/>
          <w:iCs w:val="1"/>
          <w:color w:val="auto"/>
        </w:rPr>
        <w:t xml:space="preserve">On-Highway. </w:t>
      </w:r>
      <w:r>
        <w:rPr>
          <w:rFonts w:ascii="Arial" w:cs="Arial" w:eastAsia="Arial" w:hAnsi="Arial"/>
          <w:sz w:val="17"/>
          <w:szCs w:val="17"/>
          <w:color w:val="auto"/>
        </w:rPr>
        <w:t>We are the largest manufacturer of fully automatic transmissions for the commercial vehicle market outside of North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America. We also provide electric hybrid and fully electric propulsion solutions for the outside North America on-highway market. While the use of fully automatic transmissions in the medium- and heavy-duty commercial vehicle market has been widely accepted in North America, markets outside North America continue to be dominated by manual transmissions. Where adopted, fully automatic transmission-equipped medium- and heavy-duty commercial vehicles are concentrated in certain vocational end markets. We often compete in this market against</w:t>
      </w:r>
    </w:p>
    <w:p>
      <w:pPr>
        <w:spacing w:after="0" w:line="3" w:lineRule="exact"/>
        <w:rPr>
          <w:sz w:val="20"/>
          <w:szCs w:val="20"/>
          <w:color w:val="auto"/>
        </w:rPr>
      </w:pPr>
    </w:p>
    <w:p>
      <w:pPr>
        <w:ind w:right="60" w:firstLine="8"/>
        <w:spacing w:after="0" w:line="242" w:lineRule="auto"/>
        <w:tabs>
          <w:tab w:leader="none" w:pos="21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independent manufacturers of manual transmissions, AMTs, electric hybrid and fully electric propulsion solutions, (ii) fully automatic transmissions manufactured by ZF, Voith, and Shaanxi Fast Gear Co., Ltd. and (iii) vertically integrated OEMs. The following is a summary of our on-highway net sales by region outside of North America.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676900" cy="2842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76900" cy="2842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40" w:firstLine="894"/>
        <w:spacing w:after="0" w:line="243" w:lineRule="auto"/>
        <w:rPr>
          <w:sz w:val="20"/>
          <w:szCs w:val="20"/>
          <w:color w:val="auto"/>
        </w:rPr>
      </w:pPr>
      <w:r>
        <w:rPr>
          <w:rFonts w:ascii="Arial" w:cs="Arial" w:eastAsia="Arial" w:hAnsi="Arial"/>
          <w:sz w:val="18"/>
          <w:szCs w:val="18"/>
          <w:b w:val="1"/>
          <w:bCs w:val="1"/>
          <w:i w:val="1"/>
          <w:iCs w:val="1"/>
          <w:color w:val="auto"/>
        </w:rPr>
        <w:t xml:space="preserve">Asia-Pacific. </w:t>
      </w:r>
      <w:r>
        <w:rPr>
          <w:rFonts w:ascii="Arial" w:cs="Arial" w:eastAsia="Arial" w:hAnsi="Arial"/>
          <w:sz w:val="18"/>
          <w:szCs w:val="18"/>
          <w:color w:val="auto"/>
        </w:rPr>
        <w:t>Our key Asia-Pacific markets include Australia, China, India, Japan and South Korea; however, we actively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participate in several other important Asia-Pacific countries including Indonesia, Malaysia, Singapore, Taiwan and Thailand. In addition, OEMs in the Asia-Pacific market are increasingly exporting their products to other regions. Within Asia-Pacific, our sales efforts are principally focused on the transit bus, vocational truck, severe service and distribution markets. Currently, manual transmissions are the predominant transmissions used in commercial vehicles in the Asia-Pacific region.</w:t>
      </w:r>
    </w:p>
    <w:p>
      <w:pPr>
        <w:spacing w:after="0" w:line="125" w:lineRule="exact"/>
        <w:rPr>
          <w:sz w:val="20"/>
          <w:szCs w:val="20"/>
          <w:color w:val="auto"/>
        </w:rPr>
      </w:pPr>
    </w:p>
    <w:p>
      <w:pPr>
        <w:ind w:firstLine="894"/>
        <w:spacing w:after="0" w:line="239" w:lineRule="auto"/>
        <w:rPr>
          <w:sz w:val="20"/>
          <w:szCs w:val="20"/>
          <w:color w:val="auto"/>
        </w:rPr>
      </w:pPr>
      <w:r>
        <w:rPr>
          <w:rFonts w:ascii="Arial" w:cs="Arial" w:eastAsia="Arial" w:hAnsi="Arial"/>
          <w:sz w:val="18"/>
          <w:szCs w:val="18"/>
          <w:b w:val="1"/>
          <w:bCs w:val="1"/>
          <w:i w:val="1"/>
          <w:iCs w:val="1"/>
          <w:color w:val="auto"/>
        </w:rPr>
        <w:t xml:space="preserve">Europe, Middle East, Africa. </w:t>
      </w:r>
      <w:r>
        <w:rPr>
          <w:rFonts w:ascii="Arial" w:cs="Arial" w:eastAsia="Arial" w:hAnsi="Arial"/>
          <w:sz w:val="18"/>
          <w:szCs w:val="18"/>
          <w:color w:val="auto"/>
        </w:rPr>
        <w:t>EMEA is composed of several different markets, each of which differs from our core North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American market by the degree of market maturity, sophistication and acceptance of fully automatic transmission and electric propulsion solution technology. Within Europe, we serve Western European developed markets, as well as Eastern European emerging markets, principally in the refuse, emergency, transit bus, coach bus, distribution and utility markets. Competition in Western Europe is most notably characterized by a high level of vertical powertrain integration, with OEMs often utilizing their own manual transmissions and AMTs in their vehicles, and electric hybrid and fully electric propulsion solutions. The Middle East and Africa regions are generally characterized by very limited local vehicle production, with imports from China, Europe, India, South America, Turkey and the U.S. accounting for the majority of vehicles.</w:t>
      </w:r>
    </w:p>
    <w:p>
      <w:pPr>
        <w:spacing w:after="0" w:line="131" w:lineRule="exact"/>
        <w:rPr>
          <w:sz w:val="20"/>
          <w:szCs w:val="20"/>
          <w:color w:val="auto"/>
        </w:rPr>
      </w:pPr>
    </w:p>
    <w:p>
      <w:pPr>
        <w:ind w:right="40" w:firstLine="894"/>
        <w:spacing w:after="0" w:line="252" w:lineRule="auto"/>
        <w:rPr>
          <w:sz w:val="20"/>
          <w:szCs w:val="20"/>
          <w:color w:val="auto"/>
        </w:rPr>
      </w:pPr>
      <w:r>
        <w:rPr>
          <w:rFonts w:ascii="Arial" w:cs="Arial" w:eastAsia="Arial" w:hAnsi="Arial"/>
          <w:sz w:val="18"/>
          <w:szCs w:val="18"/>
          <w:b w:val="1"/>
          <w:bCs w:val="1"/>
          <w:i w:val="1"/>
          <w:iCs w:val="1"/>
          <w:color w:val="auto"/>
        </w:rPr>
        <w:t xml:space="preserve">South America. </w:t>
      </w:r>
      <w:r>
        <w:rPr>
          <w:rFonts w:ascii="Arial" w:cs="Arial" w:eastAsia="Arial" w:hAnsi="Arial"/>
          <w:sz w:val="18"/>
          <w:szCs w:val="18"/>
          <w:color w:val="auto"/>
        </w:rPr>
        <w:t>The South American region is characterized by a high level of OEM vertical integration, with captive manual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transmission and AMT manufacturing. Currently, manual transmissions are the predominant transmissions used in commercial vehicles in South America. We serve the South American region primarily in the bus, refuse, vocational truck and agricultural markets.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Off-Highway. </w:t>
      </w:r>
      <w:r>
        <w:rPr>
          <w:rFonts w:ascii="Arial" w:cs="Arial" w:eastAsia="Arial" w:hAnsi="Arial"/>
          <w:sz w:val="18"/>
          <w:szCs w:val="18"/>
          <w:color w:val="auto"/>
        </w:rPr>
        <w:t>The following is a summary of our off-highway net sales by region outside of North America.</w:t>
      </w:r>
    </w:p>
    <w:p>
      <w:pPr>
        <w:spacing w:after="0" w:line="200" w:lineRule="exact"/>
        <w:rPr>
          <w:sz w:val="20"/>
          <w:szCs w:val="20"/>
          <w:color w:val="auto"/>
        </w:rPr>
      </w:pPr>
    </w:p>
    <w:p>
      <w:pPr>
        <w:spacing w:after="0" w:line="2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768" w:right="5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522595" cy="2722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22595" cy="2722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80" w:firstLine="894"/>
        <w:spacing w:after="0" w:line="274" w:lineRule="auto"/>
        <w:rPr>
          <w:sz w:val="20"/>
          <w:szCs w:val="20"/>
          <w:color w:val="auto"/>
        </w:rPr>
      </w:pPr>
      <w:r>
        <w:rPr>
          <w:rFonts w:ascii="Arial" w:cs="Arial" w:eastAsia="Arial" w:hAnsi="Arial"/>
          <w:sz w:val="17"/>
          <w:szCs w:val="17"/>
          <w:b w:val="1"/>
          <w:bCs w:val="1"/>
          <w:i w:val="1"/>
          <w:iCs w:val="1"/>
          <w:color w:val="auto"/>
        </w:rPr>
        <w:t xml:space="preserve">Asia-Pacific. </w:t>
      </w:r>
      <w:r>
        <w:rPr>
          <w:rFonts w:ascii="Arial" w:cs="Arial" w:eastAsia="Arial" w:hAnsi="Arial"/>
          <w:sz w:val="17"/>
          <w:szCs w:val="17"/>
          <w:color w:val="auto"/>
        </w:rPr>
        <w:t>Off-highway markets in Asia are shared by energy, mining and construction applications. Our primary competitors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Caterpillar, Danyang Winstar Auto Parts Co., Ltd., Twin Disc and manufacturers of electrified solutions in energy applications; Caterpillar, Xi’an FC Intelligence Transmission Co. Ltd. and Komatsu in mining applications; and Caterpillar, Volvo and ZF in construction applications.</w:t>
      </w:r>
    </w:p>
    <w:p>
      <w:pPr>
        <w:spacing w:after="0" w:line="99" w:lineRule="exact"/>
        <w:rPr>
          <w:sz w:val="20"/>
          <w:szCs w:val="20"/>
          <w:color w:val="auto"/>
        </w:rPr>
      </w:pPr>
    </w:p>
    <w:p>
      <w:pPr>
        <w:ind w:firstLine="894"/>
        <w:spacing w:after="0" w:line="246" w:lineRule="auto"/>
        <w:rPr>
          <w:sz w:val="20"/>
          <w:szCs w:val="20"/>
          <w:color w:val="auto"/>
        </w:rPr>
      </w:pPr>
      <w:r>
        <w:rPr>
          <w:rFonts w:ascii="Arial" w:cs="Arial" w:eastAsia="Arial" w:hAnsi="Arial"/>
          <w:sz w:val="18"/>
          <w:szCs w:val="18"/>
          <w:b w:val="1"/>
          <w:bCs w:val="1"/>
          <w:i w:val="1"/>
          <w:iCs w:val="1"/>
          <w:color w:val="auto"/>
        </w:rPr>
        <w:t xml:space="preserve">Europe, Middle East, Africa. </w:t>
      </w:r>
      <w:r>
        <w:rPr>
          <w:rFonts w:ascii="Arial" w:cs="Arial" w:eastAsia="Arial" w:hAnsi="Arial"/>
          <w:sz w:val="18"/>
          <w:szCs w:val="18"/>
          <w:color w:val="auto"/>
        </w:rPr>
        <w:t>Our off-highway markets in EMEA are mining and construction. Our major off-highway competitors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Caterpillar and Komatsu, both of which are vertically integrated manufacturers of off-highway mining vehicles, including the specific fully automatic transmission used in their mining trucks. A typical construction application is a rigid or articulated dump truck, with competition from Caterpillar, Dana, Volvo and ZF.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Defense</w:t>
      </w:r>
    </w:p>
    <w:p>
      <w:pPr>
        <w:spacing w:after="0" w:line="157" w:lineRule="exact"/>
        <w:rPr>
          <w:sz w:val="20"/>
          <w:szCs w:val="20"/>
          <w:color w:val="auto"/>
        </w:rPr>
      </w:pPr>
    </w:p>
    <w:p>
      <w:pPr>
        <w:ind w:right="140" w:firstLine="494"/>
        <w:spacing w:after="0" w:line="243" w:lineRule="auto"/>
        <w:rPr>
          <w:sz w:val="20"/>
          <w:szCs w:val="20"/>
          <w:color w:val="auto"/>
        </w:rPr>
      </w:pPr>
      <w:r>
        <w:rPr>
          <w:rFonts w:ascii="Arial" w:cs="Arial" w:eastAsia="Arial" w:hAnsi="Arial"/>
          <w:sz w:val="18"/>
          <w:szCs w:val="18"/>
          <w:color w:val="auto"/>
        </w:rPr>
        <w:t>We have had a long-standing relationship with the U.S. Department of Defense (the “DOD”) since the 1940s, when we began developing our first-generation tank transmission. Today, we sell substantially all of the propulsion solutions for medium- and heavy-tactical wheeled vehicles used by the U.S. military, including the Joint Light Tactical Vehicle, Light Armored Vehicle, Stryker Armored Vehicle, the Family of Medium Tactical Vehicles, Heavy Expanded Mobility Tactical Trucks, Palletized Loading Systems, Heavy Dump Trucks and Heavy Equipment Transporters. Propulsion solutions for tactical wheeled vehicles are typically sold to OEMs.</w:t>
      </w:r>
    </w:p>
    <w:p>
      <w:pPr>
        <w:spacing w:after="0" w:line="125" w:lineRule="exact"/>
        <w:rPr>
          <w:sz w:val="20"/>
          <w:szCs w:val="20"/>
          <w:color w:val="auto"/>
        </w:rPr>
      </w:pPr>
    </w:p>
    <w:p>
      <w:pPr>
        <w:ind w:right="240" w:firstLine="494"/>
        <w:spacing w:after="0" w:line="246" w:lineRule="auto"/>
        <w:rPr>
          <w:sz w:val="20"/>
          <w:szCs w:val="20"/>
          <w:color w:val="auto"/>
        </w:rPr>
      </w:pPr>
      <w:r>
        <w:rPr>
          <w:rFonts w:ascii="Arial" w:cs="Arial" w:eastAsia="Arial" w:hAnsi="Arial"/>
          <w:sz w:val="18"/>
          <w:szCs w:val="18"/>
          <w:color w:val="auto"/>
        </w:rPr>
        <w:t>We supply tracked vehicle propulsion solutions to the U.S. Army, including the Abrams M1A2 Main Battle Tank, Joint Assault Bridge, Assault Breacher Vehicles, M10 Booker and the M113A3 Armored Personnel Carrier family of vehicles. We also sell parts kits to the U.S. Army for Abrams Tank sustainment. See Part I, Item 1A., “Risk Factors” of this Annual Report on Form 10-K for a discussion of risks associated with our contracts with the DOD.</w:t>
      </w:r>
    </w:p>
    <w:p>
      <w:pPr>
        <w:spacing w:after="0" w:line="122" w:lineRule="exact"/>
        <w:rPr>
          <w:sz w:val="20"/>
          <w:szCs w:val="20"/>
          <w:color w:val="auto"/>
        </w:rPr>
      </w:pPr>
    </w:p>
    <w:p>
      <w:pPr>
        <w:ind w:right="720" w:firstLine="494"/>
        <w:spacing w:after="0" w:line="246" w:lineRule="auto"/>
        <w:rPr>
          <w:sz w:val="20"/>
          <w:szCs w:val="20"/>
          <w:color w:val="auto"/>
        </w:rPr>
      </w:pPr>
      <w:r>
        <w:rPr>
          <w:rFonts w:ascii="Arial" w:cs="Arial" w:eastAsia="Arial" w:hAnsi="Arial"/>
          <w:sz w:val="18"/>
          <w:szCs w:val="18"/>
          <w:color w:val="auto"/>
        </w:rPr>
        <w:t>We have defense products in approximately 110 countries around the world. Increasingly, we are supplying vehicle propulsion solutions for international tracked vehicles, such as light tracked personnel carriers, armored fighting vehicles, heavy tracked artillery systems, and Main Battle Tanks. Our defense products are manufactured at our headquarters in Indianapolis and by our licensees internationally for export world-wide.</w:t>
      </w:r>
    </w:p>
    <w:p>
      <w:pPr>
        <w:spacing w:after="0" w:line="122" w:lineRule="exact"/>
        <w:rPr>
          <w:sz w:val="20"/>
          <w:szCs w:val="20"/>
          <w:color w:val="auto"/>
        </w:rPr>
      </w:pPr>
    </w:p>
    <w:p>
      <w:pPr>
        <w:ind w:right="80" w:firstLine="494"/>
        <w:spacing w:after="0" w:line="252" w:lineRule="auto"/>
        <w:rPr>
          <w:sz w:val="20"/>
          <w:szCs w:val="20"/>
          <w:color w:val="auto"/>
        </w:rPr>
      </w:pPr>
      <w:r>
        <w:rPr>
          <w:rFonts w:ascii="Arial" w:cs="Arial" w:eastAsia="Arial" w:hAnsi="Arial"/>
          <w:sz w:val="18"/>
          <w:szCs w:val="18"/>
          <w:color w:val="auto"/>
        </w:rPr>
        <w:t>Globally, we face competition primarily from Renk AG/Renk America, SAPA S.p.A, ST Kinetics and QinetiQ Group plc for the supply of tracked vehicle propulsion solutions. Additionally, we face competition from ZF in certain defense wheeled vehicles using automatic transmissions and from several AMT suppliers.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Parts, Support Equipment and Other</w:t>
      </w:r>
    </w:p>
    <w:p>
      <w:pPr>
        <w:spacing w:after="0" w:line="157" w:lineRule="exact"/>
        <w:rPr>
          <w:sz w:val="20"/>
          <w:szCs w:val="20"/>
          <w:color w:val="auto"/>
        </w:rPr>
      </w:pPr>
    </w:p>
    <w:p>
      <w:pPr>
        <w:ind w:right="40" w:firstLine="494"/>
        <w:spacing w:after="0" w:line="243" w:lineRule="auto"/>
        <w:rPr>
          <w:sz w:val="20"/>
          <w:szCs w:val="20"/>
          <w:color w:val="auto"/>
        </w:rPr>
      </w:pPr>
      <w:r>
        <w:rPr>
          <w:rFonts w:ascii="Arial" w:cs="Arial" w:eastAsia="Arial" w:hAnsi="Arial"/>
          <w:sz w:val="18"/>
          <w:szCs w:val="18"/>
          <w:color w:val="auto"/>
        </w:rPr>
        <w:t>Our service parts, support equipment and other end market is comprised of: Allison-branded service parts and transmission fluids, aluminum die cast components, extended transmission coverage, remanufactured transmissions, royalties, saleable engineering and support equipment. The aftermarket provides us with a relatively stable source of revenues as the installed base of vehicles and equipment utilizing our solutions continues to grow. The need for replacement parts is driven by normal vehicle and equipment maintenance requirements. Uninterrupted operation is generally critical for end users’ profitability.</w:t>
      </w:r>
    </w:p>
    <w:p>
      <w:pPr>
        <w:spacing w:after="0" w:line="125" w:lineRule="exact"/>
        <w:rPr>
          <w:sz w:val="20"/>
          <w:szCs w:val="20"/>
          <w:color w:val="auto"/>
        </w:rPr>
      </w:pPr>
    </w:p>
    <w:p>
      <w:pPr>
        <w:ind w:right="40" w:firstLine="494"/>
        <w:spacing w:after="0" w:line="239" w:lineRule="auto"/>
        <w:rPr>
          <w:sz w:val="20"/>
          <w:szCs w:val="20"/>
          <w:color w:val="auto"/>
        </w:rPr>
      </w:pPr>
      <w:r>
        <w:rPr>
          <w:rFonts w:ascii="Arial" w:cs="Arial" w:eastAsia="Arial" w:hAnsi="Arial"/>
          <w:sz w:val="18"/>
          <w:szCs w:val="18"/>
          <w:color w:val="auto"/>
        </w:rPr>
        <w:t>The sale of Allison-branded parts and fluids, remanufactured transmissions and support equipment is fundamental to our brand promise. We have assembled a worldwide network of approximately 1,600 independent distributor and dealer locations to sell, service and support our solutions. As part of our brand strategy, our distributors and dealers are required to sell genuine Allison-branded parts. Within the aftermarket, we offer remanufactured propulsion solutions as a cost-effective alternative for repairs and replacements. We also provide support equipment to our OEMs to assist in installing new Allison solutions into vehicles, and, therefore, sales of support equipment are dependent upon sales of new solutions. The competition for service parts and ReTran remanufactured transmissions comes from a variety of smaller-scale companies sourcing non-genuine “will-fit” parts from unauthorized manufacturers. These “will-fit” parts often do not meet our product specifications, and therefore may be of lesser quality than genuine Allison parts.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Product Offerings</w:t>
      </w:r>
    </w:p>
    <w:p>
      <w:pPr>
        <w:spacing w:after="0" w:line="155" w:lineRule="exact"/>
        <w:rPr>
          <w:sz w:val="20"/>
          <w:szCs w:val="20"/>
          <w:color w:val="auto"/>
        </w:rPr>
      </w:pPr>
    </w:p>
    <w:p>
      <w:pPr>
        <w:ind w:right="600" w:firstLine="494"/>
        <w:spacing w:after="0" w:line="271" w:lineRule="auto"/>
        <w:rPr>
          <w:sz w:val="20"/>
          <w:szCs w:val="20"/>
          <w:color w:val="auto"/>
        </w:rPr>
      </w:pPr>
      <w:r>
        <w:rPr>
          <w:rFonts w:ascii="Arial" w:cs="Arial" w:eastAsia="Arial" w:hAnsi="Arial"/>
          <w:sz w:val="18"/>
          <w:szCs w:val="18"/>
          <w:color w:val="auto"/>
        </w:rPr>
        <w:t>Allison transmissions and electric propulsion solutions are sold under the Allison Transmission brand name and remanufactured transmissions are sold under the ReTran brand name. The following is a summary of our product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5020" cy="35274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5020" cy="3527425"/>
                    </a:xfrm>
                    <a:prstGeom prst="rect">
                      <a:avLst/>
                    </a:prstGeom>
                    <a:noFill/>
                  </pic:spPr>
                </pic:pic>
              </a:graphicData>
            </a:graphic>
          </wp:anchor>
        </w:drawing>
      </w:r>
    </w:p>
    <w:p>
      <w:pPr>
        <w:spacing w:after="0" w:line="98"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On-Highway Products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0" w:type="dxa"/>
            <w:vAlign w:val="bottom"/>
          </w:tcPr>
          <w:p>
            <w:pPr>
              <w:spacing w:after="0"/>
              <w:rPr>
                <w:sz w:val="18"/>
                <w:szCs w:val="18"/>
                <w:color w:val="auto"/>
              </w:rPr>
            </w:pP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Product</w:t>
            </w:r>
          </w:p>
        </w:tc>
        <w:tc>
          <w:tcPr>
            <w:tcW w:w="280" w:type="dxa"/>
            <w:vAlign w:val="bottom"/>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Applications</w:t>
            </w:r>
          </w:p>
        </w:tc>
        <w:tc>
          <w:tcPr>
            <w:tcW w:w="260" w:type="dxa"/>
            <w:vAlign w:val="bottom"/>
          </w:tcPr>
          <w:p>
            <w:pPr>
              <w:spacing w:after="0"/>
              <w:rPr>
                <w:sz w:val="18"/>
                <w:szCs w:val="18"/>
                <w:color w:val="auto"/>
              </w:rPr>
            </w:pPr>
          </w:p>
        </w:tc>
      </w:tr>
      <w:tr>
        <w:trPr>
          <w:trHeight w:val="190"/>
        </w:trPr>
        <w:tc>
          <w:tcPr>
            <w:tcW w:w="280" w:type="dxa"/>
            <w:vAlign w:val="bottom"/>
          </w:tcPr>
          <w:p>
            <w:pPr>
              <w:spacing w:after="0"/>
              <w:rPr>
                <w:sz w:val="16"/>
                <w:szCs w:val="16"/>
                <w:color w:val="auto"/>
              </w:rPr>
            </w:pPr>
          </w:p>
        </w:tc>
        <w:tc>
          <w:tcPr>
            <w:tcW w:w="4000" w:type="dxa"/>
            <w:vAlign w:val="bottom"/>
            <w:shd w:val="clear" w:color="auto" w:fill="CFF0FC"/>
          </w:tcPr>
          <w:p>
            <w:pPr>
              <w:jc w:val="center"/>
              <w:spacing w:after="0" w:line="190" w:lineRule="exact"/>
              <w:rPr>
                <w:sz w:val="20"/>
                <w:szCs w:val="20"/>
                <w:color w:val="auto"/>
              </w:rPr>
            </w:pPr>
            <w:r>
              <w:rPr>
                <w:rFonts w:ascii="Arial" w:cs="Arial" w:eastAsia="Arial" w:hAnsi="Arial"/>
                <w:sz w:val="18"/>
                <w:szCs w:val="18"/>
                <w:color w:val="auto"/>
                <w:w w:val="99"/>
              </w:rPr>
              <w:t>1000 Series</w:t>
            </w:r>
          </w:p>
        </w:tc>
        <w:tc>
          <w:tcPr>
            <w:tcW w:w="280" w:type="dxa"/>
            <w:vAlign w:val="bottom"/>
            <w:shd w:val="clear" w:color="auto" w:fill="CFF0FC"/>
          </w:tcPr>
          <w:p>
            <w:pPr>
              <w:spacing w:after="0"/>
              <w:rPr>
                <w:sz w:val="16"/>
                <w:szCs w:val="16"/>
                <w:color w:val="auto"/>
              </w:rPr>
            </w:pPr>
          </w:p>
        </w:tc>
        <w:tc>
          <w:tcPr>
            <w:tcW w:w="2460" w:type="dxa"/>
            <w:vAlign w:val="bottom"/>
            <w:shd w:val="clear" w:color="auto" w:fill="CFF0FC"/>
          </w:tcPr>
          <w:p>
            <w:pPr>
              <w:spacing w:after="0" w:line="190" w:lineRule="exact"/>
              <w:rPr>
                <w:sz w:val="20"/>
                <w:szCs w:val="20"/>
                <w:color w:val="auto"/>
              </w:rPr>
            </w:pPr>
            <w:r>
              <w:rPr>
                <w:rFonts w:ascii="Arial" w:cs="Arial" w:eastAsia="Arial" w:hAnsi="Arial"/>
                <w:sz w:val="18"/>
                <w:szCs w:val="18"/>
                <w:color w:val="auto"/>
              </w:rPr>
              <w:t>• Distribution</w:t>
            </w:r>
          </w:p>
        </w:tc>
        <w:tc>
          <w:tcPr>
            <w:tcW w:w="3960" w:type="dxa"/>
            <w:vAlign w:val="bottom"/>
            <w:shd w:val="clear" w:color="auto" w:fill="CFF0FC"/>
          </w:tcPr>
          <w:p>
            <w:pPr>
              <w:ind w:left="760"/>
              <w:spacing w:after="0" w:line="190" w:lineRule="exact"/>
              <w:rPr>
                <w:sz w:val="20"/>
                <w:szCs w:val="20"/>
                <w:color w:val="auto"/>
              </w:rPr>
            </w:pPr>
            <w:r>
              <w:rPr>
                <w:rFonts w:ascii="Arial" w:cs="Arial" w:eastAsia="Arial" w:hAnsi="Arial"/>
                <w:sz w:val="18"/>
                <w:szCs w:val="18"/>
                <w:color w:val="auto"/>
              </w:rPr>
              <w:t>• Services</w:t>
            </w:r>
          </w:p>
        </w:tc>
        <w:tc>
          <w:tcPr>
            <w:tcW w:w="260" w:type="dxa"/>
            <w:vAlign w:val="bottom"/>
            <w:tcBorders>
              <w:right w:val="single" w:sz="8" w:color="auto"/>
            </w:tcBorders>
          </w:tcPr>
          <w:p>
            <w:pPr>
              <w:spacing w:after="0"/>
              <w:rPr>
                <w:sz w:val="16"/>
                <w:szCs w:val="16"/>
                <w:color w:val="auto"/>
              </w:rPr>
            </w:pPr>
          </w:p>
        </w:tc>
      </w:tr>
      <w:tr>
        <w:trPr>
          <w:trHeight w:val="202"/>
        </w:trPr>
        <w:tc>
          <w:tcPr>
            <w:tcW w:w="280" w:type="dxa"/>
            <w:vAlign w:val="bottom"/>
          </w:tcPr>
          <w:p>
            <w:pPr>
              <w:spacing w:after="0"/>
              <w:rPr>
                <w:sz w:val="17"/>
                <w:szCs w:val="17"/>
                <w:color w:val="auto"/>
              </w:rPr>
            </w:pPr>
          </w:p>
        </w:tc>
        <w:tc>
          <w:tcPr>
            <w:tcW w:w="4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 Motorhome</w:t>
            </w:r>
          </w:p>
        </w:tc>
        <w:tc>
          <w:tcPr>
            <w:tcW w:w="3960" w:type="dxa"/>
            <w:vAlign w:val="bottom"/>
            <w:shd w:val="clear" w:color="auto" w:fill="CFF0FC"/>
          </w:tcPr>
          <w:p>
            <w:pPr>
              <w:ind w:left="760"/>
              <w:spacing w:after="0" w:line="202" w:lineRule="exact"/>
              <w:rPr>
                <w:sz w:val="20"/>
                <w:szCs w:val="20"/>
                <w:color w:val="auto"/>
              </w:rPr>
            </w:pPr>
            <w:r>
              <w:rPr>
                <w:rFonts w:ascii="Arial" w:cs="Arial" w:eastAsia="Arial" w:hAnsi="Arial"/>
                <w:sz w:val="18"/>
                <w:szCs w:val="18"/>
                <w:color w:val="auto"/>
              </w:rPr>
              <w:t>• Specialty</w:t>
            </w:r>
          </w:p>
        </w:tc>
        <w:tc>
          <w:tcPr>
            <w:tcW w:w="260" w:type="dxa"/>
            <w:vAlign w:val="bottom"/>
            <w:tcBorders>
              <w:right w:val="single" w:sz="8" w:color="auto"/>
            </w:tcBorders>
          </w:tcPr>
          <w:p>
            <w:pPr>
              <w:spacing w:after="0"/>
              <w:rPr>
                <w:sz w:val="17"/>
                <w:szCs w:val="17"/>
                <w:color w:val="auto"/>
              </w:rPr>
            </w:pPr>
          </w:p>
        </w:tc>
      </w:tr>
      <w:tr>
        <w:trPr>
          <w:trHeight w:val="202"/>
        </w:trPr>
        <w:tc>
          <w:tcPr>
            <w:tcW w:w="280" w:type="dxa"/>
            <w:vAlign w:val="bottom"/>
          </w:tcPr>
          <w:p>
            <w:pPr>
              <w:spacing w:after="0"/>
              <w:rPr>
                <w:sz w:val="17"/>
                <w:szCs w:val="17"/>
                <w:color w:val="auto"/>
              </w:rPr>
            </w:pPr>
          </w:p>
        </w:tc>
        <w:tc>
          <w:tcPr>
            <w:tcW w:w="4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 Refuse</w:t>
            </w:r>
          </w:p>
        </w:tc>
        <w:tc>
          <w:tcPr>
            <w:tcW w:w="3960" w:type="dxa"/>
            <w:vAlign w:val="bottom"/>
            <w:shd w:val="clear" w:color="auto" w:fill="CFF0FC"/>
          </w:tcPr>
          <w:p>
            <w:pPr>
              <w:ind w:left="760"/>
              <w:spacing w:after="0" w:line="202" w:lineRule="exact"/>
              <w:rPr>
                <w:sz w:val="20"/>
                <w:szCs w:val="20"/>
                <w:color w:val="auto"/>
              </w:rPr>
            </w:pPr>
            <w:r>
              <w:rPr>
                <w:rFonts w:ascii="Arial" w:cs="Arial" w:eastAsia="Arial" w:hAnsi="Arial"/>
                <w:sz w:val="18"/>
                <w:szCs w:val="18"/>
                <w:color w:val="auto"/>
              </w:rPr>
              <w:t>• Wheeled Defense</w:t>
            </w:r>
          </w:p>
        </w:tc>
        <w:tc>
          <w:tcPr>
            <w:tcW w:w="260" w:type="dxa"/>
            <w:vAlign w:val="bottom"/>
            <w:tcBorders>
              <w:right w:val="single" w:sz="8" w:color="auto"/>
            </w:tcBorders>
          </w:tcPr>
          <w:p>
            <w:pPr>
              <w:spacing w:after="0"/>
              <w:rPr>
                <w:sz w:val="17"/>
                <w:szCs w:val="17"/>
                <w:color w:val="auto"/>
              </w:rPr>
            </w:pPr>
          </w:p>
        </w:tc>
      </w:tr>
      <w:tr>
        <w:trPr>
          <w:trHeight w:val="235"/>
        </w:trPr>
        <w:tc>
          <w:tcPr>
            <w:tcW w:w="280" w:type="dxa"/>
            <w:vAlign w:val="bottom"/>
          </w:tcPr>
          <w:p>
            <w:pPr>
              <w:spacing w:after="0"/>
              <w:rPr>
                <w:sz w:val="20"/>
                <w:szCs w:val="20"/>
                <w:color w:val="auto"/>
              </w:rPr>
            </w:pPr>
          </w:p>
        </w:tc>
        <w:tc>
          <w:tcPr>
            <w:tcW w:w="4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 School and Shuttle Bus</w:t>
            </w:r>
          </w:p>
        </w:tc>
        <w:tc>
          <w:tcPr>
            <w:tcW w:w="3960" w:type="dxa"/>
            <w:vAlign w:val="bottom"/>
            <w:shd w:val="clear" w:color="auto" w:fill="CFF0FC"/>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r>
      <w:tr>
        <w:trPr>
          <w:trHeight w:val="197"/>
        </w:trPr>
        <w:tc>
          <w:tcPr>
            <w:tcW w:w="280" w:type="dxa"/>
            <w:vAlign w:val="bottom"/>
          </w:tcPr>
          <w:p>
            <w:pPr>
              <w:spacing w:after="0"/>
              <w:rPr>
                <w:sz w:val="17"/>
                <w:szCs w:val="17"/>
                <w:color w:val="auto"/>
              </w:rPr>
            </w:pPr>
          </w:p>
        </w:tc>
        <w:tc>
          <w:tcPr>
            <w:tcW w:w="4000" w:type="dxa"/>
            <w:vAlign w:val="bottom"/>
          </w:tcPr>
          <w:p>
            <w:pPr>
              <w:jc w:val="center"/>
              <w:spacing w:after="0" w:line="197" w:lineRule="exact"/>
              <w:rPr>
                <w:sz w:val="20"/>
                <w:szCs w:val="20"/>
                <w:color w:val="auto"/>
              </w:rPr>
            </w:pPr>
            <w:r>
              <w:rPr>
                <w:rFonts w:ascii="Arial" w:cs="Arial" w:eastAsia="Arial" w:hAnsi="Arial"/>
                <w:sz w:val="18"/>
                <w:szCs w:val="18"/>
                <w:color w:val="auto"/>
                <w:w w:val="99"/>
              </w:rPr>
              <w:t>2000 Series</w:t>
            </w:r>
          </w:p>
        </w:tc>
        <w:tc>
          <w:tcPr>
            <w:tcW w:w="280" w:type="dxa"/>
            <w:vAlign w:val="bottom"/>
          </w:tcPr>
          <w:p>
            <w:pPr>
              <w:spacing w:after="0"/>
              <w:rPr>
                <w:sz w:val="17"/>
                <w:szCs w:val="17"/>
                <w:color w:val="auto"/>
              </w:rPr>
            </w:pPr>
          </w:p>
        </w:tc>
        <w:tc>
          <w:tcPr>
            <w:tcW w:w="2460" w:type="dxa"/>
            <w:vAlign w:val="bottom"/>
          </w:tcPr>
          <w:p>
            <w:pPr>
              <w:spacing w:after="0" w:line="197" w:lineRule="exact"/>
              <w:rPr>
                <w:sz w:val="20"/>
                <w:szCs w:val="20"/>
                <w:color w:val="auto"/>
              </w:rPr>
            </w:pPr>
            <w:r>
              <w:rPr>
                <w:rFonts w:ascii="Arial" w:cs="Arial" w:eastAsia="Arial" w:hAnsi="Arial"/>
                <w:sz w:val="18"/>
                <w:szCs w:val="18"/>
                <w:color w:val="auto"/>
              </w:rPr>
              <w:t>• Distribution</w:t>
            </w:r>
          </w:p>
        </w:tc>
        <w:tc>
          <w:tcPr>
            <w:tcW w:w="3960" w:type="dxa"/>
            <w:vAlign w:val="bottom"/>
          </w:tcPr>
          <w:p>
            <w:pPr>
              <w:ind w:left="760"/>
              <w:spacing w:after="0" w:line="197" w:lineRule="exact"/>
              <w:rPr>
                <w:sz w:val="20"/>
                <w:szCs w:val="20"/>
                <w:color w:val="auto"/>
              </w:rPr>
            </w:pPr>
            <w:r>
              <w:rPr>
                <w:rFonts w:ascii="Arial" w:cs="Arial" w:eastAsia="Arial" w:hAnsi="Arial"/>
                <w:sz w:val="18"/>
                <w:szCs w:val="18"/>
                <w:color w:val="auto"/>
              </w:rPr>
              <w:t>• Services</w:t>
            </w:r>
          </w:p>
        </w:tc>
        <w:tc>
          <w:tcPr>
            <w:tcW w:w="260" w:type="dxa"/>
            <w:vAlign w:val="bottom"/>
            <w:tcBorders>
              <w:right w:val="single" w:sz="8" w:color="auto"/>
            </w:tcBorders>
          </w:tcPr>
          <w:p>
            <w:pPr>
              <w:spacing w:after="0"/>
              <w:rPr>
                <w:sz w:val="17"/>
                <w:szCs w:val="17"/>
                <w:color w:val="auto"/>
              </w:rPr>
            </w:pPr>
          </w:p>
        </w:tc>
      </w:tr>
      <w:tr>
        <w:trPr>
          <w:trHeight w:val="202"/>
        </w:trPr>
        <w:tc>
          <w:tcPr>
            <w:tcW w:w="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tcPr>
          <w:p>
            <w:pPr>
              <w:spacing w:after="0" w:line="202" w:lineRule="exact"/>
              <w:rPr>
                <w:sz w:val="20"/>
                <w:szCs w:val="20"/>
                <w:color w:val="auto"/>
              </w:rPr>
            </w:pPr>
            <w:r>
              <w:rPr>
                <w:rFonts w:ascii="Arial" w:cs="Arial" w:eastAsia="Arial" w:hAnsi="Arial"/>
                <w:sz w:val="18"/>
                <w:szCs w:val="18"/>
                <w:color w:val="auto"/>
              </w:rPr>
              <w:t>• Motorhome</w:t>
            </w:r>
          </w:p>
        </w:tc>
        <w:tc>
          <w:tcPr>
            <w:tcW w:w="3960" w:type="dxa"/>
            <w:vAlign w:val="bottom"/>
          </w:tcPr>
          <w:p>
            <w:pPr>
              <w:ind w:left="760"/>
              <w:spacing w:after="0" w:line="202" w:lineRule="exact"/>
              <w:rPr>
                <w:sz w:val="20"/>
                <w:szCs w:val="20"/>
                <w:color w:val="auto"/>
              </w:rPr>
            </w:pPr>
            <w:r>
              <w:rPr>
                <w:rFonts w:ascii="Arial" w:cs="Arial" w:eastAsia="Arial" w:hAnsi="Arial"/>
                <w:sz w:val="18"/>
                <w:szCs w:val="18"/>
                <w:color w:val="auto"/>
              </w:rPr>
              <w:t>• Specialty</w:t>
            </w:r>
          </w:p>
        </w:tc>
        <w:tc>
          <w:tcPr>
            <w:tcW w:w="260" w:type="dxa"/>
            <w:vAlign w:val="bottom"/>
            <w:tcBorders>
              <w:right w:val="single" w:sz="8" w:color="auto"/>
            </w:tcBorders>
          </w:tcPr>
          <w:p>
            <w:pPr>
              <w:spacing w:after="0"/>
              <w:rPr>
                <w:sz w:val="17"/>
                <w:szCs w:val="17"/>
                <w:color w:val="auto"/>
              </w:rPr>
            </w:pPr>
          </w:p>
        </w:tc>
      </w:tr>
      <w:tr>
        <w:trPr>
          <w:trHeight w:val="202"/>
        </w:trPr>
        <w:tc>
          <w:tcPr>
            <w:tcW w:w="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tcPr>
          <w:p>
            <w:pPr>
              <w:spacing w:after="0" w:line="202" w:lineRule="exact"/>
              <w:rPr>
                <w:sz w:val="20"/>
                <w:szCs w:val="20"/>
                <w:color w:val="auto"/>
              </w:rPr>
            </w:pPr>
            <w:r>
              <w:rPr>
                <w:rFonts w:ascii="Arial" w:cs="Arial" w:eastAsia="Arial" w:hAnsi="Arial"/>
                <w:sz w:val="18"/>
                <w:szCs w:val="18"/>
                <w:color w:val="auto"/>
              </w:rPr>
              <w:t>• Refuse</w:t>
            </w:r>
          </w:p>
        </w:tc>
        <w:tc>
          <w:tcPr>
            <w:tcW w:w="3960" w:type="dxa"/>
            <w:vAlign w:val="bottom"/>
          </w:tcPr>
          <w:p>
            <w:pPr>
              <w:ind w:left="760"/>
              <w:spacing w:after="0" w:line="202" w:lineRule="exact"/>
              <w:rPr>
                <w:sz w:val="20"/>
                <w:szCs w:val="20"/>
                <w:color w:val="auto"/>
              </w:rPr>
            </w:pPr>
            <w:r>
              <w:rPr>
                <w:rFonts w:ascii="Arial" w:cs="Arial" w:eastAsia="Arial" w:hAnsi="Arial"/>
                <w:sz w:val="18"/>
                <w:szCs w:val="18"/>
                <w:color w:val="auto"/>
              </w:rPr>
              <w:t>• Wheeled Defense</w:t>
            </w:r>
          </w:p>
        </w:tc>
        <w:tc>
          <w:tcPr>
            <w:tcW w:w="260" w:type="dxa"/>
            <w:vAlign w:val="bottom"/>
            <w:tcBorders>
              <w:right w:val="single" w:sz="8" w:color="auto"/>
            </w:tcBorders>
          </w:tcPr>
          <w:p>
            <w:pPr>
              <w:spacing w:after="0"/>
              <w:rPr>
                <w:sz w:val="17"/>
                <w:szCs w:val="17"/>
                <w:color w:val="auto"/>
              </w:rPr>
            </w:pPr>
          </w:p>
        </w:tc>
      </w:tr>
      <w:tr>
        <w:trPr>
          <w:trHeight w:val="235"/>
        </w:trPr>
        <w:tc>
          <w:tcPr>
            <w:tcW w:w="2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 School and Shuttle Bus</w:t>
            </w:r>
          </w:p>
        </w:tc>
        <w:tc>
          <w:tcPr>
            <w:tcW w:w="39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r>
      <w:tr>
        <w:trPr>
          <w:trHeight w:val="197"/>
        </w:trPr>
        <w:tc>
          <w:tcPr>
            <w:tcW w:w="280" w:type="dxa"/>
            <w:vAlign w:val="bottom"/>
          </w:tcPr>
          <w:p>
            <w:pPr>
              <w:spacing w:after="0"/>
              <w:rPr>
                <w:sz w:val="17"/>
                <w:szCs w:val="17"/>
                <w:color w:val="auto"/>
              </w:rPr>
            </w:pPr>
          </w:p>
        </w:tc>
        <w:tc>
          <w:tcPr>
            <w:tcW w:w="4000" w:type="dxa"/>
            <w:vAlign w:val="bottom"/>
            <w:shd w:val="clear" w:color="auto" w:fill="CFF0FC"/>
          </w:tcPr>
          <w:p>
            <w:pPr>
              <w:jc w:val="center"/>
              <w:spacing w:after="0" w:line="197" w:lineRule="exact"/>
              <w:rPr>
                <w:sz w:val="20"/>
                <w:szCs w:val="20"/>
                <w:color w:val="auto"/>
              </w:rPr>
            </w:pPr>
            <w:r>
              <w:rPr>
                <w:rFonts w:ascii="Arial" w:cs="Arial" w:eastAsia="Arial" w:hAnsi="Arial"/>
                <w:sz w:val="18"/>
                <w:szCs w:val="18"/>
                <w:color w:val="auto"/>
                <w:w w:val="99"/>
              </w:rPr>
              <w:t>3000 Series</w:t>
            </w:r>
          </w:p>
        </w:tc>
        <w:tc>
          <w:tcPr>
            <w:tcW w:w="280" w:type="dxa"/>
            <w:vAlign w:val="bottom"/>
            <w:shd w:val="clear" w:color="auto" w:fill="CFF0FC"/>
          </w:tcPr>
          <w:p>
            <w:pPr>
              <w:spacing w:after="0"/>
              <w:rPr>
                <w:sz w:val="17"/>
                <w:szCs w:val="17"/>
                <w:color w:val="auto"/>
              </w:rPr>
            </w:pPr>
          </w:p>
        </w:tc>
        <w:tc>
          <w:tcPr>
            <w:tcW w:w="2460" w:type="dxa"/>
            <w:vAlign w:val="bottom"/>
            <w:shd w:val="clear" w:color="auto" w:fill="CFF0FC"/>
          </w:tcPr>
          <w:p>
            <w:pPr>
              <w:spacing w:after="0" w:line="197" w:lineRule="exact"/>
              <w:rPr>
                <w:sz w:val="20"/>
                <w:szCs w:val="20"/>
                <w:color w:val="auto"/>
              </w:rPr>
            </w:pPr>
            <w:r>
              <w:rPr>
                <w:rFonts w:ascii="Arial" w:cs="Arial" w:eastAsia="Arial" w:hAnsi="Arial"/>
                <w:sz w:val="18"/>
                <w:szCs w:val="18"/>
                <w:color w:val="auto"/>
              </w:rPr>
              <w:t>• Coach and Transit Bus</w:t>
            </w:r>
          </w:p>
        </w:tc>
        <w:tc>
          <w:tcPr>
            <w:tcW w:w="3960" w:type="dxa"/>
            <w:vAlign w:val="bottom"/>
            <w:shd w:val="clear" w:color="auto" w:fill="CFF0FC"/>
          </w:tcPr>
          <w:p>
            <w:pPr>
              <w:ind w:left="760"/>
              <w:spacing w:after="0" w:line="197" w:lineRule="exact"/>
              <w:rPr>
                <w:sz w:val="20"/>
                <w:szCs w:val="20"/>
                <w:color w:val="auto"/>
              </w:rPr>
            </w:pPr>
            <w:r>
              <w:rPr>
                <w:rFonts w:ascii="Arial" w:cs="Arial" w:eastAsia="Arial" w:hAnsi="Arial"/>
                <w:sz w:val="18"/>
                <w:szCs w:val="18"/>
                <w:color w:val="auto"/>
              </w:rPr>
              <w:t>• Motorhome</w:t>
            </w:r>
          </w:p>
        </w:tc>
        <w:tc>
          <w:tcPr>
            <w:tcW w:w="260" w:type="dxa"/>
            <w:vAlign w:val="bottom"/>
            <w:tcBorders>
              <w:right w:val="single" w:sz="8" w:color="auto"/>
            </w:tcBorders>
          </w:tcPr>
          <w:p>
            <w:pPr>
              <w:spacing w:after="0"/>
              <w:rPr>
                <w:sz w:val="17"/>
                <w:szCs w:val="17"/>
                <w:color w:val="auto"/>
              </w:rPr>
            </w:pPr>
          </w:p>
        </w:tc>
      </w:tr>
      <w:tr>
        <w:trPr>
          <w:trHeight w:val="202"/>
        </w:trPr>
        <w:tc>
          <w:tcPr>
            <w:tcW w:w="280" w:type="dxa"/>
            <w:vAlign w:val="bottom"/>
          </w:tcPr>
          <w:p>
            <w:pPr>
              <w:spacing w:after="0"/>
              <w:rPr>
                <w:sz w:val="17"/>
                <w:szCs w:val="17"/>
                <w:color w:val="auto"/>
              </w:rPr>
            </w:pPr>
          </w:p>
        </w:tc>
        <w:tc>
          <w:tcPr>
            <w:tcW w:w="4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 Construction</w:t>
            </w:r>
          </w:p>
        </w:tc>
        <w:tc>
          <w:tcPr>
            <w:tcW w:w="3960" w:type="dxa"/>
            <w:vAlign w:val="bottom"/>
            <w:shd w:val="clear" w:color="auto" w:fill="CFF0FC"/>
          </w:tcPr>
          <w:p>
            <w:pPr>
              <w:ind w:left="760"/>
              <w:spacing w:after="0" w:line="202" w:lineRule="exact"/>
              <w:rPr>
                <w:sz w:val="20"/>
                <w:szCs w:val="20"/>
                <w:color w:val="auto"/>
              </w:rPr>
            </w:pPr>
            <w:r>
              <w:rPr>
                <w:rFonts w:ascii="Arial" w:cs="Arial" w:eastAsia="Arial" w:hAnsi="Arial"/>
                <w:sz w:val="18"/>
                <w:szCs w:val="18"/>
                <w:color w:val="auto"/>
              </w:rPr>
              <w:t>• Refuse</w:t>
            </w:r>
          </w:p>
        </w:tc>
        <w:tc>
          <w:tcPr>
            <w:tcW w:w="260" w:type="dxa"/>
            <w:vAlign w:val="bottom"/>
            <w:tcBorders>
              <w:right w:val="single" w:sz="8" w:color="auto"/>
            </w:tcBorders>
          </w:tcPr>
          <w:p>
            <w:pPr>
              <w:spacing w:after="0"/>
              <w:rPr>
                <w:sz w:val="17"/>
                <w:szCs w:val="17"/>
                <w:color w:val="auto"/>
              </w:rPr>
            </w:pPr>
          </w:p>
        </w:tc>
      </w:tr>
      <w:tr>
        <w:trPr>
          <w:trHeight w:val="202"/>
        </w:trPr>
        <w:tc>
          <w:tcPr>
            <w:tcW w:w="280" w:type="dxa"/>
            <w:vAlign w:val="bottom"/>
          </w:tcPr>
          <w:p>
            <w:pPr>
              <w:spacing w:after="0"/>
              <w:rPr>
                <w:sz w:val="17"/>
                <w:szCs w:val="17"/>
                <w:color w:val="auto"/>
              </w:rPr>
            </w:pPr>
          </w:p>
        </w:tc>
        <w:tc>
          <w:tcPr>
            <w:tcW w:w="4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 Day Cab Tractors</w:t>
            </w:r>
          </w:p>
        </w:tc>
        <w:tc>
          <w:tcPr>
            <w:tcW w:w="3960" w:type="dxa"/>
            <w:vAlign w:val="bottom"/>
            <w:shd w:val="clear" w:color="auto" w:fill="CFF0FC"/>
          </w:tcPr>
          <w:p>
            <w:pPr>
              <w:ind w:left="760"/>
              <w:spacing w:after="0" w:line="202" w:lineRule="exact"/>
              <w:rPr>
                <w:sz w:val="20"/>
                <w:szCs w:val="20"/>
                <w:color w:val="auto"/>
              </w:rPr>
            </w:pPr>
            <w:r>
              <w:rPr>
                <w:rFonts w:ascii="Arial" w:cs="Arial" w:eastAsia="Arial" w:hAnsi="Arial"/>
                <w:sz w:val="18"/>
                <w:szCs w:val="18"/>
                <w:color w:val="auto"/>
              </w:rPr>
              <w:t>• Services</w:t>
            </w:r>
          </w:p>
        </w:tc>
        <w:tc>
          <w:tcPr>
            <w:tcW w:w="260" w:type="dxa"/>
            <w:vAlign w:val="bottom"/>
            <w:tcBorders>
              <w:right w:val="single" w:sz="8" w:color="auto"/>
            </w:tcBorders>
          </w:tcPr>
          <w:p>
            <w:pPr>
              <w:spacing w:after="0"/>
              <w:rPr>
                <w:sz w:val="17"/>
                <w:szCs w:val="17"/>
                <w:color w:val="auto"/>
              </w:rPr>
            </w:pPr>
          </w:p>
        </w:tc>
      </w:tr>
      <w:tr>
        <w:trPr>
          <w:trHeight w:val="202"/>
        </w:trPr>
        <w:tc>
          <w:tcPr>
            <w:tcW w:w="280" w:type="dxa"/>
            <w:vAlign w:val="bottom"/>
          </w:tcPr>
          <w:p>
            <w:pPr>
              <w:spacing w:after="0"/>
              <w:rPr>
                <w:sz w:val="17"/>
                <w:szCs w:val="17"/>
                <w:color w:val="auto"/>
              </w:rPr>
            </w:pPr>
          </w:p>
        </w:tc>
        <w:tc>
          <w:tcPr>
            <w:tcW w:w="4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 Distribution</w:t>
            </w:r>
          </w:p>
        </w:tc>
        <w:tc>
          <w:tcPr>
            <w:tcW w:w="3960" w:type="dxa"/>
            <w:vAlign w:val="bottom"/>
            <w:shd w:val="clear" w:color="auto" w:fill="CFF0FC"/>
          </w:tcPr>
          <w:p>
            <w:pPr>
              <w:ind w:left="760"/>
              <w:spacing w:after="0" w:line="202" w:lineRule="exact"/>
              <w:rPr>
                <w:sz w:val="20"/>
                <w:szCs w:val="20"/>
                <w:color w:val="auto"/>
              </w:rPr>
            </w:pPr>
            <w:r>
              <w:rPr>
                <w:rFonts w:ascii="Arial" w:cs="Arial" w:eastAsia="Arial" w:hAnsi="Arial"/>
                <w:sz w:val="18"/>
                <w:szCs w:val="18"/>
                <w:color w:val="auto"/>
              </w:rPr>
              <w:t>• Specialty</w:t>
            </w:r>
          </w:p>
        </w:tc>
        <w:tc>
          <w:tcPr>
            <w:tcW w:w="260" w:type="dxa"/>
            <w:vAlign w:val="bottom"/>
            <w:tcBorders>
              <w:right w:val="single" w:sz="8" w:color="auto"/>
            </w:tcBorders>
          </w:tcPr>
          <w:p>
            <w:pPr>
              <w:spacing w:after="0"/>
              <w:rPr>
                <w:sz w:val="17"/>
                <w:szCs w:val="17"/>
                <w:color w:val="auto"/>
              </w:rPr>
            </w:pPr>
          </w:p>
        </w:tc>
      </w:tr>
      <w:tr>
        <w:trPr>
          <w:trHeight w:val="235"/>
        </w:trPr>
        <w:tc>
          <w:tcPr>
            <w:tcW w:w="280" w:type="dxa"/>
            <w:vAlign w:val="bottom"/>
          </w:tcPr>
          <w:p>
            <w:pPr>
              <w:spacing w:after="0"/>
              <w:rPr>
                <w:sz w:val="20"/>
                <w:szCs w:val="20"/>
                <w:color w:val="auto"/>
              </w:rPr>
            </w:pPr>
          </w:p>
        </w:tc>
        <w:tc>
          <w:tcPr>
            <w:tcW w:w="4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 Fire and Emergency</w:t>
            </w:r>
          </w:p>
        </w:tc>
        <w:tc>
          <w:tcPr>
            <w:tcW w:w="3960" w:type="dxa"/>
            <w:vAlign w:val="bottom"/>
            <w:shd w:val="clear" w:color="auto" w:fill="CFF0FC"/>
          </w:tcPr>
          <w:p>
            <w:pPr>
              <w:ind w:left="760"/>
              <w:spacing w:after="0"/>
              <w:rPr>
                <w:sz w:val="20"/>
                <w:szCs w:val="20"/>
                <w:color w:val="auto"/>
              </w:rPr>
            </w:pPr>
            <w:r>
              <w:rPr>
                <w:rFonts w:ascii="Arial" w:cs="Arial" w:eastAsia="Arial" w:hAnsi="Arial"/>
                <w:sz w:val="18"/>
                <w:szCs w:val="18"/>
                <w:color w:val="auto"/>
              </w:rPr>
              <w:t>• Wheeled Defense</w:t>
            </w:r>
          </w:p>
        </w:tc>
        <w:tc>
          <w:tcPr>
            <w:tcW w:w="260" w:type="dxa"/>
            <w:vAlign w:val="bottom"/>
            <w:tcBorders>
              <w:right w:val="single" w:sz="8" w:color="auto"/>
            </w:tcBorders>
          </w:tcPr>
          <w:p>
            <w:pPr>
              <w:spacing w:after="0"/>
              <w:rPr>
                <w:sz w:val="20"/>
                <w:szCs w:val="20"/>
                <w:color w:val="auto"/>
              </w:rPr>
            </w:pPr>
          </w:p>
        </w:tc>
      </w:tr>
      <w:tr>
        <w:trPr>
          <w:trHeight w:val="197"/>
        </w:trPr>
        <w:tc>
          <w:tcPr>
            <w:tcW w:w="280" w:type="dxa"/>
            <w:vAlign w:val="bottom"/>
          </w:tcPr>
          <w:p>
            <w:pPr>
              <w:spacing w:after="0"/>
              <w:rPr>
                <w:sz w:val="17"/>
                <w:szCs w:val="17"/>
                <w:color w:val="auto"/>
              </w:rPr>
            </w:pPr>
          </w:p>
        </w:tc>
        <w:tc>
          <w:tcPr>
            <w:tcW w:w="4000" w:type="dxa"/>
            <w:vAlign w:val="bottom"/>
          </w:tcPr>
          <w:p>
            <w:pPr>
              <w:jc w:val="center"/>
              <w:spacing w:after="0" w:line="197" w:lineRule="exact"/>
              <w:rPr>
                <w:sz w:val="20"/>
                <w:szCs w:val="20"/>
                <w:color w:val="auto"/>
              </w:rPr>
            </w:pPr>
            <w:r>
              <w:rPr>
                <w:rFonts w:ascii="Arial" w:cs="Arial" w:eastAsia="Arial" w:hAnsi="Arial"/>
                <w:sz w:val="18"/>
                <w:szCs w:val="18"/>
                <w:color w:val="auto"/>
                <w:w w:val="99"/>
              </w:rPr>
              <w:t>4000 Series</w:t>
            </w:r>
          </w:p>
        </w:tc>
        <w:tc>
          <w:tcPr>
            <w:tcW w:w="280" w:type="dxa"/>
            <w:vAlign w:val="bottom"/>
          </w:tcPr>
          <w:p>
            <w:pPr>
              <w:spacing w:after="0"/>
              <w:rPr>
                <w:sz w:val="17"/>
                <w:szCs w:val="17"/>
                <w:color w:val="auto"/>
              </w:rPr>
            </w:pPr>
          </w:p>
        </w:tc>
        <w:tc>
          <w:tcPr>
            <w:tcW w:w="2460" w:type="dxa"/>
            <w:vAlign w:val="bottom"/>
          </w:tcPr>
          <w:p>
            <w:pPr>
              <w:spacing w:after="0" w:line="197" w:lineRule="exact"/>
              <w:rPr>
                <w:sz w:val="20"/>
                <w:szCs w:val="20"/>
                <w:color w:val="auto"/>
              </w:rPr>
            </w:pPr>
            <w:r>
              <w:rPr>
                <w:rFonts w:ascii="Arial" w:cs="Arial" w:eastAsia="Arial" w:hAnsi="Arial"/>
                <w:sz w:val="18"/>
                <w:szCs w:val="18"/>
                <w:color w:val="auto"/>
              </w:rPr>
              <w:t>• Articulated and Wide Body</w:t>
            </w:r>
          </w:p>
        </w:tc>
        <w:tc>
          <w:tcPr>
            <w:tcW w:w="3960" w:type="dxa"/>
            <w:vAlign w:val="bottom"/>
          </w:tcPr>
          <w:p>
            <w:pPr>
              <w:ind w:left="760"/>
              <w:spacing w:after="0" w:line="197" w:lineRule="exact"/>
              <w:rPr>
                <w:sz w:val="20"/>
                <w:szCs w:val="20"/>
                <w:color w:val="auto"/>
              </w:rPr>
            </w:pPr>
            <w:r>
              <w:rPr>
                <w:rFonts w:ascii="Arial" w:cs="Arial" w:eastAsia="Arial" w:hAnsi="Arial"/>
                <w:sz w:val="18"/>
                <w:szCs w:val="18"/>
                <w:color w:val="auto"/>
              </w:rPr>
              <w:t>• Fire and Emergency</w:t>
            </w:r>
          </w:p>
        </w:tc>
        <w:tc>
          <w:tcPr>
            <w:tcW w:w="260" w:type="dxa"/>
            <w:vAlign w:val="bottom"/>
            <w:tcBorders>
              <w:right w:val="single" w:sz="8" w:color="auto"/>
            </w:tcBorders>
          </w:tcPr>
          <w:p>
            <w:pPr>
              <w:spacing w:after="0"/>
              <w:rPr>
                <w:sz w:val="17"/>
                <w:szCs w:val="17"/>
                <w:color w:val="auto"/>
              </w:rPr>
            </w:pPr>
          </w:p>
        </w:tc>
      </w:tr>
      <w:tr>
        <w:trPr>
          <w:trHeight w:val="202"/>
        </w:trPr>
        <w:tc>
          <w:tcPr>
            <w:tcW w:w="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tcPr>
          <w:p>
            <w:pPr>
              <w:ind w:left="100"/>
              <w:spacing w:after="0" w:line="202" w:lineRule="exact"/>
              <w:rPr>
                <w:sz w:val="20"/>
                <w:szCs w:val="20"/>
                <w:color w:val="auto"/>
              </w:rPr>
            </w:pPr>
            <w:r>
              <w:rPr>
                <w:rFonts w:ascii="Arial" w:cs="Arial" w:eastAsia="Arial" w:hAnsi="Arial"/>
                <w:sz w:val="18"/>
                <w:szCs w:val="18"/>
                <w:color w:val="auto"/>
              </w:rPr>
              <w:t>Mining Dump Trucks</w:t>
            </w:r>
          </w:p>
        </w:tc>
        <w:tc>
          <w:tcPr>
            <w:tcW w:w="3960" w:type="dxa"/>
            <w:vAlign w:val="bottom"/>
          </w:tcPr>
          <w:p>
            <w:pPr>
              <w:ind w:left="760"/>
              <w:spacing w:after="0" w:line="202" w:lineRule="exact"/>
              <w:rPr>
                <w:sz w:val="20"/>
                <w:szCs w:val="20"/>
                <w:color w:val="auto"/>
              </w:rPr>
            </w:pPr>
            <w:r>
              <w:rPr>
                <w:rFonts w:ascii="Arial" w:cs="Arial" w:eastAsia="Arial" w:hAnsi="Arial"/>
                <w:sz w:val="18"/>
                <w:szCs w:val="18"/>
                <w:color w:val="auto"/>
              </w:rPr>
              <w:t>• Motorhome</w:t>
            </w:r>
          </w:p>
        </w:tc>
        <w:tc>
          <w:tcPr>
            <w:tcW w:w="260" w:type="dxa"/>
            <w:vAlign w:val="bottom"/>
            <w:tcBorders>
              <w:right w:val="single" w:sz="8" w:color="auto"/>
            </w:tcBorders>
          </w:tcPr>
          <w:p>
            <w:pPr>
              <w:spacing w:after="0"/>
              <w:rPr>
                <w:sz w:val="17"/>
                <w:szCs w:val="17"/>
                <w:color w:val="auto"/>
              </w:rPr>
            </w:pPr>
          </w:p>
        </w:tc>
      </w:tr>
      <w:tr>
        <w:trPr>
          <w:trHeight w:val="202"/>
        </w:trPr>
        <w:tc>
          <w:tcPr>
            <w:tcW w:w="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tcPr>
          <w:p>
            <w:pPr>
              <w:spacing w:after="0" w:line="202" w:lineRule="exact"/>
              <w:rPr>
                <w:sz w:val="20"/>
                <w:szCs w:val="20"/>
                <w:color w:val="auto"/>
              </w:rPr>
            </w:pPr>
            <w:r>
              <w:rPr>
                <w:rFonts w:ascii="Arial" w:cs="Arial" w:eastAsia="Arial" w:hAnsi="Arial"/>
                <w:sz w:val="18"/>
                <w:szCs w:val="18"/>
                <w:color w:val="auto"/>
              </w:rPr>
              <w:t>• Coach and Transit Bus</w:t>
            </w:r>
          </w:p>
        </w:tc>
        <w:tc>
          <w:tcPr>
            <w:tcW w:w="3960" w:type="dxa"/>
            <w:vAlign w:val="bottom"/>
          </w:tcPr>
          <w:p>
            <w:pPr>
              <w:ind w:left="760"/>
              <w:spacing w:after="0" w:line="202" w:lineRule="exact"/>
              <w:rPr>
                <w:sz w:val="20"/>
                <w:szCs w:val="20"/>
                <w:color w:val="auto"/>
              </w:rPr>
            </w:pPr>
            <w:r>
              <w:rPr>
                <w:rFonts w:ascii="Arial" w:cs="Arial" w:eastAsia="Arial" w:hAnsi="Arial"/>
                <w:sz w:val="18"/>
                <w:szCs w:val="18"/>
                <w:color w:val="auto"/>
              </w:rPr>
              <w:t>• Refuse</w:t>
            </w:r>
          </w:p>
        </w:tc>
        <w:tc>
          <w:tcPr>
            <w:tcW w:w="260" w:type="dxa"/>
            <w:vAlign w:val="bottom"/>
            <w:tcBorders>
              <w:right w:val="single" w:sz="8" w:color="auto"/>
            </w:tcBorders>
          </w:tcPr>
          <w:p>
            <w:pPr>
              <w:spacing w:after="0"/>
              <w:rPr>
                <w:sz w:val="17"/>
                <w:szCs w:val="17"/>
                <w:color w:val="auto"/>
              </w:rPr>
            </w:pPr>
          </w:p>
        </w:tc>
      </w:tr>
      <w:tr>
        <w:trPr>
          <w:trHeight w:val="202"/>
        </w:trPr>
        <w:tc>
          <w:tcPr>
            <w:tcW w:w="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tcPr>
          <w:p>
            <w:pPr>
              <w:spacing w:after="0" w:line="202" w:lineRule="exact"/>
              <w:rPr>
                <w:sz w:val="20"/>
                <w:szCs w:val="20"/>
                <w:color w:val="auto"/>
              </w:rPr>
            </w:pPr>
            <w:r>
              <w:rPr>
                <w:rFonts w:ascii="Arial" w:cs="Arial" w:eastAsia="Arial" w:hAnsi="Arial"/>
                <w:sz w:val="18"/>
                <w:szCs w:val="18"/>
                <w:color w:val="auto"/>
              </w:rPr>
              <w:t>• Construction</w:t>
            </w:r>
          </w:p>
        </w:tc>
        <w:tc>
          <w:tcPr>
            <w:tcW w:w="3960" w:type="dxa"/>
            <w:vAlign w:val="bottom"/>
          </w:tcPr>
          <w:p>
            <w:pPr>
              <w:ind w:left="760"/>
              <w:spacing w:after="0" w:line="202" w:lineRule="exact"/>
              <w:rPr>
                <w:sz w:val="20"/>
                <w:szCs w:val="20"/>
                <w:color w:val="auto"/>
              </w:rPr>
            </w:pPr>
            <w:r>
              <w:rPr>
                <w:rFonts w:ascii="Arial" w:cs="Arial" w:eastAsia="Arial" w:hAnsi="Arial"/>
                <w:sz w:val="18"/>
                <w:szCs w:val="18"/>
                <w:color w:val="auto"/>
              </w:rPr>
              <w:t>• Specialty</w:t>
            </w:r>
          </w:p>
        </w:tc>
        <w:tc>
          <w:tcPr>
            <w:tcW w:w="260" w:type="dxa"/>
            <w:vAlign w:val="bottom"/>
            <w:tcBorders>
              <w:right w:val="single" w:sz="8" w:color="auto"/>
            </w:tcBorders>
          </w:tcPr>
          <w:p>
            <w:pPr>
              <w:spacing w:after="0"/>
              <w:rPr>
                <w:sz w:val="17"/>
                <w:szCs w:val="17"/>
                <w:color w:val="auto"/>
              </w:rPr>
            </w:pPr>
          </w:p>
        </w:tc>
      </w:tr>
      <w:tr>
        <w:trPr>
          <w:trHeight w:val="202"/>
        </w:trPr>
        <w:tc>
          <w:tcPr>
            <w:tcW w:w="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tcPr>
          <w:p>
            <w:pPr>
              <w:spacing w:after="0" w:line="202" w:lineRule="exact"/>
              <w:rPr>
                <w:sz w:val="20"/>
                <w:szCs w:val="20"/>
                <w:color w:val="auto"/>
              </w:rPr>
            </w:pPr>
            <w:r>
              <w:rPr>
                <w:rFonts w:ascii="Arial" w:cs="Arial" w:eastAsia="Arial" w:hAnsi="Arial"/>
                <w:sz w:val="18"/>
                <w:szCs w:val="18"/>
                <w:color w:val="auto"/>
              </w:rPr>
              <w:t>• Day Cab Tractors</w:t>
            </w:r>
          </w:p>
        </w:tc>
        <w:tc>
          <w:tcPr>
            <w:tcW w:w="3960" w:type="dxa"/>
            <w:vAlign w:val="bottom"/>
          </w:tcPr>
          <w:p>
            <w:pPr>
              <w:ind w:left="760"/>
              <w:spacing w:after="0" w:line="202" w:lineRule="exact"/>
              <w:rPr>
                <w:sz w:val="20"/>
                <w:szCs w:val="20"/>
                <w:color w:val="auto"/>
              </w:rPr>
            </w:pPr>
            <w:r>
              <w:rPr>
                <w:rFonts w:ascii="Arial" w:cs="Arial" w:eastAsia="Arial" w:hAnsi="Arial"/>
                <w:sz w:val="18"/>
                <w:szCs w:val="18"/>
                <w:color w:val="auto"/>
              </w:rPr>
              <w:t>• Wheeled Defense</w:t>
            </w:r>
          </w:p>
        </w:tc>
        <w:tc>
          <w:tcPr>
            <w:tcW w:w="260" w:type="dxa"/>
            <w:vAlign w:val="bottom"/>
            <w:tcBorders>
              <w:right w:val="single" w:sz="8" w:color="auto"/>
            </w:tcBorders>
          </w:tcPr>
          <w:p>
            <w:pPr>
              <w:spacing w:after="0"/>
              <w:rPr>
                <w:sz w:val="17"/>
                <w:szCs w:val="17"/>
                <w:color w:val="auto"/>
              </w:rPr>
            </w:pPr>
          </w:p>
        </w:tc>
      </w:tr>
      <w:tr>
        <w:trPr>
          <w:trHeight w:val="235"/>
        </w:trPr>
        <w:tc>
          <w:tcPr>
            <w:tcW w:w="2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 Distribution</w:t>
            </w:r>
          </w:p>
        </w:tc>
        <w:tc>
          <w:tcPr>
            <w:tcW w:w="39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r>
      <w:tr>
        <w:trPr>
          <w:trHeight w:val="229"/>
        </w:trPr>
        <w:tc>
          <w:tcPr>
            <w:tcW w:w="280" w:type="dxa"/>
            <w:vAlign w:val="bottom"/>
          </w:tcPr>
          <w:p>
            <w:pPr>
              <w:spacing w:after="0"/>
              <w:rPr>
                <w:sz w:val="19"/>
                <w:szCs w:val="19"/>
                <w:color w:val="auto"/>
              </w:rPr>
            </w:pPr>
          </w:p>
        </w:tc>
        <w:tc>
          <w:tcPr>
            <w:tcW w:w="4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eGen Flex Electric Hybrid Propulsion Solutions</w:t>
            </w:r>
          </w:p>
        </w:tc>
        <w:tc>
          <w:tcPr>
            <w:tcW w:w="280" w:type="dxa"/>
            <w:vAlign w:val="bottom"/>
            <w:shd w:val="clear" w:color="auto" w:fill="CFF0FC"/>
          </w:tcPr>
          <w:p>
            <w:pPr>
              <w:spacing w:after="0"/>
              <w:rPr>
                <w:sz w:val="19"/>
                <w:szCs w:val="19"/>
                <w:color w:val="auto"/>
              </w:rPr>
            </w:pPr>
          </w:p>
        </w:tc>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 Transit and Shuttle Bus</w:t>
            </w:r>
          </w:p>
        </w:tc>
        <w:tc>
          <w:tcPr>
            <w:tcW w:w="3960" w:type="dxa"/>
            <w:vAlign w:val="bottom"/>
            <w:shd w:val="clear" w:color="auto" w:fill="CFF0FC"/>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r>
      <w:tr>
        <w:trPr>
          <w:trHeight w:val="197"/>
        </w:trPr>
        <w:tc>
          <w:tcPr>
            <w:tcW w:w="280" w:type="dxa"/>
            <w:vAlign w:val="bottom"/>
          </w:tcPr>
          <w:p>
            <w:pPr>
              <w:spacing w:after="0"/>
              <w:rPr>
                <w:sz w:val="17"/>
                <w:szCs w:val="17"/>
                <w:color w:val="auto"/>
              </w:rPr>
            </w:pPr>
          </w:p>
        </w:tc>
        <w:tc>
          <w:tcPr>
            <w:tcW w:w="4000" w:type="dxa"/>
            <w:vAlign w:val="bottom"/>
          </w:tcPr>
          <w:p>
            <w:pPr>
              <w:jc w:val="center"/>
              <w:spacing w:after="0" w:line="197" w:lineRule="exact"/>
              <w:rPr>
                <w:sz w:val="20"/>
                <w:szCs w:val="20"/>
                <w:color w:val="auto"/>
              </w:rPr>
            </w:pPr>
            <w:r>
              <w:rPr>
                <w:rFonts w:ascii="Arial" w:cs="Arial" w:eastAsia="Arial" w:hAnsi="Arial"/>
                <w:sz w:val="18"/>
                <w:szCs w:val="18"/>
                <w:color w:val="auto"/>
                <w:w w:val="99"/>
              </w:rPr>
              <w:t>eGen Power Fully Electric Propulsion Solutions</w:t>
            </w:r>
          </w:p>
        </w:tc>
        <w:tc>
          <w:tcPr>
            <w:tcW w:w="280" w:type="dxa"/>
            <w:vAlign w:val="bottom"/>
          </w:tcPr>
          <w:p>
            <w:pPr>
              <w:spacing w:after="0"/>
              <w:rPr>
                <w:sz w:val="17"/>
                <w:szCs w:val="17"/>
                <w:color w:val="auto"/>
              </w:rPr>
            </w:pPr>
          </w:p>
        </w:tc>
        <w:tc>
          <w:tcPr>
            <w:tcW w:w="2460" w:type="dxa"/>
            <w:vAlign w:val="bottom"/>
          </w:tcPr>
          <w:p>
            <w:pPr>
              <w:spacing w:after="0" w:line="197" w:lineRule="exact"/>
              <w:rPr>
                <w:sz w:val="20"/>
                <w:szCs w:val="20"/>
                <w:color w:val="auto"/>
              </w:rPr>
            </w:pPr>
            <w:r>
              <w:rPr>
                <w:rFonts w:ascii="Arial" w:cs="Arial" w:eastAsia="Arial" w:hAnsi="Arial"/>
                <w:sz w:val="18"/>
                <w:szCs w:val="18"/>
                <w:color w:val="auto"/>
              </w:rPr>
              <w:t>• Coach and Transit Bus</w:t>
            </w:r>
          </w:p>
        </w:tc>
        <w:tc>
          <w:tcPr>
            <w:tcW w:w="3960" w:type="dxa"/>
            <w:vAlign w:val="bottom"/>
          </w:tcPr>
          <w:p>
            <w:pPr>
              <w:ind w:left="760"/>
              <w:spacing w:after="0" w:line="197" w:lineRule="exact"/>
              <w:rPr>
                <w:sz w:val="20"/>
                <w:szCs w:val="20"/>
                <w:color w:val="auto"/>
              </w:rPr>
            </w:pPr>
            <w:r>
              <w:rPr>
                <w:rFonts w:ascii="Arial" w:cs="Arial" w:eastAsia="Arial" w:hAnsi="Arial"/>
                <w:sz w:val="18"/>
                <w:szCs w:val="18"/>
                <w:color w:val="auto"/>
              </w:rPr>
              <w:t>• Line-Haul Tractors</w:t>
            </w:r>
          </w:p>
        </w:tc>
        <w:tc>
          <w:tcPr>
            <w:tcW w:w="260" w:type="dxa"/>
            <w:vAlign w:val="bottom"/>
            <w:tcBorders>
              <w:right w:val="single" w:sz="8" w:color="auto"/>
            </w:tcBorders>
          </w:tcPr>
          <w:p>
            <w:pPr>
              <w:spacing w:after="0"/>
              <w:rPr>
                <w:sz w:val="17"/>
                <w:szCs w:val="17"/>
                <w:color w:val="auto"/>
              </w:rPr>
            </w:pPr>
          </w:p>
        </w:tc>
      </w:tr>
      <w:tr>
        <w:trPr>
          <w:trHeight w:val="202"/>
        </w:trPr>
        <w:tc>
          <w:tcPr>
            <w:tcW w:w="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tcPr>
          <w:p>
            <w:pPr>
              <w:spacing w:after="0" w:line="202" w:lineRule="exact"/>
              <w:rPr>
                <w:sz w:val="20"/>
                <w:szCs w:val="20"/>
                <w:color w:val="auto"/>
              </w:rPr>
            </w:pPr>
            <w:r>
              <w:rPr>
                <w:rFonts w:ascii="Arial" w:cs="Arial" w:eastAsia="Arial" w:hAnsi="Arial"/>
                <w:sz w:val="18"/>
                <w:szCs w:val="18"/>
                <w:color w:val="auto"/>
              </w:rPr>
              <w:t>• Day Cab Tractors</w:t>
            </w:r>
          </w:p>
        </w:tc>
        <w:tc>
          <w:tcPr>
            <w:tcW w:w="3960" w:type="dxa"/>
            <w:vAlign w:val="bottom"/>
          </w:tcPr>
          <w:p>
            <w:pPr>
              <w:ind w:left="760"/>
              <w:spacing w:after="0" w:line="202" w:lineRule="exact"/>
              <w:rPr>
                <w:sz w:val="20"/>
                <w:szCs w:val="20"/>
                <w:color w:val="auto"/>
              </w:rPr>
            </w:pPr>
            <w:r>
              <w:rPr>
                <w:rFonts w:ascii="Arial" w:cs="Arial" w:eastAsia="Arial" w:hAnsi="Arial"/>
                <w:sz w:val="18"/>
                <w:szCs w:val="18"/>
                <w:color w:val="auto"/>
              </w:rPr>
              <w:t>• Refuse</w:t>
            </w:r>
          </w:p>
        </w:tc>
        <w:tc>
          <w:tcPr>
            <w:tcW w:w="260" w:type="dxa"/>
            <w:vAlign w:val="bottom"/>
            <w:tcBorders>
              <w:right w:val="single" w:sz="8" w:color="auto"/>
            </w:tcBorders>
          </w:tcPr>
          <w:p>
            <w:pPr>
              <w:spacing w:after="0"/>
              <w:rPr>
                <w:sz w:val="17"/>
                <w:szCs w:val="17"/>
                <w:color w:val="auto"/>
              </w:rPr>
            </w:pPr>
          </w:p>
        </w:tc>
      </w:tr>
      <w:tr>
        <w:trPr>
          <w:trHeight w:val="202"/>
        </w:trPr>
        <w:tc>
          <w:tcPr>
            <w:tcW w:w="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tcPr>
          <w:p>
            <w:pPr>
              <w:spacing w:after="0" w:line="202" w:lineRule="exact"/>
              <w:rPr>
                <w:sz w:val="20"/>
                <w:szCs w:val="20"/>
                <w:color w:val="auto"/>
              </w:rPr>
            </w:pPr>
            <w:r>
              <w:rPr>
                <w:rFonts w:ascii="Arial" w:cs="Arial" w:eastAsia="Arial" w:hAnsi="Arial"/>
                <w:sz w:val="18"/>
                <w:szCs w:val="18"/>
                <w:color w:val="auto"/>
              </w:rPr>
              <w:t>• Distribution</w:t>
            </w:r>
          </w:p>
        </w:tc>
        <w:tc>
          <w:tcPr>
            <w:tcW w:w="3960" w:type="dxa"/>
            <w:vAlign w:val="bottom"/>
          </w:tcPr>
          <w:p>
            <w:pPr>
              <w:ind w:left="760"/>
              <w:spacing w:after="0" w:line="202" w:lineRule="exact"/>
              <w:rPr>
                <w:sz w:val="20"/>
                <w:szCs w:val="20"/>
                <w:color w:val="auto"/>
              </w:rPr>
            </w:pPr>
            <w:r>
              <w:rPr>
                <w:rFonts w:ascii="Arial" w:cs="Arial" w:eastAsia="Arial" w:hAnsi="Arial"/>
                <w:sz w:val="18"/>
                <w:szCs w:val="18"/>
                <w:color w:val="auto"/>
              </w:rPr>
              <w:t>• School and Shuttle Bus</w:t>
            </w:r>
          </w:p>
        </w:tc>
        <w:tc>
          <w:tcPr>
            <w:tcW w:w="260" w:type="dxa"/>
            <w:vAlign w:val="bottom"/>
            <w:tcBorders>
              <w:right w:val="single" w:sz="8" w:color="auto"/>
            </w:tcBorders>
          </w:tcPr>
          <w:p>
            <w:pPr>
              <w:spacing w:after="0"/>
              <w:rPr>
                <w:sz w:val="17"/>
                <w:szCs w:val="17"/>
                <w:color w:val="auto"/>
              </w:rPr>
            </w:pPr>
          </w:p>
        </w:tc>
      </w:tr>
      <w:tr>
        <w:trPr>
          <w:trHeight w:val="235"/>
        </w:trPr>
        <w:tc>
          <w:tcPr>
            <w:tcW w:w="28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Fire and Emergency</w:t>
            </w:r>
          </w:p>
        </w:tc>
        <w:tc>
          <w:tcPr>
            <w:tcW w:w="396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r>
      <w:tr>
        <w:trPr>
          <w:trHeight w:val="645"/>
        </w:trPr>
        <w:tc>
          <w:tcPr>
            <w:tcW w:w="2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740" w:type="dxa"/>
            <w:vAlign w:val="bottom"/>
            <w:gridSpan w:val="2"/>
          </w:tcPr>
          <w:p>
            <w:pPr>
              <w:jc w:val="right"/>
              <w:ind w:right="1210"/>
              <w:spacing w:after="0"/>
              <w:rPr>
                <w:sz w:val="20"/>
                <w:szCs w:val="20"/>
                <w:color w:val="auto"/>
              </w:rPr>
            </w:pPr>
            <w:r>
              <w:rPr>
                <w:rFonts w:ascii="Arial" w:cs="Arial" w:eastAsia="Arial" w:hAnsi="Arial"/>
                <w:sz w:val="18"/>
                <w:szCs w:val="18"/>
                <w:color w:val="auto"/>
              </w:rPr>
              <w:t>11</w:t>
            </w: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745"/>
        </w:trPr>
        <w:tc>
          <w:tcPr>
            <w:tcW w:w="2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45020" cy="1840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5020" cy="18408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Off-Highway Products</w:t>
      </w:r>
    </w:p>
    <w:p>
      <w:pPr>
        <w:spacing w:after="0" w:line="42" w:lineRule="exact"/>
        <w:rPr>
          <w:sz w:val="20"/>
          <w:szCs w:val="20"/>
          <w:color w:val="auto"/>
        </w:rPr>
      </w:pPr>
    </w:p>
    <w:tbl>
      <w:tblPr>
        <w:tblLayout w:type="fixed"/>
        <w:tblInd w:w="280" w:type="dxa"/>
        <w:tblCellMar>
          <w:top w:w="0" w:type="dxa"/>
          <w:left w:w="0" w:type="dxa"/>
          <w:bottom w:w="0" w:type="dxa"/>
          <w:right w:w="0" w:type="dxa"/>
        </w:tblCellMar>
      </w:tblPr>
      <w:tr>
        <w:trPr>
          <w:trHeight w:val="217"/>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Product</w:t>
            </w:r>
          </w:p>
        </w:tc>
        <w:tc>
          <w:tcPr>
            <w:tcW w:w="280" w:type="dxa"/>
            <w:vAlign w:val="bottom"/>
          </w:tcPr>
          <w:p>
            <w:pPr>
              <w:spacing w:after="0"/>
              <w:rPr>
                <w:sz w:val="18"/>
                <w:szCs w:val="18"/>
                <w:color w:val="auto"/>
              </w:rPr>
            </w:pPr>
          </w:p>
        </w:tc>
        <w:tc>
          <w:tcPr>
            <w:tcW w:w="6420" w:type="dxa"/>
            <w:vAlign w:val="bottom"/>
            <w:tcBorders>
              <w:bottom w:val="single" w:sz="8" w:color="auto"/>
            </w:tcBorders>
          </w:tcPr>
          <w:p>
            <w:pPr>
              <w:ind w:left="2660"/>
              <w:spacing w:after="0"/>
              <w:rPr>
                <w:sz w:val="20"/>
                <w:szCs w:val="20"/>
                <w:color w:val="auto"/>
              </w:rPr>
            </w:pPr>
            <w:r>
              <w:rPr>
                <w:rFonts w:ascii="Arial" w:cs="Arial" w:eastAsia="Arial" w:hAnsi="Arial"/>
                <w:sz w:val="18"/>
                <w:szCs w:val="18"/>
                <w:b w:val="1"/>
                <w:bCs w:val="1"/>
                <w:color w:val="auto"/>
              </w:rPr>
              <w:t>Applications</w:t>
            </w:r>
          </w:p>
        </w:tc>
      </w:tr>
      <w:tr>
        <w:trPr>
          <w:trHeight w:val="190"/>
        </w:trPr>
        <w:tc>
          <w:tcPr>
            <w:tcW w:w="4000" w:type="dxa"/>
            <w:vAlign w:val="bottom"/>
            <w:shd w:val="clear" w:color="auto" w:fill="CFF0FC"/>
          </w:tcPr>
          <w:p>
            <w:pPr>
              <w:jc w:val="center"/>
              <w:spacing w:after="0" w:line="190" w:lineRule="exact"/>
              <w:rPr>
                <w:sz w:val="20"/>
                <w:szCs w:val="20"/>
                <w:color w:val="auto"/>
              </w:rPr>
            </w:pPr>
            <w:r>
              <w:rPr>
                <w:rFonts w:ascii="Arial" w:cs="Arial" w:eastAsia="Arial" w:hAnsi="Arial"/>
                <w:sz w:val="18"/>
                <w:szCs w:val="18"/>
                <w:color w:val="auto"/>
                <w:w w:val="99"/>
              </w:rPr>
              <w:t>5000 Series</w:t>
            </w:r>
          </w:p>
        </w:tc>
        <w:tc>
          <w:tcPr>
            <w:tcW w:w="280" w:type="dxa"/>
            <w:vAlign w:val="bottom"/>
            <w:shd w:val="clear" w:color="auto" w:fill="CFF0FC"/>
          </w:tcPr>
          <w:p>
            <w:pPr>
              <w:spacing w:after="0"/>
              <w:rPr>
                <w:sz w:val="16"/>
                <w:szCs w:val="16"/>
                <w:color w:val="auto"/>
              </w:rPr>
            </w:pPr>
          </w:p>
        </w:tc>
        <w:tc>
          <w:tcPr>
            <w:tcW w:w="6420" w:type="dxa"/>
            <w:vAlign w:val="bottom"/>
            <w:shd w:val="clear" w:color="auto" w:fill="CFF0FC"/>
          </w:tcPr>
          <w:p>
            <w:pPr>
              <w:spacing w:after="0" w:line="190" w:lineRule="exact"/>
              <w:rPr>
                <w:sz w:val="20"/>
                <w:szCs w:val="20"/>
                <w:color w:val="auto"/>
              </w:rPr>
            </w:pPr>
            <w:r>
              <w:rPr>
                <w:rFonts w:ascii="Arial" w:cs="Arial" w:eastAsia="Arial" w:hAnsi="Arial"/>
                <w:sz w:val="18"/>
                <w:szCs w:val="18"/>
                <w:color w:val="auto"/>
              </w:rPr>
              <w:t>• Rigid and Articulated Dump Truck</w:t>
            </w:r>
          </w:p>
        </w:tc>
      </w:tr>
      <w:tr>
        <w:trPr>
          <w:trHeight w:val="202"/>
        </w:trPr>
        <w:tc>
          <w:tcPr>
            <w:tcW w:w="4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 Underground Mine Truck</w:t>
            </w:r>
          </w:p>
        </w:tc>
      </w:tr>
      <w:tr>
        <w:trPr>
          <w:trHeight w:val="235"/>
        </w:trPr>
        <w:tc>
          <w:tcPr>
            <w:tcW w:w="4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 Well Service Rigs</w:t>
            </w:r>
          </w:p>
        </w:tc>
      </w:tr>
      <w:tr>
        <w:trPr>
          <w:trHeight w:val="197"/>
        </w:trPr>
        <w:tc>
          <w:tcPr>
            <w:tcW w:w="4000" w:type="dxa"/>
            <w:vAlign w:val="bottom"/>
          </w:tcPr>
          <w:p>
            <w:pPr>
              <w:jc w:val="center"/>
              <w:spacing w:after="0" w:line="197" w:lineRule="exact"/>
              <w:rPr>
                <w:sz w:val="20"/>
                <w:szCs w:val="20"/>
                <w:color w:val="auto"/>
              </w:rPr>
            </w:pPr>
            <w:r>
              <w:rPr>
                <w:rFonts w:ascii="Arial" w:cs="Arial" w:eastAsia="Arial" w:hAnsi="Arial"/>
                <w:sz w:val="18"/>
                <w:szCs w:val="18"/>
                <w:color w:val="auto"/>
                <w:w w:val="99"/>
              </w:rPr>
              <w:t>6000 Series</w:t>
            </w:r>
          </w:p>
        </w:tc>
        <w:tc>
          <w:tcPr>
            <w:tcW w:w="280" w:type="dxa"/>
            <w:vAlign w:val="bottom"/>
          </w:tcPr>
          <w:p>
            <w:pPr>
              <w:spacing w:after="0"/>
              <w:rPr>
                <w:sz w:val="17"/>
                <w:szCs w:val="17"/>
                <w:color w:val="auto"/>
              </w:rPr>
            </w:pPr>
          </w:p>
        </w:tc>
        <w:tc>
          <w:tcPr>
            <w:tcW w:w="6420" w:type="dxa"/>
            <w:vAlign w:val="bottom"/>
          </w:tcPr>
          <w:p>
            <w:pPr>
              <w:spacing w:after="0" w:line="197" w:lineRule="exact"/>
              <w:rPr>
                <w:sz w:val="20"/>
                <w:szCs w:val="20"/>
                <w:color w:val="auto"/>
              </w:rPr>
            </w:pPr>
            <w:r>
              <w:rPr>
                <w:rFonts w:ascii="Arial" w:cs="Arial" w:eastAsia="Arial" w:hAnsi="Arial"/>
                <w:sz w:val="18"/>
                <w:szCs w:val="18"/>
                <w:color w:val="auto"/>
              </w:rPr>
              <w:t>• Rigid and Articulated Dump Truck</w:t>
            </w:r>
          </w:p>
        </w:tc>
      </w:tr>
      <w:tr>
        <w:trPr>
          <w:trHeight w:val="202"/>
        </w:trPr>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20" w:type="dxa"/>
            <w:vAlign w:val="bottom"/>
          </w:tcPr>
          <w:p>
            <w:pPr>
              <w:spacing w:after="0" w:line="202" w:lineRule="exact"/>
              <w:rPr>
                <w:sz w:val="20"/>
                <w:szCs w:val="20"/>
                <w:color w:val="auto"/>
              </w:rPr>
            </w:pPr>
            <w:r>
              <w:rPr>
                <w:rFonts w:ascii="Arial" w:cs="Arial" w:eastAsia="Arial" w:hAnsi="Arial"/>
                <w:sz w:val="18"/>
                <w:szCs w:val="18"/>
                <w:color w:val="auto"/>
              </w:rPr>
              <w:t>• Underground Mine Truck</w:t>
            </w:r>
          </w:p>
        </w:tc>
      </w:tr>
      <w:tr>
        <w:trPr>
          <w:trHeight w:val="235"/>
        </w:trPr>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 Well Service Rigs</w:t>
            </w:r>
          </w:p>
        </w:tc>
      </w:tr>
      <w:tr>
        <w:trPr>
          <w:trHeight w:val="197"/>
        </w:trPr>
        <w:tc>
          <w:tcPr>
            <w:tcW w:w="4000" w:type="dxa"/>
            <w:vAlign w:val="bottom"/>
            <w:shd w:val="clear" w:color="auto" w:fill="CFF0FC"/>
          </w:tcPr>
          <w:p>
            <w:pPr>
              <w:jc w:val="center"/>
              <w:spacing w:after="0" w:line="197" w:lineRule="exact"/>
              <w:rPr>
                <w:sz w:val="20"/>
                <w:szCs w:val="20"/>
                <w:color w:val="auto"/>
              </w:rPr>
            </w:pPr>
            <w:r>
              <w:rPr>
                <w:rFonts w:ascii="Arial" w:cs="Arial" w:eastAsia="Arial" w:hAnsi="Arial"/>
                <w:sz w:val="18"/>
                <w:szCs w:val="18"/>
                <w:color w:val="auto"/>
                <w:w w:val="99"/>
              </w:rPr>
              <w:t>8000 Series</w:t>
            </w:r>
          </w:p>
        </w:tc>
        <w:tc>
          <w:tcPr>
            <w:tcW w:w="280" w:type="dxa"/>
            <w:vAlign w:val="bottom"/>
            <w:shd w:val="clear" w:color="auto" w:fill="CFF0FC"/>
          </w:tcPr>
          <w:p>
            <w:pPr>
              <w:spacing w:after="0"/>
              <w:rPr>
                <w:sz w:val="17"/>
                <w:szCs w:val="17"/>
                <w:color w:val="auto"/>
              </w:rPr>
            </w:pPr>
          </w:p>
        </w:tc>
        <w:tc>
          <w:tcPr>
            <w:tcW w:w="6420" w:type="dxa"/>
            <w:vAlign w:val="bottom"/>
            <w:shd w:val="clear" w:color="auto" w:fill="CFF0FC"/>
          </w:tcPr>
          <w:p>
            <w:pPr>
              <w:spacing w:after="0" w:line="197" w:lineRule="exact"/>
              <w:rPr>
                <w:sz w:val="20"/>
                <w:szCs w:val="20"/>
                <w:color w:val="auto"/>
              </w:rPr>
            </w:pPr>
            <w:r>
              <w:rPr>
                <w:rFonts w:ascii="Arial" w:cs="Arial" w:eastAsia="Arial" w:hAnsi="Arial"/>
                <w:sz w:val="18"/>
                <w:szCs w:val="18"/>
                <w:color w:val="auto"/>
              </w:rPr>
              <w:t>• Hydraulic Fracturing Equipment</w:t>
            </w:r>
          </w:p>
        </w:tc>
      </w:tr>
      <w:tr>
        <w:trPr>
          <w:trHeight w:val="235"/>
        </w:trPr>
        <w:tc>
          <w:tcPr>
            <w:tcW w:w="4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 Rigid Dump Trucks</w:t>
            </w:r>
          </w:p>
        </w:tc>
      </w:tr>
      <w:tr>
        <w:trPr>
          <w:trHeight w:val="197"/>
        </w:trPr>
        <w:tc>
          <w:tcPr>
            <w:tcW w:w="4000" w:type="dxa"/>
            <w:vAlign w:val="bottom"/>
          </w:tcPr>
          <w:p>
            <w:pPr>
              <w:jc w:val="center"/>
              <w:spacing w:after="0" w:line="197" w:lineRule="exact"/>
              <w:rPr>
                <w:sz w:val="20"/>
                <w:szCs w:val="20"/>
                <w:color w:val="auto"/>
              </w:rPr>
            </w:pPr>
            <w:r>
              <w:rPr>
                <w:rFonts w:ascii="Arial" w:cs="Arial" w:eastAsia="Arial" w:hAnsi="Arial"/>
                <w:sz w:val="18"/>
                <w:szCs w:val="18"/>
                <w:color w:val="auto"/>
                <w:w w:val="99"/>
              </w:rPr>
              <w:t>9000 Series</w:t>
            </w:r>
          </w:p>
        </w:tc>
        <w:tc>
          <w:tcPr>
            <w:tcW w:w="280" w:type="dxa"/>
            <w:vAlign w:val="bottom"/>
          </w:tcPr>
          <w:p>
            <w:pPr>
              <w:spacing w:after="0"/>
              <w:rPr>
                <w:sz w:val="17"/>
                <w:szCs w:val="17"/>
                <w:color w:val="auto"/>
              </w:rPr>
            </w:pPr>
          </w:p>
        </w:tc>
        <w:tc>
          <w:tcPr>
            <w:tcW w:w="6420" w:type="dxa"/>
            <w:vAlign w:val="bottom"/>
          </w:tcPr>
          <w:p>
            <w:pPr>
              <w:spacing w:after="0" w:line="197" w:lineRule="exact"/>
              <w:rPr>
                <w:sz w:val="20"/>
                <w:szCs w:val="20"/>
                <w:color w:val="auto"/>
              </w:rPr>
            </w:pPr>
            <w:r>
              <w:rPr>
                <w:rFonts w:ascii="Arial" w:cs="Arial" w:eastAsia="Arial" w:hAnsi="Arial"/>
                <w:sz w:val="18"/>
                <w:szCs w:val="18"/>
                <w:color w:val="auto"/>
              </w:rPr>
              <w:t>• Hydraulic Fracturing Equipment</w:t>
            </w:r>
          </w:p>
        </w:tc>
      </w:tr>
      <w:tr>
        <w:trPr>
          <w:trHeight w:val="235"/>
        </w:trPr>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 Rigid Dump Trucks</w:t>
            </w:r>
          </w:p>
        </w:tc>
      </w:tr>
      <w:tr>
        <w:trPr>
          <w:trHeight w:val="243"/>
        </w:trPr>
        <w:tc>
          <w:tcPr>
            <w:tcW w:w="4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FracTran</w:t>
            </w:r>
          </w:p>
        </w:tc>
        <w:tc>
          <w:tcPr>
            <w:tcW w:w="280" w:type="dxa"/>
            <w:vAlign w:val="bottom"/>
            <w:shd w:val="clear" w:color="auto" w:fill="CFF0FC"/>
          </w:tcPr>
          <w:p>
            <w:pPr>
              <w:spacing w:after="0"/>
              <w:rPr>
                <w:sz w:val="21"/>
                <w:szCs w:val="21"/>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 Hydraulic Fracturing Equipment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45020" cy="779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5020" cy="779145"/>
                    </a:xfrm>
                    <a:prstGeom prst="rect">
                      <a:avLst/>
                    </a:prstGeom>
                    <a:noFill/>
                  </pic:spPr>
                </pic:pic>
              </a:graphicData>
            </a:graphic>
          </wp:anchor>
        </w:drawing>
      </w:r>
    </w:p>
    <w:p>
      <w:pPr>
        <w:spacing w:after="0" w:line="358"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Defense Products</w:t>
      </w:r>
    </w:p>
    <w:p>
      <w:pPr>
        <w:spacing w:after="0" w:line="42" w:lineRule="exact"/>
        <w:rPr>
          <w:sz w:val="20"/>
          <w:szCs w:val="20"/>
          <w:color w:val="auto"/>
        </w:rPr>
      </w:pPr>
    </w:p>
    <w:tbl>
      <w:tblPr>
        <w:tblLayout w:type="fixed"/>
        <w:tblInd w:w="280" w:type="dxa"/>
        <w:tblCellMar>
          <w:top w:w="0" w:type="dxa"/>
          <w:left w:w="0" w:type="dxa"/>
          <w:bottom w:w="0" w:type="dxa"/>
          <w:right w:w="0" w:type="dxa"/>
        </w:tblCellMar>
      </w:tblPr>
      <w:tr>
        <w:trPr>
          <w:trHeight w:val="217"/>
        </w:trPr>
        <w:tc>
          <w:tcPr>
            <w:tcW w:w="4000" w:type="dxa"/>
            <w:vAlign w:val="bottom"/>
            <w:tcBorders>
              <w:bottom w:val="single" w:sz="8" w:color="auto"/>
            </w:tcBorders>
          </w:tcPr>
          <w:p>
            <w:pPr>
              <w:ind w:left="1660"/>
              <w:spacing w:after="0"/>
              <w:rPr>
                <w:sz w:val="20"/>
                <w:szCs w:val="20"/>
                <w:color w:val="auto"/>
              </w:rPr>
            </w:pPr>
            <w:r>
              <w:rPr>
                <w:rFonts w:ascii="Arial" w:cs="Arial" w:eastAsia="Arial" w:hAnsi="Arial"/>
                <w:sz w:val="18"/>
                <w:szCs w:val="18"/>
                <w:b w:val="1"/>
                <w:bCs w:val="1"/>
                <w:color w:val="auto"/>
              </w:rPr>
              <w:t>Product</w:t>
            </w:r>
          </w:p>
        </w:tc>
        <w:tc>
          <w:tcPr>
            <w:tcW w:w="260" w:type="dxa"/>
            <w:vAlign w:val="bottom"/>
          </w:tcPr>
          <w:p>
            <w:pPr>
              <w:spacing w:after="0"/>
              <w:rPr>
                <w:sz w:val="18"/>
                <w:szCs w:val="18"/>
                <w:color w:val="auto"/>
              </w:rPr>
            </w:pPr>
          </w:p>
        </w:tc>
        <w:tc>
          <w:tcPr>
            <w:tcW w:w="6440" w:type="dxa"/>
            <w:vAlign w:val="bottom"/>
            <w:tcBorders>
              <w:bottom w:val="single" w:sz="8" w:color="auto"/>
            </w:tcBorders>
          </w:tcPr>
          <w:p>
            <w:pPr>
              <w:ind w:left="2680"/>
              <w:spacing w:after="0"/>
              <w:rPr>
                <w:sz w:val="20"/>
                <w:szCs w:val="20"/>
                <w:color w:val="auto"/>
              </w:rPr>
            </w:pPr>
            <w:r>
              <w:rPr>
                <w:rFonts w:ascii="Arial" w:cs="Arial" w:eastAsia="Arial" w:hAnsi="Arial"/>
                <w:sz w:val="18"/>
                <w:szCs w:val="18"/>
                <w:b w:val="1"/>
                <w:bCs w:val="1"/>
                <w:color w:val="auto"/>
              </w:rPr>
              <w:t>Applications</w:t>
            </w:r>
          </w:p>
        </w:tc>
      </w:tr>
      <w:tr>
        <w:trPr>
          <w:trHeight w:val="223"/>
        </w:trPr>
        <w:tc>
          <w:tcPr>
            <w:tcW w:w="4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X200</w:t>
            </w:r>
          </w:p>
        </w:tc>
        <w:tc>
          <w:tcPr>
            <w:tcW w:w="260" w:type="dxa"/>
            <w:vAlign w:val="bottom"/>
            <w:shd w:val="clear" w:color="auto" w:fill="CFF0FC"/>
          </w:tcPr>
          <w:p>
            <w:pPr>
              <w:spacing w:after="0"/>
              <w:rPr>
                <w:sz w:val="19"/>
                <w:szCs w:val="19"/>
                <w:color w:val="auto"/>
              </w:rPr>
            </w:pPr>
          </w:p>
        </w:tc>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Tracked Vehicles</w:t>
            </w:r>
          </w:p>
        </w:tc>
      </w:tr>
      <w:tr>
        <w:trPr>
          <w:trHeight w:val="229"/>
        </w:trPr>
        <w:tc>
          <w:tcPr>
            <w:tcW w:w="4000" w:type="dxa"/>
            <w:vAlign w:val="bottom"/>
          </w:tcPr>
          <w:p>
            <w:pPr>
              <w:jc w:val="center"/>
              <w:spacing w:after="0"/>
              <w:rPr>
                <w:sz w:val="20"/>
                <w:szCs w:val="20"/>
                <w:color w:val="auto"/>
              </w:rPr>
            </w:pPr>
            <w:r>
              <w:rPr>
                <w:rFonts w:ascii="Arial" w:cs="Arial" w:eastAsia="Arial" w:hAnsi="Arial"/>
                <w:sz w:val="18"/>
                <w:szCs w:val="18"/>
                <w:color w:val="auto"/>
              </w:rPr>
              <w:t>3040MX</w:t>
            </w:r>
          </w:p>
        </w:tc>
        <w:tc>
          <w:tcPr>
            <w:tcW w:w="260" w:type="dxa"/>
            <w:vAlign w:val="bottom"/>
          </w:tcPr>
          <w:p>
            <w:pPr>
              <w:spacing w:after="0"/>
              <w:rPr>
                <w:sz w:val="19"/>
                <w:szCs w:val="19"/>
                <w:color w:val="auto"/>
              </w:rPr>
            </w:pPr>
          </w:p>
        </w:tc>
        <w:tc>
          <w:tcPr>
            <w:tcW w:w="6440" w:type="dxa"/>
            <w:vAlign w:val="bottom"/>
          </w:tcPr>
          <w:p>
            <w:pPr>
              <w:ind w:left="20"/>
              <w:spacing w:after="0"/>
              <w:rPr>
                <w:sz w:val="20"/>
                <w:szCs w:val="20"/>
                <w:color w:val="auto"/>
              </w:rPr>
            </w:pPr>
            <w:r>
              <w:rPr>
                <w:rFonts w:ascii="Arial" w:cs="Arial" w:eastAsia="Arial" w:hAnsi="Arial"/>
                <w:sz w:val="18"/>
                <w:szCs w:val="18"/>
                <w:color w:val="auto"/>
              </w:rPr>
              <w:t>• Tracked Vehicles</w:t>
            </w:r>
          </w:p>
        </w:tc>
      </w:tr>
      <w:tr>
        <w:trPr>
          <w:trHeight w:val="243"/>
        </w:trPr>
        <w:tc>
          <w:tcPr>
            <w:tcW w:w="4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X1100</w:t>
            </w:r>
          </w:p>
        </w:tc>
        <w:tc>
          <w:tcPr>
            <w:tcW w:w="260" w:type="dxa"/>
            <w:vAlign w:val="bottom"/>
            <w:shd w:val="clear" w:color="auto" w:fill="CFF0FC"/>
          </w:tcPr>
          <w:p>
            <w:pPr>
              <w:spacing w:after="0"/>
              <w:rPr>
                <w:sz w:val="21"/>
                <w:szCs w:val="21"/>
                <w:color w:val="auto"/>
              </w:rPr>
            </w:pPr>
          </w:p>
        </w:tc>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Tracked Vehicles</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Engineering</w:t>
      </w:r>
    </w:p>
    <w:p>
      <w:pPr>
        <w:spacing w:after="0" w:line="157"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We maintain product development and engineering capability dedicated to the design, development, refinement and support of our fully automatic transmissions and electric hybrid and fully electric propulsion systems. We believe our customers expect our products to provide unparalleled performance and value defined in various ways, including delivering maximum cargo in minimum time, using the least amount of fuel possible while employing the fewest vehicles possible and experiencing maximum vehicle uptime. In response to those needs and the evolving customer focus on fuel efficiency and reduced emissions, we provide vehicle specification guidelines, propulsion control software and mechanical components to optimize fuel economy while delivering desired vehicle performance.</w:t>
      </w:r>
    </w:p>
    <w:p>
      <w:pPr>
        <w:spacing w:after="0" w:line="128" w:lineRule="exact"/>
        <w:rPr>
          <w:sz w:val="20"/>
          <w:szCs w:val="20"/>
          <w:color w:val="auto"/>
        </w:rPr>
      </w:pPr>
    </w:p>
    <w:p>
      <w:pPr>
        <w:ind w:right="60" w:firstLine="494"/>
        <w:spacing w:after="0" w:line="252" w:lineRule="auto"/>
        <w:rPr>
          <w:sz w:val="20"/>
          <w:szCs w:val="20"/>
          <w:color w:val="auto"/>
        </w:rPr>
      </w:pPr>
      <w:r>
        <w:rPr>
          <w:rFonts w:ascii="Arial" w:cs="Arial" w:eastAsia="Arial" w:hAnsi="Arial"/>
          <w:sz w:val="18"/>
          <w:szCs w:val="18"/>
          <w:color w:val="auto"/>
        </w:rPr>
        <w:t>Further, we are developing new products and technology to improve the fuel efficiency and fuel economy of our conventional products, including by allowing engines to operate more efficiently and at lower speeds to avoid consuming fuel without compromising performance, and to expand our portfolio of electric hybrid and fully electric propulsion solutions.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Organization</w:t>
      </w:r>
    </w:p>
    <w:p>
      <w:pPr>
        <w:spacing w:after="0" w:line="157" w:lineRule="exact"/>
        <w:rPr>
          <w:sz w:val="20"/>
          <w:szCs w:val="20"/>
          <w:color w:val="auto"/>
        </w:rPr>
      </w:pPr>
    </w:p>
    <w:p>
      <w:pPr>
        <w:ind w:right="180" w:firstLine="494"/>
        <w:spacing w:after="0" w:line="243" w:lineRule="auto"/>
        <w:rPr>
          <w:sz w:val="20"/>
          <w:szCs w:val="20"/>
          <w:color w:val="auto"/>
        </w:rPr>
      </w:pPr>
      <w:r>
        <w:rPr>
          <w:rFonts w:ascii="Arial" w:cs="Arial" w:eastAsia="Arial" w:hAnsi="Arial"/>
          <w:sz w:val="18"/>
          <w:szCs w:val="18"/>
          <w:color w:val="auto"/>
        </w:rPr>
        <w:t>Our sales and marketing effort is organized along geographic and customer lines and is comprised of marketing, sales and service professionals, supported by customer integration engineers worldwide. In North America, selling efforts in the on-highway end market are organized by distributor area responsibility, OEM sales and, for our large end users, national accounts. Outside North America, we manage our sales, marketing, service and customer integration engineering professionals through regional areas of responsibility. These regional management teams distribute OEM service and customer integration engineering resources globally.</w:t>
      </w:r>
    </w:p>
    <w:p>
      <w:pPr>
        <w:spacing w:after="0" w:line="125" w:lineRule="exact"/>
        <w:rPr>
          <w:sz w:val="20"/>
          <w:szCs w:val="20"/>
          <w:color w:val="auto"/>
        </w:rPr>
      </w:pPr>
    </w:p>
    <w:p>
      <w:pPr>
        <w:ind w:right="220" w:firstLine="494"/>
        <w:spacing w:after="0" w:line="246" w:lineRule="auto"/>
        <w:rPr>
          <w:sz w:val="20"/>
          <w:szCs w:val="20"/>
          <w:color w:val="auto"/>
        </w:rPr>
      </w:pPr>
      <w:r>
        <w:rPr>
          <w:rFonts w:ascii="Arial" w:cs="Arial" w:eastAsia="Arial" w:hAnsi="Arial"/>
          <w:sz w:val="18"/>
          <w:szCs w:val="18"/>
          <w:color w:val="auto"/>
        </w:rPr>
        <w:t>We have developed a marketing strategy to reach OEM customers as well as end users. We target our end users primarily through marketing activities by our sales staff, who directly call on end users and attend local trade shows, targeting specific vocations globally and through our plant tour programs, where end users may test our products on our Indianapolis test track and our enhanced customer experience demonstration track at our Hungary facility.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right="380" w:firstLine="494"/>
        <w:spacing w:after="0" w:line="271" w:lineRule="auto"/>
        <w:rPr>
          <w:sz w:val="20"/>
          <w:szCs w:val="20"/>
          <w:color w:val="auto"/>
        </w:rPr>
      </w:pPr>
      <w:r>
        <w:rPr>
          <w:rFonts w:ascii="Arial" w:cs="Arial" w:eastAsia="Arial" w:hAnsi="Arial"/>
          <w:sz w:val="18"/>
          <w:szCs w:val="18"/>
          <w:color w:val="auto"/>
        </w:rPr>
        <w:t>While our marketing management uses the term “customer” interchangeably for OEMs and end users, the primary objective of our marketing strategy is to create demand for propulsion solutions through:</w:t>
      </w:r>
    </w:p>
    <w:p>
      <w:pPr>
        <w:spacing w:after="0" w:line="99" w:lineRule="exact"/>
        <w:rPr>
          <w:sz w:val="20"/>
          <w:szCs w:val="20"/>
          <w:color w:val="auto"/>
        </w:rPr>
      </w:pPr>
    </w:p>
    <w:p>
      <w:pPr>
        <w:ind w:left="760" w:hanging="191"/>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OEM promotion of our products and incorporation of our propulsion solutions in their commercial vehicle product offerings;</w:t>
      </w:r>
    </w:p>
    <w:p>
      <w:pPr>
        <w:spacing w:after="0" w:line="25" w:lineRule="exact"/>
        <w:rPr>
          <w:rFonts w:ascii="Times New Roman" w:cs="Times New Roman" w:eastAsia="Times New Roman" w:hAnsi="Times New Roman"/>
          <w:sz w:val="18"/>
          <w:szCs w:val="18"/>
          <w:color w:val="auto"/>
        </w:rPr>
      </w:pPr>
    </w:p>
    <w:p>
      <w:pPr>
        <w:ind w:left="760" w:hanging="191"/>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Allison representative and/or Allison distributor contact with identified, major end users; and</w:t>
      </w:r>
    </w:p>
    <w:p>
      <w:pPr>
        <w:spacing w:after="0" w:line="7" w:lineRule="exact"/>
        <w:rPr>
          <w:rFonts w:ascii="Times New Roman" w:cs="Times New Roman" w:eastAsia="Times New Roman" w:hAnsi="Times New Roman"/>
          <w:sz w:val="18"/>
          <w:szCs w:val="18"/>
          <w:color w:val="auto"/>
        </w:rPr>
      </w:pPr>
    </w:p>
    <w:p>
      <w:pPr>
        <w:ind w:left="760" w:hanging="191"/>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network of independent dealers who contact other end users.</w:t>
      </w:r>
    </w:p>
    <w:p>
      <w:pPr>
        <w:spacing w:after="0" w:line="152" w:lineRule="exact"/>
        <w:rPr>
          <w:sz w:val="20"/>
          <w:szCs w:val="20"/>
          <w:color w:val="auto"/>
        </w:rPr>
      </w:pPr>
    </w:p>
    <w:p>
      <w:pPr>
        <w:ind w:right="260" w:firstLine="494"/>
        <w:spacing w:after="0" w:line="271" w:lineRule="auto"/>
        <w:rPr>
          <w:sz w:val="20"/>
          <w:szCs w:val="20"/>
          <w:color w:val="auto"/>
        </w:rPr>
      </w:pPr>
      <w:r>
        <w:rPr>
          <w:rFonts w:ascii="Arial" w:cs="Arial" w:eastAsia="Arial" w:hAnsi="Arial"/>
          <w:sz w:val="18"/>
          <w:szCs w:val="18"/>
          <w:color w:val="auto"/>
        </w:rPr>
        <w:t>The process is interactive, as Allison representatives, Allison distributors, OEMs and dealers educate customers and respond to the specific applications, requirements and needs of numerous specialty markets.</w:t>
      </w:r>
    </w:p>
    <w:p>
      <w:pPr>
        <w:spacing w:after="0" w:line="99" w:lineRule="exact"/>
        <w:rPr>
          <w:sz w:val="20"/>
          <w:szCs w:val="20"/>
          <w:color w:val="auto"/>
        </w:rPr>
      </w:pPr>
    </w:p>
    <w:p>
      <w:pPr>
        <w:ind w:right="80" w:firstLine="494"/>
        <w:spacing w:after="0" w:line="243" w:lineRule="auto"/>
        <w:rPr>
          <w:sz w:val="20"/>
          <w:szCs w:val="20"/>
          <w:color w:val="auto"/>
        </w:rPr>
      </w:pPr>
      <w:r>
        <w:rPr>
          <w:rFonts w:ascii="Arial" w:cs="Arial" w:eastAsia="Arial" w:hAnsi="Arial"/>
          <w:sz w:val="18"/>
          <w:szCs w:val="18"/>
          <w:color w:val="auto"/>
        </w:rPr>
        <w:t>Similarly, we work with customers, dealers and OEMs to educate, improve and simplify how they specify vehicles and vehicle systems in order to optimize vehicle performance and fuel consumption. Our field organization also works closely with distributors who, in turn, work with dealers to provide end users with education, parts, service and warranty support. The defense group focuses on industry OEMs and collaborative dialogue with OEMs and government leaders to understand program requirements and determine our long-term product development strategy.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57"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Our manufacturing strategy provides for distributed capability in manufacturing and assembly of our products for the global commercial vehicle market. Our primary manufacturing facilities, located in Indianapolis, Indiana, consist of approximately 2.3 million square feet of usable manufacturing space in five plants. Our high volume on-highway products are produced in multiple global locations (United States, Chennai, India and Szentgotthard, Hungary), while off-highway, electric hybrid propulsion and defense tracked products are produced in Indianapolis and fully electric propulsion solutions are produced in Auburn Hills, Michigan. In addition, our aluminum die cast components are produced in Lewisburg, Tennessee. We also have established customization and parts distribution in the United States, the Netherlands, Brazil, China, Hungary, India and Japan.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 and Raw Materials</w:t>
      </w:r>
    </w:p>
    <w:p>
      <w:pPr>
        <w:spacing w:after="0" w:line="157"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A significant amount of the part numbers that make up our propulsion solutions are purchased from outside suppliers, and during 2023, we purchased approximately $1,047 million of direct materials and components from outside suppliers. The largest elements of our direct spending are aluminum and steel castings and forgings that are formed by our suppliers into our larger components and assemblies for use in our propulsion solutions. Our spending on aluminum and steel raw materials directly and indirectly through our purchase of these components constituted approximately 20% of our direct material and component costs in 2023. The balance of our direct and indirect materials and components costs are primarily composed of value-added services and conversion costs. Our supply contracts, along with an intensive supplier selection and performance monitoring process, have enabled us to establish and maintain close relationships with suppliers and have contributed to our overall operating efficiency and quality.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57" w:lineRule="exact"/>
        <w:rPr>
          <w:sz w:val="20"/>
          <w:szCs w:val="20"/>
          <w:color w:val="auto"/>
        </w:rPr>
      </w:pPr>
    </w:p>
    <w:p>
      <w:pPr>
        <w:ind w:firstLine="494"/>
        <w:spacing w:after="0" w:line="261" w:lineRule="auto"/>
        <w:rPr>
          <w:sz w:val="20"/>
          <w:szCs w:val="20"/>
          <w:color w:val="auto"/>
        </w:rPr>
      </w:pPr>
      <w:r>
        <w:rPr>
          <w:rFonts w:ascii="Arial" w:cs="Arial" w:eastAsia="Arial" w:hAnsi="Arial"/>
          <w:sz w:val="17"/>
          <w:szCs w:val="17"/>
          <w:color w:val="auto"/>
        </w:rPr>
        <w:t>Patents, trademarks, and other proprietary rights are important to the continued success of our business. We also rely upon trade secrets, know-how, continuing technological innovation and licensing opportunities to develop and maintain our competitive position. We protect our proprietary rights through a variety of methods, including confidentiality agreements and proprietary information agreements with suppliers, employees, consultants and others who may have access to our proprietary information. We own and have licensing arrangements for a number of U.S. and foreign patents related to our products and business. We do not consider our business to be dependent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on any single patent, nor will the expiration of any single patent materially affect our business. Our current patents will expire over various periods, and we continue to file new patent applications on newly-developed technology.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57" w:lineRule="exact"/>
        <w:rPr>
          <w:sz w:val="20"/>
          <w:szCs w:val="20"/>
          <w:color w:val="auto"/>
        </w:rPr>
      </w:pPr>
    </w:p>
    <w:p>
      <w:pPr>
        <w:jc w:val="both"/>
        <w:ind w:right="140" w:firstLine="494"/>
        <w:spacing w:after="0" w:line="252" w:lineRule="auto"/>
        <w:rPr>
          <w:sz w:val="20"/>
          <w:szCs w:val="20"/>
          <w:color w:val="auto"/>
        </w:rPr>
      </w:pPr>
      <w:r>
        <w:rPr>
          <w:rFonts w:ascii="Arial" w:cs="Arial" w:eastAsia="Arial" w:hAnsi="Arial"/>
          <w:sz w:val="18"/>
          <w:szCs w:val="18"/>
          <w:color w:val="auto"/>
        </w:rPr>
        <w:t>Overall, the demand for our products is relatively consistent over the year. However, in typical market conditions, the North American truck market experiences a higher level of production in the first half of the year due to fewer holidays and the practice of plant shutdowns in July and December.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57" w:lineRule="exact"/>
        <w:rPr>
          <w:sz w:val="20"/>
          <w:szCs w:val="20"/>
          <w:color w:val="auto"/>
        </w:rPr>
      </w:pPr>
    </w:p>
    <w:p>
      <w:pPr>
        <w:ind w:right="400" w:firstLine="494"/>
        <w:spacing w:after="0" w:line="252" w:lineRule="auto"/>
        <w:rPr>
          <w:sz w:val="20"/>
          <w:szCs w:val="20"/>
          <w:color w:val="auto"/>
        </w:rPr>
      </w:pPr>
      <w:r>
        <w:rPr>
          <w:rFonts w:ascii="Arial" w:cs="Arial" w:eastAsia="Arial" w:hAnsi="Arial"/>
          <w:sz w:val="18"/>
          <w:szCs w:val="18"/>
          <w:color w:val="auto"/>
        </w:rPr>
        <w:t>At Allison, we believe in the power of our people, our processes and our products. For more than 105 years, we have built our business on these values: Quality, Customer Focus, Integrity, Innovation, and Teamwork. We use a variety of human capital measures in managing our business, including: workforce demographics; inclusion and diversity; and employee health and safety.</w:t>
      </w:r>
    </w:p>
    <w:p>
      <w:pPr>
        <w:spacing w:after="0" w:line="117" w:lineRule="exact"/>
        <w:rPr>
          <w:sz w:val="20"/>
          <w:szCs w:val="20"/>
          <w:color w:val="auto"/>
        </w:rPr>
      </w:pPr>
    </w:p>
    <w:p>
      <w:pPr>
        <w:ind w:right="20" w:firstLine="494"/>
        <w:spacing w:after="0" w:line="261" w:lineRule="auto"/>
        <w:rPr>
          <w:sz w:val="20"/>
          <w:szCs w:val="20"/>
          <w:color w:val="auto"/>
        </w:rPr>
      </w:pPr>
      <w:r>
        <w:rPr>
          <w:rFonts w:ascii="Arial" w:cs="Arial" w:eastAsia="Arial" w:hAnsi="Arial"/>
          <w:sz w:val="17"/>
          <w:szCs w:val="17"/>
          <w:b w:val="1"/>
          <w:bCs w:val="1"/>
          <w:i w:val="1"/>
          <w:iCs w:val="1"/>
          <w:color w:val="auto"/>
        </w:rPr>
        <w:t>Workforce Demographics</w:t>
      </w:r>
      <w:r>
        <w:rPr>
          <w:rFonts w:ascii="Arial" w:cs="Arial" w:eastAsia="Arial" w:hAnsi="Arial"/>
          <w:sz w:val="17"/>
          <w:szCs w:val="17"/>
          <w:color w:val="auto"/>
        </w:rPr>
        <w:t>. Our people are a critical component in our continued success, the delivery of our values and the execution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growth initiatives. As of December 31, 2023, we had a highly skilled workforce of approximately 3,700 employees, with approximately 89% of those employees in the U.S. Approximately 48% of our U.S. employees are represented by the International Union, United Automobile, Aerospace and Agricultural Implement Workers of America (“UAW”) and are subject to a collective bargaining agreement. In January 2024, we entered into a new four-year collective bargaining agreement with UAW Local 933 that expires in November 2027.</w:t>
      </w:r>
    </w:p>
    <w:p>
      <w:pPr>
        <w:spacing w:after="0" w:line="110"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b w:val="1"/>
          <w:bCs w:val="1"/>
          <w:i w:val="1"/>
          <w:iCs w:val="1"/>
          <w:color w:val="auto"/>
        </w:rPr>
        <w:t>Inclusion and Diversity</w:t>
      </w:r>
      <w:r>
        <w:rPr>
          <w:rFonts w:ascii="Arial" w:cs="Arial" w:eastAsia="Arial" w:hAnsi="Arial"/>
          <w:sz w:val="18"/>
          <w:szCs w:val="18"/>
          <w:color w:val="auto"/>
        </w:rPr>
        <w:t>. Allison recognizes the power of different thought, accepts and respects each individual and strives to create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inclusive workplace where everyone can reach their full potential, driving innovation and business results. Allison’s Inclusion and Diversity (I&amp;D) Executive Council is chaired by our Chief Executive Officer and includes eight executive members. The council exists to provide leadership advice, analyze progress of our I&amp;D strategy and ensure alignment with our business strategy. We are committed to advancing and representing all of our workforce by creating a diverse, equitable, and inclusive organization. Our efforts to promote an equitable and inclusive workplace include: providing unconscious bias training; continuing to increase our focus on non-traditional recruiting sources such as veterans, people with disabilities, diverse professional organizations, high schools, Historically Black Colleges and Universities and predominantly Hispanic organizations; organizing virtual mentoring programs to connect employees from different locations, departments and backgrounds; and creating LGBTQ+, multicultural, emerging professionals and military veterans employee resource groups.</w:t>
      </w:r>
    </w:p>
    <w:p>
      <w:pPr>
        <w:spacing w:after="0" w:line="168" w:lineRule="exact"/>
        <w:rPr>
          <w:sz w:val="20"/>
          <w:szCs w:val="20"/>
          <w:color w:val="auto"/>
        </w:rPr>
      </w:pPr>
    </w:p>
    <w:p>
      <w:pPr>
        <w:ind w:firstLine="494"/>
        <w:spacing w:after="0"/>
        <w:rPr>
          <w:sz w:val="20"/>
          <w:szCs w:val="20"/>
          <w:color w:val="auto"/>
        </w:rPr>
      </w:pPr>
      <w:r>
        <w:rPr>
          <w:rFonts w:ascii="Arial" w:cs="Arial" w:eastAsia="Arial" w:hAnsi="Arial"/>
          <w:sz w:val="18"/>
          <w:szCs w:val="18"/>
          <w:b w:val="1"/>
          <w:bCs w:val="1"/>
          <w:i w:val="1"/>
          <w:iCs w:val="1"/>
          <w:color w:val="auto"/>
        </w:rPr>
        <w:t>Employee Health &amp; Safety</w:t>
      </w:r>
      <w:r>
        <w:rPr>
          <w:rFonts w:ascii="Arial" w:cs="Arial" w:eastAsia="Arial" w:hAnsi="Arial"/>
          <w:sz w:val="18"/>
          <w:szCs w:val="18"/>
          <w:color w:val="auto"/>
        </w:rPr>
        <w:t>. Allison’s overriding priority is to protect the health and safety of each employee. As part of our health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safety programs, Allison is certified in ISO 45001, Occupational Health and Safety Management Systems. ISO 45001 is the only internationally recognized Safety Management System. Employees participate in training focused on health and safety and metrics are reviewed regularly, including the number of injury incidents that occur and those incidents that result in lost work days. For 2023, we achieved an overall recordable rate of 1.64 at our global locations, meaning that for every 100 employees, 1.64 employees incurred an injury that resulted in recordable medical treatment, and the number of lost work days was 0.63 at our global locations, meaning that for every 100 employees, 0.63 individuals experienced an incident that resulted in days away from work.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57" w:lineRule="exact"/>
        <w:rPr>
          <w:sz w:val="20"/>
          <w:szCs w:val="20"/>
          <w:color w:val="auto"/>
        </w:rPr>
      </w:pPr>
    </w:p>
    <w:p>
      <w:pPr>
        <w:ind w:right="140" w:firstLine="494"/>
        <w:spacing w:after="0" w:line="246" w:lineRule="auto"/>
        <w:rPr>
          <w:sz w:val="20"/>
          <w:szCs w:val="20"/>
          <w:color w:val="auto"/>
        </w:rPr>
      </w:pPr>
      <w:r>
        <w:rPr>
          <w:rFonts w:ascii="Arial" w:cs="Arial" w:eastAsia="Arial" w:hAnsi="Arial"/>
          <w:sz w:val="18"/>
          <w:szCs w:val="18"/>
          <w:color w:val="auto"/>
        </w:rPr>
        <w:t>We are subject to a variety of federal, state, local and foreign laws and regulations, including those governing the discharge of pollutants into the air or water, the management and disposal of hazardous substances or wastes, and the cleanup of contaminated sites. Some of our operations require environmental permits and controls to prevent and reduce air and water pollution. These permits are subject to modification, renewal and revocation by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issuing authorities. In addition, certain of our products and our customer’s products are subject to certification requirements by a variety of regulatory bodies. We believe we are in substantial compliance with all material environmental laws and regulations applicable to our plants and operations. Historically, our annual costs of achieving and maintaining compliance with environmental, health and safety requirements have not been material to our financial results.</w:t>
      </w:r>
    </w:p>
    <w:p>
      <w:pPr>
        <w:spacing w:after="0" w:line="122" w:lineRule="exact"/>
        <w:rPr>
          <w:sz w:val="20"/>
          <w:szCs w:val="20"/>
          <w:color w:val="auto"/>
        </w:rPr>
      </w:pPr>
    </w:p>
    <w:p>
      <w:pPr>
        <w:ind w:right="200" w:firstLine="494"/>
        <w:spacing w:after="0"/>
        <w:rPr>
          <w:sz w:val="20"/>
          <w:szCs w:val="20"/>
          <w:color w:val="auto"/>
        </w:rPr>
      </w:pPr>
      <w:r>
        <w:rPr>
          <w:rFonts w:ascii="Arial" w:cs="Arial" w:eastAsia="Arial" w:hAnsi="Arial"/>
          <w:sz w:val="18"/>
          <w:szCs w:val="18"/>
          <w:color w:val="auto"/>
        </w:rPr>
        <w:t>Increasing global efforts to control emissions of carbon dioxide, methane, ozone, nitrogen oxide and other greenhouse gases and pollutants, as well as the shifting focus of regulatory efforts towards total emissions output, have the potential to impact our facilities, costs, products and customers. The U.S. Environmental Protection Agency has taken action to control greenhouse gases from certain stationary and mobile sources. In addition, several states have taken steps, such as the adoption of cap and trade programs or other regulatory systems, to address greenhouse gases. There have also been international efforts seeking legally binding reductions in emissions of greenhouse gases. These developments and further actions that may be taken in the U.S. and in other countries, states or provinces could affect our operations both positively and negatively (e.g., by affecting the demand for or suitability of some of our products).</w:t>
      </w:r>
    </w:p>
    <w:p>
      <w:pPr>
        <w:spacing w:after="0" w:line="129" w:lineRule="exact"/>
        <w:rPr>
          <w:sz w:val="20"/>
          <w:szCs w:val="20"/>
          <w:color w:val="auto"/>
        </w:rPr>
      </w:pPr>
    </w:p>
    <w:p>
      <w:pPr>
        <w:ind w:right="120" w:firstLine="494"/>
        <w:spacing w:after="0" w:line="239" w:lineRule="auto"/>
        <w:rPr>
          <w:sz w:val="20"/>
          <w:szCs w:val="20"/>
          <w:color w:val="auto"/>
        </w:rPr>
      </w:pPr>
      <w:r>
        <w:rPr>
          <w:rFonts w:ascii="Arial" w:cs="Arial" w:eastAsia="Arial" w:hAnsi="Arial"/>
          <w:sz w:val="18"/>
          <w:szCs w:val="18"/>
          <w:color w:val="auto"/>
        </w:rPr>
        <w:t>In addition to the foregoing, various legislation, regulations and international accords pertaining to climate change have been implemented or are being considered for implementation, particularly as they relate to the reporting of greenhouse gas emissions and sustainability efforts being undertaken, such as the European Union’s Corporate Sustainability Reporting Directive ("CSRD"), California’s Climate Corporate Data Accountability Act and Climate-Related Financial Risk Act, and proposed climate disclosure rules that remain under consideration by the SEC. We continue to monitor the development and implementation of such legislation and regulations and are evaluating the impact these laws and regulations may have on the Company, including the extent of our potential disclosures or other reporting requirements. We also continue to regularly report our sustainability efforts and metrics under the Global Reporting Initiative framework and report our progress in our annual Environmental, Social and Governance Report.</w:t>
      </w:r>
    </w:p>
    <w:p>
      <w:pPr>
        <w:spacing w:after="0" w:line="131" w:lineRule="exact"/>
        <w:rPr>
          <w:sz w:val="20"/>
          <w:szCs w:val="20"/>
          <w:color w:val="auto"/>
        </w:rPr>
      </w:pPr>
    </w:p>
    <w:p>
      <w:pPr>
        <w:ind w:right="160" w:firstLine="494"/>
        <w:spacing w:after="0"/>
        <w:rPr>
          <w:sz w:val="20"/>
          <w:szCs w:val="20"/>
          <w:color w:val="auto"/>
        </w:rPr>
      </w:pPr>
      <w:r>
        <w:rPr>
          <w:rFonts w:ascii="Arial" w:cs="Arial" w:eastAsia="Arial" w:hAnsi="Arial"/>
          <w:sz w:val="18"/>
          <w:szCs w:val="18"/>
          <w:color w:val="auto"/>
        </w:rPr>
        <w:t>We also may be subject to liability as a potentially responsible party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any contamination, and any such liability may be determined without regard to causation or knowledge of contamination. We or our predecessors have been named potentially responsible parties at contaminated sites from time to time. We do not anticipate our liabilities relating to contaminated sites will be material to our financial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57"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We compete on the basis of product performance, quality, price, distribution capability, service and fuel efficiency, in addition to other factors. We face competition from numerous manufacturers of various types of propulsion solutions for commercial vehicles. Furthermore, we face an increasing amount of competition from vertical integration, as some of our customers are OEMs that manufacture propulsion solutions for their own products. Despite their propulsion solutions manufacturing capabilities, we believe that our existing OEM customers have chosen to purchase certain propulsion solutions from us due to the quality, reliability and strong brand of our propulsion solutions and in order to limit fixed costs, minimize production risks and maintain company focus on commercial vehicle design, production and marketing.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57"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Allison Transmission Holdings, Inc. was incorporated in Delaware on June 22, 2007. Our principal executive offices are located at One Allison Way, Indianapolis, IN 46222 and our telephone number is (317) 242-5000. Our internet address is https://www.allisontransmission.com. We file annual, quarterly and current reports, proxy statements and other documents with the SEC under the Securities Exchange Act of 1934, as amended (the “Exchange Act”). These periodic and current reports and all amendments to those reports are available free of charge on the investor relations page of our website at https://ir.allisontransmission.com as soon as reasonably practicable after we electronically file them with, or furnish them to, the SEC. We have included our website address throughout this filing as textual references only. The information contained on, or accessible through, our website is not incorporated into this Annual Report on Form 10-K. The SEC also maintains an Internet site that contains reports, proxy and information statements, and other information regarding issuers that file electronically with the SEC at https://www.sec.gov.</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59" w:lineRule="exact"/>
        <w:rPr>
          <w:sz w:val="20"/>
          <w:szCs w:val="20"/>
          <w:color w:val="auto"/>
        </w:rPr>
      </w:pPr>
    </w:p>
    <w:p>
      <w:pPr>
        <w:ind w:right="220" w:firstLine="494"/>
        <w:spacing w:after="0" w:line="251" w:lineRule="auto"/>
        <w:rPr>
          <w:sz w:val="20"/>
          <w:szCs w:val="20"/>
          <w:color w:val="auto"/>
        </w:rPr>
      </w:pPr>
      <w:r>
        <w:rPr>
          <w:rFonts w:ascii="Arial" w:cs="Arial" w:eastAsia="Arial" w:hAnsi="Arial"/>
          <w:sz w:val="18"/>
          <w:szCs w:val="18"/>
          <w:i w:val="1"/>
          <w:iCs w:val="1"/>
          <w:color w:val="auto"/>
        </w:rPr>
        <w:t>The following is a cautionary discussion of risks, uncertainties and assumptions that we believe are material to our business. In addition to the factors discussed elsewhere in this Annual Report on Form 10-K, the following are the material factors that, individually or in the aggregate, we believe could make our actual results differ materially from those described in any forward-looking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213"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We participate in markets that are competitive, and our competitors’ actions could have a material adverse effect on our business, results of operations and financial condition.</w:t>
      </w:r>
    </w:p>
    <w:p>
      <w:pPr>
        <w:spacing w:after="0" w:line="85" w:lineRule="exact"/>
        <w:rPr>
          <w:sz w:val="20"/>
          <w:szCs w:val="20"/>
          <w:color w:val="auto"/>
        </w:rPr>
      </w:pPr>
    </w:p>
    <w:p>
      <w:pPr>
        <w:ind w:right="60" w:firstLine="494"/>
        <w:spacing w:after="0" w:line="238" w:lineRule="auto"/>
        <w:rPr>
          <w:sz w:val="20"/>
          <w:szCs w:val="20"/>
          <w:color w:val="auto"/>
        </w:rPr>
      </w:pPr>
      <w:r>
        <w:rPr>
          <w:rFonts w:ascii="Arial" w:cs="Arial" w:eastAsia="Arial" w:hAnsi="Arial"/>
          <w:sz w:val="18"/>
          <w:szCs w:val="18"/>
          <w:color w:val="auto"/>
        </w:rPr>
        <w:t>Our business operates in competitive markets. We compete against other existing or new global manufacturers of transmissions and propulsion solutions for commercial vehicles on the basis of product performance, quality, price, distribution capability, service and fuel efficiency in addition to other factors. In addition, we compete with manufacturers developing alternative technologies, including fully electric propulsion solutions, that may or may not require a transmission. A focus on climate change and environmental sustainability, including through regulations enacted and subsidies offered by governmental entities, continues to drive the development and adoption of various alternative technologies, including electric propulsion solutions, in the commercial vehicle industry. If the pace of adoption of electric vehicles proceeds faster than we are anticipating, we may not be in a position to meet customer demand or our competitors may be better positioned to meet customer demand, which may result in a decline in our market share or negatively impact our ability to execute our growth initiatives. Actions by our competitors or accelerated adoption of electric vehicles, in particular if our competitors are able to develop, validate and release new technologies more quickly than we do, could also lead to downward pressure on prices and/or a decline in our market share, either or both of which could adversely affect our results.</w:t>
      </w:r>
    </w:p>
    <w:p>
      <w:pPr>
        <w:spacing w:after="0" w:line="129" w:lineRule="exact"/>
        <w:rPr>
          <w:sz w:val="20"/>
          <w:szCs w:val="20"/>
          <w:color w:val="auto"/>
        </w:rPr>
      </w:pPr>
    </w:p>
    <w:p>
      <w:pPr>
        <w:ind w:right="100" w:firstLine="494"/>
        <w:spacing w:after="0" w:line="238" w:lineRule="auto"/>
        <w:rPr>
          <w:sz w:val="20"/>
          <w:szCs w:val="20"/>
          <w:color w:val="auto"/>
        </w:rPr>
      </w:pPr>
      <w:r>
        <w:rPr>
          <w:rFonts w:ascii="Arial" w:cs="Arial" w:eastAsia="Arial" w:hAnsi="Arial"/>
          <w:sz w:val="18"/>
          <w:szCs w:val="18"/>
          <w:color w:val="auto"/>
        </w:rPr>
        <w:t>In addition, some of our customers or future customers are OEMs that manufacture or could in the future manufacture transmissions, propulsion solutions or alternate technologies, including electric propulsion solutions, for their own products. Despite their manufacturing capabilities, our existing OEM customers have chosen to purchase certain transmissions and propulsion solutions from us due to end user demand. However, we cannot be certain these customers will continue to purchase our products in the future. Increased levels of production insourcing by these customers could result from a number of factors, such as shifts in our customers’ business strategies, acquisition by a customer of another transmission or propulsion solution manufacturer, the inability of third-party suppliers to meet specifications and the emergence of low-cost production opportunities in foreign countries. As a result, these OEMs may use products produced internally or by another manufacturer and no longer choose to purchase products from us. A significant reduction in the level of external sourcing by our OEM customers could significantly impact our net sales and cash flows and, accordingly, have a material adverse effect on our business, results of operations and financial condition.</w:t>
      </w:r>
    </w:p>
    <w:p>
      <w:pPr>
        <w:spacing w:after="0" w:line="188"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Increases in cost, disruption of supply or shortage of raw materials or components used in our products could harm our business and profitability.</w:t>
      </w:r>
    </w:p>
    <w:p>
      <w:pPr>
        <w:spacing w:after="0" w:line="85"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Our products contain various raw materials, including corrosion-resistant steel, non-ferrous metals such as aluminum and nickel, and precious metals such as platinum and palladium. We use raw materials directly in manufacturing and in components that we purchase from our suppliers. We generally purchase components with significant raw material content on the open market. The prices for and availability of these raw materials fluctuate depending on market conditions. Volatility in the prices of raw materials such as steel, aluminum and nickel could increase the cost of manufacturing our products. Additionally, our suppliers are also subject to fluctuations in the prices of raw materials and may attempt to pass all or a portion of such increases on to us. In the event they are successful in doing so, our margins would decline. We may not be able to pass on these costs to our customers,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and this could have a material adverse effect on our business, results of operations and financial condition. Even in the event that increased costs can be passed through to customers, our gross margin percentages would decline as the recovery of these costs from customers generally lags six to twelve months.</w:t>
      </w:r>
    </w:p>
    <w:p>
      <w:pPr>
        <w:spacing w:after="0" w:line="117" w:lineRule="exact"/>
        <w:rPr>
          <w:sz w:val="20"/>
          <w:szCs w:val="20"/>
          <w:color w:val="auto"/>
        </w:rPr>
      </w:pPr>
    </w:p>
    <w:p>
      <w:pPr>
        <w:ind w:right="40" w:firstLine="494"/>
        <w:spacing w:after="0" w:line="239" w:lineRule="auto"/>
        <w:rPr>
          <w:sz w:val="20"/>
          <w:szCs w:val="20"/>
          <w:color w:val="auto"/>
        </w:rPr>
      </w:pPr>
      <w:r>
        <w:rPr>
          <w:rFonts w:ascii="Arial" w:cs="Arial" w:eastAsia="Arial" w:hAnsi="Arial"/>
          <w:sz w:val="18"/>
          <w:szCs w:val="18"/>
          <w:color w:val="auto"/>
        </w:rPr>
        <w:t>In 2023, approximately 75% of our total spending on components was sourced from approximately 40 suppliers, many of which are the single source for such components. All of the suppliers from which we purchase materials and components used in our business are fully validated suppliers, meaning the suppliers’ manufacturing processes and inputs have been validated under a production part approval process (“PPAP”). Furthermore, there are only a limited number of suppliers for certain of the materials used in our business, such as corrosion-resistant steel. As a result, our business is subject to the risk of additional price fluctuations and periodic delays in the delivery of our materials or components if supplies from a validated supplier are interrupted and a new supplier, if one is available, must be validated or materials and components must be purchased from a supplier without a completed PPAP, which could increase our risk of purchasing non-conforming components. Any such price fluctuations or delays, if significant, could harm our profitability or operations. In addition, the loss of a supplier could result in significant material cost increases or reduce our production capacity.</w:t>
      </w:r>
    </w:p>
    <w:p>
      <w:pPr>
        <w:spacing w:after="0" w:line="127" w:lineRule="exact"/>
        <w:rPr>
          <w:sz w:val="20"/>
          <w:szCs w:val="20"/>
          <w:color w:val="auto"/>
        </w:rPr>
      </w:pPr>
    </w:p>
    <w:p>
      <w:pPr>
        <w:ind w:right="60" w:firstLine="494"/>
        <w:spacing w:after="0" w:line="237" w:lineRule="auto"/>
        <w:rPr>
          <w:sz w:val="20"/>
          <w:szCs w:val="20"/>
          <w:color w:val="auto"/>
        </w:rPr>
      </w:pPr>
      <w:r>
        <w:rPr>
          <w:rFonts w:ascii="Arial" w:cs="Arial" w:eastAsia="Arial" w:hAnsi="Arial"/>
          <w:sz w:val="18"/>
          <w:szCs w:val="18"/>
          <w:color w:val="auto"/>
        </w:rPr>
        <w:t>We have experienced, and expect to continue to experience, delays in the availability and receipt of raw materials and component parts as a result of global economic uncertainty and the wars in Ukraine and the Middle East, some of which have materially impacted, and may continue to materially impact, our ability to meet customer demand. We also cannot guarantee we will be able to maintain favorable arrangements and relationships with these suppliers. An increase in the cost or a sustained interruption in the supply or shortage of some of these raw materials or components that may be caused by a deterioration of our relationships with suppliers, adverse geopolitical events such as the crisis in the Red Sea, events such as natural disasters and extreme weather events which may increase in frequency and intensity as a result of climate change, power outages, labor strikes and public health crisis such as pandemics and epidemics or the like could negatively impact our business, results of operations and financial condition. Although we have agreements with many of our customers that we will pass such price increases through to them, such contracts may be canceled by our customers and/or we may not be able to recoup the costs of such price increases. Additionally, if we are unable to continue to purchase our required quantities of raw materials on commercially reasonable terms, or at all, if we are unable to maintain or enter into purchasing contracts for commodities, or if delivery of materials or component parts from suppliers is delayed or non-conforming, our operations could be disrupted, we may not be able to meet customer demand, and our profitability and our financial results may be materially impacted. While we may experience the supply chain constraints mentioned above across all our products lines, the impacts to our customers are likely to be more pronounced in our lower volume product lines, including those supplied to the Defense and Off-Highway end markets.</w:t>
      </w:r>
    </w:p>
    <w:p>
      <w:pPr>
        <w:spacing w:after="0" w:line="186" w:lineRule="exact"/>
        <w:rPr>
          <w:sz w:val="20"/>
          <w:szCs w:val="20"/>
          <w:color w:val="auto"/>
        </w:rPr>
      </w:pPr>
    </w:p>
    <w:p>
      <w:pPr>
        <w:ind w:left="380" w:right="20"/>
        <w:spacing w:after="0" w:line="278" w:lineRule="auto"/>
        <w:rPr>
          <w:sz w:val="20"/>
          <w:szCs w:val="20"/>
          <w:color w:val="auto"/>
        </w:rPr>
      </w:pPr>
      <w:r>
        <w:rPr>
          <w:rFonts w:ascii="Arial" w:cs="Arial" w:eastAsia="Arial" w:hAnsi="Arial"/>
          <w:sz w:val="18"/>
          <w:szCs w:val="18"/>
          <w:b w:val="1"/>
          <w:bCs w:val="1"/>
          <w:i w:val="1"/>
          <w:iCs w:val="1"/>
          <w:color w:val="auto"/>
        </w:rPr>
        <w:t>Labor cost inflation and employee attraction and retention could have an adverse effect on our business, results of operations and financial condition.</w:t>
      </w:r>
    </w:p>
    <w:p>
      <w:pPr>
        <w:spacing w:after="0" w:line="85"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Our success depends on our ability to identify, recruit and retain highly skilled, qualified personnel, and there is currently increased competition for talent. We have experienced labor shortages and wage inflation amid low levels of unemployment and workforce availability. As a result, we may not be able to attract and retain qualified personnel, which may impact our ability to manufacture, design and develop our propulsion solutions, satisfy customer demand in a timeframe that meets their desired production schedules and compete effectively. In addition, we may continue to experience increased labor costs, including the anticipated significant labor cost increases under our new collective bargaining agreement with the UAW, which may impact our results of operations.</w:t>
      </w:r>
    </w:p>
    <w:p>
      <w:pPr>
        <w:spacing w:after="0" w:line="128" w:lineRule="exact"/>
        <w:rPr>
          <w:sz w:val="20"/>
          <w:szCs w:val="20"/>
          <w:color w:val="auto"/>
        </w:rPr>
      </w:pPr>
    </w:p>
    <w:p>
      <w:pPr>
        <w:ind w:right="300" w:firstLine="494"/>
        <w:spacing w:after="0" w:line="271" w:lineRule="auto"/>
        <w:rPr>
          <w:sz w:val="20"/>
          <w:szCs w:val="20"/>
          <w:color w:val="auto"/>
        </w:rPr>
      </w:pPr>
      <w:r>
        <w:rPr>
          <w:rFonts w:ascii="Arial" w:cs="Arial" w:eastAsia="Arial" w:hAnsi="Arial"/>
          <w:sz w:val="18"/>
          <w:szCs w:val="18"/>
          <w:color w:val="auto"/>
        </w:rPr>
        <w:t>Our business would be adversely affected if we fail to retain key executives, or to adequately plan for the succession of members of our executive management team. While we have succession plans in place for members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of our executive management team, and continue to review and update those plans, and certain key executive officers are party to or participants in severance and change in control arrangements, these arrangements do not guarantee that the services of our executive officers will continue to be available to us or that we will be able to find suitable management personnel to replace departing executives on a timely basis.</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Prolonged inflation could result in higher costs and decreased margins and earnings.</w:t>
      </w:r>
    </w:p>
    <w:p>
      <w:pPr>
        <w:spacing w:after="0" w:line="155" w:lineRule="exact"/>
        <w:rPr>
          <w:sz w:val="20"/>
          <w:szCs w:val="20"/>
          <w:color w:val="auto"/>
        </w:rPr>
      </w:pPr>
    </w:p>
    <w:p>
      <w:pPr>
        <w:jc w:val="both"/>
        <w:ind w:right="240" w:firstLine="494"/>
        <w:spacing w:after="0" w:line="252" w:lineRule="auto"/>
        <w:rPr>
          <w:sz w:val="20"/>
          <w:szCs w:val="20"/>
          <w:color w:val="auto"/>
        </w:rPr>
      </w:pPr>
      <w:r>
        <w:rPr>
          <w:rFonts w:ascii="Arial" w:cs="Arial" w:eastAsia="Arial" w:hAnsi="Arial"/>
          <w:sz w:val="18"/>
          <w:szCs w:val="18"/>
          <w:color w:val="auto"/>
        </w:rPr>
        <w:t>Recent inflationary pressures have resulted in increased raw material, labor, energy, freight and logistics expenses and other costs, which may adversely affect our results of operations. If our costs are subject to continuing significant inflationary pressures, we may not be able to fully offset such higher costs through price increases. Our inability to do so could harm our results of operations.</w:t>
      </w:r>
    </w:p>
    <w:p>
      <w:pPr>
        <w:spacing w:after="0" w:line="173" w:lineRule="exact"/>
        <w:rPr>
          <w:sz w:val="20"/>
          <w:szCs w:val="20"/>
          <w:color w:val="auto"/>
        </w:rPr>
      </w:pPr>
    </w:p>
    <w:p>
      <w:pPr>
        <w:jc w:val="both"/>
        <w:ind w:left="380" w:right="160"/>
        <w:spacing w:after="0" w:line="256" w:lineRule="auto"/>
        <w:rPr>
          <w:sz w:val="20"/>
          <w:szCs w:val="20"/>
          <w:color w:val="auto"/>
        </w:rPr>
      </w:pPr>
      <w:r>
        <w:rPr>
          <w:rFonts w:ascii="Arial" w:cs="Arial" w:eastAsia="Arial" w:hAnsi="Arial"/>
          <w:sz w:val="18"/>
          <w:szCs w:val="18"/>
          <w:b w:val="1"/>
          <w:bCs w:val="1"/>
          <w:i w:val="1"/>
          <w:iCs w:val="1"/>
          <w:color w:val="auto"/>
        </w:rPr>
        <w:t>Geopolitical risks, including the wars in Ukraine and the Middle East, may have an adverse effect on our results of operations and financial conditions, including on the availability of raw materials for our products or component parts, our supply chain, our customers and our long-term sales opportunities.</w:t>
      </w:r>
    </w:p>
    <w:p>
      <w:pPr>
        <w:spacing w:after="0" w:line="104"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Political, economic and other conditions in foreign countries and regions, including geopolitical risks such as escalating tensions between China and western countries and the current wars in Ukraine and the Middle East, may have an adverse effect on our results of operations and financial condition. The duration of any such conflict, its impact on the applicable regional and global economy, and the breadth, severity and duration of any applicable sanctions imposed by the U.S. and other governments is uncertain. Extended or expanded conflicts could impact our ability or those of our suppliers or customers to obtain certain raw materials or component parts and could limit the availability and cost of energy throughout Europe, which could increase our costs, impact our ability to deliver our products or reduce customer demand. In addition, while we have suspended indefinitely all sales and exports of our products to customers in Russia and Belarus and Russian and Belarusian affiliate owned or controlled entities, certain of our competitors have continued to sell products in Russia during this time, which may have a negative impact on our long-term sales opportunities in Russia.</w:t>
      </w:r>
    </w:p>
    <w:p>
      <w:pPr>
        <w:spacing w:after="0" w:line="183" w:lineRule="exact"/>
        <w:rPr>
          <w:sz w:val="20"/>
          <w:szCs w:val="20"/>
          <w:color w:val="auto"/>
        </w:rPr>
      </w:pPr>
    </w:p>
    <w:p>
      <w:pPr>
        <w:jc w:val="both"/>
        <w:ind w:left="380"/>
        <w:spacing w:after="0" w:line="256" w:lineRule="auto"/>
        <w:rPr>
          <w:sz w:val="20"/>
          <w:szCs w:val="20"/>
          <w:color w:val="auto"/>
        </w:rPr>
      </w:pPr>
      <w:r>
        <w:rPr>
          <w:rFonts w:ascii="Arial" w:cs="Arial" w:eastAsia="Arial" w:hAnsi="Arial"/>
          <w:sz w:val="18"/>
          <w:szCs w:val="18"/>
          <w:b w:val="1"/>
          <w:bCs w:val="1"/>
          <w:i w:val="1"/>
          <w:iCs w:val="1"/>
          <w:color w:val="auto"/>
        </w:rPr>
        <w:t>Volatility in and disruption to the global economic environment, including the impact of an economic recession, and changes in the regulatory and business environments in which we operate may have a material adverse effect on our business, results of operations and financial condition.</w:t>
      </w:r>
    </w:p>
    <w:p>
      <w:pPr>
        <w:spacing w:after="0" w:line="104" w:lineRule="exact"/>
        <w:rPr>
          <w:sz w:val="20"/>
          <w:szCs w:val="20"/>
          <w:color w:val="auto"/>
        </w:rPr>
      </w:pPr>
    </w:p>
    <w:p>
      <w:pPr>
        <w:ind w:right="40" w:firstLine="494"/>
        <w:spacing w:after="0" w:line="241" w:lineRule="auto"/>
        <w:rPr>
          <w:sz w:val="20"/>
          <w:szCs w:val="20"/>
          <w:color w:val="auto"/>
        </w:rPr>
      </w:pPr>
      <w:r>
        <w:rPr>
          <w:rFonts w:ascii="Arial" w:cs="Arial" w:eastAsia="Arial" w:hAnsi="Arial"/>
          <w:sz w:val="18"/>
          <w:szCs w:val="18"/>
          <w:color w:val="auto"/>
        </w:rPr>
        <w:t>Geopolitical risks, supply chain, labor and energy constraints and inflation have caused and may continue to cause volatility in and disruption to the global economic environment. Historically, the commercial vehicle industry as a whole has been more adversely affected by volatile economic conditions, such as a recession, than many other industries, as the purchase or replacement of commercial vehicles, which are durable items, can be deferred for many reasons, including reduced spending by end users. Future changes in the regulatory and business environments in which we operate, including increased geopolitical risks, trade protectionism and tariffs, may adversely affect our ability to sell our products or source materials needed to manufacture our products.</w:t>
      </w:r>
    </w:p>
    <w:p>
      <w:pPr>
        <w:spacing w:after="0" w:line="128" w:lineRule="exact"/>
        <w:rPr>
          <w:sz w:val="20"/>
          <w:szCs w:val="20"/>
          <w:color w:val="auto"/>
        </w:rPr>
      </w:pPr>
    </w:p>
    <w:p>
      <w:pPr>
        <w:ind w:right="140" w:firstLine="494"/>
        <w:spacing w:after="0" w:line="239" w:lineRule="auto"/>
        <w:rPr>
          <w:sz w:val="20"/>
          <w:szCs w:val="20"/>
          <w:color w:val="auto"/>
        </w:rPr>
      </w:pPr>
      <w:r>
        <w:rPr>
          <w:rFonts w:ascii="Arial" w:cs="Arial" w:eastAsia="Arial" w:hAnsi="Arial"/>
          <w:sz w:val="18"/>
          <w:szCs w:val="18"/>
          <w:color w:val="auto"/>
        </w:rPr>
        <w:t>Furthermore, financial instability or bankruptcy at any of our suppliers or customers could disrupt our ability to manufacture our products and impair our ability to collect receivables, any or all of which may have a material adverse effect on our business, results of operations and financial condition. In addition, some of our customers and suppliers may experience serious cash flow problems and, thus, may find it difficult to obtain financing, if financing is available at all. As a result, our customers’ need for and ability to purchase our products or services may decrease, and our suppliers may increase their prices, reduce their output or change their terms of sale. Any inability of customers to pay us for our products and services, or any demands by suppliers for different payment terms, may materially and adversely affect our results of operations and financial condition. Furthermore, our suppliers may not be successful in generating sufficient sales or securing alternate financing arrangements, and therefore may no longer be able to supply goods and services to us. In that event, we would need to find alternate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sources for these goods and services, and there is no assurance we would be able to find such alternate sources on favorable terms, if at all. Any such disruption in our supply chain could adversely affect our ability to manufacture and deliver our products on a timely basis, and thereby affect our results of operations.</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Labor unrest could have an adverse effect on our business, results of operations and financial condition.</w:t>
      </w:r>
    </w:p>
    <w:p>
      <w:pPr>
        <w:spacing w:after="0" w:line="155"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As of December 31, 2023, approximately 48% of our U.S. employees, representing approximately 43% of our total employees, were represented by the UAW and are subject to a collective bargaining agreement. Our current collective bargaining agreement with UAW Local 933 is effective through November 2027. Any new collective bargaining agreement we negotiate with the UAW to replace the existing collective bargaining agreement upon its expiration may result in increased costs to us, in particular labor costs, which could have an adverse effect on our results of operations. In addition to our unionized work force, many of our direct and indirect customers and vendors have unionized work forces. Strikes, work stoppages or slowdowns experienced by these customers or vendors or their other suppliers could result in slowdowns or closings of assembly plants that use our products or supply materials for use in the production of our products. Organizations responsible for shipping our products may also be impacted by strikes. Any interruption in the delivery of our products could reduce demand for our products and could have a material adverse effect on us.</w:t>
      </w:r>
    </w:p>
    <w:p>
      <w:pPr>
        <w:spacing w:after="0" w:line="127" w:lineRule="exact"/>
        <w:rPr>
          <w:sz w:val="20"/>
          <w:szCs w:val="20"/>
          <w:color w:val="auto"/>
        </w:rPr>
      </w:pPr>
    </w:p>
    <w:p>
      <w:pPr>
        <w:jc w:val="both"/>
        <w:ind w:right="420" w:firstLine="494"/>
        <w:spacing w:after="0" w:line="252" w:lineRule="auto"/>
        <w:rPr>
          <w:sz w:val="20"/>
          <w:szCs w:val="20"/>
          <w:color w:val="auto"/>
        </w:rPr>
      </w:pPr>
      <w:r>
        <w:rPr>
          <w:rFonts w:ascii="Arial" w:cs="Arial" w:eastAsia="Arial" w:hAnsi="Arial"/>
          <w:sz w:val="18"/>
          <w:szCs w:val="18"/>
          <w:color w:val="auto"/>
        </w:rPr>
        <w:t>In general, we consider our labor relations with all of our employees to be good. However, in the future we may be subject to labor unrest. If strikes, work stoppages or lock-outs at our facilities or at the facilities of our vendors or customers occur or continue for a long period of time, our business, results of operations and financial condition may be materially adversely affected.</w:t>
      </w:r>
    </w:p>
    <w:p>
      <w:pPr>
        <w:spacing w:after="0" w:line="173" w:lineRule="exact"/>
        <w:rPr>
          <w:sz w:val="20"/>
          <w:szCs w:val="20"/>
          <w:color w:val="auto"/>
        </w:rPr>
      </w:pPr>
    </w:p>
    <w:p>
      <w:pPr>
        <w:jc w:val="both"/>
        <w:ind w:left="380" w:right="520"/>
        <w:spacing w:after="0" w:line="256" w:lineRule="auto"/>
        <w:rPr>
          <w:sz w:val="20"/>
          <w:szCs w:val="20"/>
          <w:color w:val="auto"/>
        </w:rPr>
      </w:pPr>
      <w:r>
        <w:rPr>
          <w:rFonts w:ascii="Arial" w:cs="Arial" w:eastAsia="Arial" w:hAnsi="Arial"/>
          <w:sz w:val="18"/>
          <w:szCs w:val="18"/>
          <w:b w:val="1"/>
          <w:bCs w:val="1"/>
          <w:i w:val="1"/>
          <w:iCs w:val="1"/>
          <w:color w:val="auto"/>
        </w:rPr>
        <w:t>Certain of our end users operate in highly cyclical industries, which can result in uncertainty and significantly impact the demand for our products, which could have a material adverse effect on our business, results of operations and financial condition.</w:t>
      </w:r>
    </w:p>
    <w:p>
      <w:pPr>
        <w:spacing w:after="0" w:line="104"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Some of the markets in which we operate, including energy, mining, construction, distribution and motorhomes, exhibit a high degree of cyclicality. Decisions to purchase our products are largely a result of the performance of these and other industries we serve. If demand for output in these industries decreases, the demand for our products will likely decrease. Demand in these industries is impacted by numerous factors, including prices of commodities, rates of infrastructure spending, housing starts, real estate equity values, interest rates, consumer spending, fuel costs, energy demands, municipal spending, commercial construction and global pandemics, among others. Increases or decreases in these variables globally may significantly impact the demand for our products, which could have a material adverse effect on our business, results of operations and financial condition. If we are unable to accurately predict demand, we may be unable to meet our customers’ needs, resulting in the loss of potential sales, or we may manufacture excess products, resulting in increased inventories and overcapacity in our production facilities, increasing our unit production cost and decreasing our operating margins.</w:t>
      </w:r>
    </w:p>
    <w:p>
      <w:pPr>
        <w:spacing w:after="0" w:line="183" w:lineRule="exact"/>
        <w:rPr>
          <w:sz w:val="20"/>
          <w:szCs w:val="20"/>
          <w:color w:val="auto"/>
        </w:rPr>
      </w:pPr>
    </w:p>
    <w:p>
      <w:pPr>
        <w:jc w:val="both"/>
        <w:ind w:left="380"/>
        <w:spacing w:after="0" w:line="256" w:lineRule="auto"/>
        <w:rPr>
          <w:sz w:val="20"/>
          <w:szCs w:val="20"/>
          <w:color w:val="auto"/>
        </w:rPr>
      </w:pPr>
      <w:r>
        <w:rPr>
          <w:rFonts w:ascii="Arial" w:cs="Arial" w:eastAsia="Arial" w:hAnsi="Arial"/>
          <w:sz w:val="18"/>
          <w:szCs w:val="18"/>
          <w:b w:val="1"/>
          <w:bCs w:val="1"/>
          <w:i w:val="1"/>
          <w:iCs w:val="1"/>
          <w:color w:val="auto"/>
        </w:rPr>
        <w:t>Our sales are concentrated among our top five OEM customers and the loss or consolidation of any one of these customers or the discontinuation of particular vehicle models for which we are a significant supplier could reduce our net sales and have a material adverse effect on our results of operations and financial condition.</w:t>
      </w:r>
    </w:p>
    <w:p>
      <w:pPr>
        <w:spacing w:after="0" w:line="104" w:lineRule="exact"/>
        <w:rPr>
          <w:sz w:val="20"/>
          <w:szCs w:val="20"/>
          <w:color w:val="auto"/>
        </w:rPr>
      </w:pPr>
    </w:p>
    <w:p>
      <w:pPr>
        <w:ind w:right="220" w:firstLine="494"/>
        <w:spacing w:after="0" w:line="261" w:lineRule="auto"/>
        <w:rPr>
          <w:sz w:val="20"/>
          <w:szCs w:val="20"/>
          <w:color w:val="auto"/>
        </w:rPr>
      </w:pPr>
      <w:r>
        <w:rPr>
          <w:rFonts w:ascii="Arial" w:cs="Arial" w:eastAsia="Arial" w:hAnsi="Arial"/>
          <w:sz w:val="17"/>
          <w:szCs w:val="17"/>
          <w:color w:val="auto"/>
        </w:rPr>
        <w:t>We have in the past and may in the future derive a significant portion of our net sales from a relatively limited number of OEM customers. For the years ended December 31, 2023, 2022 and 2021, our top five OEM customers accounted for approximately 52%, 51% and 52% of our net sales, respectively. Our top three customers, Daimler AG, Traton SE and PACCAR Inc., accounted for approximately 18%, 11% and 11%, respectively, of our net sales during 2023. The loss of, or consolidation of, any one of these customers, or a significant decrease in business from, one or more of these customers could harm our business. In addition, the discontinuation of particular vehicle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models for which we are a significant supplier could reduce our net sales and have a material adverse effect on our results of operations.</w:t>
      </w:r>
    </w:p>
    <w:p>
      <w:pPr>
        <w:spacing w:after="0" w:line="213" w:lineRule="exact"/>
        <w:rPr>
          <w:sz w:val="20"/>
          <w:szCs w:val="20"/>
          <w:color w:val="auto"/>
        </w:rPr>
      </w:pPr>
    </w:p>
    <w:p>
      <w:pPr>
        <w:ind w:left="380" w:right="320"/>
        <w:spacing w:after="0" w:line="278" w:lineRule="auto"/>
        <w:rPr>
          <w:sz w:val="20"/>
          <w:szCs w:val="20"/>
          <w:color w:val="auto"/>
        </w:rPr>
      </w:pPr>
      <w:r>
        <w:rPr>
          <w:rFonts w:ascii="Arial" w:cs="Arial" w:eastAsia="Arial" w:hAnsi="Arial"/>
          <w:sz w:val="18"/>
          <w:szCs w:val="18"/>
          <w:b w:val="1"/>
          <w:bCs w:val="1"/>
          <w:i w:val="1"/>
          <w:iCs w:val="1"/>
          <w:color w:val="auto"/>
        </w:rPr>
        <w:t>We are subject to cybersecurity risks to operational systems, security systems, or infrastructure owned by Allison or third-party vendors or suppliers.</w:t>
      </w:r>
    </w:p>
    <w:p>
      <w:pPr>
        <w:spacing w:after="0" w:line="85"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We are at risk for interruptions, outages, and compromises to the confidentiality, integrity or availability of: (i) operational systems, including information technology, business, financial, accounting, product development, data processing, or manufacturing processes, owned by us or our third-party vendors or suppliers; (ii) facility security systems, owned by us or our third-party vendors, customers or suppliers; and/or (iii) vehicle propulsion control modules or other in-product technology, owned by us, our customers or our third-party vendors or suppliers. Such cyber incidents could materially disrupt operational systems (for example, through the deployment of ransomware); result in loss of intellectual property, trade secrets or other proprietary or competitively sensitive information; compromise personally identifiable information of employees, customers, suppliers, or others; jeopardize the security of our facilities; and/or affect the performance of vehicle propulsion control modules or other in-product technology. A cyber incident could be caused by malicious insiders or by third parties using sophisticated, targeted methods to circumvent firewalls, encryption, and other security defenses, including hacking, fraud, trickery, or other forms of deception, such as social engineering and phishing, or due to human or technological error, such as misconfigurations, “bugs,” or vulnerabilities in software or hardware used by us or others.</w:t>
      </w:r>
    </w:p>
    <w:p>
      <w:pPr>
        <w:spacing w:after="0" w:line="129"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The techniques used by threat actors change frequently and may be difficult to detect for long periods of time. Cyberattacks are expected to accelerate on a global basis in frequency and magnitude as threat actors are increasingly using tools – including artificial intelligence – to evade detection and even remove forensic evidence. As a result, we may be unable to detect, investigate, remediate or recover from future cyberattacks or other incidents, or to avoid a materially adverse impact to our systems, information or business. In addition, remote or hybrid working arrangements at our Company, our customers and many third-party providers increase cybersecurity risks due to the challenges associated with managing remote computing assets and the nature of security vulnerabilities that are present in many non-corporate and home networks.</w:t>
      </w:r>
    </w:p>
    <w:p>
      <w:pPr>
        <w:spacing w:after="0" w:line="129"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We and certain of our customers and third-party providers have experienced cyberattacks and other incidents in the past and will continue to experience varying degrees of cyberattacks and incidents in the future. While to date no cybersecurity incidents have had a material impact on our operations or financial results, we cannot guarantee that material incidents will not occur in the future. In addition, as a provider of defense products and services to the U.S. government and foreign governments, we are subject to a heightened risk of cyberattacks, including by foreign governments, violent extremist organizations, and transnational criminal organizations. A significant cyber incident could impact our production capability, harm our reputation and business relationships, impact our competitive position (including compromising our intellectual property assets), and subject us to regulatory actions or litigation and fines and/or penalties, including pursuant to evolving global privacy and security regulations and laws, as well as significant investigative, restoration or remediation costs and/or increased compliance costs. Any of the foregoing could materially affect our business, results of operations and financial condition. There is no guarantee that our measures to prevent, detect and mitigate these threats, including employee and key third-party partner education, monitoring of networks and systems, and maintenance of backup and protective systems, will be successful in preventing or mitigating a cyber incident.</w:t>
      </w:r>
    </w:p>
    <w:p>
      <w:pPr>
        <w:spacing w:after="0" w:line="126" w:lineRule="exact"/>
        <w:rPr>
          <w:sz w:val="20"/>
          <w:szCs w:val="20"/>
          <w:color w:val="auto"/>
        </w:rPr>
      </w:pPr>
    </w:p>
    <w:p>
      <w:pPr>
        <w:ind w:right="180" w:firstLine="494"/>
        <w:spacing w:after="0" w:line="246" w:lineRule="auto"/>
        <w:rPr>
          <w:sz w:val="20"/>
          <w:szCs w:val="20"/>
          <w:color w:val="auto"/>
        </w:rPr>
      </w:pPr>
      <w:r>
        <w:rPr>
          <w:rFonts w:ascii="Arial" w:cs="Arial" w:eastAsia="Arial" w:hAnsi="Arial"/>
          <w:sz w:val="18"/>
          <w:szCs w:val="18"/>
          <w:color w:val="auto"/>
        </w:rPr>
        <w:t>In addition, in many jurisdictions, we are subject to privacy and data protection laws and regulations. These laws and regulations are changing rapidly and becoming increasingly complex. The interpretation and application of data protection laws in the U.S., Europe, and elsewhere are uncertain, evolving and may be inconsistent across jurisdictions. Our failure to comply with these laws and regulations could result in legal liability, significant regulator penalties and fines, or impair our reputation in the marketplace.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5" w:lineRule="exact"/>
        <w:rPr>
          <w:sz w:val="20"/>
          <w:szCs w:val="20"/>
          <w:color w:val="auto"/>
        </w:rPr>
      </w:pPr>
    </w:p>
    <w:p>
      <w:pPr>
        <w:ind w:left="380" w:right="20"/>
        <w:spacing w:after="0" w:line="278" w:lineRule="auto"/>
        <w:rPr>
          <w:sz w:val="20"/>
          <w:szCs w:val="20"/>
          <w:color w:val="auto"/>
        </w:rPr>
      </w:pPr>
      <w:r>
        <w:rPr>
          <w:rFonts w:ascii="Arial" w:cs="Arial" w:eastAsia="Arial" w:hAnsi="Arial"/>
          <w:sz w:val="18"/>
          <w:szCs w:val="18"/>
          <w:b w:val="1"/>
          <w:bCs w:val="1"/>
          <w:i w:val="1"/>
          <w:iCs w:val="1"/>
          <w:color w:val="auto"/>
        </w:rPr>
        <w:t>Our brand and reputation are dependent on the continued participation and level of service of our numerous independent distributors and dealers.</w:t>
      </w:r>
    </w:p>
    <w:p>
      <w:pPr>
        <w:spacing w:after="0" w:line="85"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We work with a network of approximately 1,600 independent distributors and dealers that provide post-sale service, service parts and support equipment. Because we depend on the pull-through demand generated by end users for our products, any actions by the independent distributors or dealers, which are not in our control, may harm our reputation and damage the brand loyalty among our customer base. In the event that we are not able to maintain our brand reputation because of the actions of our independent distributors and dealers, we may face difficulty in maintaining our pricing positions with respect to some of our products or have reduced demand for our products, which could negatively impact our business, results of operations and financial condition. In addition, if a significant number of independent dealers were to terminate their contracts, it could adversely impact our business, results of operations and financial condition.</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 the event of a catastrophic loss of one of our key manufacturing facilities, our business would be adversely affected.</w:t>
      </w:r>
    </w:p>
    <w:p>
      <w:pPr>
        <w:spacing w:after="0" w:line="155" w:lineRule="exact"/>
        <w:rPr>
          <w:sz w:val="20"/>
          <w:szCs w:val="20"/>
          <w:color w:val="auto"/>
        </w:rPr>
      </w:pPr>
    </w:p>
    <w:p>
      <w:pPr>
        <w:ind w:right="40" w:firstLine="494"/>
        <w:spacing w:after="0" w:line="238" w:lineRule="auto"/>
        <w:rPr>
          <w:sz w:val="20"/>
          <w:szCs w:val="20"/>
          <w:color w:val="auto"/>
        </w:rPr>
      </w:pPr>
      <w:r>
        <w:rPr>
          <w:rFonts w:ascii="Arial" w:cs="Arial" w:eastAsia="Arial" w:hAnsi="Arial"/>
          <w:sz w:val="18"/>
          <w:szCs w:val="18"/>
          <w:color w:val="auto"/>
        </w:rPr>
        <w:t>While we manufacture our products in several facilities and maintain insurance covering our facilities, including business interruption insurance, a catastrophic loss of the use of all or a portion of one of our manufacturing facilities due to accident, labor issues, weather conditions, acts of war, political unrest, terrorist activity, natural disaster or extreme weather events, which may increase in frequency and intensity as a result of climate change, public health crises, such as pandemics and epidemics or otherwise, whether short- or long-term, would have a material adverse effect on our business, results of operations and financial condition. Our most significant concentration of manufacturing is around our corporate headquarters in Indianapolis, Indiana, where we produce approximately 90% of our transmissions. In addition to our Indianapolis manufacturing facilities, we currently operate manufacturing facilities for our fully electric propulsion solutions in Auburn Hills, Michigan, for our transmissions in both Szentgotthard, Hungary and Chennai, India and for our aluminum die cast components in Lewisburg, Tennessee. In the event of a disruption at the Indianapolis facilities, our other facilities may not be adequately equipped to operate at a level sufficient to compensate for the volume of production at the Indianapolis facility due to their size and the fact that they have not yet been tested for such significant increases in production volume.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Risks</w:t>
      </w:r>
    </w:p>
    <w:p>
      <w:pPr>
        <w:spacing w:after="0" w:line="213"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Our success depends on research and development efforts, and we may not be successful in developing or introducing new products and technologies, including electric propulsion solutions, and responding to customer needs.</w:t>
      </w:r>
    </w:p>
    <w:p>
      <w:pPr>
        <w:spacing w:after="0" w:line="85" w:lineRule="exact"/>
        <w:rPr>
          <w:sz w:val="20"/>
          <w:szCs w:val="20"/>
          <w:color w:val="auto"/>
        </w:rPr>
      </w:pPr>
    </w:p>
    <w:p>
      <w:pPr>
        <w:ind w:right="80" w:firstLine="494"/>
        <w:spacing w:after="0" w:line="238" w:lineRule="auto"/>
        <w:rPr>
          <w:sz w:val="20"/>
          <w:szCs w:val="20"/>
          <w:color w:val="auto"/>
        </w:rPr>
      </w:pPr>
      <w:r>
        <w:rPr>
          <w:rFonts w:ascii="Arial" w:cs="Arial" w:eastAsia="Arial" w:hAnsi="Arial"/>
          <w:sz w:val="18"/>
          <w:szCs w:val="18"/>
          <w:color w:val="auto"/>
        </w:rPr>
        <w:t>Our success depends on our ability to develop or introduce new products and technologies and improve the efficiency and performance of our current products, and we invest significant resources in research and development in order to do so. We currently have enhancements to our existing products and technologies and new products and technologies under development, including electric hybrid and fully electric propulsion solutions, for planned introduction into certain end markets. The development of new products and technologies is difficult, time-consuming and costly and the timetable for commercial release is uncertain. Not all of our new product launches have been successful, and we may not be successful in the future in introducing other new products and responding to customer needs. In addition, it often takes significant time, in some cases multiple fleet buy cycles, before customers gain experience with new products and technologies and those new products and technologies become widely-accepted by the market, if at all. Given the early stages of development of some of these new products and technologies, there can be no guarantee of future market acceptance and investment returns with respect to these products. In addition, the increased adoption of electric propulsion solutions could result in lower demand for our fully automatic transmissions and, over time, the demand for related service parts and support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equipment, which would impact our margins. If we do not adequately anticipate the changing needs of our customers by keeping pace with improvements and changes in vehicle propulsion technology and developing and introducing new and effective products and technologies on a timely basis, or if the products and technologies we develop do not become market-leading, our competitive position and prospects could be harmed. If our competitors are able to respond to changing market demands and adopt new technologies more quickly than we do, demand for our products could decline, our competitive position could be harmed, our future research and development activities may be constrained due to intellectual property rights of others, licenses for technologies that would enable us to keep pace with our competitors may not be available on commercially reasonable terms if at all and we may not be able to recoup a return on our development investments. Moreover, changing customer demands as well as evolving regulatory, safety and environmental standards could require us to adapt our products and technologies to address such changes. As a result, in the future we may experience delays in the introduction of some or all of our new products or modifications or enhancements of existing products. Furthermore, there may be production delays due to unanticipated technological setbacks, which may, in turn, delay the release of new products to our end users. If the rate of adoption of new technologies, including electric vehicles for the medium- and heavy-duty commercial market, occurs at a pace that is faster than we are anticipating, we may not have products available to meet that accelerated timeframe. If we experience significant delays or increased costs in the production, launch or acceptance of our products and technologies, our net sales and results of operations may be materially adversely affected.</w:t>
      </w:r>
    </w:p>
    <w:p>
      <w:pPr>
        <w:spacing w:after="0" w:line="188"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Our long-term growth prospects and results of operations may be impaired if the rate of adoption of fully automatic transmissions in commercial vehicles outside North America does not increase.</w:t>
      </w:r>
    </w:p>
    <w:p>
      <w:pPr>
        <w:spacing w:after="0" w:line="85" w:lineRule="exact"/>
        <w:rPr>
          <w:sz w:val="20"/>
          <w:szCs w:val="20"/>
          <w:color w:val="auto"/>
        </w:rPr>
      </w:pPr>
    </w:p>
    <w:p>
      <w:pPr>
        <w:ind w:right="40" w:firstLine="494"/>
        <w:spacing w:after="0" w:line="239" w:lineRule="auto"/>
        <w:rPr>
          <w:sz w:val="20"/>
          <w:szCs w:val="20"/>
          <w:color w:val="auto"/>
        </w:rPr>
      </w:pPr>
      <w:r>
        <w:rPr>
          <w:rFonts w:ascii="Arial" w:cs="Arial" w:eastAsia="Arial" w:hAnsi="Arial"/>
          <w:sz w:val="18"/>
          <w:szCs w:val="18"/>
          <w:color w:val="auto"/>
        </w:rPr>
        <w:t>Our long-term growth strategy depends in part on an increased rate of automaticity outside North America. As part of that strategy, we have established manufacturing facilities in India and Hungary. We have also dedicated significant human resources to serve markets where we anticipate increased adoption of automaticity. However, manual transmissions remain the market leader outside North America, and there can be no assurance that adoption of automatic transmissions will increase. Factors potentially impacting adoption of automatic transmissions outside of North America include the large existing installed base of manual transmissions, customer preferences for manual transmissions, commercial vehicle OEM vertical integration into manual transmission and AMT manufacturing, increased competition from AMTs, electric propulsion solutions, and other alternative transmission and propulsion solution technologies and failure to further develop the Allison brand. If the rate of adoption of our propulsion solutions, including fully automatic transmissions, does not increase as we have anticipated, our long-term growth prospects and results of operations may be impaired.</w:t>
      </w:r>
    </w:p>
    <w:p>
      <w:pPr>
        <w:spacing w:after="0" w:line="183" w:lineRule="exact"/>
        <w:rPr>
          <w:sz w:val="20"/>
          <w:szCs w:val="20"/>
          <w:color w:val="auto"/>
        </w:rPr>
      </w:pPr>
    </w:p>
    <w:p>
      <w:pPr>
        <w:ind w:left="380" w:right="20"/>
        <w:spacing w:after="0" w:line="278" w:lineRule="auto"/>
        <w:rPr>
          <w:sz w:val="20"/>
          <w:szCs w:val="20"/>
          <w:color w:val="auto"/>
        </w:rPr>
      </w:pPr>
      <w:r>
        <w:rPr>
          <w:rFonts w:ascii="Arial" w:cs="Arial" w:eastAsia="Arial" w:hAnsi="Arial"/>
          <w:sz w:val="18"/>
          <w:szCs w:val="18"/>
          <w:b w:val="1"/>
          <w:bCs w:val="1"/>
          <w:i w:val="1"/>
          <w:iCs w:val="1"/>
          <w:color w:val="auto"/>
        </w:rPr>
        <w:t>Our international operations, in particular our emerging markets, are subject to various risks which could have a material adverse effect on our business, results of operations and financial condition.</w:t>
      </w:r>
    </w:p>
    <w:p>
      <w:pPr>
        <w:spacing w:after="0" w:line="85" w:lineRule="exact"/>
        <w:rPr>
          <w:sz w:val="20"/>
          <w:szCs w:val="20"/>
          <w:color w:val="auto"/>
        </w:rPr>
      </w:pPr>
    </w:p>
    <w:p>
      <w:pPr>
        <w:ind w:right="40" w:firstLine="494"/>
        <w:spacing w:after="0" w:line="241" w:lineRule="auto"/>
        <w:rPr>
          <w:sz w:val="20"/>
          <w:szCs w:val="20"/>
          <w:color w:val="auto"/>
        </w:rPr>
      </w:pPr>
      <w:r>
        <w:rPr>
          <w:rFonts w:ascii="Arial" w:cs="Arial" w:eastAsia="Arial" w:hAnsi="Arial"/>
          <w:sz w:val="18"/>
          <w:szCs w:val="18"/>
          <w:color w:val="auto"/>
        </w:rPr>
        <w:t>Our business is subject to certain risks associated with doing business internationally, particularly in emerging markets. Outside-North America net sales represented approximately 25% of our net sales for 2023. Most of our operations are in the U.S., but we also have manufacturing and customization facilities in India and Hungary with a services agreement with Stellantis NV and customization capability in Brazil, the Netherlands, China and Japan. Further, we intend to continue to pursue growth opportunities for our business in a variety of business environments outside the U.S., which could exacerbate the risks set forth below. Our international operations are subject to, without limitation, the following risks:</w:t>
      </w:r>
    </w:p>
    <w:p>
      <w:pPr>
        <w:spacing w:after="0" w:line="74" w:lineRule="exact"/>
        <w:rPr>
          <w:sz w:val="20"/>
          <w:szCs w:val="20"/>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burden of complying with multiple and possibly conflicting laws and any unexpected changes in regulatory requirements;</w:t>
      </w:r>
    </w:p>
    <w:p>
      <w:pPr>
        <w:spacing w:after="0" w:line="115" w:lineRule="exact"/>
        <w:rPr>
          <w:rFonts w:ascii="Times New Roman" w:cs="Times New Roman" w:eastAsia="Times New Roman" w:hAnsi="Times New Roman"/>
          <w:sz w:val="18"/>
          <w:szCs w:val="18"/>
          <w:color w:val="auto"/>
        </w:rPr>
      </w:pPr>
    </w:p>
    <w:p>
      <w:pPr>
        <w:ind w:left="1020" w:right="280" w:hanging="504"/>
        <w:spacing w:after="0" w:line="252"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exchange controls, sanctions, import and export restrictions and tariffs, including restrictions promulgated by the Office of Foreign Assets Control of the U.S. Department of the Treasury, and other trade protection regulations and measures;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5" w:lineRule="exact"/>
        <w:rPr>
          <w:sz w:val="20"/>
          <w:szCs w:val="20"/>
          <w:color w:val="auto"/>
        </w:rPr>
      </w:pPr>
    </w:p>
    <w:p>
      <w:pPr>
        <w:ind w:left="1020" w:right="280" w:hanging="504"/>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risks, including increased trade protectionism and risks of loss due to civil disturbances, acts of terrorism, acts of war, guerilla activities and insurrection;</w:t>
      </w:r>
    </w:p>
    <w:p>
      <w:pPr>
        <w:spacing w:after="0" w:line="45" w:lineRule="exact"/>
        <w:rPr>
          <w:rFonts w:ascii="Times New Roman" w:cs="Times New Roman" w:eastAsia="Times New Roman" w:hAnsi="Times New Roman"/>
          <w:sz w:val="18"/>
          <w:szCs w:val="18"/>
          <w:color w:val="auto"/>
        </w:rPr>
      </w:pPr>
    </w:p>
    <w:p>
      <w:pPr>
        <w:ind w:left="1020" w:right="520" w:hanging="504"/>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unstable economic, financial and market conditions and increased expenses as a result of inflation, higher energy costs or higher interest rates;</w:t>
      </w:r>
    </w:p>
    <w:p>
      <w:pPr>
        <w:spacing w:after="0" w:line="45" w:lineRule="exact"/>
        <w:rPr>
          <w:rFonts w:ascii="Times New Roman" w:cs="Times New Roman" w:eastAsia="Times New Roman" w:hAnsi="Times New Roman"/>
          <w:sz w:val="18"/>
          <w:szCs w:val="18"/>
          <w:color w:val="auto"/>
        </w:rPr>
      </w:pPr>
    </w:p>
    <w:p>
      <w:pPr>
        <w:ind w:left="1020" w:right="80" w:hanging="504"/>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 enforcement of third-party contractual obligations and intellectual property rights and collecting receivables through foreign legal systems;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difficulty in staffing and managing international operations and the application of foreign labor regulations;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differing local product preferences and product requirements;</w:t>
      </w:r>
    </w:p>
    <w:p>
      <w:pPr>
        <w:spacing w:after="0" w:line="115" w:lineRule="exact"/>
        <w:rPr>
          <w:rFonts w:ascii="Times New Roman" w:cs="Times New Roman" w:eastAsia="Times New Roman" w:hAnsi="Times New Roman"/>
          <w:sz w:val="18"/>
          <w:szCs w:val="18"/>
          <w:color w:val="auto"/>
        </w:rPr>
      </w:pPr>
    </w:p>
    <w:p>
      <w:pPr>
        <w:ind w:left="1020" w:right="260" w:hanging="504"/>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currency exchange rates to the extent that our assets or liabilities are denominated in a currency other than the functional currency of the country where we operate;</w:t>
      </w:r>
    </w:p>
    <w:p>
      <w:pPr>
        <w:spacing w:after="0" w:line="45" w:lineRule="exact"/>
        <w:rPr>
          <w:rFonts w:ascii="Times New Roman" w:cs="Times New Roman" w:eastAsia="Times New Roman" w:hAnsi="Times New Roman"/>
          <w:sz w:val="18"/>
          <w:szCs w:val="18"/>
          <w:color w:val="auto"/>
        </w:rPr>
      </w:pPr>
    </w:p>
    <w:p>
      <w:pPr>
        <w:ind w:left="1020" w:right="200" w:hanging="504"/>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potentially adverse tax consequences from changes in tax laws, requirements relating to withholding taxes on remittances and other payments by subsidiaries and restrictions on our ability to repatriate dividends from our subsidiaries; and</w:t>
      </w:r>
    </w:p>
    <w:p>
      <w:pPr>
        <w:spacing w:after="0" w:line="45" w:lineRule="exact"/>
        <w:rPr>
          <w:rFonts w:ascii="Times New Roman" w:cs="Times New Roman" w:eastAsia="Times New Roman" w:hAnsi="Times New Roman"/>
          <w:sz w:val="18"/>
          <w:szCs w:val="18"/>
          <w:color w:val="auto"/>
        </w:rPr>
      </w:pPr>
    </w:p>
    <w:p>
      <w:pPr>
        <w:ind w:left="1020" w:right="340" w:hanging="504"/>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(“FCPA”) and similar laws and regulations in other jurisdictions.</w:t>
      </w:r>
    </w:p>
    <w:p>
      <w:pPr>
        <w:spacing w:after="0" w:line="100" w:lineRule="exact"/>
        <w:rPr>
          <w:sz w:val="20"/>
          <w:szCs w:val="20"/>
          <w:color w:val="auto"/>
        </w:rPr>
      </w:pPr>
    </w:p>
    <w:p>
      <w:pPr>
        <w:ind w:right="480" w:firstLine="494"/>
        <w:spacing w:after="0" w:line="271" w:lineRule="auto"/>
        <w:rPr>
          <w:sz w:val="20"/>
          <w:szCs w:val="20"/>
          <w:color w:val="auto"/>
        </w:rPr>
      </w:pPr>
      <w:r>
        <w:rPr>
          <w:rFonts w:ascii="Arial" w:cs="Arial" w:eastAsia="Arial" w:hAnsi="Arial"/>
          <w:sz w:val="18"/>
          <w:szCs w:val="18"/>
          <w:color w:val="auto"/>
        </w:rPr>
        <w:t>Any one of these factors could materially adversely affect our sales of products or services to international customers or harm our reputation, which could have a material adverse effect on our business, results of operations and financial condition.</w:t>
      </w:r>
    </w:p>
    <w:p>
      <w:pPr>
        <w:spacing w:after="0" w:line="155" w:lineRule="exact"/>
        <w:rPr>
          <w:sz w:val="20"/>
          <w:szCs w:val="20"/>
          <w:color w:val="auto"/>
        </w:rPr>
      </w:pPr>
    </w:p>
    <w:p>
      <w:pPr>
        <w:ind w:left="380" w:right="20"/>
        <w:spacing w:after="0" w:line="278" w:lineRule="auto"/>
        <w:rPr>
          <w:sz w:val="20"/>
          <w:szCs w:val="20"/>
          <w:color w:val="auto"/>
        </w:rPr>
      </w:pPr>
      <w:r>
        <w:rPr>
          <w:rFonts w:ascii="Arial" w:cs="Arial" w:eastAsia="Arial" w:hAnsi="Arial"/>
          <w:sz w:val="18"/>
          <w:szCs w:val="18"/>
          <w:b w:val="1"/>
          <w:bCs w:val="1"/>
          <w:i w:val="1"/>
          <w:iCs w:val="1"/>
          <w:color w:val="auto"/>
        </w:rPr>
        <w:t>We may not be able to identify or consummate acquisitions or partnerships or achieve expected benefits from or effectively integrate acquisitions or partnerships, which could harm our growth.</w:t>
      </w:r>
    </w:p>
    <w:p>
      <w:pPr>
        <w:spacing w:after="0" w:line="85"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From time to time, we evaluate selective acquisitions, partnerships and strategic investments. Potential and completed acquisitions and partnerships involve many risks that could have an adverse effect on our business, financial condition or results of operations, including:</w:t>
      </w:r>
    </w:p>
    <w:p>
      <w:pPr>
        <w:spacing w:after="0" w:line="45" w:lineRule="exact"/>
        <w:rPr>
          <w:sz w:val="20"/>
          <w:szCs w:val="20"/>
          <w:color w:val="auto"/>
        </w:rPr>
      </w:pPr>
    </w:p>
    <w:p>
      <w:pPr>
        <w:ind w:left="1020" w:hanging="504"/>
        <w:spacing w:after="0" w:line="270"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identify suitable acquisition or partnership candidates, prevail against competing potential acquirers or partners and negotiate and consummate acquisitions or partnerships on terms attractive to us;</w:t>
      </w:r>
    </w:p>
    <w:p>
      <w:pPr>
        <w:spacing w:after="0" w:line="45" w:lineRule="exact"/>
        <w:rPr>
          <w:rFonts w:ascii="Times New Roman" w:cs="Times New Roman" w:eastAsia="Times New Roman" w:hAnsi="Times New Roman"/>
          <w:sz w:val="18"/>
          <w:szCs w:val="18"/>
          <w:color w:val="auto"/>
        </w:rPr>
      </w:pPr>
    </w:p>
    <w:p>
      <w:pPr>
        <w:jc w:val="both"/>
        <w:ind w:left="1020" w:hanging="504"/>
        <w:spacing w:after="0" w:line="252"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 integrating personnel and sales forces, operations, manufacturing, logistics, research and development, information technology, communications, purchasing, accounting, marketing, administration and other systems and processes and otherwise assimilating the operations of the acquired company;</w:t>
      </w:r>
    </w:p>
    <w:p>
      <w:pPr>
        <w:spacing w:after="0" w:line="6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diversion of resources, including diverting management’s attention from our current operations;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risks of entering new geographic or product markets in which we have limited or no direct prior experience;</w:t>
      </w:r>
    </w:p>
    <w:p>
      <w:pPr>
        <w:spacing w:after="0" w:line="115" w:lineRule="exact"/>
        <w:rPr>
          <w:rFonts w:ascii="Times New Roman" w:cs="Times New Roman" w:eastAsia="Times New Roman" w:hAnsi="Times New Roman"/>
          <w:sz w:val="18"/>
          <w:szCs w:val="18"/>
          <w:color w:val="auto"/>
        </w:rPr>
      </w:pPr>
    </w:p>
    <w:p>
      <w:pPr>
        <w:ind w:left="1020" w:right="20" w:hanging="504"/>
        <w:spacing w:after="0" w:line="270"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loss of key customers, employees or suppliers of the acquired company or adverse effects on our existing business relationships with our suppliers and customers;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incurrence of indebtedness to fund the acquisition or partnerships;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acquired business or partnership not achieving anticipated revenues, earnings, cash flow or market share;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excess capacity;</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achieve the expected synergies or cost savings;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need for additional investments post-investment or post-acquisition that could be greater than anticipated;</w:t>
      </w:r>
    </w:p>
    <w:p>
      <w:pPr>
        <w:spacing w:after="0" w:line="115" w:lineRule="exact"/>
        <w:rPr>
          <w:rFonts w:ascii="Times New Roman" w:cs="Times New Roman" w:eastAsia="Times New Roman" w:hAnsi="Times New Roman"/>
          <w:sz w:val="18"/>
          <w:szCs w:val="18"/>
          <w:color w:val="auto"/>
        </w:rPr>
      </w:pPr>
    </w:p>
    <w:p>
      <w:pPr>
        <w:ind w:left="1020" w:hanging="504"/>
        <w:spacing w:after="0" w:line="270"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U.S. and foreign competition laws and regulations on our ability to make certain acquisitions, to enter into certain partnerships or to make certain strategic investments;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5" w:lineRule="exact"/>
        <w:rPr>
          <w:sz w:val="20"/>
          <w:szCs w:val="20"/>
          <w:color w:val="auto"/>
        </w:rPr>
      </w:pPr>
    </w:p>
    <w:p>
      <w:pPr>
        <w:ind w:left="1020" w:right="20" w:hanging="504"/>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inaccurate assessment of undisclosed, contingent or other liabilities or problems and unanticipated costs associated with the acquisition or partnership;</w:t>
      </w:r>
    </w:p>
    <w:p>
      <w:pPr>
        <w:spacing w:after="0" w:line="45" w:lineRule="exact"/>
        <w:rPr>
          <w:rFonts w:ascii="Times New Roman" w:cs="Times New Roman" w:eastAsia="Times New Roman" w:hAnsi="Times New Roman"/>
          <w:sz w:val="18"/>
          <w:szCs w:val="18"/>
          <w:color w:val="auto"/>
        </w:rPr>
      </w:pPr>
    </w:p>
    <w:p>
      <w:pPr>
        <w:ind w:left="1020" w:right="20" w:hanging="504"/>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incorrect estimates made in accounting for acquisitions, incurrence of non-recurring charges and write-off of significant amounts of goodwill that could adversely affect our financial results; and</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dilution of earnings.</w:t>
      </w:r>
    </w:p>
    <w:p>
      <w:pPr>
        <w:spacing w:after="0" w:line="170" w:lineRule="exact"/>
        <w:rPr>
          <w:sz w:val="20"/>
          <w:szCs w:val="20"/>
          <w:color w:val="auto"/>
        </w:rPr>
      </w:pPr>
    </w:p>
    <w:p>
      <w:pPr>
        <w:ind w:right="20" w:firstLine="494"/>
        <w:spacing w:after="0" w:line="243" w:lineRule="auto"/>
        <w:rPr>
          <w:sz w:val="20"/>
          <w:szCs w:val="20"/>
          <w:color w:val="auto"/>
        </w:rPr>
      </w:pPr>
      <w:r>
        <w:rPr>
          <w:rFonts w:ascii="Arial" w:cs="Arial" w:eastAsia="Arial" w:hAnsi="Arial"/>
          <w:sz w:val="18"/>
          <w:szCs w:val="18"/>
          <w:color w:val="auto"/>
        </w:rPr>
        <w:t>We may also face liability with respect to acquired businesses for violations of environmental or other laws occurring prior to the date of our acquisition, and some or all of these liabilities may not be covered by environmental or other insurance secured to mitigate the risk or by indemnification from the sellers from which we acquired these businesses. We could also incur significant costs, including, but not limited to, remediation costs, natural resources damages, civil or criminal fines and sanctions and third-party claims, as a result of past or future violations of, or liabilities associated with, environmental or other laws.</w:t>
      </w:r>
    </w:p>
    <w:p>
      <w:pPr>
        <w:spacing w:after="0" w:line="125" w:lineRule="exact"/>
        <w:rPr>
          <w:sz w:val="20"/>
          <w:szCs w:val="20"/>
          <w:color w:val="auto"/>
        </w:rPr>
      </w:pPr>
    </w:p>
    <w:p>
      <w:pPr>
        <w:ind w:right="20" w:firstLine="494"/>
        <w:spacing w:after="0" w:line="252" w:lineRule="auto"/>
        <w:rPr>
          <w:sz w:val="20"/>
          <w:szCs w:val="20"/>
          <w:color w:val="auto"/>
        </w:rPr>
      </w:pPr>
      <w:r>
        <w:rPr>
          <w:rFonts w:ascii="Arial" w:cs="Arial" w:eastAsia="Arial" w:hAnsi="Arial"/>
          <w:sz w:val="18"/>
          <w:szCs w:val="18"/>
          <w:color w:val="auto"/>
        </w:rPr>
        <w:t>We cannot offer any assurance that we will be able to consummate any future acquisitions, strategic investments, partnerships or other business combinations. If we are unable to identify suitable acquisition candidates or to consummate and successfully integrate any future acquisitions, our business and results of operations may be adversely affected as a result.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13" w:lineRule="exact"/>
        <w:rPr>
          <w:sz w:val="20"/>
          <w:szCs w:val="20"/>
          <w:color w:val="auto"/>
        </w:rPr>
      </w:pPr>
    </w:p>
    <w:p>
      <w:pPr>
        <w:jc w:val="both"/>
        <w:ind w:left="380"/>
        <w:spacing w:after="0" w:line="256" w:lineRule="auto"/>
        <w:rPr>
          <w:sz w:val="20"/>
          <w:szCs w:val="20"/>
          <w:color w:val="auto"/>
        </w:rPr>
      </w:pPr>
      <w:r>
        <w:rPr>
          <w:rFonts w:ascii="Arial" w:cs="Arial" w:eastAsia="Arial" w:hAnsi="Arial"/>
          <w:sz w:val="18"/>
          <w:szCs w:val="18"/>
          <w:b w:val="1"/>
          <w:bCs w:val="1"/>
          <w:i w:val="1"/>
          <w:iCs w:val="1"/>
          <w:color w:val="auto"/>
        </w:rPr>
        <w:t>Any events that impact our brand name, including if the products we manufacture or distribute are found to be defective, could have an adverse effect on our reputation, cause us to incur significant costs and negatively impact our business, results of operations and financial condition.</w:t>
      </w:r>
    </w:p>
    <w:p>
      <w:pPr>
        <w:spacing w:after="0" w:line="104" w:lineRule="exact"/>
        <w:rPr>
          <w:sz w:val="20"/>
          <w:szCs w:val="20"/>
          <w:color w:val="auto"/>
        </w:rPr>
      </w:pPr>
    </w:p>
    <w:p>
      <w:pPr>
        <w:ind w:right="40" w:firstLine="494"/>
        <w:spacing w:after="0" w:line="238" w:lineRule="auto"/>
        <w:rPr>
          <w:sz w:val="20"/>
          <w:szCs w:val="20"/>
          <w:color w:val="auto"/>
        </w:rPr>
      </w:pPr>
      <w:r>
        <w:rPr>
          <w:rFonts w:ascii="Arial" w:cs="Arial" w:eastAsia="Arial" w:hAnsi="Arial"/>
          <w:sz w:val="18"/>
          <w:szCs w:val="18"/>
          <w:color w:val="auto"/>
        </w:rPr>
        <w:t>We face exposure to product liability claims in the event that the use of our products has, or is alleged to have, resulted in injury, death or other adverse effects. We currently maintain product liability insurance coverage, but we cannot guarantee that we will be able to obtain such insurance on acceptable terms in the future, if at all, or that any such insurance will provide adequate coverage against potential claims. Product liability claims can be expensive to defend and can divert the attention of management and other personnel for long periods of time, regardless of the ultimate outcome. An unsuccessful product liability defense could have a material adverse effect on our business, results of operations, financial condition or prospects. If one of our products is determined to be defective, we may face substantial warranty costs and may be responsible for significant costs associated with a product recall or a redesign. We have had defect and warranty issues associated with certain of our products in the past, and similar product defects may occur in the future. See "Note 10. Product Warranty Liabilities” of Notes to Consolidated Financial Statements included in Part II, Item 8., of this Annual Report on Form 10-K for additional details regarding these warranty issues.</w:t>
      </w:r>
    </w:p>
    <w:p>
      <w:pPr>
        <w:spacing w:after="0" w:line="132" w:lineRule="exact"/>
        <w:rPr>
          <w:sz w:val="20"/>
          <w:szCs w:val="20"/>
          <w:color w:val="auto"/>
        </w:rPr>
      </w:pPr>
    </w:p>
    <w:p>
      <w:pPr>
        <w:ind w:right="100" w:firstLine="494"/>
        <w:spacing w:after="0" w:line="241" w:lineRule="auto"/>
        <w:rPr>
          <w:sz w:val="20"/>
          <w:szCs w:val="20"/>
          <w:color w:val="auto"/>
        </w:rPr>
      </w:pPr>
      <w:r>
        <w:rPr>
          <w:rFonts w:ascii="Arial" w:cs="Arial" w:eastAsia="Arial" w:hAnsi="Arial"/>
          <w:sz w:val="18"/>
          <w:szCs w:val="18"/>
          <w:color w:val="auto"/>
        </w:rPr>
        <w:t>Furthermore, our business depends on the strong brand reputation we believe we have developed. In addition to the risk of defective products, we also face significant risks in our efforts to penetrate new markets, where we have limited brand recognition. We also rely on our reputation with end users of our products to specify our products when purchasing new vehicles from our OEM customers. In the event we are not able to maintain or enhance our brand in these new markets or our reputation is damaged in our existing markets as a result of product defects or recalls, we may face difficulty in maintaining our pricing positions with respect to some of our products or experience reduced demand for our products, which could negatively impact our business, results of operations and financial condition.</w:t>
      </w:r>
    </w:p>
    <w:p>
      <w:pPr>
        <w:spacing w:after="0" w:line="128" w:lineRule="exact"/>
        <w:rPr>
          <w:sz w:val="20"/>
          <w:szCs w:val="20"/>
          <w:color w:val="auto"/>
        </w:rPr>
      </w:pPr>
    </w:p>
    <w:p>
      <w:pPr>
        <w:ind w:right="20" w:firstLine="494"/>
        <w:spacing w:after="0" w:line="252" w:lineRule="auto"/>
        <w:rPr>
          <w:sz w:val="20"/>
          <w:szCs w:val="20"/>
          <w:color w:val="auto"/>
        </w:rPr>
      </w:pPr>
      <w:r>
        <w:rPr>
          <w:rFonts w:ascii="Arial" w:cs="Arial" w:eastAsia="Arial" w:hAnsi="Arial"/>
          <w:sz w:val="18"/>
          <w:szCs w:val="18"/>
          <w:color w:val="auto"/>
        </w:rPr>
        <w:t>Additionally, we license the “Allison Transmission” name and certain related trademarks to third parties. If any third party uses the trade name “Allison Transmission” in ways that adversely affect such trade name or trademark, our reputation could suffer damage, which in turn could have a material adverse effect on our business, results of operations and financial condition.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5"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Many of the key patents and unpatented technology we use in our business are licensed to us, not owned by us, and our ability to use and enforce such patents and technology is restricted by the terms of the license.</w:t>
      </w:r>
    </w:p>
    <w:p>
      <w:pPr>
        <w:spacing w:after="0" w:line="85" w:lineRule="exact"/>
        <w:rPr>
          <w:sz w:val="20"/>
          <w:szCs w:val="20"/>
          <w:color w:val="auto"/>
        </w:rPr>
      </w:pPr>
    </w:p>
    <w:p>
      <w:pPr>
        <w:ind w:right="60" w:firstLine="494"/>
        <w:spacing w:after="0" w:line="238" w:lineRule="auto"/>
        <w:rPr>
          <w:sz w:val="20"/>
          <w:szCs w:val="20"/>
          <w:color w:val="auto"/>
        </w:rPr>
      </w:pPr>
      <w:r>
        <w:rPr>
          <w:rFonts w:ascii="Arial" w:cs="Arial" w:eastAsia="Arial" w:hAnsi="Arial"/>
          <w:sz w:val="18"/>
          <w:szCs w:val="18"/>
          <w:color w:val="auto"/>
        </w:rPr>
        <w:t>Protecting our intellectual property rights is critical to our ability to compete and succeed as a company. General Motors Company (“GM”) has granted us an irrevocable, perpetual, royalty-free, worldwide license under a large number of U.S. and foreign patents and patent applications, as well as certain unpatented technology and know-how, to design, develop, manufacture, use and sell fully automatic transmissions and electric hybrid propulsion solutions for use in certain vocational vehicles, defense vehicles and off-road products. For the bulk of the intellectual property licensed to us, our license is exclusive with respect to the design, development, manufacture, use and sale of fully automatic transmissions and electric hybrid propulsion solutions in vocational vehicles above certain weight rating thresholds, certain defense vehicles and certain off-road products. It is non-exclusive with respect to certain other products that are within the scope of the licensed patents or to which the licensed technology can be applied. GM continues to own such patents and technology, and GM has the right, in the first instance, to control the maintenance, enforcement and defense of such patents and the prosecution of the licensed patent applications. In addition, our ability to sublicense our rights is limited.</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We rely on unpatented technology, which exposes us to certain risks.</w:t>
      </w:r>
    </w:p>
    <w:p>
      <w:pPr>
        <w:spacing w:after="0" w:line="155" w:lineRule="exact"/>
        <w:rPr>
          <w:sz w:val="20"/>
          <w:szCs w:val="20"/>
          <w:color w:val="auto"/>
        </w:rPr>
      </w:pPr>
    </w:p>
    <w:p>
      <w:pPr>
        <w:ind w:right="240" w:firstLine="494"/>
        <w:spacing w:after="0" w:line="246" w:lineRule="auto"/>
        <w:rPr>
          <w:sz w:val="20"/>
          <w:szCs w:val="20"/>
          <w:color w:val="auto"/>
        </w:rPr>
      </w:pPr>
      <w:r>
        <w:rPr>
          <w:rFonts w:ascii="Arial" w:cs="Arial" w:eastAsia="Arial" w:hAnsi="Arial"/>
          <w:sz w:val="18"/>
          <w:szCs w:val="18"/>
          <w:color w:val="auto"/>
        </w:rPr>
        <w:t>We currently do, and may continue in the future to, rely on unpatented proprietary technology. In such regard, we cannot be assured that any of our applications for protection of our intellectual property rights will be approved or that others will not infringe or challenge our intellectual property rights. It is possible our competitors will independently develop the same or similar technology or otherwise obtain access to our unpatented technology.</w:t>
      </w:r>
    </w:p>
    <w:p>
      <w:pPr>
        <w:spacing w:after="0" w:line="122" w:lineRule="exact"/>
        <w:rPr>
          <w:sz w:val="20"/>
          <w:szCs w:val="20"/>
          <w:color w:val="auto"/>
        </w:rPr>
      </w:pPr>
    </w:p>
    <w:p>
      <w:pPr>
        <w:ind w:right="20" w:firstLine="494"/>
        <w:spacing w:after="0" w:line="253" w:lineRule="auto"/>
        <w:rPr>
          <w:sz w:val="20"/>
          <w:szCs w:val="20"/>
          <w:color w:val="auto"/>
        </w:rPr>
      </w:pPr>
      <w:r>
        <w:rPr>
          <w:rFonts w:ascii="Arial" w:cs="Arial" w:eastAsia="Arial" w:hAnsi="Arial"/>
          <w:sz w:val="17"/>
          <w:szCs w:val="17"/>
          <w:color w:val="auto"/>
        </w:rPr>
        <w:t>Although we believe the loss or expiration of any single patent would not have a material effect on our business, results of operations or financial position, there can be no assurance that any one, or more, of the patents or any other intellectual property owned by or licensed to us will not be challenged, invalidated or circumvented by third parties. In fact, a number of the patents licensed to us are set to expire in the next few years. When a patent expires, the inventions it discloses can be used freely by others. Thus, the competitive advantage that we gain from the patents licensed to us will decrease over time, and a greater burden will be placed on our own research and development and licensing efforts to develop and otherwise acquire technologies to keep pace with improvements of transmission-related technology in the marketplace. We enter into confidentiality and invention assignment agreements with employees, and into non-disclosure agreements with suppliers and appropriate customers so as to limit access to and disclosure of our proprietary information. We cannot be assured that these measures will provide meaningful protection for our trade secrets, know-how or other proprietary information in the event of any unauthorized use, misappropriation or disclosure. If we are unable to maintain the proprietary nature of our technologies, our ability to sustain margins on some or all of our products may be affected, which could reduce our sales and profitability. Moreover, the protection provided for our intellectual property by the laws and courts of foreign nations may not be as advantageous to us as the protection available under U.S. law.</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Environmental, health and safety laws and regulations may impose significant compliance costs and liabilities on us.</w:t>
      </w:r>
    </w:p>
    <w:p>
      <w:pPr>
        <w:spacing w:after="0" w:line="155"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Our manufacturing operations are subject to many environmental, health and safety laws and regulations governing emissions to air, discharges to water, the generation, handling and disposal of waste and the cleanup of contaminated properties. Compliance with these laws and regulations is costly. We have incurred and expect to continue to incur significant costs to maintain or achieve compliance with applicable environmental, health and safety laws and regulations. Moreover, regulatory bodies are increasingly adopting regulations that target limiting greenhouse gases and combating climate change, which may impact our ability to sell our current products or require us to develop new products or technologies. If these environmental, health and safety laws and regulations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that impact our operations or products become more stringent or expand to include a larger portion of our products or our customers’ products in the future, we could incur additional costs in order to ensure that our business and products comply with such regulations. In addition, we may not be successful in developing products or technologies that comply with, or the vehicle or customer OEMs to which we sell our products may choose not to comply with, such laws and regulations, which could impact our ability to sell our products in certain locations, negatively impact our business and result in a loss of market share. Furthermore, if our products that are already placed in service are found to be non-compliant with certain laws, regulations and certifications, we may incur additional costs and fines. We cannot assure that we are in full compliance with all environmental, health and safety laws and regulations. Our failure to comply with applicable environmental, health and safety laws and regulations and permit requirements could result in civil or criminal fines, penalties or enforcement actions, third-party claims for property damage and personal injury, requirements to clean up property or to pay for the costs of cleanup or regulatory or judicial orders enjoining or curtailing operations or requiring corrective measures, including the installation of pollution control equipment or remedial actions. Our failure to comply could also result in our failure to secure adequate insurance for our business, resulting in significant exposure, diminished ability to hedge our risks and material modifications of our business operations.</w:t>
      </w:r>
    </w:p>
    <w:p>
      <w:pPr>
        <w:spacing w:after="0" w:line="126" w:lineRule="exact"/>
        <w:rPr>
          <w:sz w:val="20"/>
          <w:szCs w:val="20"/>
          <w:color w:val="auto"/>
        </w:rPr>
      </w:pPr>
    </w:p>
    <w:p>
      <w:pPr>
        <w:ind w:right="80" w:firstLine="494"/>
        <w:spacing w:after="0" w:line="241" w:lineRule="auto"/>
        <w:rPr>
          <w:sz w:val="20"/>
          <w:szCs w:val="20"/>
          <w:color w:val="auto"/>
        </w:rPr>
      </w:pPr>
      <w:r>
        <w:rPr>
          <w:rFonts w:ascii="Arial" w:cs="Arial" w:eastAsia="Arial" w:hAnsi="Arial"/>
          <w:sz w:val="18"/>
          <w:szCs w:val="18"/>
          <w:color w:val="auto"/>
        </w:rPr>
        <w:t>Concern over climate change continues to result in new legal and regulatory requirements designed to mitigate the effects of climate change on the environment, such as actions taken by the U.S. Environmental Protection Agency and several states to address greenhouse gas emissions, the European Union’s CSRD, California’s Climate Corporate Data Accountability Act and Climate-Related Financial Risk Act, and proposed climate disclosure rules that remain under consideration by the SEC. We are experiencing increased compliance burdens and costs in addressing our obligations under these new legal and regulatory obligations, and these new legal and regulatory obligations may adversely affect raw material sourcing, manufacturing operations and the distribution of our products.</w:t>
      </w:r>
    </w:p>
    <w:p>
      <w:pPr>
        <w:spacing w:after="0" w:line="128" w:lineRule="exact"/>
        <w:rPr>
          <w:sz w:val="20"/>
          <w:szCs w:val="20"/>
          <w:color w:val="auto"/>
        </w:rPr>
      </w:pPr>
    </w:p>
    <w:p>
      <w:pPr>
        <w:ind w:right="280" w:firstLine="494"/>
        <w:spacing w:after="0" w:line="241" w:lineRule="auto"/>
        <w:rPr>
          <w:sz w:val="20"/>
          <w:szCs w:val="20"/>
          <w:color w:val="auto"/>
        </w:rPr>
      </w:pPr>
      <w:r>
        <w:rPr>
          <w:rFonts w:ascii="Arial" w:cs="Arial" w:eastAsia="Arial" w:hAnsi="Arial"/>
          <w:sz w:val="18"/>
          <w:szCs w:val="18"/>
          <w:color w:val="auto"/>
        </w:rPr>
        <w:t>We may be subject to liability as a potentially responsible party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any contamination, and any such liability may be determined without regard to causation or knowledge of contamination. We or our predecessors have been named potentially responsible parties at contaminated sites from time to time.</w:t>
      </w:r>
    </w:p>
    <w:p>
      <w:pPr>
        <w:spacing w:after="0" w:line="128" w:lineRule="exact"/>
        <w:rPr>
          <w:sz w:val="20"/>
          <w:szCs w:val="20"/>
          <w:color w:val="auto"/>
        </w:rPr>
      </w:pPr>
    </w:p>
    <w:p>
      <w:pPr>
        <w:ind w:right="120" w:firstLine="494"/>
        <w:spacing w:after="0" w:line="241" w:lineRule="auto"/>
        <w:rPr>
          <w:sz w:val="20"/>
          <w:szCs w:val="20"/>
          <w:color w:val="auto"/>
        </w:rPr>
      </w:pPr>
      <w:r>
        <w:rPr>
          <w:rFonts w:ascii="Arial" w:cs="Arial" w:eastAsia="Arial" w:hAnsi="Arial"/>
          <w:sz w:val="18"/>
          <w:szCs w:val="18"/>
          <w:color w:val="auto"/>
        </w:rPr>
        <w:t>There can be no assurances that future environmental remediation obligations will not have a material adverse effect on our results of operations and financial condition. In addition, we occasionally evaluate alternatives with respect to our facilities, including possible dispositions or closings. Investigations undertaken in connection with these activities may lead to discoveries of contamination that must be remediated, and closings of facilities may trigger remediation requirements that are not applicable to operating facilities. We may also face lawsuits brought by third parties that either allege property damage or personal injury as a result of, or seek reimbursement for costs associated with, such contamination.</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Our business and financial results may be adversely affected by U.S. government contracting risks.</w:t>
      </w:r>
    </w:p>
    <w:p>
      <w:pPr>
        <w:spacing w:after="0" w:line="155"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We are subject to various laws and regulations applicable to parties doing business with the U.S. government, including laws and regulations governing performance of U.S. government contracts, the use and treatment of U.S. government furnished property and the nature of materials used in our products. We may be unilaterally suspended or barred from conducting business with the U.S. government, or become subject to fines or other sanctions if we are found to have violated such laws or regulations. As a result of the need to comply with these laws and regulations, we are subject to increased risks of governmental investigations, civil fraud actions, criminal prosecutions, whistleblower lawsuits and other enforcement actions. The laws and regulations to which we are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subject include, but are not limited to, Export Administration Regulations, the Federal Acquisition Regulation, International Traffic in Arms Regulations and regulations from the Bureau of Alcohol, Tobacco, Firearms and Explosives and the FCPA.</w:t>
      </w:r>
    </w:p>
    <w:p>
      <w:pPr>
        <w:spacing w:after="0" w:line="99" w:lineRule="exact"/>
        <w:rPr>
          <w:sz w:val="20"/>
          <w:szCs w:val="20"/>
          <w:color w:val="auto"/>
        </w:rPr>
      </w:pPr>
    </w:p>
    <w:p>
      <w:pPr>
        <w:ind w:right="80" w:firstLine="494"/>
        <w:spacing w:after="0" w:line="239" w:lineRule="auto"/>
        <w:rPr>
          <w:sz w:val="20"/>
          <w:szCs w:val="20"/>
          <w:color w:val="auto"/>
        </w:rPr>
      </w:pPr>
      <w:r>
        <w:rPr>
          <w:rFonts w:ascii="Arial" w:cs="Arial" w:eastAsia="Arial" w:hAnsi="Arial"/>
          <w:sz w:val="18"/>
          <w:szCs w:val="18"/>
          <w:color w:val="auto"/>
        </w:rPr>
        <w:t>U.S. government contracts are subject to modification, curtailment or termination by the U.S. government without prior written notice, either for convenience or for default as a result of our failure to perform under the applicable contract. If terminated by the U.S. government as a result of our default, we could be liable for additional costs the U.S. government incurs in acquiring undelivered goods or services from another source and any other damages it suffers. Additionally, we cannot assign prime U.S. government contracts without the prior consent of the U.S. government contracting officer, and we are required to register with the Central Contractor Registration Database. Furthermore, the U.S. government periodically audits our governmental contract costs, which could result in fines, penalties or adjustment of costs and prices under the contracts. The result of, or expiration of the statute of limitations for, such audits could have an impact on reported liabilities, net income and cash flow from operations.</w:t>
      </w:r>
    </w:p>
    <w:p>
      <w:pPr>
        <w:spacing w:after="0" w:line="187" w:lineRule="exact"/>
        <w:rPr>
          <w:sz w:val="20"/>
          <w:szCs w:val="20"/>
          <w:color w:val="auto"/>
        </w:rPr>
      </w:pPr>
    </w:p>
    <w:p>
      <w:pPr>
        <w:jc w:val="both"/>
        <w:ind w:left="380"/>
        <w:spacing w:after="0" w:line="256" w:lineRule="auto"/>
        <w:rPr>
          <w:sz w:val="20"/>
          <w:szCs w:val="20"/>
          <w:color w:val="auto"/>
        </w:rPr>
      </w:pPr>
      <w:r>
        <w:rPr>
          <w:rFonts w:ascii="Arial" w:cs="Arial" w:eastAsia="Arial" w:hAnsi="Arial"/>
          <w:sz w:val="18"/>
          <w:szCs w:val="18"/>
          <w:b w:val="1"/>
          <w:bCs w:val="1"/>
          <w:i w:val="1"/>
          <w:iCs w:val="1"/>
          <w:color w:val="auto"/>
        </w:rPr>
        <w:t>Provisions of our amended and restated certificate of incorporation and amended and restated bylaws and Delaware law might discourage, delay or prevent a change of control of our company or changes in our management and, as a result, depress the trading price of our common stock.</w:t>
      </w:r>
    </w:p>
    <w:p>
      <w:pPr>
        <w:spacing w:after="0" w:line="104" w:lineRule="exact"/>
        <w:rPr>
          <w:sz w:val="20"/>
          <w:szCs w:val="20"/>
          <w:color w:val="auto"/>
        </w:rPr>
      </w:pPr>
    </w:p>
    <w:p>
      <w:pPr>
        <w:ind w:right="300" w:firstLine="494"/>
        <w:spacing w:after="0" w:line="252" w:lineRule="auto"/>
        <w:rPr>
          <w:sz w:val="20"/>
          <w:szCs w:val="20"/>
          <w:color w:val="auto"/>
        </w:rPr>
      </w:pPr>
      <w:r>
        <w:rPr>
          <w:rFonts w:ascii="Arial" w:cs="Arial" w:eastAsia="Arial" w:hAnsi="Arial"/>
          <w:sz w:val="18"/>
          <w:szCs w:val="18"/>
          <w:color w:val="auto"/>
        </w:rPr>
        <w:t>Our amended and restated certificate of incorporation and amended and restated bylaws and certain provisions of the Delaware General Corporation Law contain provisions that could discourage, delay or prevent a change in control of our company or changes in our management that the stockholders of our company may deem advantageous. These provisions:</w:t>
      </w:r>
    </w:p>
    <w:p>
      <w:pPr>
        <w:spacing w:after="0" w:line="63" w:lineRule="exact"/>
        <w:rPr>
          <w:sz w:val="20"/>
          <w:szCs w:val="20"/>
          <w:color w:val="auto"/>
        </w:rPr>
      </w:pPr>
    </w:p>
    <w:p>
      <w:pPr>
        <w:ind w:left="1020" w:right="780" w:hanging="504"/>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authorize the issuance of blank check preferred stock that our Board of Directors could issue to increase the number of outstanding shares and to discourage a takeover attempt;</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prohibit our stockholders from calling a special meeting of stockholders;</w:t>
      </w:r>
    </w:p>
    <w:p>
      <w:pPr>
        <w:spacing w:after="0" w:line="115" w:lineRule="exact"/>
        <w:rPr>
          <w:rFonts w:ascii="Times New Roman" w:cs="Times New Roman" w:eastAsia="Times New Roman" w:hAnsi="Times New Roman"/>
          <w:sz w:val="18"/>
          <w:szCs w:val="18"/>
          <w:color w:val="auto"/>
        </w:rPr>
      </w:pPr>
    </w:p>
    <w:p>
      <w:pPr>
        <w:ind w:left="1020" w:right="1060" w:hanging="504"/>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the Board of Directors is expressly authorized to adopt, or to alter or repeal, our bylaws;</w:t>
      </w:r>
    </w:p>
    <w:p>
      <w:pPr>
        <w:spacing w:after="0" w:line="115" w:lineRule="exact"/>
        <w:rPr>
          <w:rFonts w:ascii="Times New Roman" w:cs="Times New Roman" w:eastAsia="Times New Roman" w:hAnsi="Times New Roman"/>
          <w:sz w:val="18"/>
          <w:szCs w:val="18"/>
          <w:color w:val="auto"/>
        </w:rPr>
      </w:pPr>
    </w:p>
    <w:p>
      <w:pPr>
        <w:ind w:left="1020" w:right="40" w:hanging="504"/>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stockholder meetings; and</w:t>
      </w:r>
    </w:p>
    <w:p>
      <w:pPr>
        <w:spacing w:after="0" w:line="45" w:lineRule="exact"/>
        <w:rPr>
          <w:rFonts w:ascii="Times New Roman" w:cs="Times New Roman" w:eastAsia="Times New Roman" w:hAnsi="Times New Roman"/>
          <w:sz w:val="18"/>
          <w:szCs w:val="18"/>
          <w:color w:val="auto"/>
        </w:rPr>
      </w:pPr>
    </w:p>
    <w:p>
      <w:pPr>
        <w:ind w:left="1020" w:hanging="504"/>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the approval of holders of at least two-thirds of the outstanding shares of common stock to amend the bylaws and certain provisions of the certificate of incorporation.</w:t>
      </w:r>
    </w:p>
    <w:p>
      <w:pPr>
        <w:spacing w:after="0" w:line="100" w:lineRule="exact"/>
        <w:rPr>
          <w:sz w:val="20"/>
          <w:szCs w:val="20"/>
          <w:color w:val="auto"/>
        </w:rPr>
      </w:pPr>
    </w:p>
    <w:p>
      <w:pPr>
        <w:jc w:val="both"/>
        <w:ind w:right="220" w:firstLine="494"/>
        <w:spacing w:after="0" w:line="252" w:lineRule="auto"/>
        <w:rPr>
          <w:sz w:val="20"/>
          <w:szCs w:val="20"/>
          <w:color w:val="auto"/>
        </w:rPr>
      </w:pPr>
      <w:r>
        <w:rPr>
          <w:rFonts w:ascii="Arial" w:cs="Arial" w:eastAsia="Arial" w:hAnsi="Arial"/>
          <w:sz w:val="18"/>
          <w:szCs w:val="18"/>
          <w:color w:val="auto"/>
        </w:rPr>
        <w:t>These anti-takeover defenses could discourage, delay or prevent a transaction involving a change in control of our company that our stockholders may believe to be in their best interests. These provisions could also discourage proxy contests and make it more difficult for our stockholders to elect directors of their choosing and cause us to take corporate actions other than those they desire.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 and Financial Risks</w:t>
      </w:r>
    </w:p>
    <w:p>
      <w:pPr>
        <w:spacing w:after="0" w:line="213"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Our indebtedness could adversely affect our financial health, restrict our activities and affect our ability to meet our obligations.</w:t>
      </w:r>
    </w:p>
    <w:p>
      <w:pPr>
        <w:spacing w:after="0" w:line="85" w:lineRule="exact"/>
        <w:rPr>
          <w:sz w:val="20"/>
          <w:szCs w:val="20"/>
          <w:color w:val="auto"/>
        </w:rPr>
      </w:pPr>
    </w:p>
    <w:p>
      <w:pPr>
        <w:ind w:right="40" w:firstLine="494"/>
        <w:spacing w:after="0" w:line="243" w:lineRule="auto"/>
        <w:rPr>
          <w:sz w:val="20"/>
          <w:szCs w:val="20"/>
          <w:color w:val="auto"/>
        </w:rPr>
      </w:pPr>
      <w:r>
        <w:rPr>
          <w:rFonts w:ascii="Arial" w:cs="Arial" w:eastAsia="Arial" w:hAnsi="Arial"/>
          <w:sz w:val="18"/>
          <w:szCs w:val="18"/>
          <w:color w:val="auto"/>
        </w:rPr>
        <w:t xml:space="preserve">As of December 31, 2023, we had total indebtedness of $2,518 million, and we would have been able to borrow an additional $645 million, net of $5 million of outstanding letters of credit, under Allison Transmission Inc.’s (“ATI”), our wholly-owned subsidiary, revolving credit facility with commitments in the amount </w:t>
      </w:r>
      <w:r>
        <w:rPr>
          <w:rFonts w:ascii="Arial" w:cs="Arial" w:eastAsia="Arial" w:hAnsi="Arial"/>
          <w:sz w:val="18"/>
          <w:szCs w:val="18"/>
          <w:color w:val="212529"/>
        </w:rPr>
        <w:t>of $650 million due September 2025</w:t>
      </w:r>
      <w:r>
        <w:rPr>
          <w:rFonts w:ascii="Arial" w:cs="Arial" w:eastAsia="Arial" w:hAnsi="Arial"/>
          <w:sz w:val="18"/>
          <w:szCs w:val="18"/>
          <w:color w:val="auto"/>
        </w:rPr>
        <w:t xml:space="preserve"> (“Revolving Credit Facility”). As of December 31, 2023, we had no outstanding borrowings against the Revolving Credit Facility. At December 31, 2023, $618 million of our total indebtedness was associated with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ATI’s </w:t>
      </w:r>
      <w:r>
        <w:rPr>
          <w:rFonts w:ascii="Arial" w:cs="Arial" w:eastAsia="Arial" w:hAnsi="Arial"/>
          <w:sz w:val="18"/>
          <w:szCs w:val="18"/>
          <w:color w:val="212529"/>
        </w:rPr>
        <w:t>term loan facility due March 2026 (“Term Loan”</w:t>
      </w:r>
      <w:r>
        <w:rPr>
          <w:rFonts w:ascii="Arial" w:cs="Arial" w:eastAsia="Arial" w:hAnsi="Arial"/>
          <w:sz w:val="18"/>
          <w:szCs w:val="18"/>
          <w:color w:val="auto"/>
        </w:rPr>
        <w:t>, and together with the Revolving Credit Facility, the “Senior Secured Credit Facility”),</w:t>
      </w:r>
    </w:p>
    <w:p>
      <w:pPr>
        <w:spacing w:after="0" w:line="1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$400 million of our total indebtedness was associated with ATI’s 4.75% Senior Notes due October 2027 (“4.75% Senior Notes”), $500 million of our total indebtedness was associated with ATI’s 5.875% Senior Notes due June 2029 (“5.875% Senior Notes”) and $1,000 million of our total indebtedness was associated with ATI’s 3.75% Senior Notes due January 2031 (“3.75% Senior Notes”, and together with the 4.75% Senior Notes and 5.875% Senior Notes, the “Senior Notes”). For a complete description of the terms of the Senior Secured Credit Facility and the Senior Notes, please see "Note 8. Debt” in Part II, Item 8., of this Annual Report on Form 10-K.</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indebtedness could have important consequences. For example, it could:</w:t>
      </w:r>
    </w:p>
    <w:p>
      <w:pPr>
        <w:spacing w:after="0" w:line="157" w:lineRule="exact"/>
        <w:rPr>
          <w:sz w:val="20"/>
          <w:szCs w:val="20"/>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make it more difficult for us to satisfy our obligations under our indebtedness;</w:t>
      </w:r>
    </w:p>
    <w:p>
      <w:pPr>
        <w:spacing w:after="0" w:line="115" w:lineRule="exact"/>
        <w:rPr>
          <w:rFonts w:ascii="Times New Roman" w:cs="Times New Roman" w:eastAsia="Times New Roman" w:hAnsi="Times New Roman"/>
          <w:sz w:val="18"/>
          <w:szCs w:val="18"/>
          <w:color w:val="auto"/>
        </w:rPr>
      </w:pPr>
    </w:p>
    <w:p>
      <w:pPr>
        <w:ind w:left="1020" w:right="140" w:hanging="504"/>
        <w:spacing w:after="0" w:line="252"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further dedicate a substantial portion of our cash flow from operations to payments of principal and interest on our indebtedness, thereby reducing the availability of our cash flow to fund acquisitions, working capital, capital expenditures, research and development efforts and other general corporate purposes;</w:t>
      </w:r>
    </w:p>
    <w:p>
      <w:pPr>
        <w:spacing w:after="0" w:line="61" w:lineRule="exact"/>
        <w:rPr>
          <w:rFonts w:ascii="Times New Roman" w:cs="Times New Roman" w:eastAsia="Times New Roman" w:hAnsi="Times New Roman"/>
          <w:sz w:val="18"/>
          <w:szCs w:val="18"/>
          <w:color w:val="auto"/>
        </w:rPr>
      </w:pPr>
    </w:p>
    <w:p>
      <w:pPr>
        <w:ind w:left="1020" w:right="160" w:hanging="504"/>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increase our vulnerability to and limit our flexibility in planning for, or reacting to, downturns or changes in our business and the industry in which we operate;</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restrict us from making strategic acquisitions or cause us to make non-strategic divestitures;</w:t>
      </w:r>
    </w:p>
    <w:p>
      <w:pPr>
        <w:spacing w:after="0" w:line="115" w:lineRule="exact"/>
        <w:rPr>
          <w:rFonts w:ascii="Times New Roman" w:cs="Times New Roman" w:eastAsia="Times New Roman" w:hAnsi="Times New Roman"/>
          <w:sz w:val="18"/>
          <w:szCs w:val="18"/>
          <w:color w:val="auto"/>
        </w:rPr>
      </w:pPr>
    </w:p>
    <w:p>
      <w:pPr>
        <w:ind w:left="1020" w:right="220" w:hanging="504"/>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expose us to the risk of increased interest rates as borrowings under the Senior Secured Credit Facility are subject to variable rates of interest;</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place us at a competitive disadvantage compared to our competitors that have less debt;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limit our ability to borrow additional funds.</w:t>
      </w:r>
    </w:p>
    <w:p>
      <w:pPr>
        <w:spacing w:after="0" w:line="170" w:lineRule="exact"/>
        <w:rPr>
          <w:sz w:val="20"/>
          <w:szCs w:val="20"/>
          <w:color w:val="auto"/>
        </w:rPr>
      </w:pPr>
    </w:p>
    <w:p>
      <w:pPr>
        <w:ind w:right="20" w:firstLine="494"/>
        <w:spacing w:after="0" w:line="246" w:lineRule="auto"/>
        <w:rPr>
          <w:sz w:val="20"/>
          <w:szCs w:val="20"/>
          <w:color w:val="auto"/>
        </w:rPr>
      </w:pPr>
      <w:r>
        <w:rPr>
          <w:rFonts w:ascii="Arial" w:cs="Arial" w:eastAsia="Arial" w:hAnsi="Arial"/>
          <w:sz w:val="18"/>
          <w:szCs w:val="18"/>
          <w:color w:val="auto"/>
        </w:rPr>
        <w:t>In addition, the Revolving Credit Facility contains a maximum total senior secured leverage ratio. The Senior Secured Credit Facility and the indentures governing the Senior Notes also contain other negative and affirmative covenants that will limit our ability to engage in activities that may be in our long-term best interests. Our failure to comply with any of the covenants could result in an event of default which, if not cured or waived, could result in the acceleration of all of our indebtedness.</w:t>
      </w:r>
    </w:p>
    <w:p>
      <w:pPr>
        <w:spacing w:after="0" w:line="178"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To service our indebtedness, we will require a significant amount of cash, and our ability to generate cash depends on many factors beyond our control.</w:t>
      </w:r>
    </w:p>
    <w:p>
      <w:pPr>
        <w:spacing w:after="0" w:line="85" w:lineRule="exact"/>
        <w:rPr>
          <w:sz w:val="20"/>
          <w:szCs w:val="20"/>
          <w:color w:val="auto"/>
        </w:rPr>
      </w:pPr>
    </w:p>
    <w:p>
      <w:pPr>
        <w:ind w:right="20" w:firstLine="494"/>
        <w:spacing w:after="0" w:line="252" w:lineRule="auto"/>
        <w:rPr>
          <w:sz w:val="20"/>
          <w:szCs w:val="20"/>
          <w:color w:val="auto"/>
        </w:rPr>
      </w:pPr>
      <w:r>
        <w:rPr>
          <w:rFonts w:ascii="Arial" w:cs="Arial" w:eastAsia="Arial" w:hAnsi="Arial"/>
          <w:sz w:val="18"/>
          <w:szCs w:val="18"/>
          <w:color w:val="auto"/>
        </w:rPr>
        <w:t>Our ability to make cash payments on our indebtedness and to fund planned capital expenditures will depend on our ability to generate significant operating cash flow in the future. This, to a significant extent, is subject to general economic, financial, competitive, legislative, regulatory and other factors that are beyond our control.</w:t>
      </w:r>
    </w:p>
    <w:p>
      <w:pPr>
        <w:spacing w:after="0" w:line="117" w:lineRule="exact"/>
        <w:rPr>
          <w:sz w:val="20"/>
          <w:szCs w:val="20"/>
          <w:color w:val="auto"/>
        </w:rPr>
      </w:pPr>
    </w:p>
    <w:p>
      <w:pPr>
        <w:ind w:right="80" w:firstLine="494"/>
        <w:spacing w:after="0" w:line="258" w:lineRule="auto"/>
        <w:rPr>
          <w:sz w:val="20"/>
          <w:szCs w:val="20"/>
          <w:color w:val="auto"/>
        </w:rPr>
      </w:pPr>
      <w:r>
        <w:rPr>
          <w:rFonts w:ascii="Arial" w:cs="Arial" w:eastAsia="Arial" w:hAnsi="Arial"/>
          <w:sz w:val="17"/>
          <w:szCs w:val="17"/>
          <w:color w:val="auto"/>
        </w:rPr>
        <w:t>We cannot ensure that our business will generate sufficient cash flow from operations or that future borrowings will be available to us under the Revolving Credit Facility in an amount sufficient to enable us to pay our indebtedness or to fund our other liquidity needs. In such circumstances, we may need to refinance all or a portion of our indebtedness on or before maturity. We cannot ensure that we will be able to refinance any of our indebtedness on commercially reasonable terms or at all. If we cannot service our indebtedness, we may have to take actions such as selling assets, seeking additional equity or reducing or delaying capital expenditures, strategic acquisitions, investments and alliances. We cannot ensure that any such actions, if necessary, could be effected on commercially reasonable terms or at all.</w:t>
      </w:r>
    </w:p>
    <w:p>
      <w:pPr>
        <w:spacing w:after="0" w:line="171"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Despite current indebtedness levels, we and our subsidiaries may still be able to incur additional indebtedness, which could further exacerbate the risks associated with our substantial financial leverage.</w:t>
      </w:r>
    </w:p>
    <w:p>
      <w:pPr>
        <w:spacing w:after="0" w:line="85" w:lineRule="exact"/>
        <w:rPr>
          <w:sz w:val="20"/>
          <w:szCs w:val="20"/>
          <w:color w:val="auto"/>
        </w:rPr>
      </w:pPr>
    </w:p>
    <w:p>
      <w:pPr>
        <w:ind w:right="120" w:firstLine="494"/>
        <w:spacing w:after="0" w:line="271" w:lineRule="auto"/>
        <w:rPr>
          <w:sz w:val="20"/>
          <w:szCs w:val="20"/>
          <w:color w:val="auto"/>
        </w:rPr>
      </w:pPr>
      <w:r>
        <w:rPr>
          <w:rFonts w:ascii="Arial" w:cs="Arial" w:eastAsia="Arial" w:hAnsi="Arial"/>
          <w:sz w:val="18"/>
          <w:szCs w:val="18"/>
          <w:color w:val="auto"/>
        </w:rPr>
        <w:t>We and our subsidiaries may be able to incur additional indebtedness in the future because the terms of our indebtedness do not fully prohibit us or our subsidiaries from doing so. Subject to covenant compliance and certain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conditions, our indebtedness permits additional borrowing, including total borrowing up to $645 million under the Revolving Credit Facility, net of $5 million in letters of credit. If new debt is added to our current debt levels and our subsidiaries’ current debt levels, the related risks that we and they now face could intensify.</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Our pension and other post-retirement benefits funding obligations could increase as a result of a variety of factors.</w:t>
      </w:r>
    </w:p>
    <w:p>
      <w:pPr>
        <w:spacing w:after="0" w:line="155" w:lineRule="exact"/>
        <w:rPr>
          <w:sz w:val="20"/>
          <w:szCs w:val="20"/>
          <w:color w:val="auto"/>
        </w:rPr>
      </w:pPr>
    </w:p>
    <w:p>
      <w:pPr>
        <w:ind w:right="20" w:firstLine="494"/>
        <w:spacing w:after="0" w:line="236" w:lineRule="auto"/>
        <w:rPr>
          <w:sz w:val="20"/>
          <w:szCs w:val="20"/>
          <w:color w:val="auto"/>
        </w:rPr>
      </w:pPr>
      <w:r>
        <w:rPr>
          <w:rFonts w:ascii="Arial" w:cs="Arial" w:eastAsia="Arial" w:hAnsi="Arial"/>
          <w:sz w:val="18"/>
          <w:szCs w:val="18"/>
          <w:color w:val="auto"/>
        </w:rPr>
        <w:t>Our earnings may be positively or negatively impacted by the amount of income or expense recorded for our defined benefit pension plans and other post-retirement benefits (“OPEB”). Accounting principles generally accepted in the United States of America (“GAAP”) require that income or expense for defined benefit pension plans be calculated at the annual measurement date, or more frequently if certain events occur, using actuarial assumptions and calculations. These calculations reflect certain assumptions, the most significant of which relate to the capital markets, interest rates, health care inflation rates and other economic conditions. Changes in key economic indicators can change these assumptions. These assumptions, along with the actual value of assets at the measurement date, will impact the calculation of pension expense for the year. Although GAAP pension expense and pension contributions are not directly related, the key economic indicators that affect GAAP pension expense also affect the amount of cash that we would contribute to our defined benefit pension plans. Because the values of these defined benefit pension plans’ assets have fluctuated and will fluctuate in response to changing market conditions, the amount of gains or losses that will be recognized in subsequent periods, the impact on the funded status of the defined benefit pension plans and the future minimum required contributions, if any, could have a material adverse effect on our business, results of operations and financial condition. The magnitude of such impact cannot be determined with certainty at this time. However, the effect of a one percentage point decrease in the assumed discount rate would result in an increase in the December 31, 2023 defined benefit pension plans obligation of approximately $ 17 million. Likewise, a one percentage point decrease in the effective interest rate for determining defined benefit pension plans contributions would result in an increase in the minimum required contributions for 2024 of approximately $2 million. Similarly, a one percentage point decrease in the assumed discount rate would result in an increase in the December 31, 2023 OPEB obligation of approximately $7 million. As of December 31, 2023, the unfunded status of our defined benefit pension plans was $5 million and the unfunded status of our OPEB plan was $64 million.</w:t>
      </w:r>
    </w:p>
    <w:p>
      <w:pPr>
        <w:spacing w:after="0" w:line="195"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An impairment in the carrying value of goodwill, other intangible assets or long-lived assets could negatively affect our consolidated results of operations and net worth.</w:t>
      </w:r>
    </w:p>
    <w:p>
      <w:pPr>
        <w:spacing w:after="0" w:line="85"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Pursuant to GAAP, we are required to assess our goodwill and indefinite-lived intangible assets to determine if they are impaired on an annual basis, or more often if events or changes in circumstances indicate that impairment may have occurred. Intangible assets with finite lives are amortized over the useful life and are reviewed for impairment on triggering events such as events or changes in circumstances indicating that an impairment may have occurred. If the testing performed indicates that impairment has occurred, we are required to record a non-cash impairment charge for the difference between the carrying value of the goodwill and the implied fair value of the goodwill or the carrying value of the intangible assets and the fair value of the intangible assets in the period the determination is made. Disruptions to our business, end market conditions, protracted economic weakness, the unsuccessful development of a product and unexpected significant declines in operating results may result in charges for goodwill and other asset impairments. See "Note 2. Summary of Significant Accounting Policies” and "Note 6. Goodwill and Other Intangible Assets” of Notes to Consolidated Financial Statements included in Part II, Item 8., of this Annual Report on Form 10-K for additional details.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right="40" w:firstLine="494"/>
        <w:spacing w:after="0" w:line="239" w:lineRule="auto"/>
        <w:rPr>
          <w:sz w:val="20"/>
          <w:szCs w:val="20"/>
          <w:color w:val="auto"/>
        </w:rPr>
      </w:pPr>
      <w:r>
        <w:rPr>
          <w:rFonts w:ascii="Arial" w:cs="Arial" w:eastAsia="Arial" w:hAnsi="Arial"/>
          <w:sz w:val="18"/>
          <w:szCs w:val="18"/>
          <w:color w:val="auto"/>
        </w:rPr>
        <w:t>The carrying value of long-lived assets is evaluated whenever events or circumstances indicate that the carrying value of a long-lived asset may not be recoverable. Events or circumstances that would result in an impairment review primarily include a significant change in the use of an asset, a significant change in the projected future cash flows generated by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 and could have a material adverse effect on the results of our operations. See "Note 2. Summary of Significant Accounting Policies” and "Note 5. Property, Plant and Equipment” of Notes to Consolidated Financial Statements included in Part II, Item 8., of this Annual Report on Form 10-K for additional details.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57" w:lineRule="exact"/>
        <w:rPr>
          <w:sz w:val="20"/>
          <w:szCs w:val="20"/>
          <w:color w:val="auto"/>
        </w:rPr>
      </w:pPr>
    </w:p>
    <w:p>
      <w:pPr>
        <w:ind w:right="240" w:firstLine="494"/>
        <w:spacing w:after="0" w:line="271" w:lineRule="auto"/>
        <w:rPr>
          <w:sz w:val="20"/>
          <w:szCs w:val="20"/>
          <w:color w:val="auto"/>
        </w:rPr>
      </w:pPr>
      <w:r>
        <w:rPr>
          <w:rFonts w:ascii="Arial" w:cs="Arial" w:eastAsia="Arial" w:hAnsi="Arial"/>
          <w:sz w:val="18"/>
          <w:szCs w:val="18"/>
          <w:color w:val="auto"/>
        </w:rPr>
        <w:t>We have developed and implemented a cybersecurity risk management program intended to protect the confidentiality, integrity, and availability of our critical systems and information.</w:t>
      </w:r>
    </w:p>
    <w:p>
      <w:pPr>
        <w:spacing w:after="0" w:line="99" w:lineRule="exact"/>
        <w:rPr>
          <w:sz w:val="20"/>
          <w:szCs w:val="20"/>
          <w:color w:val="auto"/>
        </w:rPr>
      </w:pPr>
    </w:p>
    <w:p>
      <w:pPr>
        <w:jc w:val="both"/>
        <w:ind w:firstLine="494"/>
        <w:spacing w:after="0" w:line="252" w:lineRule="auto"/>
        <w:rPr>
          <w:sz w:val="20"/>
          <w:szCs w:val="20"/>
          <w:color w:val="auto"/>
        </w:rPr>
      </w:pPr>
      <w:r>
        <w:rPr>
          <w:rFonts w:ascii="Arial" w:cs="Arial" w:eastAsia="Arial" w:hAnsi="Arial"/>
          <w:sz w:val="18"/>
          <w:szCs w:val="18"/>
          <w:color w:val="auto"/>
        </w:rPr>
        <w:t>Our cybersecurity risk management program is guided by the National Institute of Standards and Technology Cybersecurity Framework (“NIST CSF”). This does not imply that we meet any particular technical standards, specifications, or requirements, only that we use the NIST CSF as a framework to help us identify, assess, and manage cybersecurity risks relevant to our business.</w:t>
      </w:r>
    </w:p>
    <w:p>
      <w:pPr>
        <w:spacing w:after="0" w:line="117" w:lineRule="exact"/>
        <w:rPr>
          <w:sz w:val="20"/>
          <w:szCs w:val="20"/>
          <w:color w:val="auto"/>
        </w:rPr>
      </w:pPr>
    </w:p>
    <w:p>
      <w:pPr>
        <w:ind w:right="240" w:firstLine="494"/>
        <w:spacing w:after="0" w:line="252" w:lineRule="auto"/>
        <w:rPr>
          <w:sz w:val="20"/>
          <w:szCs w:val="20"/>
          <w:color w:val="auto"/>
        </w:rPr>
      </w:pPr>
      <w:r>
        <w:rPr>
          <w:rFonts w:ascii="Arial" w:cs="Arial" w:eastAsia="Arial" w:hAnsi="Arial"/>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aspects of our cybersecurity risk management program include:</w:t>
      </w:r>
    </w:p>
    <w:p>
      <w:pPr>
        <w:spacing w:after="0" w:line="157" w:lineRule="exact"/>
        <w:rPr>
          <w:sz w:val="20"/>
          <w:szCs w:val="20"/>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Risk assessments designed to help identify material cybersecurity risks to our critical systems and information;</w:t>
      </w:r>
    </w:p>
    <w:p>
      <w:pPr>
        <w:spacing w:after="0" w:line="115" w:lineRule="exact"/>
        <w:rPr>
          <w:rFonts w:ascii="Times New Roman" w:cs="Times New Roman" w:eastAsia="Times New Roman" w:hAnsi="Times New Roman"/>
          <w:sz w:val="18"/>
          <w:szCs w:val="18"/>
          <w:color w:val="auto"/>
        </w:rPr>
      </w:pPr>
    </w:p>
    <w:p>
      <w:pPr>
        <w:ind w:left="1020" w:right="140" w:hanging="504"/>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 security team principally responsible for managing (1) our cybersecurity risk assessment processes, (2) our security controls, and (3) our response to cybersecurity incidents;</w:t>
      </w:r>
    </w:p>
    <w:p>
      <w:pPr>
        <w:spacing w:after="0" w:line="45" w:lineRule="exact"/>
        <w:rPr>
          <w:rFonts w:ascii="Times New Roman" w:cs="Times New Roman" w:eastAsia="Times New Roman" w:hAnsi="Times New Roman"/>
          <w:sz w:val="18"/>
          <w:szCs w:val="18"/>
          <w:color w:val="auto"/>
        </w:rPr>
      </w:pPr>
    </w:p>
    <w:p>
      <w:pPr>
        <w:ind w:left="1020" w:right="720" w:hanging="504"/>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use of external service providers, where appropriate, to assess, test or otherwise assist with aspects of our security controls;</w:t>
      </w:r>
    </w:p>
    <w:p>
      <w:pPr>
        <w:spacing w:after="0" w:line="45" w:lineRule="exact"/>
        <w:rPr>
          <w:rFonts w:ascii="Times New Roman" w:cs="Times New Roman" w:eastAsia="Times New Roman" w:hAnsi="Times New Roman"/>
          <w:sz w:val="18"/>
          <w:szCs w:val="18"/>
          <w:color w:val="auto"/>
        </w:rPr>
      </w:pPr>
    </w:p>
    <w:p>
      <w:pPr>
        <w:ind w:left="1020" w:right="900" w:hanging="504"/>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Cybersecurity awareness training of our employees, key third-party partners, incident response personnel, and senior management;</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 cybersecurity incident response plan that includes procedures for responding to cybersecurity incidents;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 third-party risk management process for key third-party vendors and suppliers.</w:t>
      </w:r>
    </w:p>
    <w:p>
      <w:pPr>
        <w:spacing w:after="0" w:line="170" w:lineRule="exact"/>
        <w:rPr>
          <w:sz w:val="20"/>
          <w:szCs w:val="20"/>
          <w:color w:val="auto"/>
        </w:rPr>
      </w:pPr>
    </w:p>
    <w:p>
      <w:pPr>
        <w:ind w:right="140" w:firstLine="494"/>
        <w:spacing w:after="0" w:line="243" w:lineRule="auto"/>
        <w:rPr>
          <w:sz w:val="20"/>
          <w:szCs w:val="20"/>
          <w:color w:val="auto"/>
        </w:rPr>
      </w:pPr>
      <w:r>
        <w:rPr>
          <w:rFonts w:ascii="Arial" w:cs="Arial" w:eastAsia="Arial" w:hAnsi="Arial"/>
          <w:sz w:val="18"/>
          <w:szCs w:val="18"/>
          <w:color w:val="auto"/>
        </w:rPr>
        <w:t>We have not identified risks from known cybersecurity threats, including as a result of any prior cybersecurity incidents, that have materially affected us, including our operations, business strategy, results of operations, or financial condition. We face certain ongoing risks from cybersecurity threats that, if realized, are reasonably likely to materially affect us, including our operations, business strategy, results of operations, or financial condition. See “Risk Factors – We are subject to cybersecurity risks to operational systems, security systems, or infrastructure owned by Allison or third-party vendors or suppliers" in Part I, Item 1A. of this Annual Report on Form 10-K.</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Cybersecurity Governance</w:t>
      </w:r>
    </w:p>
    <w:p>
      <w:pPr>
        <w:spacing w:after="0" w:line="155" w:lineRule="exact"/>
        <w:rPr>
          <w:sz w:val="20"/>
          <w:szCs w:val="20"/>
          <w:color w:val="auto"/>
        </w:rPr>
      </w:pPr>
    </w:p>
    <w:p>
      <w:pPr>
        <w:ind w:right="20" w:firstLine="494"/>
        <w:spacing w:after="0" w:line="252" w:lineRule="auto"/>
        <w:rPr>
          <w:sz w:val="20"/>
          <w:szCs w:val="20"/>
          <w:color w:val="auto"/>
        </w:rPr>
      </w:pPr>
      <w:r>
        <w:rPr>
          <w:rFonts w:ascii="Arial" w:cs="Arial" w:eastAsia="Arial" w:hAnsi="Arial"/>
          <w:sz w:val="18"/>
          <w:szCs w:val="18"/>
          <w:color w:val="auto"/>
        </w:rPr>
        <w:t>Our Board considers cybersecurity risk as part of its risk oversight function and has delegated to its Audit Committee oversight of cybersecurity and other information technology risks. Our Audit Committee oversees management’s implementation of our cybersecurity risk management program.</w:t>
      </w:r>
    </w:p>
    <w:p>
      <w:pPr>
        <w:spacing w:after="0" w:line="117" w:lineRule="exact"/>
        <w:rPr>
          <w:sz w:val="20"/>
          <w:szCs w:val="20"/>
          <w:color w:val="auto"/>
        </w:rPr>
      </w:pPr>
    </w:p>
    <w:p>
      <w:pPr>
        <w:ind w:right="260" w:firstLine="494"/>
        <w:spacing w:after="0" w:line="271" w:lineRule="auto"/>
        <w:rPr>
          <w:sz w:val="20"/>
          <w:szCs w:val="20"/>
          <w:color w:val="auto"/>
        </w:rPr>
      </w:pPr>
      <w:r>
        <w:rPr>
          <w:rFonts w:ascii="Arial" w:cs="Arial" w:eastAsia="Arial" w:hAnsi="Arial"/>
          <w:sz w:val="18"/>
          <w:szCs w:val="18"/>
          <w:color w:val="auto"/>
        </w:rPr>
        <w:t>Our Audit Committee receives quarterly reports from management on our cybersecurity risks. In addition, management updates the Audit Committee, as necessary, regarding significant cybersecurity incidents.</w:t>
      </w:r>
    </w:p>
    <w:p>
      <w:pPr>
        <w:spacing w:after="0" w:line="99" w:lineRule="exact"/>
        <w:rPr>
          <w:sz w:val="20"/>
          <w:szCs w:val="20"/>
          <w:color w:val="auto"/>
        </w:rPr>
      </w:pPr>
    </w:p>
    <w:p>
      <w:pPr>
        <w:jc w:val="both"/>
        <w:ind w:right="80" w:firstLine="494"/>
        <w:spacing w:after="0" w:line="246" w:lineRule="auto"/>
        <w:rPr>
          <w:sz w:val="20"/>
          <w:szCs w:val="20"/>
          <w:color w:val="auto"/>
        </w:rPr>
      </w:pPr>
      <w:r>
        <w:rPr>
          <w:rFonts w:ascii="Arial" w:cs="Arial" w:eastAsia="Arial" w:hAnsi="Arial"/>
          <w:sz w:val="18"/>
          <w:szCs w:val="18"/>
          <w:color w:val="auto"/>
        </w:rPr>
        <w:t>The Committee reports to the full Board regarding its activities, including those related to cybersecurity. The full Board also receives briefings from management on our cybersecurity risk management program. Board members receive presentations on cybersecurity topics from our Chief Information Security Officer ("CISO"), internal security staff or external experts as part of the Board’s continuing education on topics that impact public companies.</w:t>
      </w:r>
    </w:p>
    <w:p>
      <w:pPr>
        <w:spacing w:after="0" w:line="122" w:lineRule="exact"/>
        <w:rPr>
          <w:sz w:val="20"/>
          <w:szCs w:val="20"/>
          <w:color w:val="auto"/>
        </w:rPr>
      </w:pPr>
    </w:p>
    <w:p>
      <w:pPr>
        <w:ind w:right="40" w:firstLine="494"/>
        <w:spacing w:after="0" w:line="246" w:lineRule="auto"/>
        <w:rPr>
          <w:sz w:val="20"/>
          <w:szCs w:val="20"/>
          <w:color w:val="auto"/>
        </w:rPr>
      </w:pPr>
      <w:r>
        <w:rPr>
          <w:rFonts w:ascii="Arial" w:cs="Arial" w:eastAsia="Arial" w:hAnsi="Arial"/>
          <w:sz w:val="18"/>
          <w:szCs w:val="18"/>
          <w:color w:val="auto"/>
        </w:rPr>
        <w:t>Our management team, including our Chief Executive Officer, Chief Financial Officer, General Counsel, Chief Information Officer ("CIO") and CISO, has overall responsibility for assessing and managing our material risks from cybersecurity threats. Our management team has primary responsibility for implementing our cybersecurity risk management program and supervises both our internal cybersecurity personnel and our retained external cybersecurity consultants.</w:t>
      </w:r>
    </w:p>
    <w:p>
      <w:pPr>
        <w:spacing w:after="0" w:line="122" w:lineRule="exact"/>
        <w:rPr>
          <w:sz w:val="20"/>
          <w:szCs w:val="20"/>
          <w:color w:val="auto"/>
        </w:rPr>
      </w:pPr>
    </w:p>
    <w:p>
      <w:pPr>
        <w:ind w:firstLine="494"/>
        <w:spacing w:after="0" w:line="257" w:lineRule="auto"/>
        <w:rPr>
          <w:sz w:val="20"/>
          <w:szCs w:val="20"/>
          <w:color w:val="auto"/>
        </w:rPr>
      </w:pPr>
      <w:r>
        <w:rPr>
          <w:rFonts w:ascii="Arial" w:cs="Arial" w:eastAsia="Arial" w:hAnsi="Arial"/>
          <w:sz w:val="17"/>
          <w:szCs w:val="17"/>
          <w:color w:val="auto"/>
        </w:rPr>
        <w:t>Our management team, led by our CISO, is informed about and monitors the prevention, detection, mitigation, and remediation of key cybersecurity risks and incidents through various means, which may include briefings with internal cybersecurity team members and external consultants, threat intelligence and other information obtained from public or private sources, and alerts and reports produced by security tools deployed in our information technology environment. Our CISO has over 25 years and our CIO has over 10 years of experience in designing and implementing corporate information technology security systems and strategies. In addition, our CISO leads the operational cybersecurity team, which has an average of over 10 years of experience. Collectively, the members of the operational cybersecurity team have various certifications, including, but not limited to, CISSP, GSOM, GCIA, GCIH, CISA, CCSK, SSCP, GPEN, CEH, and CISM.</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57" w:lineRule="exact"/>
        <w:rPr>
          <w:sz w:val="20"/>
          <w:szCs w:val="20"/>
          <w:color w:val="auto"/>
        </w:rPr>
      </w:pPr>
    </w:p>
    <w:p>
      <w:pPr>
        <w:ind w:firstLine="494"/>
        <w:spacing w:after="0" w:line="252" w:lineRule="auto"/>
        <w:rPr>
          <w:sz w:val="20"/>
          <w:szCs w:val="20"/>
          <w:color w:val="auto"/>
        </w:rPr>
      </w:pPr>
      <w:r>
        <w:rPr>
          <w:rFonts w:ascii="Arial" w:cs="Arial" w:eastAsia="Arial" w:hAnsi="Arial"/>
          <w:sz w:val="18"/>
          <w:szCs w:val="18"/>
          <w:color w:val="auto"/>
        </w:rPr>
        <w:t>Our world headquarters, which we own, is located at One Allison Way, Indianapolis, Indiana 46222. As of December 31, 2023, we have 18 manufacturing and certain other facilities in eight countries. The following table sets forth certain information regarding our significant facilities.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208"/>
              <w:spacing w:after="0"/>
              <w:rPr>
                <w:sz w:val="20"/>
                <w:szCs w:val="20"/>
                <w:color w:val="auto"/>
              </w:rPr>
            </w:pPr>
            <w:r>
              <w:rPr>
                <w:rFonts w:ascii="Arial" w:cs="Arial" w:eastAsia="Arial" w:hAnsi="Arial"/>
                <w:sz w:val="14"/>
                <w:szCs w:val="14"/>
                <w:b w:val="1"/>
                <w:bCs w:val="1"/>
                <w:color w:val="auto"/>
              </w:rPr>
              <w:t>Approximate</w:t>
            </w:r>
          </w:p>
        </w:tc>
        <w:tc>
          <w:tcPr>
            <w:tcW w:w="180" w:type="dxa"/>
            <w:vAlign w:val="bottom"/>
          </w:tcPr>
          <w:p>
            <w:pPr>
              <w:spacing w:after="0"/>
              <w:rPr>
                <w:sz w:val="14"/>
                <w:szCs w:val="14"/>
                <w:color w:val="auto"/>
              </w:rPr>
            </w:pPr>
          </w:p>
        </w:tc>
        <w:tc>
          <w:tcPr>
            <w:tcW w:w="1100" w:type="dxa"/>
            <w:vAlign w:val="bottom"/>
          </w:tcPr>
          <w:p>
            <w:pPr>
              <w:ind w:left="280"/>
              <w:spacing w:after="0"/>
              <w:rPr>
                <w:sz w:val="20"/>
                <w:szCs w:val="20"/>
                <w:color w:val="auto"/>
              </w:rPr>
            </w:pPr>
            <w:r>
              <w:rPr>
                <w:rFonts w:ascii="Arial" w:cs="Arial" w:eastAsia="Arial" w:hAnsi="Arial"/>
                <w:sz w:val="14"/>
                <w:szCs w:val="14"/>
                <w:b w:val="1"/>
                <w:bCs w:val="1"/>
                <w:color w:val="auto"/>
              </w:rPr>
              <w:t>Owned /</w:t>
            </w:r>
          </w:p>
        </w:tc>
        <w:tc>
          <w:tcPr>
            <w:tcW w:w="18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85"/>
        </w:trPr>
        <w:tc>
          <w:tcPr>
            <w:tcW w:w="314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Plant</w:t>
            </w:r>
          </w:p>
        </w:tc>
        <w:tc>
          <w:tcPr>
            <w:tcW w:w="200" w:type="dxa"/>
            <w:vAlign w:val="bottom"/>
          </w:tcPr>
          <w:p>
            <w:pPr>
              <w:spacing w:after="0"/>
              <w:rPr>
                <w:sz w:val="16"/>
                <w:szCs w:val="16"/>
                <w:color w:val="auto"/>
              </w:rPr>
            </w:pPr>
          </w:p>
        </w:tc>
        <w:tc>
          <w:tcPr>
            <w:tcW w:w="19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16"/>
                <w:szCs w:val="16"/>
                <w:color w:val="auto"/>
              </w:rPr>
            </w:pPr>
          </w:p>
        </w:tc>
        <w:tc>
          <w:tcPr>
            <w:tcW w:w="13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Size (ft2)</w:t>
            </w:r>
          </w:p>
        </w:tc>
        <w:tc>
          <w:tcPr>
            <w:tcW w:w="180" w:type="dxa"/>
            <w:vAlign w:val="bottom"/>
          </w:tcPr>
          <w:p>
            <w:pPr>
              <w:spacing w:after="0"/>
              <w:rPr>
                <w:sz w:val="16"/>
                <w:szCs w:val="16"/>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Leased</w:t>
            </w:r>
          </w:p>
        </w:tc>
        <w:tc>
          <w:tcPr>
            <w:tcW w:w="180" w:type="dxa"/>
            <w:vAlign w:val="bottom"/>
          </w:tcPr>
          <w:p>
            <w:pPr>
              <w:spacing w:after="0"/>
              <w:rPr>
                <w:sz w:val="16"/>
                <w:szCs w:val="16"/>
                <w:color w:val="auto"/>
              </w:rPr>
            </w:pPr>
          </w:p>
        </w:tc>
        <w:tc>
          <w:tcPr>
            <w:tcW w:w="304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Description</w:t>
            </w:r>
          </w:p>
        </w:tc>
      </w:tr>
      <w:tr>
        <w:trPr>
          <w:trHeight w:val="223"/>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Plant #3</w:t>
            </w:r>
          </w:p>
        </w:tc>
        <w:tc>
          <w:tcPr>
            <w:tcW w:w="200" w:type="dxa"/>
            <w:vAlign w:val="bottom"/>
            <w:shd w:val="clear" w:color="auto" w:fill="CFF0FC"/>
          </w:tcPr>
          <w:p>
            <w:pPr>
              <w:spacing w:after="0"/>
              <w:rPr>
                <w:sz w:val="19"/>
                <w:szCs w:val="19"/>
                <w:color w:val="auto"/>
              </w:rPr>
            </w:pPr>
          </w:p>
        </w:tc>
        <w:tc>
          <w:tcPr>
            <w:tcW w:w="1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Indianapolis</w:t>
            </w:r>
          </w:p>
        </w:tc>
        <w:tc>
          <w:tcPr>
            <w:tcW w:w="14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927,000</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Own</w:t>
            </w:r>
          </w:p>
        </w:tc>
        <w:tc>
          <w:tcPr>
            <w:tcW w:w="180" w:type="dxa"/>
            <w:vAlign w:val="bottom"/>
            <w:shd w:val="clear" w:color="auto" w:fill="CFF0FC"/>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Engineering, Operational Support</w:t>
            </w:r>
          </w:p>
        </w:tc>
      </w:tr>
      <w:tr>
        <w:trPr>
          <w:trHeight w:val="229"/>
        </w:trPr>
        <w:tc>
          <w:tcPr>
            <w:tcW w:w="3140" w:type="dxa"/>
            <w:vAlign w:val="bottom"/>
          </w:tcPr>
          <w:p>
            <w:pPr>
              <w:ind w:left="20"/>
              <w:spacing w:after="0"/>
              <w:rPr>
                <w:sz w:val="20"/>
                <w:szCs w:val="20"/>
                <w:color w:val="auto"/>
              </w:rPr>
            </w:pPr>
            <w:r>
              <w:rPr>
                <w:rFonts w:ascii="Arial" w:cs="Arial" w:eastAsia="Arial" w:hAnsi="Arial"/>
                <w:sz w:val="18"/>
                <w:szCs w:val="18"/>
                <w:color w:val="auto"/>
              </w:rPr>
              <w:t>Plant #4</w:t>
            </w:r>
          </w:p>
        </w:tc>
        <w:tc>
          <w:tcPr>
            <w:tcW w:w="200" w:type="dxa"/>
            <w:vAlign w:val="bottom"/>
          </w:tcPr>
          <w:p>
            <w:pPr>
              <w:spacing w:after="0"/>
              <w:rPr>
                <w:sz w:val="19"/>
                <w:szCs w:val="19"/>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Indianapolis</w:t>
            </w:r>
          </w:p>
        </w:tc>
        <w:tc>
          <w:tcPr>
            <w:tcW w:w="1480" w:type="dxa"/>
            <w:vAlign w:val="bottom"/>
            <w:gridSpan w:val="2"/>
          </w:tcPr>
          <w:p>
            <w:pPr>
              <w:jc w:val="right"/>
              <w:ind w:right="48"/>
              <w:spacing w:after="0"/>
              <w:rPr>
                <w:sz w:val="20"/>
                <w:szCs w:val="20"/>
                <w:color w:val="auto"/>
              </w:rPr>
            </w:pPr>
            <w:r>
              <w:rPr>
                <w:rFonts w:ascii="Arial" w:cs="Arial" w:eastAsia="Arial" w:hAnsi="Arial"/>
                <w:sz w:val="18"/>
                <w:szCs w:val="18"/>
                <w:color w:val="auto"/>
              </w:rPr>
              <w:t>425,900</w:t>
            </w:r>
          </w:p>
        </w:tc>
        <w:tc>
          <w:tcPr>
            <w:tcW w:w="18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auto"/>
              </w:rPr>
              <w:t>Own</w:t>
            </w:r>
          </w:p>
        </w:tc>
        <w:tc>
          <w:tcPr>
            <w:tcW w:w="18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Manufacturing</w:t>
            </w:r>
          </w:p>
        </w:tc>
      </w:tr>
      <w:tr>
        <w:trPr>
          <w:trHeight w:val="229"/>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Plant #6</w:t>
            </w:r>
          </w:p>
        </w:tc>
        <w:tc>
          <w:tcPr>
            <w:tcW w:w="200" w:type="dxa"/>
            <w:vAlign w:val="bottom"/>
            <w:shd w:val="clear" w:color="auto" w:fill="CFF0FC"/>
          </w:tcPr>
          <w:p>
            <w:pPr>
              <w:spacing w:after="0"/>
              <w:rPr>
                <w:sz w:val="19"/>
                <w:szCs w:val="19"/>
                <w:color w:val="auto"/>
              </w:rPr>
            </w:pPr>
          </w:p>
        </w:tc>
        <w:tc>
          <w:tcPr>
            <w:tcW w:w="1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Indianapolis</w:t>
            </w:r>
          </w:p>
        </w:tc>
        <w:tc>
          <w:tcPr>
            <w:tcW w:w="14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431,500</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Own</w:t>
            </w:r>
          </w:p>
        </w:tc>
        <w:tc>
          <w:tcPr>
            <w:tcW w:w="180" w:type="dxa"/>
            <w:vAlign w:val="bottom"/>
            <w:shd w:val="clear" w:color="auto" w:fill="CFF0FC"/>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Manufacturing</w:t>
            </w:r>
          </w:p>
        </w:tc>
      </w:tr>
      <w:tr>
        <w:trPr>
          <w:trHeight w:val="229"/>
        </w:trPr>
        <w:tc>
          <w:tcPr>
            <w:tcW w:w="3140" w:type="dxa"/>
            <w:vAlign w:val="bottom"/>
          </w:tcPr>
          <w:p>
            <w:pPr>
              <w:ind w:left="20"/>
              <w:spacing w:after="0"/>
              <w:rPr>
                <w:sz w:val="20"/>
                <w:szCs w:val="20"/>
                <w:color w:val="auto"/>
              </w:rPr>
            </w:pPr>
            <w:r>
              <w:rPr>
                <w:rFonts w:ascii="Arial" w:cs="Arial" w:eastAsia="Arial" w:hAnsi="Arial"/>
                <w:sz w:val="18"/>
                <w:szCs w:val="18"/>
                <w:color w:val="auto"/>
              </w:rPr>
              <w:t>Plant #12</w:t>
            </w:r>
          </w:p>
        </w:tc>
        <w:tc>
          <w:tcPr>
            <w:tcW w:w="200" w:type="dxa"/>
            <w:vAlign w:val="bottom"/>
          </w:tcPr>
          <w:p>
            <w:pPr>
              <w:spacing w:after="0"/>
              <w:rPr>
                <w:sz w:val="19"/>
                <w:szCs w:val="19"/>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Indianapolis</w:t>
            </w:r>
          </w:p>
        </w:tc>
        <w:tc>
          <w:tcPr>
            <w:tcW w:w="1480" w:type="dxa"/>
            <w:vAlign w:val="bottom"/>
            <w:gridSpan w:val="2"/>
          </w:tcPr>
          <w:p>
            <w:pPr>
              <w:jc w:val="right"/>
              <w:ind w:right="48"/>
              <w:spacing w:after="0"/>
              <w:rPr>
                <w:sz w:val="20"/>
                <w:szCs w:val="20"/>
                <w:color w:val="auto"/>
              </w:rPr>
            </w:pPr>
            <w:r>
              <w:rPr>
                <w:rFonts w:ascii="Arial" w:cs="Arial" w:eastAsia="Arial" w:hAnsi="Arial"/>
                <w:sz w:val="18"/>
                <w:szCs w:val="18"/>
                <w:color w:val="auto"/>
              </w:rPr>
              <w:t>534,900</w:t>
            </w:r>
          </w:p>
        </w:tc>
        <w:tc>
          <w:tcPr>
            <w:tcW w:w="18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auto"/>
              </w:rPr>
              <w:t>Own</w:t>
            </w:r>
          </w:p>
        </w:tc>
        <w:tc>
          <w:tcPr>
            <w:tcW w:w="18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Manufacturing</w:t>
            </w:r>
          </w:p>
        </w:tc>
      </w:tr>
      <w:tr>
        <w:trPr>
          <w:trHeight w:val="229"/>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Plant #14</w:t>
            </w:r>
          </w:p>
        </w:tc>
        <w:tc>
          <w:tcPr>
            <w:tcW w:w="200" w:type="dxa"/>
            <w:vAlign w:val="bottom"/>
            <w:shd w:val="clear" w:color="auto" w:fill="CFF0FC"/>
          </w:tcPr>
          <w:p>
            <w:pPr>
              <w:spacing w:after="0"/>
              <w:rPr>
                <w:sz w:val="19"/>
                <w:szCs w:val="19"/>
                <w:color w:val="auto"/>
              </w:rPr>
            </w:pPr>
          </w:p>
        </w:tc>
        <w:tc>
          <w:tcPr>
            <w:tcW w:w="1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Indianapolis</w:t>
            </w:r>
          </w:p>
        </w:tc>
        <w:tc>
          <w:tcPr>
            <w:tcW w:w="14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481,100</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Own</w:t>
            </w:r>
          </w:p>
        </w:tc>
        <w:tc>
          <w:tcPr>
            <w:tcW w:w="180" w:type="dxa"/>
            <w:vAlign w:val="bottom"/>
            <w:shd w:val="clear" w:color="auto" w:fill="CFF0FC"/>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Manufacturing</w:t>
            </w:r>
          </w:p>
        </w:tc>
      </w:tr>
      <w:tr>
        <w:trPr>
          <w:trHeight w:val="229"/>
        </w:trPr>
        <w:tc>
          <w:tcPr>
            <w:tcW w:w="3140" w:type="dxa"/>
            <w:vAlign w:val="bottom"/>
          </w:tcPr>
          <w:p>
            <w:pPr>
              <w:ind w:left="20"/>
              <w:spacing w:after="0"/>
              <w:rPr>
                <w:sz w:val="20"/>
                <w:szCs w:val="20"/>
                <w:color w:val="auto"/>
              </w:rPr>
            </w:pPr>
            <w:r>
              <w:rPr>
                <w:rFonts w:ascii="Arial" w:cs="Arial" w:eastAsia="Arial" w:hAnsi="Arial"/>
                <w:sz w:val="18"/>
                <w:szCs w:val="18"/>
                <w:color w:val="auto"/>
              </w:rPr>
              <w:t>Plant #15</w:t>
            </w:r>
          </w:p>
        </w:tc>
        <w:tc>
          <w:tcPr>
            <w:tcW w:w="200" w:type="dxa"/>
            <w:vAlign w:val="bottom"/>
          </w:tcPr>
          <w:p>
            <w:pPr>
              <w:spacing w:after="0"/>
              <w:rPr>
                <w:sz w:val="19"/>
                <w:szCs w:val="19"/>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Indianapolis</w:t>
            </w:r>
          </w:p>
        </w:tc>
        <w:tc>
          <w:tcPr>
            <w:tcW w:w="1480" w:type="dxa"/>
            <w:vAlign w:val="bottom"/>
            <w:gridSpan w:val="2"/>
          </w:tcPr>
          <w:p>
            <w:pPr>
              <w:jc w:val="right"/>
              <w:ind w:right="48"/>
              <w:spacing w:after="0"/>
              <w:rPr>
                <w:sz w:val="20"/>
                <w:szCs w:val="20"/>
                <w:color w:val="auto"/>
              </w:rPr>
            </w:pPr>
            <w:r>
              <w:rPr>
                <w:rFonts w:ascii="Arial" w:cs="Arial" w:eastAsia="Arial" w:hAnsi="Arial"/>
                <w:sz w:val="18"/>
                <w:szCs w:val="18"/>
                <w:color w:val="auto"/>
              </w:rPr>
              <w:t>391,700</w:t>
            </w:r>
          </w:p>
        </w:tc>
        <w:tc>
          <w:tcPr>
            <w:tcW w:w="18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auto"/>
              </w:rPr>
              <w:t>Own</w:t>
            </w:r>
          </w:p>
        </w:tc>
        <w:tc>
          <w:tcPr>
            <w:tcW w:w="18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Manufacturing</w:t>
            </w:r>
          </w:p>
        </w:tc>
      </w:tr>
      <w:tr>
        <w:trPr>
          <w:trHeight w:val="229"/>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Plant #17</w:t>
            </w:r>
          </w:p>
        </w:tc>
        <w:tc>
          <w:tcPr>
            <w:tcW w:w="200" w:type="dxa"/>
            <w:vAlign w:val="bottom"/>
            <w:shd w:val="clear" w:color="auto" w:fill="CFF0FC"/>
          </w:tcPr>
          <w:p>
            <w:pPr>
              <w:spacing w:after="0"/>
              <w:rPr>
                <w:sz w:val="19"/>
                <w:szCs w:val="19"/>
                <w:color w:val="auto"/>
              </w:rPr>
            </w:pPr>
          </w:p>
        </w:tc>
        <w:tc>
          <w:tcPr>
            <w:tcW w:w="1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Indianapolis</w:t>
            </w:r>
          </w:p>
        </w:tc>
        <w:tc>
          <w:tcPr>
            <w:tcW w:w="14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389,000</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Own</w:t>
            </w:r>
          </w:p>
        </w:tc>
        <w:tc>
          <w:tcPr>
            <w:tcW w:w="180" w:type="dxa"/>
            <w:vAlign w:val="bottom"/>
            <w:shd w:val="clear" w:color="auto" w:fill="CFF0FC"/>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Parts Distribution Center</w:t>
            </w:r>
          </w:p>
        </w:tc>
      </w:tr>
      <w:tr>
        <w:trPr>
          <w:trHeight w:val="197"/>
        </w:trPr>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40" w:type="dxa"/>
            <w:vAlign w:val="bottom"/>
          </w:tcPr>
          <w:p>
            <w:pPr>
              <w:spacing w:after="0" w:line="197" w:lineRule="exact"/>
              <w:rPr>
                <w:sz w:val="20"/>
                <w:szCs w:val="20"/>
                <w:color w:val="auto"/>
              </w:rPr>
            </w:pPr>
            <w:r>
              <w:rPr>
                <w:rFonts w:ascii="Arial" w:cs="Arial" w:eastAsia="Arial" w:hAnsi="Arial"/>
                <w:sz w:val="18"/>
                <w:szCs w:val="18"/>
                <w:color w:val="auto"/>
              </w:rPr>
              <w:t>Engineering, Research and</w:t>
            </w:r>
          </w:p>
        </w:tc>
      </w:tr>
      <w:tr>
        <w:trPr>
          <w:trHeight w:val="235"/>
        </w:trPr>
        <w:tc>
          <w:tcPr>
            <w:tcW w:w="3140" w:type="dxa"/>
            <w:vAlign w:val="bottom"/>
          </w:tcPr>
          <w:p>
            <w:pPr>
              <w:ind w:left="20"/>
              <w:spacing w:after="0"/>
              <w:rPr>
                <w:sz w:val="20"/>
                <w:szCs w:val="20"/>
                <w:color w:val="auto"/>
              </w:rPr>
            </w:pPr>
            <w:r>
              <w:rPr>
                <w:rFonts w:ascii="Arial" w:cs="Arial" w:eastAsia="Arial" w:hAnsi="Arial"/>
                <w:sz w:val="18"/>
                <w:szCs w:val="18"/>
                <w:color w:val="auto"/>
              </w:rPr>
              <w:t>Innovation Center</w:t>
            </w:r>
          </w:p>
        </w:tc>
        <w:tc>
          <w:tcPr>
            <w:tcW w:w="200" w:type="dxa"/>
            <w:vAlign w:val="bottom"/>
          </w:tcPr>
          <w:p>
            <w:pPr>
              <w:spacing w:after="0"/>
              <w:rPr>
                <w:sz w:val="20"/>
                <w:szCs w:val="20"/>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Indianapolis</w:t>
            </w:r>
          </w:p>
        </w:tc>
        <w:tc>
          <w:tcPr>
            <w:tcW w:w="1480" w:type="dxa"/>
            <w:vAlign w:val="bottom"/>
            <w:gridSpan w:val="2"/>
          </w:tcPr>
          <w:p>
            <w:pPr>
              <w:jc w:val="right"/>
              <w:ind w:right="48"/>
              <w:spacing w:after="0"/>
              <w:rPr>
                <w:sz w:val="20"/>
                <w:szCs w:val="20"/>
                <w:color w:val="auto"/>
              </w:rPr>
            </w:pPr>
            <w:r>
              <w:rPr>
                <w:rFonts w:ascii="Arial" w:cs="Arial" w:eastAsia="Arial" w:hAnsi="Arial"/>
                <w:sz w:val="18"/>
                <w:szCs w:val="18"/>
                <w:color w:val="auto"/>
              </w:rPr>
              <w:t>96,000</w:t>
            </w:r>
          </w:p>
        </w:tc>
        <w:tc>
          <w:tcPr>
            <w:tcW w:w="18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auto"/>
              </w:rPr>
              <w:t>Own</w:t>
            </w:r>
          </w:p>
        </w:tc>
        <w:tc>
          <w:tcPr>
            <w:tcW w:w="18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Development</w:t>
            </w:r>
          </w:p>
        </w:tc>
      </w:tr>
      <w:tr>
        <w:trPr>
          <w:trHeight w:val="197"/>
        </w:trPr>
        <w:tc>
          <w:tcPr>
            <w:tcW w:w="314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Vehicle Electrification + Environmental</w:t>
            </w:r>
          </w:p>
        </w:tc>
        <w:tc>
          <w:tcPr>
            <w:tcW w:w="20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40" w:type="dxa"/>
            <w:vAlign w:val="bottom"/>
            <w:shd w:val="clear" w:color="auto" w:fill="CFF0FC"/>
          </w:tcPr>
          <w:p>
            <w:pPr>
              <w:spacing w:after="0"/>
              <w:rPr>
                <w:sz w:val="17"/>
                <w:szCs w:val="17"/>
                <w:color w:val="auto"/>
              </w:rPr>
            </w:pPr>
          </w:p>
        </w:tc>
      </w:tr>
      <w:tr>
        <w:trPr>
          <w:trHeight w:val="235"/>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Test (VE+ET) Center</w:t>
            </w:r>
          </w:p>
        </w:tc>
        <w:tc>
          <w:tcPr>
            <w:tcW w:w="200" w:type="dxa"/>
            <w:vAlign w:val="bottom"/>
            <w:shd w:val="clear" w:color="auto" w:fill="CFF0FC"/>
          </w:tcPr>
          <w:p>
            <w:pPr>
              <w:spacing w:after="0"/>
              <w:rPr>
                <w:sz w:val="20"/>
                <w:szCs w:val="20"/>
                <w:color w:val="auto"/>
              </w:rPr>
            </w:pPr>
          </w:p>
        </w:tc>
        <w:tc>
          <w:tcPr>
            <w:tcW w:w="1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Indianapolis</w:t>
            </w:r>
          </w:p>
        </w:tc>
        <w:tc>
          <w:tcPr>
            <w:tcW w:w="14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66,000</w:t>
            </w: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Own</w:t>
            </w:r>
          </w:p>
        </w:tc>
        <w:tc>
          <w:tcPr>
            <w:tcW w:w="180" w:type="dxa"/>
            <w:vAlign w:val="bottom"/>
            <w:shd w:val="clear" w:color="auto" w:fill="CFF0FC"/>
          </w:tcPr>
          <w:p>
            <w:pPr>
              <w:spacing w:after="0"/>
              <w:rPr>
                <w:sz w:val="20"/>
                <w:szCs w:val="20"/>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r>
      <w:tr>
        <w:trPr>
          <w:trHeight w:val="197"/>
        </w:trPr>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ind w:left="20"/>
              <w:spacing w:after="0" w:line="197" w:lineRule="exact"/>
              <w:rPr>
                <w:sz w:val="20"/>
                <w:szCs w:val="20"/>
                <w:color w:val="auto"/>
              </w:rPr>
            </w:pPr>
            <w:r>
              <w:rPr>
                <w:rFonts w:ascii="Arial" w:cs="Arial" w:eastAsia="Arial" w:hAnsi="Arial"/>
                <w:sz w:val="18"/>
                <w:szCs w:val="18"/>
                <w:color w:val="auto"/>
              </w:rPr>
              <w:t>Auburn Hills, Michigan,</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40" w:type="dxa"/>
            <w:vAlign w:val="bottom"/>
          </w:tcPr>
          <w:p>
            <w:pPr>
              <w:spacing w:after="0" w:line="197" w:lineRule="exact"/>
              <w:rPr>
                <w:sz w:val="20"/>
                <w:szCs w:val="20"/>
                <w:color w:val="auto"/>
              </w:rPr>
            </w:pPr>
            <w:r>
              <w:rPr>
                <w:rFonts w:ascii="Arial" w:cs="Arial" w:eastAsia="Arial" w:hAnsi="Arial"/>
                <w:sz w:val="18"/>
                <w:szCs w:val="18"/>
                <w:color w:val="auto"/>
              </w:rPr>
              <w:t>Engineering, Operational Support,</w:t>
            </w:r>
          </w:p>
        </w:tc>
      </w:tr>
      <w:tr>
        <w:trPr>
          <w:trHeight w:val="235"/>
        </w:trPr>
        <w:tc>
          <w:tcPr>
            <w:tcW w:w="3140" w:type="dxa"/>
            <w:vAlign w:val="bottom"/>
          </w:tcPr>
          <w:p>
            <w:pPr>
              <w:ind w:left="20"/>
              <w:spacing w:after="0"/>
              <w:rPr>
                <w:sz w:val="20"/>
                <w:szCs w:val="20"/>
                <w:color w:val="auto"/>
              </w:rPr>
            </w:pPr>
            <w:r>
              <w:rPr>
                <w:rFonts w:ascii="Arial" w:cs="Arial" w:eastAsia="Arial" w:hAnsi="Arial"/>
                <w:sz w:val="18"/>
                <w:szCs w:val="18"/>
                <w:color w:val="auto"/>
              </w:rPr>
              <w:t>Auburn Hills</w:t>
            </w:r>
          </w:p>
        </w:tc>
        <w:tc>
          <w:tcPr>
            <w:tcW w:w="200" w:type="dxa"/>
            <w:vAlign w:val="bottom"/>
          </w:tcPr>
          <w:p>
            <w:pPr>
              <w:spacing w:after="0"/>
              <w:rPr>
                <w:sz w:val="20"/>
                <w:szCs w:val="20"/>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USA</w:t>
            </w:r>
          </w:p>
        </w:tc>
        <w:tc>
          <w:tcPr>
            <w:tcW w:w="1480" w:type="dxa"/>
            <w:vAlign w:val="bottom"/>
            <w:gridSpan w:val="2"/>
          </w:tcPr>
          <w:p>
            <w:pPr>
              <w:jc w:val="right"/>
              <w:ind w:right="48"/>
              <w:spacing w:after="0"/>
              <w:rPr>
                <w:sz w:val="20"/>
                <w:szCs w:val="20"/>
                <w:color w:val="auto"/>
              </w:rPr>
            </w:pPr>
            <w:r>
              <w:rPr>
                <w:rFonts w:ascii="Arial" w:cs="Arial" w:eastAsia="Arial" w:hAnsi="Arial"/>
                <w:sz w:val="18"/>
                <w:szCs w:val="18"/>
                <w:color w:val="auto"/>
              </w:rPr>
              <w:t>110,400</w:t>
            </w:r>
          </w:p>
        </w:tc>
        <w:tc>
          <w:tcPr>
            <w:tcW w:w="18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auto"/>
              </w:rPr>
              <w:t>Lease</w:t>
            </w:r>
          </w:p>
        </w:tc>
        <w:tc>
          <w:tcPr>
            <w:tcW w:w="18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Manufacturing</w:t>
            </w:r>
          </w:p>
        </w:tc>
      </w:tr>
      <w:tr>
        <w:trPr>
          <w:trHeight w:val="197"/>
        </w:trPr>
        <w:tc>
          <w:tcPr>
            <w:tcW w:w="3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2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Lewisburg, Tennessee,</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40" w:type="dxa"/>
            <w:vAlign w:val="bottom"/>
            <w:shd w:val="clear" w:color="auto" w:fill="CFF0FC"/>
          </w:tcPr>
          <w:p>
            <w:pPr>
              <w:spacing w:after="0"/>
              <w:rPr>
                <w:sz w:val="17"/>
                <w:szCs w:val="17"/>
                <w:color w:val="auto"/>
              </w:rPr>
            </w:pPr>
          </w:p>
        </w:tc>
      </w:tr>
      <w:tr>
        <w:trPr>
          <w:trHeight w:val="235"/>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Walker Die Casting</w:t>
            </w:r>
          </w:p>
        </w:tc>
        <w:tc>
          <w:tcPr>
            <w:tcW w:w="200" w:type="dxa"/>
            <w:vAlign w:val="bottom"/>
            <w:shd w:val="clear" w:color="auto" w:fill="CFF0FC"/>
          </w:tcPr>
          <w:p>
            <w:pPr>
              <w:spacing w:after="0"/>
              <w:rPr>
                <w:sz w:val="20"/>
                <w:szCs w:val="20"/>
                <w:color w:val="auto"/>
              </w:rPr>
            </w:pPr>
          </w:p>
        </w:tc>
        <w:tc>
          <w:tcPr>
            <w:tcW w:w="1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USA</w:t>
            </w:r>
          </w:p>
        </w:tc>
        <w:tc>
          <w:tcPr>
            <w:tcW w:w="14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774,100</w:t>
            </w: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Own</w:t>
            </w:r>
          </w:p>
        </w:tc>
        <w:tc>
          <w:tcPr>
            <w:tcW w:w="180" w:type="dxa"/>
            <w:vAlign w:val="bottom"/>
            <w:shd w:val="clear" w:color="auto" w:fill="CFF0FC"/>
          </w:tcPr>
          <w:p>
            <w:pPr>
              <w:spacing w:after="0"/>
              <w:rPr>
                <w:sz w:val="20"/>
                <w:szCs w:val="20"/>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Manufacturing</w:t>
            </w:r>
          </w:p>
        </w:tc>
      </w:tr>
      <w:tr>
        <w:trPr>
          <w:trHeight w:val="229"/>
        </w:trPr>
        <w:tc>
          <w:tcPr>
            <w:tcW w:w="3140" w:type="dxa"/>
            <w:vAlign w:val="bottom"/>
          </w:tcPr>
          <w:p>
            <w:pPr>
              <w:ind w:left="20"/>
              <w:spacing w:after="0"/>
              <w:rPr>
                <w:sz w:val="20"/>
                <w:szCs w:val="20"/>
                <w:color w:val="auto"/>
              </w:rPr>
            </w:pPr>
            <w:r>
              <w:rPr>
                <w:rFonts w:ascii="Arial" w:cs="Arial" w:eastAsia="Arial" w:hAnsi="Arial"/>
                <w:sz w:val="18"/>
                <w:szCs w:val="18"/>
                <w:color w:val="auto"/>
              </w:rPr>
              <w:t>Chennai</w:t>
            </w:r>
          </w:p>
        </w:tc>
        <w:tc>
          <w:tcPr>
            <w:tcW w:w="200" w:type="dxa"/>
            <w:vAlign w:val="bottom"/>
          </w:tcPr>
          <w:p>
            <w:pPr>
              <w:spacing w:after="0"/>
              <w:rPr>
                <w:sz w:val="19"/>
                <w:szCs w:val="19"/>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India</w:t>
            </w:r>
          </w:p>
        </w:tc>
        <w:tc>
          <w:tcPr>
            <w:tcW w:w="1480" w:type="dxa"/>
            <w:vAlign w:val="bottom"/>
            <w:gridSpan w:val="2"/>
          </w:tcPr>
          <w:p>
            <w:pPr>
              <w:jc w:val="right"/>
              <w:ind w:right="48"/>
              <w:spacing w:after="0"/>
              <w:rPr>
                <w:sz w:val="20"/>
                <w:szCs w:val="20"/>
                <w:color w:val="auto"/>
              </w:rPr>
            </w:pPr>
            <w:r>
              <w:rPr>
                <w:rFonts w:ascii="Arial" w:cs="Arial" w:eastAsia="Arial" w:hAnsi="Arial"/>
                <w:sz w:val="18"/>
                <w:szCs w:val="18"/>
                <w:color w:val="auto"/>
              </w:rPr>
              <w:t>331,700</w:t>
            </w:r>
          </w:p>
        </w:tc>
        <w:tc>
          <w:tcPr>
            <w:tcW w:w="18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auto"/>
              </w:rPr>
              <w:t>Own</w:t>
            </w:r>
          </w:p>
        </w:tc>
        <w:tc>
          <w:tcPr>
            <w:tcW w:w="18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Manufacturing</w:t>
            </w:r>
          </w:p>
        </w:tc>
      </w:tr>
      <w:tr>
        <w:trPr>
          <w:trHeight w:val="229"/>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Szentgotthard</w:t>
            </w:r>
          </w:p>
        </w:tc>
        <w:tc>
          <w:tcPr>
            <w:tcW w:w="200" w:type="dxa"/>
            <w:vAlign w:val="bottom"/>
            <w:shd w:val="clear" w:color="auto" w:fill="CFF0FC"/>
          </w:tcPr>
          <w:p>
            <w:pPr>
              <w:spacing w:after="0"/>
              <w:rPr>
                <w:sz w:val="19"/>
                <w:szCs w:val="19"/>
                <w:color w:val="auto"/>
              </w:rPr>
            </w:pPr>
          </w:p>
        </w:tc>
        <w:tc>
          <w:tcPr>
            <w:tcW w:w="1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Hungary</w:t>
            </w:r>
          </w:p>
        </w:tc>
        <w:tc>
          <w:tcPr>
            <w:tcW w:w="14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149,000</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Own</w:t>
            </w:r>
          </w:p>
        </w:tc>
        <w:tc>
          <w:tcPr>
            <w:tcW w:w="180" w:type="dxa"/>
            <w:vAlign w:val="bottom"/>
            <w:shd w:val="clear" w:color="auto" w:fill="CFF0FC"/>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Manufacturing &amp; Customization</w:t>
            </w:r>
          </w:p>
        </w:tc>
      </w:tr>
    </w:tbl>
    <w:p>
      <w:pPr>
        <w:spacing w:after="0" w:line="170" w:lineRule="exact"/>
        <w:rPr>
          <w:sz w:val="20"/>
          <w:szCs w:val="20"/>
          <w:color w:val="auto"/>
        </w:rPr>
      </w:pPr>
    </w:p>
    <w:p>
      <w:pPr>
        <w:ind w:right="140" w:firstLine="494"/>
        <w:spacing w:after="0" w:line="271" w:lineRule="auto"/>
        <w:rPr>
          <w:sz w:val="20"/>
          <w:szCs w:val="20"/>
          <w:color w:val="auto"/>
        </w:rPr>
      </w:pPr>
      <w:r>
        <w:rPr>
          <w:rFonts w:ascii="Arial" w:cs="Arial" w:eastAsia="Arial" w:hAnsi="Arial"/>
          <w:sz w:val="18"/>
          <w:szCs w:val="18"/>
          <w:color w:val="auto"/>
        </w:rPr>
        <w:t>We believe all our facilities are suitable for their intended purpose, are being efficiently utilized and provide adequate capacity to meet demand for the next several years. The table above does not include sales offices located in various countries.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57" w:lineRule="exact"/>
        <w:rPr>
          <w:sz w:val="20"/>
          <w:szCs w:val="20"/>
          <w:color w:val="auto"/>
        </w:rPr>
      </w:pPr>
    </w:p>
    <w:p>
      <w:pPr>
        <w:ind w:right="80" w:firstLine="494"/>
        <w:spacing w:after="0" w:line="261" w:lineRule="auto"/>
        <w:rPr>
          <w:sz w:val="20"/>
          <w:szCs w:val="20"/>
          <w:color w:val="auto"/>
        </w:rPr>
      </w:pPr>
      <w:r>
        <w:rPr>
          <w:rFonts w:ascii="Arial" w:cs="Arial" w:eastAsia="Arial" w:hAnsi="Arial"/>
          <w:sz w:val="17"/>
          <w:szCs w:val="17"/>
          <w:color w:val="auto"/>
        </w:rPr>
        <w:t>We are subject to various contingencies, including routine legal proceedings and claims arising out of the normal course of business. These proceedings primarily involve commercial claims, product liability claims, personal injury claims and workers’ compensation claims. The outcome of these lawsuits, legal proceedings and claims cannot be predicted with certainty. Nevertheless, we believe the outcome of any of these currently existing proceedings, even if determined adversely, would not have a material adverse effect on our financial condition or results of operations. See also "Note 18. Commitments and Contingencies” in Part II, Item 8., of this Annual Report on Form 10-K.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1" w:lineRule="exact"/>
        <w:rPr>
          <w:sz w:val="20"/>
          <w:szCs w:val="20"/>
          <w:color w:val="auto"/>
        </w:rPr>
      </w:pPr>
    </w:p>
    <w:p>
      <w:pPr>
        <w:ind w:right="1020"/>
        <w:spacing w:after="0" w:line="42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left="500"/>
        <w:spacing w:after="0"/>
        <w:rPr>
          <w:sz w:val="20"/>
          <w:szCs w:val="20"/>
          <w:color w:val="auto"/>
        </w:rPr>
      </w:pPr>
      <w:r>
        <w:rPr>
          <w:rFonts w:ascii="Arial" w:cs="Arial" w:eastAsia="Arial" w:hAnsi="Arial"/>
          <w:sz w:val="18"/>
          <w:szCs w:val="18"/>
          <w:color w:val="auto"/>
        </w:rPr>
        <w:t>Our common stock is listed on the NYSE under the symbol “ALSN.”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57" w:lineRule="exact"/>
        <w:rPr>
          <w:sz w:val="20"/>
          <w:szCs w:val="20"/>
          <w:color w:val="auto"/>
        </w:rPr>
      </w:pPr>
    </w:p>
    <w:p>
      <w:pPr>
        <w:jc w:val="both"/>
        <w:ind w:right="380" w:firstLine="494"/>
        <w:spacing w:after="0" w:line="252" w:lineRule="auto"/>
        <w:rPr>
          <w:sz w:val="20"/>
          <w:szCs w:val="20"/>
          <w:color w:val="auto"/>
        </w:rPr>
      </w:pPr>
      <w:r>
        <w:rPr>
          <w:rFonts w:ascii="Arial" w:cs="Arial" w:eastAsia="Arial" w:hAnsi="Arial"/>
          <w:sz w:val="18"/>
          <w:szCs w:val="18"/>
          <w:color w:val="auto"/>
        </w:rPr>
        <w:t>As of February 1, 2024, there were approximately 130,952 stockholders of record of our common stock, which includes the actual number of holders registered on our books and holders of shares in “street name” or persons, partnerships, associations, corporations or other entities identified in security position listings maintained by depositories.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57" w:lineRule="exact"/>
        <w:rPr>
          <w:sz w:val="20"/>
          <w:szCs w:val="20"/>
          <w:color w:val="auto"/>
        </w:rPr>
      </w:pPr>
    </w:p>
    <w:p>
      <w:pPr>
        <w:ind w:right="280" w:firstLine="494"/>
        <w:spacing w:after="0" w:line="271" w:lineRule="auto"/>
        <w:rPr>
          <w:sz w:val="20"/>
          <w:szCs w:val="20"/>
          <w:color w:val="auto"/>
        </w:rPr>
      </w:pPr>
      <w:r>
        <w:rPr>
          <w:rFonts w:ascii="Arial" w:cs="Arial" w:eastAsia="Arial" w:hAnsi="Arial"/>
          <w:sz w:val="18"/>
          <w:szCs w:val="18"/>
          <w:color w:val="auto"/>
        </w:rPr>
        <w:t>During the period covered by this Annual Report on Form 10-K, we did not offer or sell any equity securities that were not registered under the Securities Act of 1933, as amended (the “Securities Act”).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57" w:lineRule="exact"/>
        <w:rPr>
          <w:sz w:val="20"/>
          <w:szCs w:val="20"/>
          <w:color w:val="auto"/>
        </w:rPr>
      </w:pPr>
    </w:p>
    <w:p>
      <w:pPr>
        <w:ind w:right="20" w:firstLine="494"/>
        <w:spacing w:after="0" w:line="243" w:lineRule="auto"/>
        <w:rPr>
          <w:sz w:val="20"/>
          <w:szCs w:val="20"/>
          <w:color w:val="auto"/>
        </w:rPr>
      </w:pPr>
      <w:r>
        <w:rPr>
          <w:rFonts w:ascii="Arial" w:cs="Arial" w:eastAsia="Arial" w:hAnsi="Arial"/>
          <w:sz w:val="18"/>
          <w:szCs w:val="18"/>
          <w:color w:val="auto"/>
        </w:rPr>
        <w:t>Our current stock repurchase program (the "Repurchase Program") was authorized by the Board of Directors in 2016, with increases approved by the Board of Directors on each of November 8, 2017, July 30, 2018, May 9, 2019 and February 24, 2022, which in the aggregate authorized total repurchases of up to $4,000 million in shares of our common stock. The Repurchase Program has no termination date, and the timing and amount of stock purchases are subject to market conditions and corporate needs. The Repurchase Program may be modified, suspended or discontinued at any time at our discretion.</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information related to our repurchase of our common stock on a monthly basis in the three months ended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26"/>
              <w:spacing w:after="0"/>
              <w:rPr>
                <w:sz w:val="20"/>
                <w:szCs w:val="20"/>
                <w:color w:val="auto"/>
              </w:rPr>
            </w:pPr>
            <w:r>
              <w:rPr>
                <w:rFonts w:ascii="Arial" w:cs="Arial" w:eastAsia="Arial" w:hAnsi="Arial"/>
                <w:sz w:val="14"/>
                <w:szCs w:val="14"/>
                <w:b w:val="1"/>
                <w:bCs w:val="1"/>
                <w:color w:val="auto"/>
              </w:rPr>
              <w:t>Total Number of</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141"/>
              <w:spacing w:after="0"/>
              <w:rPr>
                <w:sz w:val="20"/>
                <w:szCs w:val="20"/>
                <w:color w:val="auto"/>
              </w:rPr>
            </w:pPr>
            <w:r>
              <w:rPr>
                <w:rFonts w:ascii="Arial" w:cs="Arial" w:eastAsia="Arial" w:hAnsi="Arial"/>
                <w:sz w:val="14"/>
                <w:szCs w:val="14"/>
                <w:b w:val="1"/>
                <w:bCs w:val="1"/>
                <w:color w:val="auto"/>
              </w:rPr>
              <w:t>Approximate</w:t>
            </w:r>
          </w:p>
        </w:tc>
      </w:tr>
      <w:tr>
        <w:trPr>
          <w:trHeight w:val="162"/>
        </w:trPr>
        <w:tc>
          <w:tcPr>
            <w:tcW w:w="4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26"/>
              <w:spacing w:after="0"/>
              <w:rPr>
                <w:sz w:val="20"/>
                <w:szCs w:val="20"/>
                <w:color w:val="auto"/>
              </w:rPr>
            </w:pPr>
            <w:r>
              <w:rPr>
                <w:rFonts w:ascii="Arial" w:cs="Arial" w:eastAsia="Arial" w:hAnsi="Arial"/>
                <w:sz w:val="14"/>
                <w:szCs w:val="14"/>
                <w:b w:val="1"/>
                <w:bCs w:val="1"/>
                <w:color w:val="auto"/>
              </w:rPr>
              <w:t>Shares Purchased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141"/>
              <w:spacing w:after="0"/>
              <w:rPr>
                <w:sz w:val="20"/>
                <w:szCs w:val="20"/>
                <w:color w:val="auto"/>
              </w:rPr>
            </w:pPr>
            <w:r>
              <w:rPr>
                <w:rFonts w:ascii="Arial" w:cs="Arial" w:eastAsia="Arial" w:hAnsi="Arial"/>
                <w:sz w:val="14"/>
                <w:szCs w:val="14"/>
                <w:b w:val="1"/>
                <w:bCs w:val="1"/>
                <w:color w:val="auto"/>
              </w:rPr>
              <w:t>Dollar Value of</w:t>
            </w:r>
          </w:p>
        </w:tc>
      </w:tr>
      <w:tr>
        <w:trPr>
          <w:trHeight w:val="162"/>
        </w:trPr>
        <w:tc>
          <w:tcPr>
            <w:tcW w:w="4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26"/>
              <w:spacing w:after="0"/>
              <w:rPr>
                <w:sz w:val="20"/>
                <w:szCs w:val="20"/>
                <w:color w:val="auto"/>
              </w:rPr>
            </w:pPr>
            <w:r>
              <w:rPr>
                <w:rFonts w:ascii="Arial" w:cs="Arial" w:eastAsia="Arial" w:hAnsi="Arial"/>
                <w:sz w:val="14"/>
                <w:szCs w:val="14"/>
                <w:b w:val="1"/>
                <w:bCs w:val="1"/>
                <w:color w:val="auto"/>
              </w:rPr>
              <w:t>as Part of</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161"/>
              <w:spacing w:after="0"/>
              <w:rPr>
                <w:sz w:val="20"/>
                <w:szCs w:val="20"/>
                <w:color w:val="auto"/>
              </w:rPr>
            </w:pPr>
            <w:r>
              <w:rPr>
                <w:rFonts w:ascii="Arial" w:cs="Arial" w:eastAsia="Arial" w:hAnsi="Arial"/>
                <w:sz w:val="14"/>
                <w:szCs w:val="14"/>
                <w:b w:val="1"/>
                <w:bCs w:val="1"/>
                <w:color w:val="auto"/>
              </w:rPr>
              <w:t>Shares that May</w:t>
            </w:r>
          </w:p>
        </w:tc>
      </w:tr>
      <w:tr>
        <w:trPr>
          <w:trHeight w:val="162"/>
        </w:trPr>
        <w:tc>
          <w:tcPr>
            <w:tcW w:w="4300" w:type="dxa"/>
            <w:vAlign w:val="bottom"/>
          </w:tcPr>
          <w:p>
            <w:pPr>
              <w:spacing w:after="0"/>
              <w:rPr>
                <w:sz w:val="14"/>
                <w:szCs w:val="14"/>
                <w:color w:val="auto"/>
              </w:rPr>
            </w:pPr>
          </w:p>
        </w:tc>
        <w:tc>
          <w:tcPr>
            <w:tcW w:w="1660" w:type="dxa"/>
            <w:vAlign w:val="bottom"/>
          </w:tcPr>
          <w:p>
            <w:pPr>
              <w:jc w:val="center"/>
              <w:ind w:right="38"/>
              <w:spacing w:after="0"/>
              <w:rPr>
                <w:sz w:val="20"/>
                <w:szCs w:val="20"/>
                <w:color w:val="auto"/>
              </w:rPr>
            </w:pPr>
            <w:r>
              <w:rPr>
                <w:rFonts w:ascii="Arial" w:cs="Arial" w:eastAsia="Arial" w:hAnsi="Arial"/>
                <w:sz w:val="14"/>
                <w:szCs w:val="14"/>
                <w:b w:val="1"/>
                <w:bCs w:val="1"/>
                <w:color w:val="auto"/>
                <w:w w:val="99"/>
              </w:rPr>
              <w:t>Total Number</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26"/>
              <w:spacing w:after="0"/>
              <w:rPr>
                <w:sz w:val="20"/>
                <w:szCs w:val="20"/>
                <w:color w:val="auto"/>
              </w:rPr>
            </w:pPr>
            <w:r>
              <w:rPr>
                <w:rFonts w:ascii="Arial" w:cs="Arial" w:eastAsia="Arial" w:hAnsi="Arial"/>
                <w:sz w:val="14"/>
                <w:szCs w:val="14"/>
                <w:b w:val="1"/>
                <w:bCs w:val="1"/>
                <w:color w:val="auto"/>
              </w:rPr>
              <w:t>Publicly</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141"/>
              <w:spacing w:after="0"/>
              <w:rPr>
                <w:sz w:val="20"/>
                <w:szCs w:val="20"/>
                <w:color w:val="auto"/>
              </w:rPr>
            </w:pPr>
            <w:r>
              <w:rPr>
                <w:rFonts w:ascii="Arial" w:cs="Arial" w:eastAsia="Arial" w:hAnsi="Arial"/>
                <w:sz w:val="14"/>
                <w:szCs w:val="14"/>
                <w:b w:val="1"/>
                <w:bCs w:val="1"/>
                <w:color w:val="auto"/>
              </w:rPr>
              <w:t>Yet Be Purchased</w:t>
            </w:r>
          </w:p>
        </w:tc>
      </w:tr>
      <w:tr>
        <w:trPr>
          <w:trHeight w:val="144"/>
        </w:trPr>
        <w:tc>
          <w:tcPr>
            <w:tcW w:w="4300" w:type="dxa"/>
            <w:vAlign w:val="bottom"/>
          </w:tcPr>
          <w:p>
            <w:pPr>
              <w:spacing w:after="0"/>
              <w:rPr>
                <w:sz w:val="12"/>
                <w:szCs w:val="12"/>
                <w:color w:val="auto"/>
              </w:rPr>
            </w:pPr>
          </w:p>
        </w:tc>
        <w:tc>
          <w:tcPr>
            <w:tcW w:w="1660" w:type="dxa"/>
            <w:vAlign w:val="bottom"/>
          </w:tcPr>
          <w:p>
            <w:pPr>
              <w:jc w:val="center"/>
              <w:ind w:right="38"/>
              <w:spacing w:after="0" w:line="144" w:lineRule="exact"/>
              <w:rPr>
                <w:sz w:val="20"/>
                <w:szCs w:val="20"/>
                <w:color w:val="auto"/>
              </w:rPr>
            </w:pPr>
            <w:r>
              <w:rPr>
                <w:rFonts w:ascii="Arial" w:cs="Arial" w:eastAsia="Arial" w:hAnsi="Arial"/>
                <w:sz w:val="14"/>
                <w:szCs w:val="14"/>
                <w:b w:val="1"/>
                <w:bCs w:val="1"/>
                <w:color w:val="auto"/>
              </w:rPr>
              <w:t>of Shares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right"/>
              <w:ind w:right="296"/>
              <w:spacing w:after="0" w:line="144" w:lineRule="exact"/>
              <w:rPr>
                <w:sz w:val="20"/>
                <w:szCs w:val="20"/>
                <w:color w:val="auto"/>
              </w:rPr>
            </w:pPr>
            <w:r>
              <w:rPr>
                <w:rFonts w:ascii="Arial" w:cs="Arial" w:eastAsia="Arial" w:hAnsi="Arial"/>
                <w:sz w:val="14"/>
                <w:szCs w:val="14"/>
                <w:b w:val="1"/>
                <w:bCs w:val="1"/>
                <w:color w:val="auto"/>
              </w:rPr>
              <w:t>Average Price</w:t>
            </w:r>
          </w:p>
        </w:tc>
        <w:tc>
          <w:tcPr>
            <w:tcW w:w="120" w:type="dxa"/>
            <w:vAlign w:val="bottom"/>
          </w:tcPr>
          <w:p>
            <w:pPr>
              <w:spacing w:after="0"/>
              <w:rPr>
                <w:sz w:val="12"/>
                <w:szCs w:val="12"/>
                <w:color w:val="auto"/>
              </w:rPr>
            </w:pPr>
          </w:p>
        </w:tc>
        <w:tc>
          <w:tcPr>
            <w:tcW w:w="1640" w:type="dxa"/>
            <w:vAlign w:val="bottom"/>
          </w:tcPr>
          <w:p>
            <w:pPr>
              <w:jc w:val="center"/>
              <w:ind w:right="26"/>
              <w:spacing w:after="0" w:line="144" w:lineRule="exact"/>
              <w:rPr>
                <w:sz w:val="20"/>
                <w:szCs w:val="20"/>
                <w:color w:val="auto"/>
              </w:rPr>
            </w:pPr>
            <w:r>
              <w:rPr>
                <w:rFonts w:ascii="Arial" w:cs="Arial" w:eastAsia="Arial" w:hAnsi="Arial"/>
                <w:sz w:val="14"/>
                <w:szCs w:val="14"/>
                <w:b w:val="1"/>
                <w:bCs w:val="1"/>
                <w:color w:val="auto"/>
              </w:rPr>
              <w:t>Announced</w:t>
            </w:r>
          </w:p>
        </w:tc>
        <w:tc>
          <w:tcPr>
            <w:tcW w:w="160" w:type="dxa"/>
            <w:vAlign w:val="bottom"/>
          </w:tcPr>
          <w:p>
            <w:pPr>
              <w:spacing w:after="0"/>
              <w:rPr>
                <w:sz w:val="12"/>
                <w:szCs w:val="12"/>
                <w:color w:val="auto"/>
              </w:rPr>
            </w:pPr>
          </w:p>
        </w:tc>
        <w:tc>
          <w:tcPr>
            <w:tcW w:w="1580" w:type="dxa"/>
            <w:vAlign w:val="bottom"/>
            <w:gridSpan w:val="2"/>
          </w:tcPr>
          <w:p>
            <w:pPr>
              <w:jc w:val="center"/>
              <w:ind w:right="61"/>
              <w:spacing w:after="0" w:line="144" w:lineRule="exact"/>
              <w:rPr>
                <w:sz w:val="20"/>
                <w:szCs w:val="20"/>
                <w:color w:val="auto"/>
              </w:rPr>
            </w:pPr>
            <w:r>
              <w:rPr>
                <w:rFonts w:ascii="Arial" w:cs="Arial" w:eastAsia="Arial" w:hAnsi="Arial"/>
                <w:sz w:val="14"/>
                <w:szCs w:val="14"/>
                <w:b w:val="1"/>
                <w:bCs w:val="1"/>
                <w:color w:val="auto"/>
              </w:rPr>
              <w:t>Under the Plans or</w:t>
            </w:r>
          </w:p>
        </w:tc>
      </w:tr>
      <w:tr>
        <w:trPr>
          <w:trHeight w:val="202"/>
        </w:trPr>
        <w:tc>
          <w:tcPr>
            <w:tcW w:w="4300" w:type="dxa"/>
            <w:vAlign w:val="bottom"/>
          </w:tcPr>
          <w:p>
            <w:pPr>
              <w:spacing w:after="0"/>
              <w:rPr>
                <w:sz w:val="17"/>
                <w:szCs w:val="17"/>
                <w:color w:val="auto"/>
              </w:rPr>
            </w:pPr>
          </w:p>
        </w:tc>
        <w:tc>
          <w:tcPr>
            <w:tcW w:w="16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Purchased</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Pr>
          <w:p>
            <w:pPr>
              <w:spacing w:after="0"/>
              <w:rPr>
                <w:sz w:val="17"/>
                <w:szCs w:val="17"/>
                <w:color w:val="auto"/>
              </w:rPr>
            </w:pPr>
          </w:p>
        </w:tc>
        <w:tc>
          <w:tcPr>
            <w:tcW w:w="1640" w:type="dxa"/>
            <w:vAlign w:val="bottom"/>
            <w:tcBorders>
              <w:bottom w:val="single" w:sz="8" w:color="auto"/>
            </w:tcBorders>
          </w:tcPr>
          <w:p>
            <w:pPr>
              <w:jc w:val="center"/>
              <w:ind w:right="26"/>
              <w:spacing w:after="0" w:line="203" w:lineRule="exact"/>
              <w:rPr>
                <w:sz w:val="20"/>
                <w:szCs w:val="20"/>
                <w:color w:val="auto"/>
              </w:rPr>
            </w:pPr>
            <w:r>
              <w:rPr>
                <w:rFonts w:ascii="Arial" w:cs="Arial" w:eastAsia="Arial" w:hAnsi="Arial"/>
                <w:sz w:val="14"/>
                <w:szCs w:val="14"/>
                <w:b w:val="1"/>
                <w:bCs w:val="1"/>
                <w:color w:val="auto"/>
                <w:w w:val="96"/>
              </w:rPr>
              <w:t>Programs</w:t>
            </w:r>
            <w:r>
              <w:rPr>
                <w:rFonts w:ascii="Arial" w:cs="Arial" w:eastAsia="Arial" w:hAnsi="Arial"/>
                <w:sz w:val="19"/>
                <w:szCs w:val="19"/>
                <w:b w:val="1"/>
                <w:bCs w:val="1"/>
                <w:color w:val="auto"/>
                <w:w w:val="96"/>
                <w:vertAlign w:val="superscript"/>
              </w:rPr>
              <w:t>(1)</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41"/>
              <w:spacing w:after="0" w:line="203" w:lineRule="exact"/>
              <w:rPr>
                <w:sz w:val="20"/>
                <w:szCs w:val="20"/>
                <w:color w:val="auto"/>
              </w:rPr>
            </w:pPr>
            <w:r>
              <w:rPr>
                <w:rFonts w:ascii="Arial" w:cs="Arial" w:eastAsia="Arial" w:hAnsi="Arial"/>
                <w:sz w:val="14"/>
                <w:szCs w:val="14"/>
                <w:b w:val="1"/>
                <w:bCs w:val="1"/>
                <w:color w:val="auto"/>
                <w:w w:val="98"/>
              </w:rPr>
              <w:t>Programs</w:t>
            </w:r>
            <w:r>
              <w:rPr>
                <w:rFonts w:ascii="Arial" w:cs="Arial" w:eastAsia="Arial" w:hAnsi="Arial"/>
                <w:sz w:val="19"/>
                <w:szCs w:val="19"/>
                <w:b w:val="1"/>
                <w:bCs w:val="1"/>
                <w:color w:val="auto"/>
                <w:w w:val="98"/>
                <w:vertAlign w:val="superscript"/>
              </w:rPr>
              <w:t>(1)</w:t>
            </w:r>
          </w:p>
        </w:tc>
      </w:tr>
      <w:tr>
        <w:trPr>
          <w:trHeight w:val="223"/>
        </w:trPr>
        <w:tc>
          <w:tcPr>
            <w:tcW w:w="4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October 1 – October 31, 2023</w:t>
            </w:r>
          </w:p>
        </w:tc>
        <w:tc>
          <w:tcPr>
            <w:tcW w:w="16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383,042</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54.21</w:t>
            </w:r>
          </w:p>
        </w:tc>
        <w:tc>
          <w:tcPr>
            <w:tcW w:w="1760" w:type="dxa"/>
            <w:vAlign w:val="bottom"/>
            <w:gridSpan w:val="2"/>
            <w:shd w:val="clear" w:color="auto" w:fill="CFF0FC"/>
          </w:tcPr>
          <w:p>
            <w:pPr>
              <w:jc w:val="right"/>
              <w:ind w:right="46"/>
              <w:spacing w:after="0"/>
              <w:rPr>
                <w:sz w:val="20"/>
                <w:szCs w:val="20"/>
                <w:color w:val="auto"/>
              </w:rPr>
            </w:pPr>
            <w:r>
              <w:rPr>
                <w:rFonts w:ascii="Arial" w:cs="Arial" w:eastAsia="Arial" w:hAnsi="Arial"/>
                <w:sz w:val="18"/>
                <w:szCs w:val="18"/>
                <w:color w:val="auto"/>
              </w:rPr>
              <w:t>383,042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857,356,552</w:t>
            </w: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November 1 – November 30, 2023</w:t>
            </w:r>
          </w:p>
        </w:tc>
        <w:tc>
          <w:tcPr>
            <w:tcW w:w="1660" w:type="dxa"/>
            <w:vAlign w:val="bottom"/>
          </w:tcPr>
          <w:p>
            <w:pPr>
              <w:jc w:val="right"/>
              <w:ind w:right="38"/>
              <w:spacing w:after="0"/>
              <w:rPr>
                <w:sz w:val="20"/>
                <w:szCs w:val="20"/>
                <w:color w:val="auto"/>
              </w:rPr>
            </w:pPr>
            <w:r>
              <w:rPr>
                <w:rFonts w:ascii="Arial" w:cs="Arial" w:eastAsia="Arial" w:hAnsi="Arial"/>
                <w:sz w:val="18"/>
                <w:szCs w:val="18"/>
                <w:color w:val="auto"/>
              </w:rPr>
              <w:t>1,051,931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52.92</w:t>
            </w:r>
          </w:p>
        </w:tc>
        <w:tc>
          <w:tcPr>
            <w:tcW w:w="1760" w:type="dxa"/>
            <w:vAlign w:val="bottom"/>
            <w:gridSpan w:val="2"/>
          </w:tcPr>
          <w:p>
            <w:pPr>
              <w:jc w:val="right"/>
              <w:ind w:right="46"/>
              <w:spacing w:after="0"/>
              <w:rPr>
                <w:sz w:val="20"/>
                <w:szCs w:val="20"/>
                <w:color w:val="auto"/>
              </w:rPr>
            </w:pPr>
            <w:r>
              <w:rPr>
                <w:rFonts w:ascii="Arial" w:cs="Arial" w:eastAsia="Arial" w:hAnsi="Arial"/>
                <w:sz w:val="18"/>
                <w:szCs w:val="18"/>
                <w:color w:val="auto"/>
              </w:rPr>
              <w:t>1,051,931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41"/>
              <w:spacing w:after="0"/>
              <w:rPr>
                <w:sz w:val="20"/>
                <w:szCs w:val="20"/>
                <w:color w:val="auto"/>
              </w:rPr>
            </w:pPr>
            <w:r>
              <w:rPr>
                <w:rFonts w:ascii="Arial" w:cs="Arial" w:eastAsia="Arial" w:hAnsi="Arial"/>
                <w:sz w:val="18"/>
                <w:szCs w:val="18"/>
                <w:color w:val="auto"/>
              </w:rPr>
              <w:t>801,693,372</w:t>
            </w:r>
          </w:p>
        </w:tc>
      </w:tr>
      <w:tr>
        <w:trPr>
          <w:trHeight w:val="229"/>
        </w:trPr>
        <w:tc>
          <w:tcPr>
            <w:tcW w:w="4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December 1 – December 31, 2023</w:t>
            </w:r>
          </w:p>
        </w:tc>
        <w:tc>
          <w:tcPr>
            <w:tcW w:w="166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514,441</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56.37</w:t>
            </w:r>
          </w:p>
        </w:tc>
        <w:tc>
          <w:tcPr>
            <w:tcW w:w="12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8"/>
                <w:szCs w:val="18"/>
                <w:color w:val="auto"/>
              </w:rPr>
              <w:t>514,441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8"/>
                <w:szCs w:val="18"/>
                <w:color w:val="auto"/>
              </w:rPr>
              <w:t>772,694,727</w:t>
            </w:r>
          </w:p>
        </w:tc>
      </w:tr>
      <w:tr>
        <w:trPr>
          <w:trHeight w:val="223"/>
        </w:trPr>
        <w:tc>
          <w:tcPr>
            <w:tcW w:w="4300" w:type="dxa"/>
            <w:vAlign w:val="bottom"/>
          </w:tcPr>
          <w:p>
            <w:pPr>
              <w:ind w:left="280"/>
              <w:spacing w:after="0"/>
              <w:rPr>
                <w:sz w:val="20"/>
                <w:szCs w:val="20"/>
                <w:color w:val="auto"/>
              </w:rPr>
            </w:pPr>
            <w:r>
              <w:rPr>
                <w:rFonts w:ascii="Arial" w:cs="Arial" w:eastAsia="Arial" w:hAnsi="Arial"/>
                <w:sz w:val="18"/>
                <w:szCs w:val="18"/>
                <w:color w:val="auto"/>
              </w:rPr>
              <w:t>Total</w:t>
            </w:r>
          </w:p>
        </w:tc>
        <w:tc>
          <w:tcPr>
            <w:tcW w:w="1660" w:type="dxa"/>
            <w:vAlign w:val="bottom"/>
          </w:tcPr>
          <w:p>
            <w:pPr>
              <w:jc w:val="right"/>
              <w:ind w:right="38"/>
              <w:spacing w:after="0"/>
              <w:rPr>
                <w:sz w:val="20"/>
                <w:szCs w:val="20"/>
                <w:color w:val="auto"/>
              </w:rPr>
            </w:pPr>
            <w:r>
              <w:rPr>
                <w:rFonts w:ascii="Arial" w:cs="Arial" w:eastAsia="Arial" w:hAnsi="Arial"/>
                <w:sz w:val="18"/>
                <w:szCs w:val="18"/>
                <w:color w:val="auto"/>
              </w:rPr>
              <w:t>1,949,414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54.08</w:t>
            </w:r>
          </w:p>
        </w:tc>
        <w:tc>
          <w:tcPr>
            <w:tcW w:w="1760" w:type="dxa"/>
            <w:vAlign w:val="bottom"/>
            <w:gridSpan w:val="2"/>
          </w:tcPr>
          <w:p>
            <w:pPr>
              <w:jc w:val="right"/>
              <w:ind w:right="46"/>
              <w:spacing w:after="0"/>
              <w:rPr>
                <w:sz w:val="20"/>
                <w:szCs w:val="20"/>
                <w:color w:val="auto"/>
              </w:rPr>
            </w:pPr>
            <w:r>
              <w:rPr>
                <w:rFonts w:ascii="Arial" w:cs="Arial" w:eastAsia="Arial" w:hAnsi="Arial"/>
                <w:sz w:val="18"/>
                <w:szCs w:val="18"/>
                <w:color w:val="auto"/>
              </w:rPr>
              <w:t>1,949,414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-179070</wp:posOffset>
            </wp:positionV>
            <wp:extent cx="1111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-179070</wp:posOffset>
            </wp:positionV>
            <wp:extent cx="1028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13"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24"/>
          <w:szCs w:val="24"/>
          <w:color w:val="auto"/>
          <w:vertAlign w:val="superscript"/>
        </w:rPr>
      </w:pPr>
      <w:r>
        <w:rPr>
          <w:rFonts w:ascii="Arial" w:cs="Arial" w:eastAsia="Arial" w:hAnsi="Arial"/>
          <w:sz w:val="18"/>
          <w:szCs w:val="18"/>
          <w:color w:val="auto"/>
        </w:rPr>
        <w:t>These values reflect repurchases made under the Repurchase Program.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Issuances Under Equity Compensation Plans</w:t>
      </w:r>
    </w:p>
    <w:p>
      <w:pPr>
        <w:spacing w:after="0" w:line="157" w:lineRule="exact"/>
        <w:rPr>
          <w:sz w:val="20"/>
          <w:szCs w:val="20"/>
          <w:color w:val="auto"/>
        </w:rPr>
      </w:pPr>
    </w:p>
    <w:p>
      <w:pPr>
        <w:ind w:right="460" w:firstLine="494"/>
        <w:spacing w:after="0" w:line="271" w:lineRule="auto"/>
        <w:rPr>
          <w:sz w:val="20"/>
          <w:szCs w:val="20"/>
          <w:color w:val="auto"/>
        </w:rPr>
      </w:pPr>
      <w:r>
        <w:rPr>
          <w:rFonts w:ascii="Arial" w:cs="Arial" w:eastAsia="Arial" w:hAnsi="Arial"/>
          <w:sz w:val="18"/>
          <w:szCs w:val="18"/>
          <w:color w:val="auto"/>
        </w:rPr>
        <w:t>For information regarding the securities authorized for issuance under our equity compensation plans, see Part III, Item 12. of this Annual Report on Form 10-K.</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157" w:lineRule="exact"/>
        <w:rPr>
          <w:sz w:val="20"/>
          <w:szCs w:val="20"/>
          <w:color w:val="auto"/>
        </w:rPr>
      </w:pPr>
    </w:p>
    <w:p>
      <w:pPr>
        <w:ind w:right="120" w:firstLine="494"/>
        <w:spacing w:after="0" w:line="246" w:lineRule="auto"/>
        <w:rPr>
          <w:sz w:val="20"/>
          <w:szCs w:val="20"/>
          <w:color w:val="auto"/>
        </w:rPr>
      </w:pPr>
      <w:r>
        <w:rPr>
          <w:rFonts w:ascii="Arial" w:cs="Arial" w:eastAsia="Arial" w:hAnsi="Arial"/>
          <w:sz w:val="18"/>
          <w:szCs w:val="18"/>
          <w:color w:val="auto"/>
        </w:rPr>
        <w:t>The information included under the heading “Comparative Stock Performance Graph” in this Item 5. of Part II of this Annual Report on Form 10-K shall not be deemed to be “soliciting material” or subject to Regulation 14A or 14C, shall not be deemed “filed” for purposes of Section 18 of the Exchange Act, or otherwise subject to the liabilities of that section, nor shall it be deemed incorporated by reference in any filing under the Securities Act or the Exchange Act.</w:t>
      </w:r>
    </w:p>
    <w:p>
      <w:pPr>
        <w:spacing w:after="0" w:line="122" w:lineRule="exact"/>
        <w:rPr>
          <w:sz w:val="20"/>
          <w:szCs w:val="20"/>
          <w:color w:val="auto"/>
        </w:rPr>
      </w:pPr>
    </w:p>
    <w:p>
      <w:pPr>
        <w:ind w:right="380" w:firstLine="494"/>
        <w:spacing w:after="0" w:line="246" w:lineRule="auto"/>
        <w:rPr>
          <w:sz w:val="20"/>
          <w:szCs w:val="20"/>
          <w:color w:val="auto"/>
        </w:rPr>
      </w:pPr>
      <w:r>
        <w:rPr>
          <w:rFonts w:ascii="Arial" w:cs="Arial" w:eastAsia="Arial" w:hAnsi="Arial"/>
          <w:sz w:val="18"/>
          <w:szCs w:val="18"/>
          <w:color w:val="auto"/>
        </w:rPr>
        <w:t>Set forth below is a graph comparing the total cumulative returns of ALSN, the S&amp;P 500 Index and an index of peer companies selected by us. Our peer group includes Donaldson Company, Inc., Graco Inc., Roper Technologies, Inc., Gentex Corporation, Rockwell Automation, Inc. and Sensata Technologies Holding PLC. The graph assumes $100 was invested on December 31, 2018 in our common stock and each of the indices and that all dividends, if any, are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89535</wp:posOffset>
            </wp:positionV>
            <wp:extent cx="5848350" cy="32537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48350" cy="3253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139"/>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139"/>
              <w:spacing w:after="0"/>
              <w:rPr>
                <w:sz w:val="20"/>
                <w:szCs w:val="20"/>
                <w:color w:val="auto"/>
              </w:rPr>
            </w:pPr>
            <w:r>
              <w:rPr>
                <w:rFonts w:ascii="Arial" w:cs="Arial" w:eastAsia="Arial" w:hAnsi="Arial"/>
                <w:sz w:val="14"/>
                <w:szCs w:val="14"/>
                <w:b w:val="1"/>
                <w:bCs w:val="1"/>
                <w:color w:val="auto"/>
              </w:rPr>
              <w:t>As of</w:t>
            </w:r>
          </w:p>
        </w:tc>
      </w:tr>
      <w:tr>
        <w:trPr>
          <w:trHeight w:val="162"/>
        </w:trPr>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159"/>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159"/>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139"/>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159"/>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139"/>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159"/>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2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2023</w:t>
            </w:r>
          </w:p>
        </w:tc>
      </w:tr>
      <w:tr>
        <w:trPr>
          <w:trHeight w:val="190"/>
        </w:trPr>
        <w:tc>
          <w:tcPr>
            <w:tcW w:w="2700" w:type="dxa"/>
            <w:vAlign w:val="bottom"/>
            <w:shd w:val="clear" w:color="auto" w:fill="CFF0FC"/>
          </w:tcPr>
          <w:p>
            <w:pPr>
              <w:ind w:left="20"/>
              <w:spacing w:after="0" w:line="190" w:lineRule="exact"/>
              <w:rPr>
                <w:sz w:val="20"/>
                <w:szCs w:val="20"/>
                <w:color w:val="auto"/>
              </w:rPr>
            </w:pPr>
            <w:r>
              <w:rPr>
                <w:rFonts w:ascii="Arial" w:cs="Arial" w:eastAsia="Arial" w:hAnsi="Arial"/>
                <w:sz w:val="18"/>
                <w:szCs w:val="18"/>
                <w:color w:val="auto"/>
              </w:rPr>
              <w:t>Allison Transmission</w:t>
            </w: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r>
      <w:tr>
        <w:trPr>
          <w:trHeight w:val="235"/>
        </w:trPr>
        <w:tc>
          <w:tcPr>
            <w:tcW w:w="2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Holdings, Inc.</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100.00</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111.49</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101.36</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87.09</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101.76</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144.77</w:t>
            </w: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S&amp;P 500 Index</w:t>
            </w:r>
          </w:p>
        </w:tc>
        <w:tc>
          <w:tcPr>
            <w:tcW w:w="12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8"/>
                <w:szCs w:val="18"/>
                <w:color w:val="auto"/>
              </w:rPr>
              <w:t>131.49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8"/>
                <w:szCs w:val="18"/>
                <w:color w:val="auto"/>
              </w:rPr>
              <w:t>155.68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200.37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8"/>
                <w:szCs w:val="18"/>
                <w:color w:val="auto"/>
              </w:rPr>
              <w:t>164.08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Arial" w:cs="Arial" w:eastAsia="Arial" w:hAnsi="Arial"/>
                <w:sz w:val="18"/>
                <w:szCs w:val="18"/>
                <w:b w:val="1"/>
                <w:bCs w:val="1"/>
                <w:color w:val="auto"/>
              </w:rPr>
              <w:t>207.21</w:t>
            </w:r>
          </w:p>
        </w:tc>
      </w:tr>
      <w:tr>
        <w:trPr>
          <w:trHeight w:val="229"/>
        </w:trPr>
        <w:tc>
          <w:tcPr>
            <w:tcW w:w="2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Peer Group</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133.32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160.82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193.58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159.43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196.09</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59"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i w:val="1"/>
          <w:iCs w:val="1"/>
          <w:color w:val="auto"/>
        </w:rPr>
        <w:t>The following discussion contains forward-looking statements regarding industry trends, our expectations regarding our future performance, liquidity and capital resources and other non-historical statements that involve risks and uncertainties. Our actual results may differ materially from those discussed in or implied by the forward-looking statements as a result of various factors, including, without limitation, those set forth under Part I, Item 1A., “Risk Factors,” and other matters included elsewhere in this Annual Report on Form 10-K. The following discussion and analysis of our financial condition and results of operations should be read in conjunction with our consolidated financial statements and the notes thereto included elsewhere in this Annual Report on Form 10-K.</w:t>
      </w:r>
    </w:p>
    <w:p>
      <w:pPr>
        <w:spacing w:after="0" w:line="126" w:lineRule="exact"/>
        <w:rPr>
          <w:sz w:val="20"/>
          <w:szCs w:val="20"/>
          <w:color w:val="auto"/>
        </w:rPr>
      </w:pPr>
    </w:p>
    <w:p>
      <w:pPr>
        <w:ind w:right="80" w:firstLine="494"/>
        <w:spacing w:after="0" w:line="246" w:lineRule="auto"/>
        <w:rPr>
          <w:sz w:val="20"/>
          <w:szCs w:val="20"/>
          <w:color w:val="auto"/>
        </w:rPr>
      </w:pPr>
      <w:r>
        <w:rPr>
          <w:rFonts w:ascii="Arial" w:cs="Arial" w:eastAsia="Arial" w:hAnsi="Arial"/>
          <w:sz w:val="18"/>
          <w:szCs w:val="18"/>
          <w:color w:val="auto"/>
        </w:rPr>
        <w:t>This section of this Annual Report on Form 10-K generally discusses 2023 and 2022 items and year-over-year comparisons between 2023 and 2022. A detailed discussion of 2021 items and year-over-year comparisons between 2022 and 2021 that are not included in this Annual Report on Form 10-K can be found in “Management’s Discussion and Analysis of Financial Condition and Results of Operations” in Part II, Item 7. of our Annual Report on Form 10-K for the year ended December 31, 2022, as filed with the SEC on February 16,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7" w:lineRule="exact"/>
        <w:rPr>
          <w:sz w:val="20"/>
          <w:szCs w:val="20"/>
          <w:color w:val="auto"/>
        </w:rPr>
      </w:pPr>
    </w:p>
    <w:p>
      <w:pPr>
        <w:ind w:right="220" w:firstLine="494"/>
        <w:spacing w:after="0" w:line="252" w:lineRule="auto"/>
        <w:rPr>
          <w:sz w:val="20"/>
          <w:szCs w:val="20"/>
          <w:color w:val="auto"/>
        </w:rPr>
      </w:pPr>
      <w:r>
        <w:rPr>
          <w:rFonts w:ascii="Arial" w:cs="Arial" w:eastAsia="Arial" w:hAnsi="Arial"/>
          <w:sz w:val="18"/>
          <w:szCs w:val="18"/>
          <w:color w:val="auto"/>
        </w:rPr>
        <w:t>We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is traded on the New York Stock Exchange under the symbol, “ALSN”.</w:t>
      </w:r>
    </w:p>
    <w:p>
      <w:pPr>
        <w:spacing w:after="0" w:line="117" w:lineRule="exact"/>
        <w:rPr>
          <w:sz w:val="20"/>
          <w:szCs w:val="20"/>
          <w:color w:val="auto"/>
        </w:rPr>
      </w:pPr>
    </w:p>
    <w:p>
      <w:pPr>
        <w:ind w:right="20" w:firstLine="494"/>
        <w:spacing w:after="0" w:line="252" w:lineRule="auto"/>
        <w:rPr>
          <w:sz w:val="20"/>
          <w:szCs w:val="20"/>
          <w:color w:val="auto"/>
        </w:rPr>
      </w:pPr>
      <w:r>
        <w:rPr>
          <w:rFonts w:ascii="Arial" w:cs="Arial" w:eastAsia="Arial" w:hAnsi="Arial"/>
          <w:sz w:val="18"/>
          <w:szCs w:val="18"/>
          <w:color w:val="auto"/>
        </w:rPr>
        <w:t>We have a global presence by serving customers in North America, Asia, Europe, South America, and Africa, with approximately 75% of our revenues being generated in North America in 2023. We serve customers through an independent network of approximately 1,600 independent distributor and dealer locations worldwide.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January 2024, the UAW Local 933 ratified a new four-year collective bargaining agreement with us that expires in November 2027.</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We expect to have a significant increase in labor costs under the terms of this new agreement.</w:t>
      </w:r>
    </w:p>
    <w:p>
      <w:pPr>
        <w:spacing w:after="0" w:line="139" w:lineRule="exact"/>
        <w:rPr>
          <w:sz w:val="20"/>
          <w:szCs w:val="20"/>
          <w:color w:val="auto"/>
        </w:rPr>
      </w:pPr>
    </w:p>
    <w:p>
      <w:pPr>
        <w:ind w:right="420" w:firstLine="494"/>
        <w:spacing w:after="0" w:line="252" w:lineRule="auto"/>
        <w:rPr>
          <w:sz w:val="20"/>
          <w:szCs w:val="20"/>
          <w:color w:val="auto"/>
        </w:rPr>
      </w:pPr>
      <w:r>
        <w:rPr>
          <w:rFonts w:ascii="Arial" w:cs="Arial" w:eastAsia="Arial" w:hAnsi="Arial"/>
          <w:sz w:val="18"/>
          <w:szCs w:val="18"/>
          <w:color w:val="auto"/>
        </w:rPr>
        <w:t>Our net sales are driven by commercial vehicle production, which tends to be highly correlated to macroeconomic conditions and continues to be impacted by global supply chain constraints. In 2024, we expect higher net sales driven by price increases on certain products and the continued execution of growth initiatives.</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8" w:right="4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Full Year 2023 and 2022 Net Sales by End Market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55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End Market</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Net Sales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Net Sales</w:t>
            </w:r>
          </w:p>
        </w:tc>
        <w:tc>
          <w:tcPr>
            <w:tcW w:w="120" w:type="dxa"/>
            <w:vAlign w:val="bottom"/>
          </w:tcPr>
          <w:p>
            <w:pPr>
              <w:spacing w:after="0"/>
              <w:rPr>
                <w:sz w:val="16"/>
                <w:szCs w:val="16"/>
                <w:color w:val="auto"/>
              </w:rPr>
            </w:pPr>
          </w:p>
        </w:tc>
        <w:tc>
          <w:tcPr>
            <w:tcW w:w="15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 Variance</w:t>
            </w:r>
          </w:p>
        </w:tc>
        <w:tc>
          <w:tcPr>
            <w:tcW w:w="100" w:type="dxa"/>
            <w:vAlign w:val="bottom"/>
          </w:tcPr>
          <w:p>
            <w:pPr>
              <w:spacing w:after="0"/>
              <w:rPr>
                <w:sz w:val="16"/>
                <w:szCs w:val="16"/>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North America On-Highway</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54"/>
              <w:spacing w:after="0"/>
              <w:rPr>
                <w:sz w:val="20"/>
                <w:szCs w:val="20"/>
                <w:color w:val="auto"/>
              </w:rPr>
            </w:pPr>
            <w:r>
              <w:rPr>
                <w:rFonts w:ascii="Arial" w:cs="Arial" w:eastAsia="Arial" w:hAnsi="Arial"/>
                <w:sz w:val="18"/>
                <w:szCs w:val="18"/>
                <w:b w:val="1"/>
                <w:bCs w:val="1"/>
                <w:color w:val="auto"/>
              </w:rPr>
              <w:t>1,529</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1,359</w:t>
            </w: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13 %</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North America Off-Highway</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b w:val="1"/>
                <w:bCs w:val="1"/>
                <w:color w:val="auto"/>
              </w:rPr>
              <w:t>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86</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Defense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b w:val="1"/>
                <w:bCs w:val="1"/>
                <w:color w:val="auto"/>
              </w:rPr>
              <w:t>166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146</w:t>
            </w: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14 %</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Outside North America On-Highway</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b w:val="1"/>
                <w:bCs w:val="1"/>
                <w:color w:val="auto"/>
              </w:rPr>
              <w:t>477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463</w:t>
            </w: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3 %</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Outside North America Off-Highway</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b w:val="1"/>
                <w:bCs w:val="1"/>
                <w:color w:val="auto"/>
              </w:rPr>
              <w:t>104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127</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(18 )%</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Service Parts, Support Equipment and Other</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696</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588</w:t>
            </w: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18 %</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54"/>
              <w:spacing w:after="0"/>
              <w:rPr>
                <w:sz w:val="20"/>
                <w:szCs w:val="20"/>
                <w:color w:val="auto"/>
              </w:rPr>
            </w:pPr>
            <w:r>
              <w:rPr>
                <w:rFonts w:ascii="Arial" w:cs="Arial" w:eastAsia="Arial" w:hAnsi="Arial"/>
                <w:sz w:val="18"/>
                <w:szCs w:val="18"/>
                <w:b w:val="1"/>
                <w:bCs w:val="1"/>
                <w:color w:val="auto"/>
              </w:rPr>
              <w:t>3,035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2,769</w:t>
            </w: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10 %</w:t>
            </w:r>
          </w:p>
        </w:tc>
      </w:tr>
      <w:tr>
        <w:trPr>
          <w:trHeight w:val="20"/>
        </w:trPr>
        <w:tc>
          <w:tcPr>
            <w:tcW w:w="6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-1052830</wp:posOffset>
            </wp:positionV>
            <wp:extent cx="713232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-761365</wp:posOffset>
            </wp:positionV>
            <wp:extent cx="7132320"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3" w:lineRule="exact"/>
        <w:rPr>
          <w:sz w:val="20"/>
          <w:szCs w:val="20"/>
          <w:color w:val="auto"/>
        </w:rPr>
      </w:pPr>
    </w:p>
    <w:p>
      <w:pPr>
        <w:jc w:val="both"/>
        <w:ind w:right="300" w:firstLine="494"/>
        <w:spacing w:after="0" w:line="252" w:lineRule="auto"/>
        <w:rPr>
          <w:sz w:val="20"/>
          <w:szCs w:val="20"/>
          <w:color w:val="auto"/>
        </w:rPr>
      </w:pPr>
      <w:r>
        <w:rPr>
          <w:rFonts w:ascii="Arial" w:cs="Arial" w:eastAsia="Arial" w:hAnsi="Arial"/>
          <w:sz w:val="18"/>
          <w:szCs w:val="18"/>
          <w:color w:val="auto"/>
        </w:rPr>
        <w:t>North America On-Highway end market net sales were up 13% for the year ended December 31, 2023 compared to the year ended December 31, 2022, principally driven by strength in demand for Class 8 vocational and medium-duty trucks and price increases on certain products.</w:t>
      </w:r>
    </w:p>
    <w:p>
      <w:pPr>
        <w:spacing w:after="0" w:line="117" w:lineRule="exact"/>
        <w:rPr>
          <w:sz w:val="20"/>
          <w:szCs w:val="20"/>
          <w:color w:val="auto"/>
        </w:rPr>
      </w:pPr>
    </w:p>
    <w:p>
      <w:pPr>
        <w:ind w:right="580" w:firstLine="494"/>
        <w:spacing w:after="0" w:line="252" w:lineRule="auto"/>
        <w:rPr>
          <w:sz w:val="20"/>
          <w:szCs w:val="20"/>
          <w:color w:val="auto"/>
        </w:rPr>
      </w:pPr>
      <w:r>
        <w:rPr>
          <w:rFonts w:ascii="Arial" w:cs="Arial" w:eastAsia="Arial" w:hAnsi="Arial"/>
          <w:sz w:val="18"/>
          <w:szCs w:val="18"/>
          <w:color w:val="auto"/>
        </w:rPr>
        <w:t>Global Off-Highway net sales were down 22% for the year ended December 31, 2023 compared to the year ended December 31, 2022, principally driven by lower demand in the energy sector, partially offset by higher demand in the mining and construction sectors outside of North America.</w:t>
      </w:r>
    </w:p>
    <w:p>
      <w:pPr>
        <w:spacing w:after="0" w:line="117" w:lineRule="exact"/>
        <w:rPr>
          <w:sz w:val="20"/>
          <w:szCs w:val="20"/>
          <w:color w:val="auto"/>
        </w:rPr>
      </w:pPr>
    </w:p>
    <w:p>
      <w:pPr>
        <w:ind w:right="240" w:firstLine="494"/>
        <w:spacing w:after="0" w:line="271" w:lineRule="auto"/>
        <w:rPr>
          <w:sz w:val="20"/>
          <w:szCs w:val="20"/>
          <w:color w:val="auto"/>
        </w:rPr>
      </w:pPr>
      <w:r>
        <w:rPr>
          <w:rFonts w:ascii="Arial" w:cs="Arial" w:eastAsia="Arial" w:hAnsi="Arial"/>
          <w:sz w:val="18"/>
          <w:szCs w:val="18"/>
          <w:color w:val="auto"/>
        </w:rPr>
        <w:t>Defense end market net sales were up 14% for the year ended December 31, 2023 compared to the year ended December 31, 2022, principally driven by increased demand for Wheeled and Tracked vehicle applications.</w:t>
      </w:r>
    </w:p>
    <w:p>
      <w:pPr>
        <w:spacing w:after="0" w:line="99" w:lineRule="exact"/>
        <w:rPr>
          <w:sz w:val="20"/>
          <w:szCs w:val="20"/>
          <w:color w:val="auto"/>
        </w:rPr>
      </w:pPr>
    </w:p>
    <w:p>
      <w:pPr>
        <w:ind w:right="380" w:firstLine="494"/>
        <w:spacing w:after="0" w:line="301" w:lineRule="auto"/>
        <w:rPr>
          <w:sz w:val="20"/>
          <w:szCs w:val="20"/>
          <w:color w:val="auto"/>
        </w:rPr>
      </w:pPr>
      <w:r>
        <w:rPr>
          <w:rFonts w:ascii="Arial" w:cs="Arial" w:eastAsia="Arial" w:hAnsi="Arial"/>
          <w:sz w:val="17"/>
          <w:szCs w:val="17"/>
          <w:color w:val="auto"/>
        </w:rPr>
        <w:t>Outside North America On-Highway end market net sales were up 3% for the year ended December 31, 2023 compared to the year ended December 31, 2022, principally driven by price increases on certain products and the continued execution of our growth initiatives.</w:t>
      </w:r>
    </w:p>
    <w:p>
      <w:pPr>
        <w:spacing w:after="0" w:line="76" w:lineRule="exact"/>
        <w:rPr>
          <w:sz w:val="20"/>
          <w:szCs w:val="20"/>
          <w:color w:val="auto"/>
        </w:rPr>
      </w:pPr>
    </w:p>
    <w:p>
      <w:pPr>
        <w:jc w:val="both"/>
        <w:ind w:right="280" w:firstLine="494"/>
        <w:spacing w:after="0" w:line="252" w:lineRule="auto"/>
        <w:rPr>
          <w:sz w:val="20"/>
          <w:szCs w:val="20"/>
          <w:color w:val="auto"/>
        </w:rPr>
      </w:pPr>
      <w:r>
        <w:rPr>
          <w:rFonts w:ascii="Arial" w:cs="Arial" w:eastAsia="Arial" w:hAnsi="Arial"/>
          <w:sz w:val="18"/>
          <w:szCs w:val="18"/>
          <w:color w:val="auto"/>
        </w:rPr>
        <w:t>Service Parts, Support Equipment and Other end market net sales were up 18% for the year ended December 31, 2023 compared to the year ended December 31, 2022, principally driven by higher demand for global service parts, support equipment and aluminum die cast components and price increases on certain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w:t>
      </w:r>
    </w:p>
    <w:p>
      <w:pPr>
        <w:spacing w:after="0" w:line="155" w:lineRule="exact"/>
        <w:rPr>
          <w:sz w:val="20"/>
          <w:szCs w:val="20"/>
          <w:color w:val="auto"/>
        </w:rPr>
      </w:pPr>
    </w:p>
    <w:p>
      <w:pPr>
        <w:ind w:right="200" w:firstLine="494"/>
        <w:spacing w:after="0" w:line="261" w:lineRule="auto"/>
        <w:rPr>
          <w:sz w:val="20"/>
          <w:szCs w:val="20"/>
          <w:color w:val="auto"/>
        </w:rPr>
      </w:pPr>
      <w:r>
        <w:rPr>
          <w:rFonts w:ascii="Arial" w:cs="Arial" w:eastAsia="Arial" w:hAnsi="Arial"/>
          <w:sz w:val="17"/>
          <w:szCs w:val="17"/>
          <w:color w:val="auto"/>
        </w:rPr>
        <w:t>We generate our net sales primarily from the sale of vehicle propulsion solutions, service and component parts, support equipment, defense kits, engineering services, royalties and extended transmission coverage to a wide array of OEMs, distributors and the U.S. government. Sales are recorded in accordance with the terms of the contract, net of provisions for customer incentives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sales</w:t>
      </w:r>
    </w:p>
    <w:p>
      <w:pPr>
        <w:spacing w:after="0" w:line="155" w:lineRule="exact"/>
        <w:rPr>
          <w:sz w:val="20"/>
          <w:szCs w:val="20"/>
          <w:color w:val="auto"/>
        </w:rPr>
      </w:pPr>
    </w:p>
    <w:p>
      <w:pPr>
        <w:ind w:right="120" w:firstLine="494"/>
        <w:spacing w:after="0" w:line="241" w:lineRule="auto"/>
        <w:rPr>
          <w:sz w:val="20"/>
          <w:szCs w:val="20"/>
          <w:color w:val="auto"/>
        </w:rPr>
      </w:pPr>
      <w:r>
        <w:rPr>
          <w:rFonts w:ascii="Arial" w:cs="Arial" w:eastAsia="Arial" w:hAnsi="Arial"/>
          <w:sz w:val="18"/>
          <w:szCs w:val="18"/>
          <w:color w:val="auto"/>
        </w:rPr>
        <w:t>Our primary components of cost of sales are purchased parts, the overhead expense related to our manufacturing operations and direct labor associated with the manufacture and assembly of vehicle propulsion solutions and parts. For the year ended December 31, 2023, direct material costs were approximately 67%, overhead costs were approximately 26% and direct labor costs were approximately 7% of total cost of sales. We are subject to changes in our cost of sales caused by movements in underlying commodity prices. We seek to hedge against this risk by using LTAs. See Part II, Item 7A., “Quantitative and Qualitative Disclosures about Market Risk—Commodity Price Risk” included in this Annual Report on Form 10-K.</w:t>
      </w:r>
    </w:p>
    <w:p>
      <w:pPr>
        <w:spacing w:after="0" w:line="18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55" w:lineRule="exact"/>
        <w:rPr>
          <w:sz w:val="20"/>
          <w:szCs w:val="20"/>
          <w:color w:val="auto"/>
        </w:rPr>
      </w:pPr>
    </w:p>
    <w:p>
      <w:pPr>
        <w:ind w:right="620" w:firstLine="494"/>
        <w:spacing w:after="0" w:line="252" w:lineRule="auto"/>
        <w:rPr>
          <w:sz w:val="20"/>
          <w:szCs w:val="20"/>
          <w:color w:val="auto"/>
        </w:rPr>
      </w:pPr>
      <w:r>
        <w:rPr>
          <w:rFonts w:ascii="Arial" w:cs="Arial" w:eastAsia="Arial" w:hAnsi="Arial"/>
          <w:sz w:val="18"/>
          <w:szCs w:val="18"/>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 assets.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55" w:lineRule="exact"/>
        <w:rPr>
          <w:sz w:val="20"/>
          <w:szCs w:val="20"/>
          <w:color w:val="auto"/>
        </w:rPr>
      </w:pPr>
    </w:p>
    <w:p>
      <w:pPr>
        <w:ind w:right="180" w:firstLine="494"/>
        <w:spacing w:after="0" w:line="271" w:lineRule="auto"/>
        <w:rPr>
          <w:sz w:val="20"/>
          <w:szCs w:val="20"/>
          <w:color w:val="auto"/>
        </w:rPr>
      </w:pPr>
      <w:r>
        <w:rPr>
          <w:rFonts w:ascii="Arial" w:cs="Arial" w:eastAsia="Arial" w:hAnsi="Arial"/>
          <w:sz w:val="18"/>
          <w:szCs w:val="18"/>
          <w:color w:val="auto"/>
        </w:rPr>
        <w:t>We incur costs in connection with research and development programs that are expected to contribute to future earnings. Such costs are expensed as incurred.</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55"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GAAP measure to Adjusted EBITDA and Adjusted EBITDA as a percent of net sales is Net income and Net income as a percent of net sales, respectively. Adjusted EBITDA is calculated as earnings before interest expense, net, income tax expense, amortization of intangible assets, depreciation of property, plant and equipment and other adjustments as defined by the Second Amended and Restated Credit Agreement dated as of March 29, 2019 as amended (the “Credit Agreement”), governing ATI's Term Loan. Adjusted EBITDA as a percent of net sales is calculated as Adjusted EBITDA divided by net sales.</w:t>
      </w:r>
    </w:p>
    <w:p>
      <w:pPr>
        <w:spacing w:after="0" w:line="132" w:lineRule="exact"/>
        <w:rPr>
          <w:sz w:val="20"/>
          <w:szCs w:val="20"/>
          <w:color w:val="auto"/>
        </w:rPr>
      </w:pPr>
    </w:p>
    <w:p>
      <w:pPr>
        <w:ind w:right="80" w:firstLine="494"/>
        <w:spacing w:after="0"/>
        <w:rPr>
          <w:sz w:val="20"/>
          <w:szCs w:val="20"/>
          <w:color w:val="auto"/>
        </w:rPr>
      </w:pPr>
      <w:r>
        <w:rPr>
          <w:rFonts w:ascii="Arial" w:cs="Arial" w:eastAsia="Arial" w:hAnsi="Arial"/>
          <w:sz w:val="18"/>
          <w:szCs w:val="18"/>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additions of long-lived assets.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right="140" w:firstLine="494"/>
        <w:spacing w:after="0" w:line="271" w:lineRule="auto"/>
        <w:rPr>
          <w:sz w:val="20"/>
          <w:szCs w:val="20"/>
          <w:color w:val="auto"/>
        </w:rPr>
      </w:pPr>
      <w:r>
        <w:rPr>
          <w:rFonts w:ascii="Arial" w:cs="Arial" w:eastAsia="Arial" w:hAnsi="Arial"/>
          <w:sz w:val="18"/>
          <w:szCs w:val="18"/>
          <w:color w:val="auto"/>
        </w:rPr>
        <w:t>The following is a reconciliation of Net income and Net income as a percent of net sales to Adjusted EBITDA and Adjusted EBITDA as a percent of net sales and a reconciliation of Net cash provided by operating activities to Adjusted free cash flow: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years ended December 31,</w:t>
            </w: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2"/>
        </w:trPr>
        <w:tc>
          <w:tcPr>
            <w:tcW w:w="6640" w:type="dxa"/>
            <w:vAlign w:val="bottom"/>
          </w:tcPr>
          <w:p>
            <w:pPr>
              <w:ind w:left="20"/>
              <w:spacing w:after="0"/>
              <w:rPr>
                <w:sz w:val="20"/>
                <w:szCs w:val="20"/>
                <w:color w:val="auto"/>
              </w:rPr>
            </w:pPr>
            <w:r>
              <w:rPr>
                <w:rFonts w:ascii="Arial" w:cs="Arial" w:eastAsia="Arial" w:hAnsi="Arial"/>
                <w:sz w:val="14"/>
                <w:szCs w:val="14"/>
                <w:b w:val="1"/>
                <w:bCs w:val="1"/>
                <w:color w:val="auto"/>
              </w:rPr>
              <w:t>(unaudited, in millions)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5"/>
                <w:szCs w:val="15"/>
                <w:color w:val="auto"/>
              </w:rPr>
            </w:pPr>
          </w:p>
        </w:tc>
      </w:tr>
      <w:tr>
        <w:trPr>
          <w:trHeight w:val="22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(GAAP)</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673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531</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442</w:t>
            </w:r>
          </w:p>
        </w:tc>
        <w:tc>
          <w:tcPr>
            <w:tcW w:w="60" w:type="dxa"/>
            <w:vAlign w:val="bottom"/>
          </w:tcPr>
          <w:p>
            <w:pPr>
              <w:spacing w:after="0"/>
              <w:rPr>
                <w:sz w:val="19"/>
                <w:szCs w:val="19"/>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plus: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Income tax expense</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154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9"/>
                <w:szCs w:val="19"/>
                <w:color w:val="auto"/>
              </w:rPr>
            </w:pPr>
          </w:p>
        </w:tc>
      </w:tr>
      <w:tr>
        <w:trPr>
          <w:trHeight w:val="229"/>
        </w:trPr>
        <w:tc>
          <w:tcPr>
            <w:tcW w:w="664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b w:val="1"/>
                <w:bCs w:val="1"/>
                <w:color w:val="auto"/>
              </w:rPr>
              <w:t>107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9"/>
                <w:szCs w:val="19"/>
                <w:color w:val="auto"/>
              </w:rPr>
            </w:pPr>
          </w:p>
        </w:tc>
      </w:tr>
      <w:tr>
        <w:trPr>
          <w:trHeight w:val="229"/>
        </w:trPr>
        <w:tc>
          <w:tcPr>
            <w:tcW w:w="6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109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9"/>
                <w:szCs w:val="19"/>
                <w:color w:val="auto"/>
              </w:rPr>
            </w:pPr>
          </w:p>
        </w:tc>
      </w:tr>
      <w:tr>
        <w:trPr>
          <w:trHeight w:val="229"/>
        </w:trPr>
        <w:tc>
          <w:tcPr>
            <w:tcW w:w="664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b w:val="1"/>
                <w:bCs w:val="1"/>
                <w:color w:val="auto"/>
              </w:rPr>
              <w:t>45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9"/>
                <w:szCs w:val="19"/>
                <w:color w:val="auto"/>
              </w:rPr>
            </w:pPr>
          </w:p>
        </w:tc>
      </w:tr>
      <w:tr>
        <w:trPr>
          <w:trHeight w:val="229"/>
        </w:trPr>
        <w:tc>
          <w:tcPr>
            <w:tcW w:w="6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 expense (a)</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22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r>
      <w:tr>
        <w:trPr>
          <w:trHeight w:val="229"/>
        </w:trPr>
        <w:tc>
          <w:tcPr>
            <w:tcW w:w="6640" w:type="dxa"/>
            <w:vAlign w:val="bottom"/>
          </w:tcPr>
          <w:p>
            <w:pPr>
              <w:ind w:left="280"/>
              <w:spacing w:after="0"/>
              <w:rPr>
                <w:sz w:val="20"/>
                <w:szCs w:val="20"/>
                <w:color w:val="auto"/>
              </w:rPr>
            </w:pPr>
            <w:r>
              <w:rPr>
                <w:rFonts w:ascii="Arial" w:cs="Arial" w:eastAsia="Arial" w:hAnsi="Arial"/>
                <w:sz w:val="18"/>
                <w:szCs w:val="18"/>
                <w:color w:val="auto"/>
              </w:rPr>
              <w:t>Technology-related investments gain (b)</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(6 )</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(3 )</w:t>
            </w:r>
          </w:p>
        </w:tc>
        <w:tc>
          <w:tcPr>
            <w:tcW w:w="60" w:type="dxa"/>
            <w:vAlign w:val="bottom"/>
          </w:tcPr>
          <w:p>
            <w:pPr>
              <w:spacing w:after="0"/>
              <w:rPr>
                <w:sz w:val="19"/>
                <w:szCs w:val="19"/>
                <w:color w:val="auto"/>
              </w:rPr>
            </w:pPr>
          </w:p>
        </w:tc>
      </w:tr>
      <w:tr>
        <w:trPr>
          <w:trHeight w:val="229"/>
        </w:trPr>
        <w:tc>
          <w:tcPr>
            <w:tcW w:w="6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Unrealized loss (gain) on marketable securities (c)</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60" w:type="dxa"/>
            <w:vAlign w:val="bottom"/>
          </w:tcPr>
          <w:p>
            <w:pPr>
              <w:spacing w:after="0"/>
              <w:rPr>
                <w:sz w:val="19"/>
                <w:szCs w:val="19"/>
                <w:color w:val="auto"/>
              </w:rPr>
            </w:pPr>
          </w:p>
        </w:tc>
      </w:tr>
      <w:tr>
        <w:trPr>
          <w:trHeight w:val="229"/>
        </w:trPr>
        <w:tc>
          <w:tcPr>
            <w:tcW w:w="6640" w:type="dxa"/>
            <w:vAlign w:val="bottom"/>
          </w:tcPr>
          <w:p>
            <w:pPr>
              <w:ind w:left="280"/>
              <w:spacing w:after="0"/>
              <w:rPr>
                <w:sz w:val="20"/>
                <w:szCs w:val="20"/>
                <w:color w:val="auto"/>
              </w:rPr>
            </w:pPr>
            <w:r>
              <w:rPr>
                <w:rFonts w:ascii="Arial" w:cs="Arial" w:eastAsia="Arial" w:hAnsi="Arial"/>
                <w:sz w:val="18"/>
                <w:szCs w:val="18"/>
                <w:color w:val="auto"/>
              </w:rPr>
              <w:t>Unrealized loss on foreign exchange (d)</w:t>
            </w:r>
          </w:p>
        </w:tc>
        <w:tc>
          <w:tcPr>
            <w:tcW w:w="32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6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Acquisition-related earnouts (e)</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r>
      <w:tr>
        <w:trPr>
          <w:trHeight w:val="229"/>
        </w:trPr>
        <w:tc>
          <w:tcPr>
            <w:tcW w:w="6640" w:type="dxa"/>
            <w:vAlign w:val="bottom"/>
          </w:tcPr>
          <w:p>
            <w:pPr>
              <w:ind w:left="280"/>
              <w:spacing w:after="0"/>
              <w:rPr>
                <w:sz w:val="20"/>
                <w:szCs w:val="20"/>
                <w:color w:val="auto"/>
              </w:rPr>
            </w:pPr>
            <w:r>
              <w:rPr>
                <w:rFonts w:ascii="Arial" w:cs="Arial" w:eastAsia="Arial" w:hAnsi="Arial"/>
                <w:sz w:val="18"/>
                <w:szCs w:val="18"/>
                <w:color w:val="auto"/>
              </w:rPr>
              <w:t>Pension curtailment (f)</w:t>
            </w:r>
          </w:p>
        </w:tc>
        <w:tc>
          <w:tcPr>
            <w:tcW w:w="32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6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UAW Local 933 retirement incentive (g)</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60" w:type="dxa"/>
            <w:vAlign w:val="bottom"/>
          </w:tcPr>
          <w:p>
            <w:pPr>
              <w:spacing w:after="0"/>
              <w:rPr>
                <w:sz w:val="19"/>
                <w:szCs w:val="19"/>
                <w:color w:val="auto"/>
              </w:rPr>
            </w:pPr>
          </w:p>
        </w:tc>
      </w:tr>
      <w:tr>
        <w:trPr>
          <w:trHeight w:val="223"/>
        </w:trPr>
        <w:tc>
          <w:tcPr>
            <w:tcW w:w="66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Adjusted EBITDA (Non-GAAP)</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1,108</w:t>
            </w:r>
          </w:p>
        </w:tc>
        <w:tc>
          <w:tcPr>
            <w:tcW w:w="16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961</w:t>
            </w:r>
          </w:p>
        </w:tc>
        <w:tc>
          <w:tcPr>
            <w:tcW w:w="14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844</w:t>
            </w:r>
          </w:p>
        </w:tc>
        <w:tc>
          <w:tcPr>
            <w:tcW w:w="6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sales (GAAP)</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3,035</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2,769</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2,402</w:t>
            </w:r>
          </w:p>
        </w:tc>
        <w:tc>
          <w:tcPr>
            <w:tcW w:w="60" w:type="dxa"/>
            <w:vAlign w:val="bottom"/>
          </w:tcPr>
          <w:p>
            <w:pPr>
              <w:spacing w:after="0"/>
              <w:rPr>
                <w:sz w:val="18"/>
                <w:szCs w:val="18"/>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Net income as a percent of net sales (GAAP)</w:t>
            </w:r>
          </w:p>
        </w:tc>
        <w:tc>
          <w:tcPr>
            <w:tcW w:w="3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22.2 %</w:t>
            </w:r>
          </w:p>
        </w:tc>
        <w:tc>
          <w:tcPr>
            <w:tcW w:w="3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19.2 %</w:t>
            </w:r>
          </w:p>
        </w:tc>
        <w:tc>
          <w:tcPr>
            <w:tcW w:w="3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18.4 %</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Adjusted EBITDA as a percent of net sales (Non-GAAP)</w:t>
            </w:r>
          </w:p>
        </w:tc>
        <w:tc>
          <w:tcPr>
            <w:tcW w:w="3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36.5 %</w:t>
            </w:r>
          </w:p>
        </w:tc>
        <w:tc>
          <w:tcPr>
            <w:tcW w:w="3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34.7 %</w:t>
            </w:r>
          </w:p>
        </w:tc>
        <w:tc>
          <w:tcPr>
            <w:tcW w:w="3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35.1 %</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 (GAAP)</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52"/>
              <w:spacing w:after="0"/>
              <w:rPr>
                <w:sz w:val="20"/>
                <w:szCs w:val="20"/>
                <w:color w:val="auto"/>
              </w:rPr>
            </w:pPr>
            <w:r>
              <w:rPr>
                <w:rFonts w:ascii="Arial" w:cs="Arial" w:eastAsia="Arial" w:hAnsi="Arial"/>
                <w:sz w:val="18"/>
                <w:szCs w:val="18"/>
                <w:b w:val="1"/>
                <w:bCs w:val="1"/>
                <w:color w:val="auto"/>
              </w:rPr>
              <w:t>784</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657</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635</w:t>
            </w:r>
          </w:p>
        </w:tc>
        <w:tc>
          <w:tcPr>
            <w:tcW w:w="60" w:type="dxa"/>
            <w:vAlign w:val="bottom"/>
          </w:tcPr>
          <w:p>
            <w:pPr>
              <w:spacing w:after="0"/>
              <w:rPr>
                <w:sz w:val="19"/>
                <w:szCs w:val="19"/>
                <w:color w:val="auto"/>
              </w:rPr>
            </w:pPr>
          </w:p>
        </w:tc>
      </w:tr>
      <w:tr>
        <w:trPr>
          <w:trHeight w:val="22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Deductions to reconcile to Adjusted free cash flow:</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Additions of long-lived assets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(125 )</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(167 )</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(175 )</w:t>
            </w:r>
          </w:p>
        </w:tc>
        <w:tc>
          <w:tcPr>
            <w:tcW w:w="60" w:type="dxa"/>
            <w:vAlign w:val="bottom"/>
          </w:tcPr>
          <w:p>
            <w:pPr>
              <w:spacing w:after="0"/>
              <w:rPr>
                <w:sz w:val="19"/>
                <w:szCs w:val="19"/>
                <w:color w:val="auto"/>
              </w:rPr>
            </w:pPr>
          </w:p>
        </w:tc>
      </w:tr>
      <w:tr>
        <w:trPr>
          <w:trHeight w:val="263"/>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Adjusted free cash flow (Non-GAAP)</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659</w:t>
            </w:r>
          </w:p>
        </w:tc>
        <w:tc>
          <w:tcPr>
            <w:tcW w:w="1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490</w:t>
            </w:r>
          </w:p>
        </w:tc>
        <w:tc>
          <w:tcPr>
            <w:tcW w:w="1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460</w:t>
            </w: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-761365</wp:posOffset>
            </wp:positionV>
            <wp:extent cx="713232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-1232535</wp:posOffset>
            </wp:positionV>
            <wp:extent cx="1028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-1232535</wp:posOffset>
            </wp:positionV>
            <wp:extent cx="939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-24765</wp:posOffset>
            </wp:positionV>
            <wp:extent cx="1028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-7620</wp:posOffset>
            </wp:positionV>
            <wp:extent cx="1028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939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939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90" w:lineRule="exact"/>
        <w:rPr>
          <w:sz w:val="20"/>
          <w:szCs w:val="20"/>
          <w:color w:val="auto"/>
        </w:rPr>
      </w:pPr>
    </w:p>
    <w:p>
      <w:pPr>
        <w:ind w:left="660" w:right="220" w:hanging="652"/>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stock-based compensation expense (recorded in Cost of sales, Selling, general and administrative, and Engineering — research and development).</w:t>
      </w:r>
    </w:p>
    <w:p>
      <w:pPr>
        <w:spacing w:after="0" w:line="1" w:lineRule="exact"/>
        <w:rPr>
          <w:rFonts w:ascii="Arial" w:cs="Arial" w:eastAsia="Arial" w:hAnsi="Arial"/>
          <w:sz w:val="18"/>
          <w:szCs w:val="18"/>
          <w:color w:val="auto"/>
        </w:rPr>
      </w:pPr>
    </w:p>
    <w:p>
      <w:pPr>
        <w:ind w:left="660" w:right="360" w:hanging="652"/>
        <w:spacing w:after="0" w:line="25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gains (recorded in Other income (expense), net) related to investments in co-development agreements to expand our position in propulsion solution technologies.</w:t>
      </w:r>
    </w:p>
    <w:p>
      <w:pPr>
        <w:ind w:left="660" w:right="620" w:hanging="652"/>
        <w:spacing w:after="0" w:line="24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losses (gains) (recorded in Other income (expense), net) related to an investment in the common stock of Jing-Jin Electric Technologies Co. Ltd.</w:t>
      </w:r>
    </w:p>
    <w:p>
      <w:pPr>
        <w:spacing w:after="0" w:line="1" w:lineRule="exact"/>
        <w:rPr>
          <w:rFonts w:ascii="Arial" w:cs="Arial" w:eastAsia="Arial" w:hAnsi="Arial"/>
          <w:sz w:val="18"/>
          <w:szCs w:val="18"/>
          <w:color w:val="auto"/>
        </w:rPr>
      </w:pPr>
    </w:p>
    <w:p>
      <w:pPr>
        <w:ind w:left="660" w:hanging="652"/>
        <w:spacing w:after="0" w:line="23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losses (recorded in Other income (expense), net) on intercompany financing transactions for our India facility.</w:t>
      </w:r>
    </w:p>
    <w:p>
      <w:pPr>
        <w:ind w:left="660" w:right="260" w:hanging="652"/>
        <w:spacing w:after="0" w:line="23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expenses (recorded in Selling, general and administrative and Engineering — research and development) for earnouts related to our acquisition of Vantage Power Limited.</w:t>
      </w:r>
    </w:p>
    <w:p>
      <w:pPr>
        <w:ind w:left="660" w:right="100" w:hanging="652"/>
        <w:spacing w:after="0" w:line="23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 curtailment loss (recorded in Selling, general and administrative) for our European subsidiary's defined benefit pension plan.</w:t>
      </w:r>
    </w:p>
    <w:p>
      <w:pPr>
        <w:ind w:left="660" w:right="80" w:hanging="652"/>
        <w:spacing w:after="0" w:line="279"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Represents adjustments (recorded in Cost of sales) related to a 2018 to 2021 retirement incentive program for certain employees represented by the UAW pursuant to the UAW Local 933 collective bargaining agreement that was effective through November 2023.</w:t>
      </w:r>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7" w:lineRule="exact"/>
        <w:rPr>
          <w:sz w:val="20"/>
          <w:szCs w:val="20"/>
          <w:color w:val="auto"/>
        </w:rPr>
      </w:pPr>
    </w:p>
    <w:p>
      <w:pPr>
        <w:ind w:right="300" w:firstLine="494"/>
        <w:spacing w:after="0" w:line="252" w:lineRule="auto"/>
        <w:rPr>
          <w:sz w:val="20"/>
          <w:szCs w:val="20"/>
          <w:color w:val="auto"/>
        </w:rPr>
      </w:pPr>
      <w:r>
        <w:rPr>
          <w:rFonts w:ascii="Arial" w:cs="Arial" w:eastAsia="Arial" w:hAnsi="Arial"/>
          <w:sz w:val="18"/>
          <w:szCs w:val="18"/>
          <w:color w:val="auto"/>
        </w:rPr>
        <w:t>The following table sets forth certain financial information for the years ended December 31, 2023 and 2022. The following table and discussion should be read in conjunction with the information contained in our consolidated financial statements and the notes thereto included in Part II, Item 8., of this Annual Report on Form 10-K.</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years ended December 31, 2023 and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0"/>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20" w:type="dxa"/>
            <w:vAlign w:val="bottom"/>
            <w:gridSpan w:val="2"/>
          </w:tcPr>
          <w:p>
            <w:pPr>
              <w:jc w:val="right"/>
              <w:ind w:right="555"/>
              <w:spacing w:after="0" w:line="15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80" w:type="dxa"/>
            <w:vAlign w:val="bottom"/>
            <w:gridSpan w:val="2"/>
          </w:tcPr>
          <w:p>
            <w:pPr>
              <w:jc w:val="right"/>
              <w:ind w:right="553"/>
              <w:spacing w:after="0" w:line="15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r>
      <w:tr>
        <w:trPr>
          <w:trHeight w:val="185"/>
        </w:trPr>
        <w:tc>
          <w:tcPr>
            <w:tcW w:w="582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of net sales</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of net sales</w:t>
            </w:r>
          </w:p>
        </w:tc>
        <w:tc>
          <w:tcPr>
            <w:tcW w:w="60" w:type="dxa"/>
            <w:vAlign w:val="bottom"/>
          </w:tcPr>
          <w:p>
            <w:pPr>
              <w:spacing w:after="0"/>
              <w:rPr>
                <w:sz w:val="16"/>
                <w:szCs w:val="16"/>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3,035</w:t>
            </w:r>
          </w:p>
        </w:tc>
        <w:tc>
          <w:tcPr>
            <w:tcW w:w="18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 xml:space="preserve">100 % </w:t>
            </w: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2,769</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1,565</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52</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9"/>
                <w:szCs w:val="19"/>
                <w:color w:val="auto"/>
              </w:rPr>
            </w:pP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1,470</w:t>
            </w:r>
          </w:p>
        </w:tc>
        <w:tc>
          <w:tcPr>
            <w:tcW w:w="1420" w:type="dxa"/>
            <w:vAlign w:val="bottom"/>
            <w:gridSpan w:val="2"/>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48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1,297</w:t>
            </w:r>
          </w:p>
        </w:tc>
        <w:tc>
          <w:tcPr>
            <w:tcW w:w="1380" w:type="dxa"/>
            <w:vAlign w:val="bottom"/>
            <w:gridSpan w:val="2"/>
            <w:shd w:val="clear" w:color="auto" w:fill="CFF0FC"/>
          </w:tcPr>
          <w:p>
            <w:pPr>
              <w:jc w:val="right"/>
              <w:ind w:right="33"/>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357</w:t>
            </w:r>
          </w:p>
        </w:tc>
        <w:tc>
          <w:tcPr>
            <w:tcW w:w="1420" w:type="dxa"/>
            <w:vAlign w:val="bottom"/>
            <w:gridSpan w:val="2"/>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12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328</w:t>
            </w:r>
          </w:p>
        </w:tc>
        <w:tc>
          <w:tcPr>
            <w:tcW w:w="1380" w:type="dxa"/>
            <w:vAlign w:val="bottom"/>
            <w:gridSpan w:val="2"/>
            <w:shd w:val="clear" w:color="auto" w:fill="CFF0FC"/>
          </w:tcPr>
          <w:p>
            <w:pPr>
              <w:jc w:val="right"/>
              <w:ind w:right="33"/>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Engineering — research and development</w:t>
            </w:r>
          </w:p>
        </w:tc>
        <w:tc>
          <w:tcPr>
            <w:tcW w:w="26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194</w:t>
            </w:r>
          </w:p>
        </w:tc>
        <w:tc>
          <w:tcPr>
            <w:tcW w:w="1420" w:type="dxa"/>
            <w:vAlign w:val="bottom"/>
            <w:gridSpan w:val="2"/>
          </w:tcPr>
          <w:p>
            <w:pPr>
              <w:jc w:val="right"/>
              <w:ind w:right="35"/>
              <w:spacing w:after="0"/>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185</w:t>
            </w:r>
          </w:p>
        </w:tc>
        <w:tc>
          <w:tcPr>
            <w:tcW w:w="1380" w:type="dxa"/>
            <w:vAlign w:val="bottom"/>
            <w:gridSpan w:val="2"/>
          </w:tcPr>
          <w:p>
            <w:pPr>
              <w:jc w:val="right"/>
              <w:ind w:right="33"/>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r>
      <w:tr>
        <w:trPr>
          <w:trHeight w:val="223"/>
        </w:trPr>
        <w:tc>
          <w:tcPr>
            <w:tcW w:w="5820" w:type="dxa"/>
            <w:vAlign w:val="bottom"/>
            <w:tcBorders>
              <w:top w:val="single" w:sz="8" w:color="CFF0FC"/>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551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18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919</w:t>
            </w:r>
          </w:p>
        </w:tc>
        <w:tc>
          <w:tcPr>
            <w:tcW w:w="1420" w:type="dxa"/>
            <w:vAlign w:val="bottom"/>
            <w:gridSpan w:val="2"/>
          </w:tcPr>
          <w:p>
            <w:pPr>
              <w:jc w:val="right"/>
              <w:ind w:right="35"/>
              <w:spacing w:after="0"/>
              <w:rPr>
                <w:sz w:val="20"/>
                <w:szCs w:val="20"/>
                <w:color w:val="auto"/>
              </w:rPr>
            </w:pPr>
            <w:r>
              <w:rPr>
                <w:rFonts w:ascii="Arial" w:cs="Arial" w:eastAsia="Arial" w:hAnsi="Arial"/>
                <w:sz w:val="18"/>
                <w:szCs w:val="18"/>
                <w:b w:val="1"/>
                <w:bCs w:val="1"/>
                <w:color w:val="auto"/>
              </w:rPr>
              <w:t>30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784</w:t>
            </w:r>
          </w:p>
        </w:tc>
        <w:tc>
          <w:tcPr>
            <w:tcW w:w="1380" w:type="dxa"/>
            <w:vAlign w:val="bottom"/>
            <w:gridSpan w:val="2"/>
          </w:tcPr>
          <w:p>
            <w:pPr>
              <w:jc w:val="right"/>
              <w:ind w:right="33"/>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net: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(107 )</w:t>
            </w: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(3 )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60" w:type="dxa"/>
            <w:vAlign w:val="bottom"/>
          </w:tcPr>
          <w:p>
            <w:pPr>
              <w:spacing w:after="0"/>
              <w:rPr>
                <w:sz w:val="19"/>
                <w:szCs w:val="19"/>
                <w:color w:val="auto"/>
              </w:rPr>
            </w:pPr>
          </w:p>
        </w:tc>
      </w:tr>
      <w:tr>
        <w:trPr>
          <w:trHeight w:val="229"/>
        </w:trPr>
        <w:tc>
          <w:tcPr>
            <w:tcW w:w="58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60" w:type="dxa"/>
            <w:vAlign w:val="bottom"/>
          </w:tcPr>
          <w:p>
            <w:pPr>
              <w:spacing w:after="0"/>
              <w:rPr>
                <w:sz w:val="19"/>
                <w:szCs w:val="19"/>
                <w:color w:val="auto"/>
              </w:rPr>
            </w:pPr>
          </w:p>
        </w:tc>
      </w:tr>
      <w:tr>
        <w:trPr>
          <w:trHeight w:val="223"/>
        </w:trPr>
        <w:tc>
          <w:tcPr>
            <w:tcW w:w="5820" w:type="dxa"/>
            <w:vAlign w:val="bottom"/>
          </w:tcPr>
          <w:p>
            <w:pPr>
              <w:ind w:left="52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(92 )</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(3 )</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(139 )</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60" w:type="dxa"/>
            <w:vAlign w:val="bottom"/>
          </w:tcPr>
          <w:p>
            <w:pPr>
              <w:spacing w:after="0"/>
              <w:rPr>
                <w:sz w:val="19"/>
                <w:szCs w:val="19"/>
                <w:color w:val="auto"/>
              </w:rPr>
            </w:pP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827</w:t>
            </w:r>
          </w:p>
        </w:tc>
        <w:tc>
          <w:tcPr>
            <w:tcW w:w="1420" w:type="dxa"/>
            <w:vAlign w:val="bottom"/>
            <w:gridSpan w:val="2"/>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27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645</w:t>
            </w:r>
          </w:p>
        </w:tc>
        <w:tc>
          <w:tcPr>
            <w:tcW w:w="1380" w:type="dxa"/>
            <w:vAlign w:val="bottom"/>
            <w:gridSpan w:val="2"/>
            <w:shd w:val="clear" w:color="auto" w:fill="CFF0FC"/>
          </w:tcPr>
          <w:p>
            <w:pPr>
              <w:jc w:val="right"/>
              <w:ind w:right="33"/>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(154 )</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(5 )</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(114 )</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60" w:type="dxa"/>
            <w:vAlign w:val="bottom"/>
          </w:tcPr>
          <w:p>
            <w:pPr>
              <w:spacing w:after="0"/>
              <w:rPr>
                <w:sz w:val="19"/>
                <w:szCs w:val="19"/>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673</w:t>
            </w:r>
          </w:p>
        </w:tc>
        <w:tc>
          <w:tcPr>
            <w:tcW w:w="18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 xml:space="preserve">22 % </w:t>
            </w: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531</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19 %</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-2259965</wp:posOffset>
            </wp:positionV>
            <wp:extent cx="7132320" cy="145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4479290</wp:posOffset>
            </wp:positionH>
            <wp:positionV relativeFrom="paragraph">
              <wp:posOffset>-1390650</wp:posOffset>
            </wp:positionV>
            <wp:extent cx="102235" cy="1879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235" cy="187960"/>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-1390650</wp:posOffset>
            </wp:positionV>
            <wp:extent cx="111125" cy="1879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125" cy="187960"/>
                    </a:xfrm>
                    <a:prstGeom prst="rect">
                      <a:avLst/>
                    </a:prstGeom>
                    <a:noFill/>
                  </pic:spPr>
                </pic:pic>
              </a:graphicData>
            </a:graphic>
          </wp:anchor>
        </w:drawing>
        <w:drawing>
          <wp:anchor simplePos="0" relativeHeight="251657728" behindDoc="1" locked="0" layoutInCell="0" allowOverlap="1">
            <wp:simplePos x="0" y="0"/>
            <wp:positionH relativeFrom="column">
              <wp:posOffset>6242685</wp:posOffset>
            </wp:positionH>
            <wp:positionV relativeFrom="paragraph">
              <wp:posOffset>-1390650</wp:posOffset>
            </wp:positionV>
            <wp:extent cx="93980" cy="1879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-633095</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-633095</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-633095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w:t>
      </w:r>
    </w:p>
    <w:p>
      <w:pPr>
        <w:spacing w:after="0" w:line="155" w:lineRule="exact"/>
        <w:rPr>
          <w:sz w:val="20"/>
          <w:szCs w:val="20"/>
          <w:color w:val="auto"/>
        </w:rPr>
      </w:pPr>
    </w:p>
    <w:p>
      <w:pPr>
        <w:ind w:right="60" w:firstLine="494"/>
        <w:spacing w:after="0" w:line="238" w:lineRule="auto"/>
        <w:rPr>
          <w:sz w:val="20"/>
          <w:szCs w:val="20"/>
          <w:color w:val="auto"/>
        </w:rPr>
      </w:pPr>
      <w:r>
        <w:rPr>
          <w:rFonts w:ascii="Arial" w:cs="Arial" w:eastAsia="Arial" w:hAnsi="Arial"/>
          <w:sz w:val="18"/>
          <w:szCs w:val="18"/>
          <w:color w:val="auto"/>
        </w:rPr>
        <w:t>Net sales for the year ended December 31, 2023 were $ 3,035 million compared to $2,769 million for the year ended December 31, 2022, an increase of 10%. The increase was principally driven by a $170 million, or 13%, increase in net sales in the North America On-Highway end market principally driven by strength in demand for Class 8 vocational and medium-duty trucks and price increases on certain products, a $108 million, or 18%, increase in net sales in the Service Parts, Support Equipment and Other end market principally driven by higher demand for global service parts, support equipment and aluminum die cast components and price increases on certain products, a $20 million, or 14%, increase in net sales in the Defense end market principally driven by increased demand for Wheeled and Tracked vehicle applications and a $14 million, or 3%, increase in net sales in the Outside North America On-Highway end market principally driven by price increases on certain products and the continued execution of our growth initiatives, partially offset by a $ 46 million, or 22%, decrease in Global Off-Highway net sales principally driven by lower demand in the energy sector, partially offset by higher demand in the mining and construction sectors outside of North America.</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sales</w:t>
      </w:r>
    </w:p>
    <w:p>
      <w:pPr>
        <w:spacing w:after="0" w:line="155" w:lineRule="exact"/>
        <w:rPr>
          <w:sz w:val="20"/>
          <w:szCs w:val="20"/>
          <w:color w:val="auto"/>
        </w:rPr>
      </w:pPr>
    </w:p>
    <w:p>
      <w:pPr>
        <w:ind w:right="200" w:firstLine="494"/>
        <w:spacing w:after="0" w:line="252" w:lineRule="auto"/>
        <w:rPr>
          <w:sz w:val="20"/>
          <w:szCs w:val="20"/>
          <w:color w:val="auto"/>
        </w:rPr>
      </w:pPr>
      <w:r>
        <w:rPr>
          <w:rFonts w:ascii="Arial" w:cs="Arial" w:eastAsia="Arial" w:hAnsi="Arial"/>
          <w:sz w:val="18"/>
          <w:szCs w:val="18"/>
          <w:color w:val="auto"/>
        </w:rPr>
        <w:t>Cost of sales for the year ended December 31, 2023 was $1,565 million compared to $1,472 million for the year ended December 31, 2022, an increase of 6%. The increase was principally driven by higher direct material and manufacturing expense commensurate with increased net sales and higher direct material costs.</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Gross profit</w:t>
      </w:r>
    </w:p>
    <w:p>
      <w:pPr>
        <w:spacing w:after="0" w:line="155" w:lineRule="exact"/>
        <w:rPr>
          <w:sz w:val="20"/>
          <w:szCs w:val="20"/>
          <w:color w:val="auto"/>
        </w:rPr>
      </w:pPr>
    </w:p>
    <w:p>
      <w:pPr>
        <w:ind w:right="40" w:firstLine="494"/>
        <w:spacing w:after="0" w:line="243" w:lineRule="auto"/>
        <w:rPr>
          <w:sz w:val="20"/>
          <w:szCs w:val="20"/>
          <w:color w:val="auto"/>
        </w:rPr>
      </w:pPr>
      <w:r>
        <w:rPr>
          <w:rFonts w:ascii="Arial" w:cs="Arial" w:eastAsia="Arial" w:hAnsi="Arial"/>
          <w:sz w:val="18"/>
          <w:szCs w:val="18"/>
          <w:color w:val="auto"/>
        </w:rPr>
        <w:t>Gross profit for the year ended December 31, 2023 was $1,470 million compared to $1,297 million for the year ended December 31, 2022, an increase of 13%. The increase was principally driven by $155 million of price increases on certain products and $70 million related to increased net sales, partially offset by $36 million of higher manufacturing expense and $15 million of higher direct material costs. Gross profit as a percent of net sales for the year ended December 31, 2023 increased 160 basis points compared to the same period in 2022 principally driven by price increases on certain products and increased net sales, partially offset by increased cost of sales.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55" w:lineRule="exact"/>
        <w:rPr>
          <w:sz w:val="20"/>
          <w:szCs w:val="20"/>
          <w:color w:val="auto"/>
        </w:rPr>
      </w:pPr>
    </w:p>
    <w:p>
      <w:pPr>
        <w:jc w:val="both"/>
        <w:ind w:right="140" w:firstLine="494"/>
        <w:spacing w:after="0" w:line="252" w:lineRule="auto"/>
        <w:rPr>
          <w:sz w:val="20"/>
          <w:szCs w:val="20"/>
          <w:color w:val="auto"/>
        </w:rPr>
      </w:pPr>
      <w:r>
        <w:rPr>
          <w:rFonts w:ascii="Arial" w:cs="Arial" w:eastAsia="Arial" w:hAnsi="Arial"/>
          <w:sz w:val="18"/>
          <w:szCs w:val="18"/>
          <w:color w:val="auto"/>
        </w:rPr>
        <w:t>Selling, general and administrative expenses for the year ended December 31, 2023 were $357 million compared to $328 million for the year ended December 31, 2022, an increase of 9%. The increase was principally driven by $12 million of higher commercial activities spending, $8 million of higher incentive compensation expense and $9 million of higher product warranty expense.</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55" w:lineRule="exact"/>
        <w:rPr>
          <w:sz w:val="20"/>
          <w:szCs w:val="20"/>
          <w:color w:val="auto"/>
        </w:rPr>
      </w:pPr>
    </w:p>
    <w:p>
      <w:pPr>
        <w:ind w:right="680" w:firstLine="494"/>
        <w:spacing w:after="0" w:line="271" w:lineRule="auto"/>
        <w:rPr>
          <w:sz w:val="20"/>
          <w:szCs w:val="20"/>
          <w:color w:val="auto"/>
        </w:rPr>
      </w:pPr>
      <w:r>
        <w:rPr>
          <w:rFonts w:ascii="Arial" w:cs="Arial" w:eastAsia="Arial" w:hAnsi="Arial"/>
          <w:sz w:val="18"/>
          <w:szCs w:val="18"/>
          <w:color w:val="auto"/>
        </w:rPr>
        <w:t>Engineering expenses for the year ended December 31, 2023 were $194 million compared to $185 million for the year ended December 31, 2022, an increase of 5%. The increase was principally driven by increased product initiatives spending.</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55" w:lineRule="exact"/>
        <w:rPr>
          <w:sz w:val="20"/>
          <w:szCs w:val="20"/>
          <w:color w:val="auto"/>
        </w:rPr>
      </w:pPr>
    </w:p>
    <w:p>
      <w:pPr>
        <w:jc w:val="both"/>
        <w:ind w:firstLine="494"/>
        <w:spacing w:after="0" w:line="274" w:lineRule="auto"/>
        <w:rPr>
          <w:sz w:val="20"/>
          <w:szCs w:val="20"/>
          <w:color w:val="auto"/>
        </w:rPr>
      </w:pPr>
      <w:r>
        <w:rPr>
          <w:rFonts w:ascii="Arial" w:cs="Arial" w:eastAsia="Arial" w:hAnsi="Arial"/>
          <w:sz w:val="17"/>
          <w:szCs w:val="17"/>
          <w:color w:val="auto"/>
        </w:rPr>
        <w:t>Interest expense, net for the year ended December 31, 2023 was $107 million compared to $118 million for the year ended December 31, 2022, a decrease of 9%. The decrease was principally driven by higher interest income on cash equivalents, partially offset by $4 million of higher interest expense on ATI's Term Loan due to higher variable interest rates, net of the favorable impact from interest rate hedges.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55" w:lineRule="exact"/>
        <w:rPr>
          <w:sz w:val="20"/>
          <w:szCs w:val="20"/>
          <w:color w:val="auto"/>
        </w:rPr>
      </w:pPr>
    </w:p>
    <w:p>
      <w:pPr>
        <w:ind w:right="80" w:firstLine="494"/>
        <w:spacing w:after="0" w:line="246" w:lineRule="auto"/>
        <w:rPr>
          <w:sz w:val="20"/>
          <w:szCs w:val="20"/>
          <w:color w:val="auto"/>
        </w:rPr>
      </w:pPr>
      <w:r>
        <w:rPr>
          <w:rFonts w:ascii="Arial" w:cs="Arial" w:eastAsia="Arial" w:hAnsi="Arial"/>
          <w:sz w:val="18"/>
          <w:szCs w:val="18"/>
          <w:color w:val="auto"/>
        </w:rPr>
        <w:t>Other income (expense), net for the year ended December 31, 2023 was $15 million compared to ($21) million for the year ended December 31, 2022. The change was principally driven by $21 million of favorable change in marketable securities, $ 11 million of favorable foreign exchange and $6 million of favorable change associated with assets held in a rabbi trust, partially offset by $3 million of unfavorable change in technology-related investment gains.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5" w:lineRule="exact"/>
        <w:rPr>
          <w:sz w:val="20"/>
          <w:szCs w:val="20"/>
          <w:color w:val="auto"/>
        </w:rPr>
      </w:pPr>
    </w:p>
    <w:p>
      <w:pPr>
        <w:ind w:right="260" w:firstLine="494"/>
        <w:spacing w:after="0" w:line="252" w:lineRule="auto"/>
        <w:rPr>
          <w:sz w:val="20"/>
          <w:szCs w:val="20"/>
          <w:color w:val="auto"/>
        </w:rPr>
      </w:pPr>
      <w:r>
        <w:rPr>
          <w:rFonts w:ascii="Arial" w:cs="Arial" w:eastAsia="Arial" w:hAnsi="Arial"/>
          <w:sz w:val="18"/>
          <w:szCs w:val="18"/>
          <w:color w:val="auto"/>
        </w:rPr>
        <w:t>Income tax expense for the year ended December 31, 2023 was $154 million resulting in an effective tax rate of 19%, compared to $114 million of income tax expense and an effective tax rate of 18% for the year ended December 31, 2022. The increase in income tax expense was principally driven by increased taxable income.</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8"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7"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We generate cash primarily from operations to fund our operating, investing and financing activities. Our principal uses of cash are operating expenses, capital expenditures, working capital needs, debt service, dividends on common stock, stock repurchases, and strategic growth initiatives, including investments, acquisitions and collaborations. Our ability to generate cash in the future and our future uses of cash are subject to general economic, financial, competitive, legislative, regulatory and other factors that may be beyond our control. We had total available cash and cash equivalents of $555 million and $232 million as of December 31, 2023 and 2022, respectively. Of the available cash and cash equivalents, $134 million was deposited in operating accounts and $421 million was invested in U.S. government backed securities as of December 31, 2023, compared to $121 million deposited in operating accounts and $111 million invested in U.S. government backed securities as of December 31, 2022.</w:t>
      </w:r>
    </w:p>
    <w:p>
      <w:pPr>
        <w:spacing w:after="0" w:line="131" w:lineRule="exact"/>
        <w:rPr>
          <w:sz w:val="20"/>
          <w:szCs w:val="20"/>
          <w:color w:val="auto"/>
        </w:rPr>
      </w:pPr>
    </w:p>
    <w:p>
      <w:pPr>
        <w:ind w:right="160" w:firstLine="494"/>
        <w:spacing w:after="0" w:line="243" w:lineRule="auto"/>
        <w:rPr>
          <w:sz w:val="20"/>
          <w:szCs w:val="20"/>
          <w:color w:val="auto"/>
        </w:rPr>
      </w:pPr>
      <w:r>
        <w:rPr>
          <w:rFonts w:ascii="Arial" w:cs="Arial" w:eastAsia="Arial" w:hAnsi="Arial"/>
          <w:sz w:val="18"/>
          <w:szCs w:val="18"/>
          <w:color w:val="auto"/>
        </w:rPr>
        <w:t>As of December 31, 2023, the total of cash held by foreign subsidiaries was $88 million, the majority of which was at our subsidiaries located in China, the Netherlands, India and Japan. We manage our worldwide cash requirements considering available funds among the subsidiaries through which we conduct our business and the cost effectiveness with which those funds can be accessed. As a result, we do not currently anticipate that local liquidity restrictions will preclude us from funding our targeted expectations or operating needs with local resources.</w:t>
      </w:r>
    </w:p>
    <w:p>
      <w:pPr>
        <w:spacing w:after="0" w:line="125" w:lineRule="exact"/>
        <w:rPr>
          <w:sz w:val="20"/>
          <w:szCs w:val="20"/>
          <w:color w:val="auto"/>
        </w:rPr>
      </w:pPr>
    </w:p>
    <w:p>
      <w:pPr>
        <w:ind w:right="20" w:firstLine="494"/>
        <w:spacing w:after="0" w:line="243" w:lineRule="auto"/>
        <w:rPr>
          <w:sz w:val="20"/>
          <w:szCs w:val="20"/>
          <w:color w:val="auto"/>
        </w:rPr>
      </w:pPr>
      <w:r>
        <w:rPr>
          <w:rFonts w:ascii="Arial" w:cs="Arial" w:eastAsia="Arial" w:hAnsi="Arial"/>
          <w:sz w:val="18"/>
          <w:szCs w:val="18"/>
          <w:color w:val="auto"/>
        </w:rPr>
        <w:t>We have not recognized any deferred tax liabilities associated with earnings in foreign subsidiaries, except for our subsidiary located in China, as they are intended to be permanently reinvested and used to support foreign operations or have no associated tax requirements. We have recorded a deferred tax liability of $3 million for the tax liability associated with the remittance of previously taxed income and unremitted earnings for our subsidiary located in China. The remaining deferred tax liabilities, if recorded, related to unremitted earnings that are indefinitely reinvested are not material.</w:t>
      </w:r>
    </w:p>
    <w:p>
      <w:pPr>
        <w:spacing w:after="0" w:line="125" w:lineRule="exact"/>
        <w:rPr>
          <w:sz w:val="20"/>
          <w:szCs w:val="20"/>
          <w:color w:val="auto"/>
        </w:rPr>
      </w:pPr>
    </w:p>
    <w:p>
      <w:pPr>
        <w:ind w:right="140" w:firstLine="494"/>
        <w:spacing w:after="0" w:line="239" w:lineRule="auto"/>
        <w:rPr>
          <w:sz w:val="20"/>
          <w:szCs w:val="20"/>
          <w:color w:val="auto"/>
        </w:rPr>
      </w:pPr>
      <w:r>
        <w:rPr>
          <w:rFonts w:ascii="Arial" w:cs="Arial" w:eastAsia="Arial" w:hAnsi="Arial"/>
          <w:sz w:val="18"/>
          <w:szCs w:val="18"/>
          <w:color w:val="auto"/>
        </w:rPr>
        <w:t>Our liquidity requirements are significant, primarily due to our debt service requirements. As of December 31, 2023, we had $618 million of indebtedness associated with ATI’s Term Loan, $400 million of indebtedness associated with ATI’s 4.75% Senior Notes due October 2027 (“4.75% Senior Notes”), $500 million of indebtedness associated with ATI’s 5.875% Senior Notes due June 2029 (“5.875% Senior Notes”) and $1,000 million of indebtedness associated with ATI’s 3.75% Senior Notes due January 2031 (“3.75% Senior Notes” and, together with the 4.75% Senior Notes and 5.875% Senior Notes, the “Senior Notes”). Short-term and long-term debt service liquidity requirements consist of $2 million of minimum required quarterly principal payments on ATI’s Term Loan through its maturity date of March 2026 and periodic interest payments on ATI’s Term Loan and the Senior Notes. There are no required quarterly principal payments on the Senior Notes. Long-term debt service liquidity requirements also consist of the payment in full of any remaining principal balance of ATI’s Term Loan and the Senior Notes upon their respective maturity dates.</w:t>
      </w:r>
    </w:p>
    <w:p>
      <w:pPr>
        <w:spacing w:after="0" w:line="127" w:lineRule="exact"/>
        <w:rPr>
          <w:sz w:val="20"/>
          <w:szCs w:val="20"/>
          <w:color w:val="auto"/>
        </w:rPr>
      </w:pPr>
    </w:p>
    <w:p>
      <w:pPr>
        <w:ind w:right="80" w:firstLine="494"/>
        <w:spacing w:after="0" w:line="252" w:lineRule="auto"/>
        <w:rPr>
          <w:sz w:val="20"/>
          <w:szCs w:val="20"/>
          <w:color w:val="auto"/>
        </w:rPr>
      </w:pPr>
      <w:r>
        <w:rPr>
          <w:rFonts w:ascii="Arial" w:cs="Arial" w:eastAsia="Arial" w:hAnsi="Arial"/>
          <w:sz w:val="18"/>
          <w:szCs w:val="18"/>
          <w:color w:val="auto"/>
        </w:rPr>
        <w:t>We made $7 million of principal payments on the Term Loan during each of the years ended December 31, 2023 and 2022. Our ability to make payments on and refinance our indebtedness and to fund planned capital expenditures and growth initiatives will depend on our ability to generate cash in the future.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right="40" w:firstLine="494"/>
        <w:spacing w:after="0" w:line="238" w:lineRule="auto"/>
        <w:rPr>
          <w:sz w:val="20"/>
          <w:szCs w:val="20"/>
          <w:color w:val="auto"/>
        </w:rPr>
      </w:pPr>
      <w:r>
        <w:rPr>
          <w:rFonts w:ascii="Arial" w:cs="Arial" w:eastAsia="Arial" w:hAnsi="Arial"/>
          <w:sz w:val="18"/>
          <w:szCs w:val="18"/>
          <w:color w:val="auto"/>
        </w:rPr>
        <w:t>The Senior Secured Credit Facility provides for a $650 million Revolving Credit Facility, net of an allowance for up to $75 million in outstanding letter of credit commitments. As of December 31, 2023, we had $645 million available under the Revolving Credit Facility, net of $5 million in letters of credit. As of December 31, 2023, we had no amounts outstanding under the Revolving Credit Facility. If we have commitments outstanding on the Revolving Credit Facility at the end of a fiscal quarter, the Senior Secured Credit Facility requires us to maintain a specified maximum first lien net leverage ratio of 5.50x. Additionally, within the terms of the Senior Secured Credit Facility, a first lien net leverage ratio at or below 4.00x results in the elimination of excess cash flow payments on the Senior Secured Credit Facility for the applicable year. As of December 31, 2023, our first lien net leverage ratio was 0.06x. The Senior Secured Credit Facility also provides certain financial incentives based on our first lien net leverage ratio. A first lien net leverage ratio at or below 4.00x and above 3.50x results in a 25 basis point reduction to the applicable margin on the Revolving Credit Facility. A first lien net leverage ratio at or below 3.50x results in an additional 25 basis point reduction to the applicable margin on the Revolving Credit Facility. These reductions remain in effect as long as we achieve a first lien net leverage ratio at or below the related threshold.</w:t>
      </w:r>
    </w:p>
    <w:p>
      <w:pPr>
        <w:spacing w:after="0" w:line="129"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December 31, 2023, we were in compliance with all covenants under the Senior Secured Credit Facility and indentures governing the Senior Notes.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credit ratings and outlook are reviewed periodically by Moody’s Investors Service, Inc. (“Moody’s”) and Fitch Ratings, Inc. (“Fitch”).</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 our credit ratings from both Moody's and Fitch are shown in the table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December 31, 2023</w:t>
            </w:r>
          </w:p>
        </w:tc>
      </w:tr>
      <w:tr>
        <w:trPr>
          <w:trHeight w:val="182"/>
        </w:trPr>
        <w:tc>
          <w:tcPr>
            <w:tcW w:w="6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Credit Ratings</w:t>
            </w:r>
          </w:p>
        </w:tc>
        <w:tc>
          <w:tcPr>
            <w:tcW w:w="174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Moody's</w:t>
            </w:r>
          </w:p>
        </w:tc>
        <w:tc>
          <w:tcPr>
            <w:tcW w:w="7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Fitch</w:t>
            </w:r>
          </w:p>
        </w:tc>
      </w:tr>
      <w:tr>
        <w:trPr>
          <w:trHeight w:val="223"/>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Credit</w:t>
            </w:r>
          </w:p>
        </w:tc>
        <w:tc>
          <w:tcPr>
            <w:tcW w:w="1740" w:type="dxa"/>
            <w:vAlign w:val="bottom"/>
            <w:shd w:val="clear" w:color="auto" w:fill="CFF0FC"/>
          </w:tcPr>
          <w:p>
            <w:pPr>
              <w:jc w:val="center"/>
              <w:ind w:left="693"/>
              <w:spacing w:after="0"/>
              <w:rPr>
                <w:sz w:val="20"/>
                <w:szCs w:val="20"/>
                <w:color w:val="auto"/>
              </w:rPr>
            </w:pPr>
            <w:r>
              <w:rPr>
                <w:rFonts w:ascii="Arial" w:cs="Arial" w:eastAsia="Arial" w:hAnsi="Arial"/>
                <w:sz w:val="18"/>
                <w:szCs w:val="18"/>
                <w:color w:val="auto"/>
                <w:w w:val="99"/>
              </w:rPr>
              <w:t>Ba1</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BB+</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Term Loan</w:t>
            </w:r>
          </w:p>
        </w:tc>
        <w:tc>
          <w:tcPr>
            <w:tcW w:w="1740" w:type="dxa"/>
            <w:vAlign w:val="bottom"/>
          </w:tcPr>
          <w:p>
            <w:pPr>
              <w:jc w:val="center"/>
              <w:ind w:left="673"/>
              <w:spacing w:after="0"/>
              <w:rPr>
                <w:sz w:val="20"/>
                <w:szCs w:val="20"/>
                <w:color w:val="auto"/>
              </w:rPr>
            </w:pPr>
            <w:r>
              <w:rPr>
                <w:rFonts w:ascii="Arial" w:cs="Arial" w:eastAsia="Arial" w:hAnsi="Arial"/>
                <w:sz w:val="18"/>
                <w:szCs w:val="18"/>
                <w:color w:val="auto"/>
                <w:w w:val="99"/>
              </w:rPr>
              <w:t>Baa2</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9"/>
              </w:rPr>
              <w:t>BBB-</w:t>
            </w:r>
          </w:p>
        </w:tc>
      </w:tr>
      <w:tr>
        <w:trPr>
          <w:trHeight w:val="229"/>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4.75% Senior Notes</w:t>
            </w:r>
          </w:p>
        </w:tc>
        <w:tc>
          <w:tcPr>
            <w:tcW w:w="1740" w:type="dxa"/>
            <w:vAlign w:val="bottom"/>
            <w:shd w:val="clear" w:color="auto" w:fill="CFF0FC"/>
          </w:tcPr>
          <w:p>
            <w:pPr>
              <w:jc w:val="center"/>
              <w:ind w:left="693"/>
              <w:spacing w:after="0"/>
              <w:rPr>
                <w:sz w:val="20"/>
                <w:szCs w:val="20"/>
                <w:color w:val="auto"/>
              </w:rPr>
            </w:pPr>
            <w:r>
              <w:rPr>
                <w:rFonts w:ascii="Arial" w:cs="Arial" w:eastAsia="Arial" w:hAnsi="Arial"/>
                <w:sz w:val="18"/>
                <w:szCs w:val="18"/>
                <w:color w:val="auto"/>
                <w:w w:val="99"/>
              </w:rPr>
              <w:t>Ba2</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BB+</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5.875% Senior Notes</w:t>
            </w:r>
          </w:p>
        </w:tc>
        <w:tc>
          <w:tcPr>
            <w:tcW w:w="1740" w:type="dxa"/>
            <w:vAlign w:val="bottom"/>
          </w:tcPr>
          <w:p>
            <w:pPr>
              <w:jc w:val="center"/>
              <w:ind w:left="693"/>
              <w:spacing w:after="0"/>
              <w:rPr>
                <w:sz w:val="20"/>
                <w:szCs w:val="20"/>
                <w:color w:val="auto"/>
              </w:rPr>
            </w:pPr>
            <w:r>
              <w:rPr>
                <w:rFonts w:ascii="Arial" w:cs="Arial" w:eastAsia="Arial" w:hAnsi="Arial"/>
                <w:sz w:val="18"/>
                <w:szCs w:val="18"/>
                <w:color w:val="auto"/>
                <w:w w:val="99"/>
              </w:rPr>
              <w:t>Ba2</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8"/>
              </w:rPr>
              <w:t>BB+</w:t>
            </w:r>
          </w:p>
        </w:tc>
      </w:tr>
      <w:tr>
        <w:trPr>
          <w:trHeight w:val="229"/>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3.75% Senior Notes</w:t>
            </w:r>
          </w:p>
        </w:tc>
        <w:tc>
          <w:tcPr>
            <w:tcW w:w="1740" w:type="dxa"/>
            <w:vAlign w:val="bottom"/>
            <w:shd w:val="clear" w:color="auto" w:fill="CFF0FC"/>
          </w:tcPr>
          <w:p>
            <w:pPr>
              <w:jc w:val="center"/>
              <w:ind w:left="693"/>
              <w:spacing w:after="0"/>
              <w:rPr>
                <w:sz w:val="20"/>
                <w:szCs w:val="20"/>
                <w:color w:val="auto"/>
              </w:rPr>
            </w:pPr>
            <w:r>
              <w:rPr>
                <w:rFonts w:ascii="Arial" w:cs="Arial" w:eastAsia="Arial" w:hAnsi="Arial"/>
                <w:sz w:val="18"/>
                <w:szCs w:val="18"/>
                <w:color w:val="auto"/>
                <w:w w:val="99"/>
              </w:rPr>
              <w:t>Ba2</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BB+</w:t>
            </w:r>
          </w:p>
        </w:tc>
      </w:tr>
    </w:tbl>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anticipate that our capital expenditures and cash income taxes in 2024 will be comparable to 2023.</w:t>
      </w:r>
    </w:p>
    <w:p>
      <w:pPr>
        <w:spacing w:after="0" w:line="157" w:lineRule="exact"/>
        <w:rPr>
          <w:sz w:val="20"/>
          <w:szCs w:val="20"/>
          <w:color w:val="auto"/>
        </w:rPr>
      </w:pPr>
    </w:p>
    <w:p>
      <w:pPr>
        <w:ind w:right="360" w:firstLine="544"/>
        <w:spacing w:after="0" w:line="246" w:lineRule="auto"/>
        <w:rPr>
          <w:sz w:val="20"/>
          <w:szCs w:val="20"/>
          <w:color w:val="auto"/>
        </w:rPr>
      </w:pPr>
      <w:r>
        <w:rPr>
          <w:rFonts w:ascii="Arial" w:cs="Arial" w:eastAsia="Arial" w:hAnsi="Arial"/>
          <w:sz w:val="18"/>
          <w:szCs w:val="18"/>
          <w:color w:val="auto"/>
        </w:rPr>
        <w:t>Our Board of Directors has authorized us to repurchase up to $ 4,000 million of our common stock pursuant to the Repurchase Program. During 2023, we repurchased approximately $263 million of our common stock under the Repurchase Program. All of the repurchase transactions during 2023 were settled in cash during the same period. As of December 31, 2023, we had approximately $773 million available under the Repurchase Program.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sources and uses of funds for the years ended December 31, 2023, 2022 and 2021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60" w:type="dxa"/>
            <w:vAlign w:val="bottom"/>
            <w:gridSpan w:val="5"/>
          </w:tcPr>
          <w:p>
            <w:pPr>
              <w:ind w:left="102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8"/>
        </w:trPr>
        <w:tc>
          <w:tcPr>
            <w:tcW w:w="6660" w:type="dxa"/>
            <w:vAlign w:val="bottom"/>
          </w:tcPr>
          <w:p>
            <w:pPr>
              <w:ind w:left="20"/>
              <w:spacing w:after="0"/>
              <w:rPr>
                <w:sz w:val="20"/>
                <w:szCs w:val="20"/>
                <w:color w:val="auto"/>
              </w:rPr>
            </w:pPr>
            <w:r>
              <w:rPr>
                <w:rFonts w:ascii="Arial" w:cs="Arial" w:eastAsia="Arial" w:hAnsi="Arial"/>
                <w:sz w:val="14"/>
                <w:szCs w:val="14"/>
                <w:i w:val="1"/>
                <w:iCs w:val="1"/>
                <w:color w:val="auto"/>
              </w:rPr>
              <w:t>Statement of Cash Flows Data</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22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FF0FC"/>
          </w:tcPr>
          <w:p>
            <w:pPr>
              <w:jc w:val="right"/>
              <w:ind w:right="57"/>
              <w:spacing w:after="0"/>
              <w:rPr>
                <w:sz w:val="20"/>
                <w:szCs w:val="20"/>
                <w:color w:val="auto"/>
              </w:rPr>
            </w:pPr>
            <w:r>
              <w:rPr>
                <w:rFonts w:ascii="Arial" w:cs="Arial" w:eastAsia="Arial" w:hAnsi="Arial"/>
                <w:sz w:val="18"/>
                <w:szCs w:val="18"/>
                <w:b w:val="1"/>
                <w:bCs w:val="1"/>
                <w:color w:val="auto"/>
              </w:rPr>
              <w:t>784</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635</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Cash flows used for investing activities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(129 )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(212 )</w:t>
            </w:r>
          </w:p>
        </w:tc>
      </w:tr>
      <w:tr>
        <w:trPr>
          <w:trHeight w:val="22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(332 )</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(367 )</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(604 )</w:t>
            </w:r>
          </w:p>
        </w:tc>
      </w:tr>
    </w:tbl>
    <w:p>
      <w:pPr>
        <w:spacing w:after="0" w:line="170" w:lineRule="exact"/>
        <w:rPr>
          <w:sz w:val="20"/>
          <w:szCs w:val="20"/>
          <w:color w:val="auto"/>
        </w:rPr>
      </w:pPr>
    </w:p>
    <w:p>
      <w:pPr>
        <w:ind w:right="20" w:firstLine="494"/>
        <w:spacing w:after="0" w:line="266" w:lineRule="auto"/>
        <w:rPr>
          <w:sz w:val="20"/>
          <w:szCs w:val="20"/>
          <w:color w:val="auto"/>
        </w:rPr>
      </w:pPr>
      <w:r>
        <w:rPr>
          <w:rFonts w:ascii="Arial" w:cs="Arial" w:eastAsia="Arial" w:hAnsi="Arial"/>
          <w:sz w:val="17"/>
          <w:szCs w:val="17"/>
          <w:color w:val="auto"/>
        </w:rPr>
        <w:t>Generally, cash provided by operating activities has been adequate to fund our operations. We have significant liquidity, including $ 555 million of cash and cash equivalents and $645 million available under the Revolving Credit Facility, net of $5 million in letters of credit, as of December 31, 2023. At this time, we believe cash provided by operating activities, cash and cash equivalents and borrowing capacity under the Revolving Credit Facility will be sufficient to meet our known and anticipated cash requirements for the next twelve months and thereafter.</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55" w:lineRule="exact"/>
        <w:rPr>
          <w:sz w:val="20"/>
          <w:szCs w:val="20"/>
          <w:color w:val="auto"/>
        </w:rPr>
      </w:pPr>
    </w:p>
    <w:p>
      <w:pPr>
        <w:ind w:firstLine="494"/>
        <w:spacing w:after="0" w:line="252" w:lineRule="auto"/>
        <w:rPr>
          <w:sz w:val="20"/>
          <w:szCs w:val="20"/>
          <w:color w:val="auto"/>
        </w:rPr>
      </w:pPr>
      <w:r>
        <w:rPr>
          <w:rFonts w:ascii="Arial" w:cs="Arial" w:eastAsia="Arial" w:hAnsi="Arial"/>
          <w:sz w:val="18"/>
          <w:szCs w:val="18"/>
          <w:color w:val="auto"/>
        </w:rPr>
        <w:t>Operating activities for the year ended December 31, 2023 generated $784 million of cash compared to $657 million for the year ended December 31, 2022. The increase was principally driven by higher gross profit and lower operating working capital requirements, partially offset by higher cash income taxes.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55" w:lineRule="exact"/>
        <w:rPr>
          <w:sz w:val="20"/>
          <w:szCs w:val="20"/>
          <w:color w:val="auto"/>
        </w:rPr>
      </w:pPr>
    </w:p>
    <w:p>
      <w:pPr>
        <w:ind w:right="240" w:firstLine="494"/>
        <w:spacing w:after="0" w:line="246" w:lineRule="auto"/>
        <w:rPr>
          <w:sz w:val="20"/>
          <w:szCs w:val="20"/>
          <w:color w:val="auto"/>
        </w:rPr>
      </w:pPr>
      <w:r>
        <w:rPr>
          <w:rFonts w:ascii="Arial" w:cs="Arial" w:eastAsia="Arial" w:hAnsi="Arial"/>
          <w:sz w:val="18"/>
          <w:szCs w:val="18"/>
          <w:color w:val="auto"/>
        </w:rPr>
        <w:t>Investing activities for the year ended December 31, 2023 used $129 million of cash compared to $183 million for the year ended December 31, 2022. The decrease was principally driven by a $42 million decrease in capital expenditures and $ 23 million in cash paid for business acquisitions during 2022 that did not reoccur in 2023, partially offset by $5 million of equity investments in 2023 and a $4 million decrease in proceeds from technology-related investments.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155" w:lineRule="exact"/>
        <w:rPr>
          <w:sz w:val="20"/>
          <w:szCs w:val="20"/>
          <w:color w:val="auto"/>
        </w:rPr>
      </w:pPr>
    </w:p>
    <w:p>
      <w:pPr>
        <w:ind w:right="120" w:firstLine="494"/>
        <w:spacing w:after="0" w:line="252" w:lineRule="auto"/>
        <w:rPr>
          <w:sz w:val="20"/>
          <w:szCs w:val="20"/>
          <w:color w:val="auto"/>
        </w:rPr>
      </w:pPr>
      <w:r>
        <w:rPr>
          <w:rFonts w:ascii="Arial" w:cs="Arial" w:eastAsia="Arial" w:hAnsi="Arial"/>
          <w:sz w:val="18"/>
          <w:szCs w:val="18"/>
          <w:color w:val="auto"/>
        </w:rPr>
        <w:t>Financing activities for the year ended December 31, 2023 used $332 million of cash compared to $367 million for the year ended December 31, 2022. The decrease was principally driven by a $26 million increase in proceeds from the exercise of stock options and a $15 million decrease in stock repurchases under the Repurchase Program.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57" w:lineRule="exact"/>
        <w:rPr>
          <w:sz w:val="20"/>
          <w:szCs w:val="20"/>
          <w:color w:val="auto"/>
        </w:rPr>
      </w:pPr>
    </w:p>
    <w:p>
      <w:pPr>
        <w:ind w:right="260" w:firstLine="494"/>
        <w:spacing w:after="0" w:line="243" w:lineRule="auto"/>
        <w:rPr>
          <w:sz w:val="20"/>
          <w:szCs w:val="20"/>
          <w:color w:val="auto"/>
        </w:rPr>
      </w:pPr>
      <w:r>
        <w:rPr>
          <w:rFonts w:ascii="Arial" w:cs="Arial" w:eastAsia="Arial" w:hAnsi="Arial"/>
          <w:sz w:val="18"/>
          <w:szCs w:val="18"/>
          <w:color w:val="auto"/>
        </w:rPr>
        <w:t>The preparation of the consolidated financial statements in accordance with GAAP requires management to make estimates and assumptions that affect the reported amounts of some assets and liabilities and, in some instances, the reported amounts of net sales and expenses during the applicable reporting period. Differences between actual amounts and estimates are recorded in the period identified. Estimates can require a significant amount of judgment, and a different set of judgments could result in changes to our reported results. A summary of our critical accounting estimates is included below.</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5"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Revenue recognition contains uncertainties because it requires management to make assumptions and to apply judgment to estimate the amount of sales incentives and provision for government price reductions. Distributor and customer sales incentives, consisting of allowances and other rebates, are estimated at the time of sale based upon history and experience and are recorded as a reduction to net sales. Incentive programs are generally product specific or region specific. Some factors used in estimating the cost of incentives include the number of transmissions that will be affected by the incentive program and the rate of acceptance of any incentive program. If the actual number of affected transmissions differs from this estimate, or if a different mix of incentives is actually paid, the impact on net sales would be recorded in the period that the change was identified. Assuming our current mix of sales incentives, a 10% change in sales incentives would correspondingly change our earnings by approximately $9 million.</w:t>
      </w:r>
    </w:p>
    <w:p>
      <w:pPr>
        <w:spacing w:after="0" w:line="131" w:lineRule="exact"/>
        <w:rPr>
          <w:sz w:val="20"/>
          <w:szCs w:val="20"/>
          <w:color w:val="auto"/>
        </w:rPr>
      </w:pPr>
    </w:p>
    <w:p>
      <w:pPr>
        <w:ind w:right="260" w:firstLine="494"/>
        <w:spacing w:after="0" w:line="243" w:lineRule="auto"/>
        <w:rPr>
          <w:sz w:val="20"/>
          <w:szCs w:val="20"/>
          <w:color w:val="auto"/>
        </w:rPr>
      </w:pPr>
      <w:r>
        <w:rPr>
          <w:rFonts w:ascii="Arial" w:cs="Arial" w:eastAsia="Arial" w:hAnsi="Arial"/>
          <w:sz w:val="18"/>
          <w:szCs w:val="18"/>
          <w:color w:val="auto"/>
        </w:rPr>
        <w:t>Under the terms of certain previous U.S. government contracts, there were price reduction clauses and provisions for potential price reductions which were estimated at the time of sale based upon history and experience, and finalized after completion of U.S. government audits. Given our current price reduction reserve for government contracts, a 10% adjustment in our price reduction reserve would correspondingly change our earnings by approximately $5 million. Since 2014, Allison contracts with the U.S. Government have generally been firm, fixed price contracts and therefore have not required re-calculation of pricing based on cost principles.</w:t>
      </w:r>
    </w:p>
    <w:p>
      <w:pPr>
        <w:spacing w:after="0" w:line="125" w:lineRule="exact"/>
        <w:rPr>
          <w:sz w:val="20"/>
          <w:szCs w:val="20"/>
          <w:color w:val="auto"/>
        </w:rPr>
      </w:pPr>
    </w:p>
    <w:p>
      <w:pPr>
        <w:ind w:right="80" w:firstLine="494"/>
        <w:spacing w:after="0" w:line="271" w:lineRule="auto"/>
        <w:rPr>
          <w:sz w:val="20"/>
          <w:szCs w:val="20"/>
          <w:color w:val="auto"/>
        </w:rPr>
      </w:pPr>
      <w:r>
        <w:rPr>
          <w:rFonts w:ascii="Arial" w:cs="Arial" w:eastAsia="Arial" w:hAnsi="Arial"/>
          <w:sz w:val="18"/>
          <w:szCs w:val="18"/>
          <w:color w:val="auto"/>
        </w:rPr>
        <w:t>Further information is provided in "Note 2. Summary of Significant Accounting Policies” of Notes to Consolidated Financial Statements included in Part II, Item 8., of this Annual Report on Form 10-K.</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55" w:lineRule="exact"/>
        <w:rPr>
          <w:sz w:val="20"/>
          <w:szCs w:val="20"/>
          <w:color w:val="auto"/>
        </w:rPr>
      </w:pPr>
    </w:p>
    <w:p>
      <w:pPr>
        <w:ind w:right="60" w:firstLine="494"/>
        <w:spacing w:after="0" w:line="241" w:lineRule="auto"/>
        <w:rPr>
          <w:sz w:val="20"/>
          <w:szCs w:val="20"/>
          <w:color w:val="auto"/>
        </w:rPr>
      </w:pPr>
      <w:r>
        <w:rPr>
          <w:rFonts w:ascii="Arial" w:cs="Arial" w:eastAsia="Arial" w:hAnsi="Arial"/>
          <w:sz w:val="18"/>
          <w:szCs w:val="18"/>
          <w:color w:val="auto"/>
        </w:rPr>
        <w:t>We have elected to perform our annual impairment tests for goodwill and indefinite-lived intangible assets on October 31 of every year using a multi-step impairment test. In Step 0, we have the option to evaluate various qualitative factors to determine the likelihood of impairment. If we determine that the fair value is more likely than not less than the carrying value, then we are required to perform Step 1. If we do not elect to perform Step 0, we can voluntarily proceed directly to Step 1. In Step 1, we perform a quantitative analysis to compare the fair value to our carrying value. If the fair value exceeds the carrying value, no impairment is recorded, and we are not required to perform further testing. If the carrying value exceeds fair value, we would record an impairment loss equal to the difference.</w:t>
      </w:r>
    </w:p>
    <w:p>
      <w:pPr>
        <w:spacing w:after="0" w:line="128" w:lineRule="exact"/>
        <w:rPr>
          <w:sz w:val="20"/>
          <w:szCs w:val="20"/>
          <w:color w:val="auto"/>
        </w:rPr>
      </w:pPr>
    </w:p>
    <w:p>
      <w:pPr>
        <w:jc w:val="both"/>
        <w:ind w:right="500" w:firstLine="494"/>
        <w:spacing w:after="0" w:line="252" w:lineRule="auto"/>
        <w:rPr>
          <w:sz w:val="20"/>
          <w:szCs w:val="20"/>
          <w:color w:val="auto"/>
        </w:rPr>
      </w:pPr>
      <w:r>
        <w:rPr>
          <w:rFonts w:ascii="Arial" w:cs="Arial" w:eastAsia="Arial" w:hAnsi="Arial"/>
          <w:sz w:val="18"/>
          <w:szCs w:val="18"/>
          <w:color w:val="auto"/>
        </w:rPr>
        <w:t>A qualitative assessment contains uncertainties because it requires management to make assumptions and to apply judgment to assess business changes, economic outlook, financial trends and forecasts, growth rates, credit ratings, equity ratings, discount rates, industry data and other relevant qualitative factors.</w:t>
      </w:r>
    </w:p>
    <w:p>
      <w:pPr>
        <w:spacing w:after="0" w:line="117" w:lineRule="exact"/>
        <w:rPr>
          <w:sz w:val="20"/>
          <w:szCs w:val="20"/>
          <w:color w:val="auto"/>
        </w:rPr>
      </w:pPr>
    </w:p>
    <w:p>
      <w:pPr>
        <w:ind w:right="100" w:firstLine="494"/>
        <w:spacing w:after="0" w:line="252" w:lineRule="auto"/>
        <w:rPr>
          <w:sz w:val="20"/>
          <w:szCs w:val="20"/>
          <w:color w:val="auto"/>
        </w:rPr>
      </w:pPr>
      <w:r>
        <w:rPr>
          <w:rFonts w:ascii="Arial" w:cs="Arial" w:eastAsia="Arial" w:hAnsi="Arial"/>
          <w:sz w:val="18"/>
          <w:szCs w:val="18"/>
          <w:color w:val="auto"/>
        </w:rPr>
        <w:t>A quantitative analysis contains uncertainties because it is performed utilizing a discounted cash flow model which includes key assumptions, such as financial forecasts; net sales growth derived from market information, industry reports, marketing programs and future new product introductions; operating margin improvements derived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from cost reduction programs and fixed cost leverage driven by higher sales volumes; and a risk-adjusted discount rate.</w:t>
      </w:r>
    </w:p>
    <w:p>
      <w:pPr>
        <w:spacing w:after="0" w:line="157" w:lineRule="exact"/>
        <w:rPr>
          <w:sz w:val="20"/>
          <w:szCs w:val="20"/>
          <w:color w:val="auto"/>
        </w:rPr>
      </w:pPr>
    </w:p>
    <w:p>
      <w:pPr>
        <w:ind w:right="120" w:firstLine="494"/>
        <w:spacing w:after="0" w:line="243" w:lineRule="auto"/>
        <w:rPr>
          <w:sz w:val="20"/>
          <w:szCs w:val="20"/>
          <w:color w:val="auto"/>
        </w:rPr>
      </w:pPr>
      <w:r>
        <w:rPr>
          <w:rFonts w:ascii="Arial" w:cs="Arial" w:eastAsia="Arial" w:hAnsi="Arial"/>
          <w:sz w:val="18"/>
          <w:szCs w:val="18"/>
          <w:color w:val="auto"/>
        </w:rPr>
        <w:t>Goodwill represents the excess of purchase price paid over the fair value of net assets acquired. In accordance with the Financial Accounting Standards Board’s (“FASB”) authoritative accounting guidance on goodwill, we do not amortize goodwill but rather evaluate it for impairment on an annual basis, or more often if events or circumstances change that could cause goodwill to become impaired. Goodwill is tested for impairment at the reporting unit level, which is the same as our one operating and reportable segment. We do not aggregate any components into our reporting unit.</w:t>
      </w:r>
    </w:p>
    <w:p>
      <w:pPr>
        <w:spacing w:after="0" w:line="125" w:lineRule="exact"/>
        <w:rPr>
          <w:sz w:val="20"/>
          <w:szCs w:val="20"/>
          <w:color w:val="auto"/>
        </w:rPr>
      </w:pPr>
    </w:p>
    <w:p>
      <w:pPr>
        <w:ind w:right="420" w:firstLine="494"/>
        <w:spacing w:after="0" w:line="246" w:lineRule="auto"/>
        <w:rPr>
          <w:sz w:val="20"/>
          <w:szCs w:val="20"/>
          <w:color w:val="auto"/>
        </w:rPr>
      </w:pPr>
      <w:r>
        <w:rPr>
          <w:rFonts w:ascii="Arial" w:cs="Arial" w:eastAsia="Arial" w:hAnsi="Arial"/>
          <w:sz w:val="18"/>
          <w:szCs w:val="18"/>
          <w:color w:val="auto"/>
        </w:rPr>
        <w:t>Goodwill impairment testing for 2023 was performed using the Step 0 analysis by assessing certain qualitative trends and factors. These trends and factors were compared to, and based on, the assumptions used in prior years. After reviewing the various qualitative factors mentioned above, our 2023 annual goodwill impairment test indicated that the fair value for the reporting unit more likely than not exceeded its carrying value, indicating no impairment.</w:t>
      </w:r>
    </w:p>
    <w:p>
      <w:pPr>
        <w:spacing w:after="0" w:line="122" w:lineRule="exact"/>
        <w:rPr>
          <w:sz w:val="20"/>
          <w:szCs w:val="20"/>
          <w:color w:val="auto"/>
        </w:rPr>
      </w:pPr>
    </w:p>
    <w:p>
      <w:pPr>
        <w:ind w:right="160" w:firstLine="494"/>
        <w:spacing w:after="0" w:line="243" w:lineRule="auto"/>
        <w:rPr>
          <w:sz w:val="20"/>
          <w:szCs w:val="20"/>
          <w:color w:val="auto"/>
        </w:rPr>
      </w:pPr>
      <w:r>
        <w:rPr>
          <w:rFonts w:ascii="Arial" w:cs="Arial" w:eastAsia="Arial" w:hAnsi="Arial"/>
          <w:sz w:val="18"/>
          <w:szCs w:val="18"/>
          <w:color w:val="auto"/>
        </w:rPr>
        <w:t>Other intangible assets have both indefinite and finite useful lives. Intangible assets with indefinite useful lives are not amortized but are tested annually for impairment, or more often if events or circumstances change that could cause intangible assets with indefinite useful lives to become impaired. After reviewing the various qualitative factors mentioned above, our annual 2023 indefinite-lived intangible assets impairment tests, as of October 31, 2023, indicated that the fair value of our indefinite-lived intangible assets more likely than not exceeded their respective carrying values, indicating no impairment.</w:t>
      </w:r>
    </w:p>
    <w:p>
      <w:pPr>
        <w:spacing w:after="0" w:line="125"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Intangible assets with finite lives are amortized over their estimated useful lives and reviewed for impairment when circumstances change that would create a triggering event. Customer relationships are amortized over the life in which expected benefits are to be consumed. The other remaining finite life intangibles are amortized on a straight-line basis over their useful lives. We evaluate the remaining useful life of the other intangible assets on a periodic basis to determine whether events or circumstances warrant a revision to the remaining useful life. Assumptions and estimates about future values and remaining useful lives of our intangible and other long-lived assets are complex and subjective. Such assumptions and estimates can be affected by a variety of factors, including external factors such as industry and economic trends, and internal factors, such as changes in our business strategy and internal forecasts. Although management believes the historical assumptions and estimates are reasonable and appropriate, different assumptions and estimates could materially impact our reported financial results. Further information is provided in "Note 6. Goodwill and Other Intangible Assets” of Notes to Consolidated Financial Statements included in Part II, Item 8., of this Annual Report on Form 10-K.</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5" w:lineRule="exact"/>
        <w:rPr>
          <w:sz w:val="20"/>
          <w:szCs w:val="20"/>
          <w:color w:val="auto"/>
        </w:rPr>
      </w:pPr>
    </w:p>
    <w:p>
      <w:pPr>
        <w:ind w:right="40" w:firstLine="494"/>
        <w:spacing w:after="0" w:line="243" w:lineRule="auto"/>
        <w:rPr>
          <w:sz w:val="20"/>
          <w:szCs w:val="20"/>
          <w:color w:val="auto"/>
        </w:rPr>
      </w:pPr>
      <w:r>
        <w:rPr>
          <w:rFonts w:ascii="Arial" w:cs="Arial" w:eastAsia="Arial" w:hAnsi="Arial"/>
          <w:sz w:val="18"/>
          <w:szCs w:val="18"/>
          <w:color w:val="auto"/>
        </w:rPr>
        <w:t>The carrying value of long-lived assets is evaluated whenever events or circumstances indicate that the carrying value of a long-lived asset may not be recoverable. Events or circumstances that would result in an impairment review primarily include a significant change in the use of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w:t>
      </w:r>
    </w:p>
    <w:p>
      <w:pPr>
        <w:spacing w:after="0" w:line="125" w:lineRule="exact"/>
        <w:rPr>
          <w:sz w:val="20"/>
          <w:szCs w:val="20"/>
          <w:color w:val="auto"/>
        </w:rPr>
      </w:pPr>
    </w:p>
    <w:p>
      <w:pPr>
        <w:ind w:right="60" w:firstLine="494"/>
        <w:spacing w:after="0" w:line="246" w:lineRule="auto"/>
        <w:rPr>
          <w:sz w:val="20"/>
          <w:szCs w:val="20"/>
          <w:color w:val="auto"/>
        </w:rPr>
      </w:pPr>
      <w:r>
        <w:rPr>
          <w:rFonts w:ascii="Arial" w:cs="Arial" w:eastAsia="Arial" w:hAnsi="Arial"/>
          <w:sz w:val="18"/>
          <w:szCs w:val="18"/>
          <w:color w:val="auto"/>
        </w:rPr>
        <w:t>Assumptions and estimates used to determine cash flows in the evaluation of impairment and the fair values used to determine the impairment are subject to a degree of judgment and complexity. Any changes to the assumptions and estimates resulting from changes in actual results or market conditions from those anticipated may affect the carrying value of long-lived assets and could result in an impairment charge.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Warranty</w:t>
      </w:r>
    </w:p>
    <w:p>
      <w:pPr>
        <w:spacing w:after="0" w:line="155" w:lineRule="exact"/>
        <w:rPr>
          <w:sz w:val="20"/>
          <w:szCs w:val="20"/>
          <w:color w:val="auto"/>
        </w:rPr>
      </w:pPr>
    </w:p>
    <w:p>
      <w:pPr>
        <w:ind w:right="60" w:firstLine="494"/>
        <w:spacing w:after="0" w:line="238" w:lineRule="auto"/>
        <w:rPr>
          <w:sz w:val="20"/>
          <w:szCs w:val="20"/>
          <w:color w:val="auto"/>
        </w:rPr>
      </w:pPr>
      <w:r>
        <w:rPr>
          <w:rFonts w:ascii="Arial" w:cs="Arial" w:eastAsia="Arial" w:hAnsi="Arial"/>
          <w:sz w:val="18"/>
          <w:szCs w:val="18"/>
          <w:color w:val="auto"/>
        </w:rPr>
        <w:t>Provisions for estimated expenses related to product warranties are made at the time products are sold. Warranty claims arise when a transmission fails while in service during the relevant warranty period. The warranty reserve is adjusted in Selling, general and administrative expense based on our current and historical warranty claims paid and associated repair costs. These estimates are established using historical information including the nature, frequency, and average cost of warranty claims and are adjusted as actual information becomes available. From time to time, we may initiate a specific field action program. As a result of the uncertainty surrounding the nature and frequency of specific field action programs, the liability for such programs is recorded when we commit to an action. We review and assess the liability for these programs on a quarterly basis. We also assess our ability to recover certain costs from our suppliers and record a receivable from the supplier when we believe a recovery is probable. Warranty costs may differ from those estimated if actual claim rates are higher or lower than our historical rates. Further information is provided in "Note 10. Product Warranty Liabilities” of Notes to Consolidated Financial Statements included in Part II, Item 8., of this Annual Report on Form 10-K, which contains a summary of the activity in our warranty liability account for 2023, 2022 and 2021, including adjustments to pre-existing warranties.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Pension and Post-retirement Benefit Plans</w:t>
      </w:r>
    </w:p>
    <w:p>
      <w:pPr>
        <w:spacing w:after="0" w:line="155" w:lineRule="exact"/>
        <w:rPr>
          <w:sz w:val="20"/>
          <w:szCs w:val="20"/>
          <w:color w:val="auto"/>
        </w:rPr>
      </w:pPr>
    </w:p>
    <w:p>
      <w:pPr>
        <w:ind w:right="120" w:firstLine="494"/>
        <w:spacing w:after="0" w:line="246" w:lineRule="auto"/>
        <w:rPr>
          <w:sz w:val="20"/>
          <w:szCs w:val="20"/>
          <w:color w:val="auto"/>
        </w:rPr>
      </w:pPr>
      <w:r>
        <w:rPr>
          <w:rFonts w:ascii="Arial" w:cs="Arial" w:eastAsia="Arial" w:hAnsi="Arial"/>
          <w:sz w:val="18"/>
          <w:szCs w:val="18"/>
          <w:color w:val="auto"/>
        </w:rPr>
        <w:t>Pension and OPEB costs are based upon various actuarial assumptions and methodologies as prescribed by authoritative accounting guidance. These assumptions include discount rates, expected return on plan assets, health care cost trend rates, inflation, rate of compensation increases, population demographics, mortality rates and other factors. We review all actuarial assumptions on an annual basis.</w:t>
      </w:r>
    </w:p>
    <w:p>
      <w:pPr>
        <w:spacing w:after="0" w:line="122" w:lineRule="exact"/>
        <w:rPr>
          <w:sz w:val="20"/>
          <w:szCs w:val="20"/>
          <w:color w:val="auto"/>
        </w:rPr>
      </w:pPr>
    </w:p>
    <w:p>
      <w:pPr>
        <w:ind w:right="40" w:firstLine="494"/>
        <w:spacing w:after="0" w:line="261" w:lineRule="auto"/>
        <w:rPr>
          <w:sz w:val="20"/>
          <w:szCs w:val="20"/>
          <w:color w:val="auto"/>
        </w:rPr>
      </w:pPr>
      <w:r>
        <w:rPr>
          <w:rFonts w:ascii="Arial" w:cs="Arial" w:eastAsia="Arial" w:hAnsi="Arial"/>
          <w:sz w:val="17"/>
          <w:szCs w:val="17"/>
          <w:color w:val="auto"/>
        </w:rPr>
        <w:t>A change in the discount rate can have a significant impact on determining our benefit obligations. Our current discount rate is determined by matching the plans’ projected cash flows to a yield curve based on long-term, fixed income debt instruments available as of the measurement date of December 31, 2023. The effect of a one percentage point decrease in the assumed discount rate would result in an increase in the December 31, 2023 defined benefit pension plans obligation of approximately $17 million. Similarly, a one percentage point decrease in the assumed discount rate would result in an increase in the December 31, 2023 OPEB obligation of approximately $7 million.</w:t>
      </w:r>
    </w:p>
    <w:p>
      <w:pPr>
        <w:spacing w:after="0" w:line="110" w:lineRule="exact"/>
        <w:rPr>
          <w:sz w:val="20"/>
          <w:szCs w:val="20"/>
          <w:color w:val="auto"/>
        </w:rPr>
      </w:pPr>
    </w:p>
    <w:p>
      <w:pPr>
        <w:ind w:right="60" w:firstLine="494"/>
        <w:spacing w:after="0" w:line="271" w:lineRule="auto"/>
        <w:rPr>
          <w:sz w:val="20"/>
          <w:szCs w:val="20"/>
          <w:color w:val="auto"/>
        </w:rPr>
      </w:pPr>
      <w:r>
        <w:rPr>
          <w:rFonts w:ascii="Arial" w:cs="Arial" w:eastAsia="Arial" w:hAnsi="Arial"/>
          <w:sz w:val="18"/>
          <w:szCs w:val="18"/>
          <w:color w:val="auto"/>
        </w:rPr>
        <w:t>Further information is provided in "Note 15. Employee Benefit Plans” of Notes to Consolidated Financial Statements included in Part II, Item 8., of this Annual Report on Form 10-K, which contains our review on various actuarial assumptions.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55"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 and tax credit carryforwards are recognized as deferred tax assets. Deferred tax assets and liabilities are measured using enacted tax rates expected to apply to taxable income in the years in which those temporary differences are expected to be recovered or settled. When releasing income tax effects from accumulated other comprehensive loss, we utilize the portfolio securities approach.</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The need to establish a valuation allowance against the deferred tax assets is assessed at least quarterly based on a more-likely-than-not realization threshold, in accordance with the FASB authoritative accounting guidance on income taxes.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and experience with tax attributes expiring unused and tax planning alternatives. The weight given to these considerations depends upon the degree to which they can be objectively verified.</w:t>
      </w:r>
    </w:p>
    <w:p>
      <w:pPr>
        <w:spacing w:after="0" w:line="128" w:lineRule="exact"/>
        <w:rPr>
          <w:sz w:val="20"/>
          <w:szCs w:val="20"/>
          <w:color w:val="auto"/>
        </w:rPr>
      </w:pPr>
    </w:p>
    <w:p>
      <w:pPr>
        <w:ind w:right="40" w:firstLine="494"/>
        <w:spacing w:after="0" w:line="271" w:lineRule="auto"/>
        <w:rPr>
          <w:sz w:val="20"/>
          <w:szCs w:val="20"/>
          <w:color w:val="auto"/>
        </w:rPr>
      </w:pPr>
      <w:r>
        <w:rPr>
          <w:rFonts w:ascii="Arial" w:cs="Arial" w:eastAsia="Arial" w:hAnsi="Arial"/>
          <w:sz w:val="18"/>
          <w:szCs w:val="18"/>
          <w:color w:val="auto"/>
        </w:rPr>
        <w:t>Further information on income taxes is provided in "Note 16. Income Taxes” of Notes to Consolidated Financial Statements included in Part II, Item 8., of this Annual Report on Form 10-K.</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55" w:lineRule="exact"/>
        <w:rPr>
          <w:sz w:val="20"/>
          <w:szCs w:val="20"/>
          <w:color w:val="auto"/>
        </w:rPr>
      </w:pPr>
    </w:p>
    <w:p>
      <w:pPr>
        <w:ind w:firstLine="494"/>
        <w:spacing w:after="0" w:line="243" w:lineRule="auto"/>
        <w:rPr>
          <w:sz w:val="20"/>
          <w:szCs w:val="20"/>
          <w:color w:val="auto"/>
        </w:rPr>
      </w:pPr>
      <w:r>
        <w:rPr>
          <w:rFonts w:ascii="Arial" w:cs="Arial" w:eastAsia="Arial" w:hAnsi="Arial"/>
          <w:sz w:val="18"/>
          <w:szCs w:val="18"/>
          <w:color w:val="auto"/>
        </w:rPr>
        <w:t>We use the acquisition method to account for business combinations. The assets acquired and liabilities assumed are recorded at their respective estimated fair value at the date of acquisition. Any excess purchase price over the fair values of the acquired net assets is recorded as goodwill. Determining the fair values of assets acquired and liabilities assumed requires management's judgment and includes the use of estimates with respect to timing and amount of future cash flows, market rate assumptions, actuarial assumptions, appropriate discount rates and other relevant factors.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Refer to "Note 2. Summary of Significant Accounting Policies” in Part II, Item 8., of this Annual Report on Form 10-K.</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57" w:lineRule="exact"/>
        <w:rPr>
          <w:sz w:val="20"/>
          <w:szCs w:val="20"/>
          <w:color w:val="auto"/>
        </w:rPr>
      </w:pPr>
    </w:p>
    <w:p>
      <w:pPr>
        <w:ind w:right="420" w:firstLine="494"/>
        <w:spacing w:after="0" w:line="271" w:lineRule="auto"/>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55" w:lineRule="exact"/>
        <w:rPr>
          <w:sz w:val="20"/>
          <w:szCs w:val="20"/>
          <w:color w:val="auto"/>
        </w:rPr>
      </w:pPr>
    </w:p>
    <w:p>
      <w:pPr>
        <w:ind w:right="180" w:firstLine="494"/>
        <w:spacing w:after="0"/>
        <w:rPr>
          <w:sz w:val="20"/>
          <w:szCs w:val="20"/>
          <w:color w:val="auto"/>
        </w:rPr>
      </w:pPr>
      <w:r>
        <w:rPr>
          <w:rFonts w:ascii="Arial" w:cs="Arial" w:eastAsia="Arial" w:hAnsi="Arial"/>
          <w:sz w:val="18"/>
          <w:szCs w:val="18"/>
          <w:color w:val="auto"/>
        </w:rPr>
        <w:t>Our principal interest rate exposure relates to outstanding amounts under our Senior Secured Credit Facility. Our Senior Secured Credit Facility provides for variable rate borrowings of up to $1,263 million, including $645 million under our Revolving Credit Facility, net of $5 million of letters of credit. As of December 31, 2023, we held interest rate swap contracts that, in the aggregate, effectively hedge $500 million of the variable rate debt associated with the Term Loan at the forward-looking term rate based on the Secured Overnight Financing Rate weighted average fixed rate of 2.81% through September 2025. A one-eighth percent increase or decrease in assumed interest rates for the Senior Secured Credit Facility, if fully drawn as of December 31, 2023, would have an impact of approximately $1 million on interest expense per year. As of December 31, 2023, we had no outstanding borrowings against the Revolving Credit Facility.</w:t>
      </w:r>
    </w:p>
    <w:p>
      <w:pPr>
        <w:spacing w:after="0" w:line="129" w:lineRule="exact"/>
        <w:rPr>
          <w:sz w:val="20"/>
          <w:szCs w:val="20"/>
          <w:color w:val="auto"/>
        </w:rPr>
      </w:pPr>
    </w:p>
    <w:p>
      <w:pPr>
        <w:ind w:right="420" w:firstLine="494"/>
        <w:spacing w:after="0" w:line="271" w:lineRule="auto"/>
        <w:rPr>
          <w:sz w:val="20"/>
          <w:szCs w:val="20"/>
          <w:color w:val="auto"/>
        </w:rPr>
      </w:pPr>
      <w:r>
        <w:rPr>
          <w:rFonts w:ascii="Arial" w:cs="Arial" w:eastAsia="Arial" w:hAnsi="Arial"/>
          <w:sz w:val="18"/>
          <w:szCs w:val="18"/>
          <w:color w:val="auto"/>
        </w:rPr>
        <w:t>Refer to "Note 8. Debt” and "Note 9. Derivatives” of Notes to Consolidated Financial Statements included in Part II, Item 8., of this Annual Report on Form 10-K.</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55" w:lineRule="exact"/>
        <w:rPr>
          <w:sz w:val="20"/>
          <w:szCs w:val="20"/>
          <w:color w:val="auto"/>
        </w:rPr>
      </w:pPr>
    </w:p>
    <w:p>
      <w:pPr>
        <w:ind w:right="160" w:firstLine="494"/>
        <w:spacing w:after="0" w:line="246" w:lineRule="auto"/>
        <w:rPr>
          <w:sz w:val="20"/>
          <w:szCs w:val="20"/>
          <w:color w:val="auto"/>
        </w:rPr>
      </w:pPr>
      <w:r>
        <w:rPr>
          <w:rFonts w:ascii="Arial" w:cs="Arial" w:eastAsia="Arial" w:hAnsi="Arial"/>
          <w:sz w:val="18"/>
          <w:szCs w:val="18"/>
          <w:color w:val="auto"/>
        </w:rPr>
        <w:t>While our net sales and costs are denominated primarily in U.S. Dollars, net sales, costs, assets and liabilities are generated in other currencies including Brazilian Real, British Pound, Canadian Dollar, Chinese Yuan Renminbi, Euro, Hungarian Forint, Indian Rupee and Japanese Yen. The expansion of our business outside North America may further increase the risk that cash flows resulting from these activities may be adversely affected by changes in currency exchange rates.</w:t>
      </w:r>
    </w:p>
    <w:p>
      <w:pPr>
        <w:spacing w:after="0" w:line="122" w:lineRule="exact"/>
        <w:rPr>
          <w:sz w:val="20"/>
          <w:szCs w:val="20"/>
          <w:color w:val="auto"/>
        </w:rPr>
      </w:pPr>
    </w:p>
    <w:p>
      <w:pPr>
        <w:jc w:val="both"/>
        <w:ind w:firstLine="494"/>
        <w:spacing w:after="0" w:line="252"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Chinese Yuan Renminbi, Euro, Indian Rupee, and Japanese Yen would correspondingly change our earnings, net of tax, by an estimated $5 million per year. We believe our other direct exposure to foreign currencies is immaterial.</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55" w:lineRule="exact"/>
        <w:rPr>
          <w:sz w:val="20"/>
          <w:szCs w:val="20"/>
          <w:color w:val="auto"/>
        </w:rPr>
      </w:pPr>
    </w:p>
    <w:p>
      <w:pPr>
        <w:ind w:right="40" w:firstLine="494"/>
        <w:spacing w:after="0" w:line="241" w:lineRule="auto"/>
        <w:rPr>
          <w:sz w:val="20"/>
          <w:szCs w:val="20"/>
          <w:color w:val="auto"/>
        </w:rPr>
      </w:pPr>
      <w:r>
        <w:rPr>
          <w:rFonts w:ascii="Arial" w:cs="Arial" w:eastAsia="Arial" w:hAnsi="Arial"/>
          <w:sz w:val="18"/>
          <w:szCs w:val="18"/>
          <w:color w:val="auto"/>
        </w:rPr>
        <w:t>We are subject to changes in our cost of sales caused by movements in underlying commodity prices. As of December 31, 2023, approximately 67% of our cost of sales consisted of purchased components.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includes an index-based component. As our costs change, we are able to pass through a portion of the changes in commodity prices to certain of our customers according to our LTAs. We historically have not entered into long-term purchase contracts related to the purchase of aluminum and steel.</w:t>
      </w:r>
    </w:p>
    <w:p>
      <w:pPr>
        <w:spacing w:after="0" w:line="128" w:lineRule="exact"/>
        <w:rPr>
          <w:sz w:val="20"/>
          <w:szCs w:val="20"/>
          <w:color w:val="auto"/>
        </w:rPr>
      </w:pPr>
    </w:p>
    <w:p>
      <w:pPr>
        <w:ind w:right="240" w:firstLine="494"/>
        <w:spacing w:after="0" w:line="271" w:lineRule="auto"/>
        <w:rPr>
          <w:sz w:val="20"/>
          <w:szCs w:val="20"/>
          <w:color w:val="auto"/>
        </w:rPr>
      </w:pPr>
      <w:r>
        <w:rPr>
          <w:rFonts w:ascii="Arial" w:cs="Arial" w:eastAsia="Arial" w:hAnsi="Arial"/>
          <w:sz w:val="18"/>
          <w:szCs w:val="18"/>
          <w:color w:val="auto"/>
        </w:rPr>
        <w:t>Assuming current levels of commodity purchases, a 10% variation in the price of aluminum and steel would correspondingly change our earnings by approximately $9 million and $13 million per year, respectively.</w:t>
      </w:r>
    </w:p>
    <w:p>
      <w:pPr>
        <w:spacing w:after="0" w:line="99" w:lineRule="exact"/>
        <w:rPr>
          <w:sz w:val="20"/>
          <w:szCs w:val="20"/>
          <w:color w:val="auto"/>
        </w:rPr>
      </w:pPr>
    </w:p>
    <w:p>
      <w:pPr>
        <w:ind w:right="60" w:firstLine="494"/>
        <w:spacing w:after="0" w:line="271" w:lineRule="auto"/>
        <w:rPr>
          <w:sz w:val="20"/>
          <w:szCs w:val="20"/>
          <w:color w:val="auto"/>
        </w:rPr>
      </w:pPr>
      <w:r>
        <w:rPr>
          <w:rFonts w:ascii="Arial" w:cs="Arial" w:eastAsia="Arial" w:hAnsi="Arial"/>
          <w:sz w:val="18"/>
          <w:szCs w:val="18"/>
          <w:color w:val="auto"/>
        </w:rPr>
        <w:t>Many of our LTAs have incorporated a cost-sharing arrangement related to potential future commodity price fluctuations. For purposes of the sensitivity analysis above, the impact of these cost sharing arrangements has not been included.</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49" w:name="page50"/>
    <w:bookmarkEnd w:id="49"/>
    <w:tbl>
      <w:tblPr>
        <w:tblLayout w:type="fixed"/>
        <w:tblInd w:w="10" w:type="dxa"/>
        <w:tblCellMar>
          <w:top w:w="0" w:type="dxa"/>
          <w:left w:w="0" w:type="dxa"/>
          <w:bottom w:w="0" w:type="dxa"/>
          <w:right w:w="0" w:type="dxa"/>
        </w:tblCellMar>
      </w:tblPr>
      <w:tr>
        <w:trPr>
          <w:trHeight w:val="207"/>
        </w:trPr>
        <w:tc>
          <w:tcPr>
            <w:tcW w:w="10440" w:type="dxa"/>
            <w:vAlign w:val="bottom"/>
            <w:gridSpan w:val="9"/>
          </w:tcPr>
          <w:p>
            <w:pPr>
              <w:spacing w:after="0"/>
              <w:rPr>
                <w:sz w:val="20"/>
                <w:szCs w:val="20"/>
                <w:color w:val="auto"/>
              </w:rPr>
            </w:pPr>
            <w:r>
              <w:rPr>
                <w:rFonts w:ascii="Arial" w:cs="Arial" w:eastAsia="Arial" w:hAnsi="Arial"/>
                <w:sz w:val="18"/>
                <w:szCs w:val="18"/>
                <w:color w:val="0000FF"/>
              </w:rPr>
              <w:t>Table of Contents</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0000EE"/>
            </w:tcBorders>
            <w:shd w:val="clear" w:color="auto" w:fill="0000FF"/>
          </w:tcPr>
          <w:p>
            <w:pPr>
              <w:spacing w:after="0" w:line="20" w:lineRule="exact"/>
              <w:rPr>
                <w:sz w:val="1"/>
                <w:szCs w:val="1"/>
                <w:color w:val="auto"/>
              </w:rPr>
            </w:pPr>
          </w:p>
        </w:tc>
        <w:tc>
          <w:tcPr>
            <w:tcW w:w="130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1044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120" w:type="dxa"/>
            <w:vAlign w:val="bottom"/>
            <w:gridSpan w:val="5"/>
          </w:tcPr>
          <w:p>
            <w:pPr>
              <w:jc w:val="center"/>
              <w:ind w:right="250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Page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120" w:type="dxa"/>
            <w:vAlign w:val="bottom"/>
          </w:tcPr>
          <w:p>
            <w:pPr>
              <w:spacing w:after="0"/>
              <w:rPr>
                <w:sz w:val="3"/>
                <w:szCs w:val="3"/>
                <w:color w:val="auto"/>
              </w:rPr>
            </w:pPr>
          </w:p>
        </w:tc>
        <w:tc>
          <w:tcPr>
            <w:tcW w:w="6020" w:type="dxa"/>
            <w:vAlign w:val="bottom"/>
            <w:gridSpan w:val="7"/>
            <w:vMerge w:val="restart"/>
          </w:tcPr>
          <w:p>
            <w:pPr>
              <w:spacing w:after="0"/>
              <w:rPr>
                <w:sz w:val="20"/>
                <w:szCs w:val="20"/>
                <w:color w:val="auto"/>
              </w:rPr>
            </w:pPr>
            <w:r>
              <w:rPr>
                <w:rFonts w:ascii="Arial" w:cs="Arial" w:eastAsia="Arial" w:hAnsi="Arial"/>
                <w:sz w:val="18"/>
                <w:szCs w:val="18"/>
                <w:color w:val="0000FF"/>
                <w:w w:val="99"/>
              </w:rPr>
              <w:t>Report of Independent Registered Public Accounting Firm (PCAOB: ID 238)</w:t>
            </w:r>
          </w:p>
        </w:tc>
        <w:tc>
          <w:tcPr>
            <w:tcW w:w="43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6020" w:type="dxa"/>
            <w:vAlign w:val="bottom"/>
            <w:tcBorders>
              <w:bottom w:val="single" w:sz="8" w:color="0000FF"/>
            </w:tcBorders>
            <w:gridSpan w:val="7"/>
            <w:vMerge w:val="continue"/>
          </w:tcPr>
          <w:p>
            <w:pPr>
              <w:spacing w:after="0"/>
              <w:rPr>
                <w:sz w:val="19"/>
                <w:szCs w:val="19"/>
                <w:color w:val="auto"/>
              </w:rPr>
            </w:pPr>
          </w:p>
        </w:tc>
        <w:tc>
          <w:tcPr>
            <w:tcW w:w="4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20" w:type="dxa"/>
            <w:vAlign w:val="bottom"/>
          </w:tcPr>
          <w:p>
            <w:pPr>
              <w:spacing w:after="0"/>
              <w:rPr>
                <w:sz w:val="24"/>
                <w:szCs w:val="24"/>
                <w:color w:val="auto"/>
              </w:rPr>
            </w:pPr>
          </w:p>
        </w:tc>
        <w:tc>
          <w:tcPr>
            <w:tcW w:w="10320" w:type="dxa"/>
            <w:vAlign w:val="bottom"/>
            <w:gridSpan w:val="8"/>
          </w:tcPr>
          <w:p>
            <w:pPr>
              <w:spacing w:after="0"/>
              <w:rPr>
                <w:sz w:val="20"/>
                <w:szCs w:val="20"/>
                <w:color w:val="auto"/>
              </w:rPr>
            </w:pPr>
            <w:r>
              <w:rPr>
                <w:rFonts w:ascii="Arial" w:cs="Arial" w:eastAsia="Arial" w:hAnsi="Arial"/>
                <w:sz w:val="18"/>
                <w:szCs w:val="18"/>
                <w:color w:val="0000FF"/>
              </w:rPr>
              <w:t>Consolidated Balance Sheets</w:t>
            </w: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380" w:type="dxa"/>
            <w:vAlign w:val="bottom"/>
            <w:tcBorders>
              <w:right w:val="single" w:sz="8" w:color="0000EE"/>
            </w:tcBorders>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 w:type="dxa"/>
            <w:vAlign w:val="bottom"/>
          </w:tcPr>
          <w:p>
            <w:pPr>
              <w:spacing w:after="0"/>
              <w:rPr>
                <w:sz w:val="24"/>
                <w:szCs w:val="24"/>
                <w:color w:val="auto"/>
              </w:rPr>
            </w:pPr>
          </w:p>
        </w:tc>
        <w:tc>
          <w:tcPr>
            <w:tcW w:w="41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Consolidated Statements of Comprehensive Income</w:t>
            </w:r>
          </w:p>
        </w:tc>
        <w:tc>
          <w:tcPr>
            <w:tcW w:w="616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20" w:type="dxa"/>
            <w:vAlign w:val="bottom"/>
          </w:tcPr>
          <w:p>
            <w:pPr>
              <w:spacing w:after="0"/>
              <w:rPr>
                <w:sz w:val="24"/>
                <w:szCs w:val="24"/>
                <w:color w:val="auto"/>
              </w:rPr>
            </w:pPr>
          </w:p>
        </w:tc>
        <w:tc>
          <w:tcPr>
            <w:tcW w:w="32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Consolidated Statements of Cash Flows</w:t>
            </w:r>
          </w:p>
        </w:tc>
        <w:tc>
          <w:tcPr>
            <w:tcW w:w="712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20" w:type="dxa"/>
            <w:vAlign w:val="bottom"/>
          </w:tcPr>
          <w:p>
            <w:pPr>
              <w:spacing w:after="0"/>
              <w:rPr>
                <w:sz w:val="24"/>
                <w:szCs w:val="24"/>
                <w:color w:val="auto"/>
              </w:rPr>
            </w:pPr>
          </w:p>
        </w:tc>
        <w:tc>
          <w:tcPr>
            <w:tcW w:w="10320" w:type="dxa"/>
            <w:vAlign w:val="bottom"/>
            <w:gridSpan w:val="8"/>
          </w:tcPr>
          <w:p>
            <w:pPr>
              <w:spacing w:after="0"/>
              <w:rPr>
                <w:sz w:val="20"/>
                <w:szCs w:val="20"/>
                <w:color w:val="auto"/>
              </w:rPr>
            </w:pPr>
            <w:r>
              <w:rPr>
                <w:rFonts w:ascii="Arial" w:cs="Arial" w:eastAsia="Arial" w:hAnsi="Arial"/>
                <w:sz w:val="18"/>
                <w:szCs w:val="18"/>
                <w:color w:val="0000FF"/>
              </w:rPr>
              <w:t>Consolidated Statements of Stockholders' Equity</w:t>
            </w:r>
          </w:p>
        </w:tc>
        <w:tc>
          <w:tcPr>
            <w:tcW w:w="74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20" w:type="dxa"/>
            <w:vAlign w:val="bottom"/>
          </w:tcPr>
          <w:p>
            <w:pPr>
              <w:spacing w:after="0"/>
              <w:rPr>
                <w:sz w:val="24"/>
                <w:szCs w:val="24"/>
                <w:color w:val="auto"/>
              </w:rPr>
            </w:pPr>
          </w:p>
        </w:tc>
        <w:tc>
          <w:tcPr>
            <w:tcW w:w="35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9"/>
              </w:rPr>
              <w:t>Notes to Consolidated Financial Statements</w:t>
            </w:r>
          </w:p>
        </w:tc>
        <w:tc>
          <w:tcPr>
            <w:tcW w:w="380" w:type="dxa"/>
            <w:vAlign w:val="bottom"/>
            <w:tcBorders>
              <w:top w:val="single" w:sz="8" w:color="0000FF"/>
            </w:tcBorders>
          </w:tcPr>
          <w:p>
            <w:pPr>
              <w:spacing w:after="0"/>
              <w:rPr>
                <w:sz w:val="24"/>
                <w:szCs w:val="24"/>
                <w:color w:val="auto"/>
              </w:rPr>
            </w:pPr>
          </w:p>
        </w:tc>
        <w:tc>
          <w:tcPr>
            <w:tcW w:w="644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9"/>
        </w:trPr>
        <w:tc>
          <w:tcPr>
            <w:tcW w:w="6140" w:type="dxa"/>
            <w:vAlign w:val="bottom"/>
            <w:gridSpan w:val="8"/>
          </w:tcPr>
          <w:p>
            <w:pPr>
              <w:jc w:val="right"/>
              <w:ind w:right="420"/>
              <w:spacing w:after="0"/>
              <w:rPr>
                <w:sz w:val="20"/>
                <w:szCs w:val="20"/>
                <w:color w:val="auto"/>
              </w:rPr>
            </w:pPr>
            <w:r>
              <w:rPr>
                <w:rFonts w:ascii="Arial" w:cs="Arial" w:eastAsia="Arial" w:hAnsi="Arial"/>
                <w:sz w:val="18"/>
                <w:szCs w:val="18"/>
                <w:color w:val="auto"/>
              </w:rPr>
              <w:t>50</w:t>
            </w:r>
          </w:p>
        </w:tc>
        <w:tc>
          <w:tcPr>
            <w:tcW w:w="4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ind w:right="3140" w:firstLine="3135"/>
        <w:spacing w:after="0" w:line="50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Allison Transmission Holdings, Inc.</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96"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We have audited the accompanying consolidated balance sheets of Allison Transmission Holdings, Inc. and its subsidiaries (the “Company”) as of December 31, 2023 and 2022, and the related consolidated statements of comprehensive income, of stockholders’ equity and of cash flows for each of the three years in the period ended December 31, 2023, including the related notes and financial statement schedule listed in the index appearing under Item 15(a)(2)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spacing w:after="0" w:line="169"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9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1" w:lineRule="exact"/>
        <w:rPr>
          <w:sz w:val="20"/>
          <w:szCs w:val="20"/>
          <w:color w:val="auto"/>
        </w:rPr>
      </w:pPr>
    </w:p>
    <w:p>
      <w:pPr>
        <w:jc w:val="both"/>
        <w:ind w:right="160"/>
        <w:spacing w:after="0" w:line="25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w:t>
      </w:r>
    </w:p>
    <w:p>
      <w:pPr>
        <w:spacing w:after="0" w:line="196"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Warranty Liabilities</w:t>
      </w:r>
    </w:p>
    <w:p>
      <w:pPr>
        <w:spacing w:after="0" w:line="196"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As described in Notes 2 and 10 to the consolidated financial statements, the Company’s consolidated product warranty liability balance was $59 million as of December 31, 2023. Management makes provisions for the estimated product warranty liabilities at the time the products are sold. These estimates are established using historical information including the nature, frequency, and average cost of warranty claims and are adjusted as actual information becomes available.</w:t>
      </w:r>
    </w:p>
    <w:p>
      <w:pPr>
        <w:spacing w:after="0" w:line="16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principal considerations for our determination that performing procedures relating to the product warranty liabilities is a critical audit matter are (i) the significant judgment by management when determining the product warranty liability estimate; (ii) the high degree of auditor judgment, subjectivity, and effort in performing procedures and evaluating audit evidence relating to the significant assumptions related to the frequency and average cost of warranty claims; and (iii) the audit effort involved the use of professionals with specialized skill and knowledge.</w:t>
      </w:r>
    </w:p>
    <w:p>
      <w:pPr>
        <w:spacing w:after="0" w:line="145"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process for developing the estimate, significant assumptions, and inputs used to estimate product warranty liabilities. These procedures also included, among others, (i) testing the completeness and accuracy of historical warranty claims data used in the estimate and (ii) professionals with specialized skill and knowledge were used to assist in evaluating the reasonableness of the frequency and average cost of warranty claims assumptions.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rPr>
          <w:sz w:val="20"/>
          <w:szCs w:val="20"/>
          <w:color w:val="auto"/>
        </w:rPr>
      </w:pPr>
      <w:r>
        <w:rPr>
          <w:rFonts w:ascii="Arial" w:cs="Arial" w:eastAsia="Arial" w:hAnsi="Arial"/>
          <w:sz w:val="18"/>
          <w:szCs w:val="18"/>
          <w:color w:val="auto"/>
        </w:rPr>
        <w:t>February 14,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(dollars in millions, except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ind w:right="331"/>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31"/>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2022</w:t>
            </w: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555</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232</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Accounts receivable - net of allowance for doubtful accounts of $4 and $5, respectively</w:t>
            </w:r>
          </w:p>
        </w:tc>
        <w:tc>
          <w:tcPr>
            <w:tcW w:w="2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b w:val="1"/>
                <w:bCs w:val="1"/>
                <w:color w:val="auto"/>
              </w:rPr>
              <w:t>356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363</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276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224</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63</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w:t>
            </w: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1,250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866</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b w:val="1"/>
                <w:bCs w:val="1"/>
                <w:color w:val="auto"/>
              </w:rPr>
              <w:t>774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763</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833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878</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b w:val="1"/>
                <w:bCs w:val="1"/>
                <w:color w:val="auto"/>
              </w:rPr>
              <w:t>2,076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2,075</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20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72</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w:t>
            </w:r>
          </w:p>
        </w:tc>
      </w:tr>
      <w:tr>
        <w:trPr>
          <w:trHeight w:val="26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5,025</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4,671</w:t>
            </w:r>
          </w:p>
        </w:tc>
      </w:tr>
      <w:tr>
        <w:trPr>
          <w:trHeight w:val="210"/>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Pr>
          <w:p>
            <w:pPr>
              <w:jc w:val="right"/>
              <w:ind w:right="31"/>
              <w:spacing w:after="0"/>
              <w:rPr>
                <w:sz w:val="20"/>
                <w:szCs w:val="20"/>
                <w:color w:val="auto"/>
              </w:rPr>
            </w:pPr>
            <w:r>
              <w:rPr>
                <w:rFonts w:ascii="Arial" w:cs="Arial" w:eastAsia="Arial" w:hAnsi="Arial"/>
                <w:sz w:val="18"/>
                <w:szCs w:val="18"/>
                <w:b w:val="1"/>
                <w:bCs w:val="1"/>
                <w:color w:val="auto"/>
              </w:rPr>
              <w:t>210</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195</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Product warranty liability</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32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b w:val="1"/>
                <w:bCs w:val="1"/>
                <w:color w:val="auto"/>
              </w:rPr>
              <w:t>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41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38</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212</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208</w:t>
            </w: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501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480</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Product warranty liability</w:t>
            </w:r>
          </w:p>
        </w:tc>
        <w:tc>
          <w:tcPr>
            <w:tcW w:w="2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b w:val="1"/>
                <w:bCs w:val="1"/>
                <w:color w:val="auto"/>
              </w:rPr>
              <w:t>27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24</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89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93</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b w:val="1"/>
                <w:bCs w:val="1"/>
                <w:color w:val="auto"/>
              </w:rPr>
              <w:t>2,497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2,501</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519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536</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159</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163</w:t>
            </w: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3,792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3,797</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Commitments and Contingencies (see Note 18)</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197"/>
        </w:trPr>
        <w:tc>
          <w:tcPr>
            <w:tcW w:w="7740" w:type="dxa"/>
            <w:vAlign w:val="bottom"/>
          </w:tcPr>
          <w:p>
            <w:pPr>
              <w:ind w:left="280"/>
              <w:spacing w:after="0" w:line="197" w:lineRule="exact"/>
              <w:rPr>
                <w:sz w:val="20"/>
                <w:szCs w:val="20"/>
                <w:color w:val="auto"/>
              </w:rPr>
            </w:pPr>
            <w:r>
              <w:rPr>
                <w:rFonts w:ascii="Arial" w:cs="Arial" w:eastAsia="Arial" w:hAnsi="Arial"/>
                <w:sz w:val="18"/>
                <w:szCs w:val="18"/>
                <w:color w:val="auto"/>
              </w:rPr>
              <w:t>Common stock, $0.01 par value, 1,880,000,000 shares authorized,</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2"/>
        </w:trPr>
        <w:tc>
          <w:tcPr>
            <w:tcW w:w="7740" w:type="dxa"/>
            <w:vAlign w:val="bottom"/>
          </w:tcPr>
          <w:p>
            <w:pPr>
              <w:ind w:left="420"/>
              <w:spacing w:after="0" w:line="202" w:lineRule="exact"/>
              <w:rPr>
                <w:sz w:val="20"/>
                <w:szCs w:val="20"/>
                <w:color w:val="auto"/>
              </w:rPr>
            </w:pPr>
            <w:r>
              <w:rPr>
                <w:rFonts w:ascii="Arial" w:cs="Arial" w:eastAsia="Arial" w:hAnsi="Arial"/>
                <w:sz w:val="18"/>
                <w:szCs w:val="18"/>
                <w:color w:val="auto"/>
              </w:rPr>
              <w:t>87,648,046 shares issued and outstanding and 91,788,885 shares</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5"/>
        </w:trPr>
        <w:tc>
          <w:tcPr>
            <w:tcW w:w="7740" w:type="dxa"/>
            <w:vAlign w:val="bottom"/>
          </w:tcPr>
          <w:p>
            <w:pPr>
              <w:ind w:left="420"/>
              <w:spacing w:after="0"/>
              <w:rPr>
                <w:sz w:val="20"/>
                <w:szCs w:val="20"/>
                <w:color w:val="auto"/>
              </w:rPr>
            </w:pPr>
            <w:r>
              <w:rPr>
                <w:rFonts w:ascii="Arial" w:cs="Arial" w:eastAsia="Arial" w:hAnsi="Arial"/>
                <w:sz w:val="18"/>
                <w:szCs w:val="18"/>
                <w:color w:val="auto"/>
              </w:rPr>
              <w:t>issued and outstanding, respectively</w:t>
            </w:r>
          </w:p>
        </w:tc>
        <w:tc>
          <w:tcPr>
            <w:tcW w:w="20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197"/>
        </w:trPr>
        <w:tc>
          <w:tcPr>
            <w:tcW w:w="774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Non-voting common stock, $0.01 par value, 20,000,000 shares</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35"/>
        </w:trPr>
        <w:tc>
          <w:tcPr>
            <w:tcW w:w="77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authorized, none issued and outstanding</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197"/>
        </w:trPr>
        <w:tc>
          <w:tcPr>
            <w:tcW w:w="7740" w:type="dxa"/>
            <w:vAlign w:val="bottom"/>
          </w:tcPr>
          <w:p>
            <w:pPr>
              <w:ind w:left="280"/>
              <w:spacing w:after="0" w:line="197" w:lineRule="exact"/>
              <w:rPr>
                <w:sz w:val="20"/>
                <w:szCs w:val="20"/>
                <w:color w:val="auto"/>
              </w:rPr>
            </w:pPr>
            <w:r>
              <w:rPr>
                <w:rFonts w:ascii="Arial" w:cs="Arial" w:eastAsia="Arial" w:hAnsi="Arial"/>
                <w:sz w:val="18"/>
                <w:szCs w:val="18"/>
                <w:color w:val="auto"/>
              </w:rPr>
              <w:t>Preferred stock, $0.01 par value, 100,000,000 shares authorized, none</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5"/>
        </w:trPr>
        <w:tc>
          <w:tcPr>
            <w:tcW w:w="7740" w:type="dxa"/>
            <w:vAlign w:val="bottom"/>
          </w:tcPr>
          <w:p>
            <w:pPr>
              <w:ind w:left="420"/>
              <w:spacing w:after="0"/>
              <w:rPr>
                <w:sz w:val="20"/>
                <w:szCs w:val="20"/>
                <w:color w:val="auto"/>
              </w:rPr>
            </w:pPr>
            <w:r>
              <w:rPr>
                <w:rFonts w:ascii="Arial" w:cs="Arial" w:eastAsia="Arial" w:hAnsi="Arial"/>
                <w:sz w:val="18"/>
                <w:szCs w:val="18"/>
                <w:color w:val="auto"/>
              </w:rPr>
              <w:t>issued and outstanding</w:t>
            </w:r>
          </w:p>
        </w:tc>
        <w:tc>
          <w:tcPr>
            <w:tcW w:w="20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Paid in capital</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1,891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1,848</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(628 )</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(953 )</w:t>
            </w:r>
          </w:p>
        </w:tc>
      </w:tr>
      <w:tr>
        <w:trPr>
          <w:trHeight w:val="229"/>
        </w:trPr>
        <w:tc>
          <w:tcPr>
            <w:tcW w:w="7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2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(31 )</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(22 )</w:t>
            </w: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1,233</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874</w:t>
            </w:r>
          </w:p>
        </w:tc>
      </w:tr>
      <w:tr>
        <w:trPr>
          <w:trHeight w:val="26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&amp; STOCKHOLDERS’ EQUITY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5,025</w:t>
            </w:r>
          </w:p>
        </w:tc>
        <w:tc>
          <w:tcPr>
            <w:tcW w:w="1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4,671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-4091940</wp:posOffset>
            </wp:positionV>
            <wp:extent cx="1111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-4074795</wp:posOffset>
            </wp:positionV>
            <wp:extent cx="1111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-333375</wp:posOffset>
            </wp:positionV>
            <wp:extent cx="1111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-24765</wp:posOffset>
            </wp:positionV>
            <wp:extent cx="1111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111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(dollars in millions, except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62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860" w:type="dxa"/>
            <w:vAlign w:val="bottom"/>
            <w:shd w:val="clear" w:color="auto" w:fill="CFF0FC"/>
          </w:tcPr>
          <w:p>
            <w:pPr>
              <w:jc w:val="right"/>
              <w:ind w:right="653"/>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3,035</w:t>
            </w:r>
          </w:p>
        </w:tc>
        <w:tc>
          <w:tcPr>
            <w:tcW w:w="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2,769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2,402</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8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1,565</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1,472</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Gross profit</w:t>
            </w:r>
          </w:p>
        </w:tc>
        <w:tc>
          <w:tcPr>
            <w:tcW w:w="8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1,470</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1,297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tcPr>
          <w:p>
            <w:pPr>
              <w:spacing w:after="0"/>
              <w:rPr>
                <w:sz w:val="19"/>
                <w:szCs w:val="19"/>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b w:val="1"/>
                <w:bCs w:val="1"/>
                <w:color w:val="auto"/>
              </w:rPr>
              <w:t>357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Engineering — research and development</w:t>
            </w:r>
          </w:p>
        </w:tc>
        <w:tc>
          <w:tcPr>
            <w:tcW w:w="8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194</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185</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860" w:type="dxa"/>
            <w:vAlign w:val="bottom"/>
          </w:tcPr>
          <w:p>
            <w:pPr>
              <w:spacing w:after="0"/>
              <w:rPr>
                <w:sz w:val="19"/>
                <w:szCs w:val="19"/>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b w:val="1"/>
                <w:bCs w:val="1"/>
                <w:color w:val="auto"/>
              </w:rPr>
              <w:t>919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784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8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(107 )</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(118 )</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8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15</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8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827</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645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8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(154 )</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(114 )</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23"/>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860" w:type="dxa"/>
            <w:vAlign w:val="bottom"/>
            <w:tcBorders>
              <w:bottom w:val="single" w:sz="8" w:color="auto"/>
            </w:tcBorders>
            <w:shd w:val="clear" w:color="auto" w:fill="CFF0FC"/>
          </w:tcPr>
          <w:p>
            <w:pPr>
              <w:jc w:val="right"/>
              <w:ind w:right="653"/>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673</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531</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190"/>
        </w:trPr>
        <w:tc>
          <w:tcPr>
            <w:tcW w:w="6620" w:type="dxa"/>
            <w:vAlign w:val="bottom"/>
          </w:tcPr>
          <w:p>
            <w:pPr>
              <w:ind w:left="20"/>
              <w:spacing w:after="0" w:line="190" w:lineRule="exact"/>
              <w:rPr>
                <w:sz w:val="20"/>
                <w:szCs w:val="20"/>
                <w:color w:val="auto"/>
              </w:rPr>
            </w:pPr>
            <w:r>
              <w:rPr>
                <w:rFonts w:ascii="Arial" w:cs="Arial" w:eastAsia="Arial" w:hAnsi="Arial"/>
                <w:sz w:val="18"/>
                <w:szCs w:val="18"/>
                <w:b w:val="1"/>
                <w:bCs w:val="1"/>
                <w:color w:val="auto"/>
              </w:rPr>
              <w:t>Basic earnings per share attributable to common</w:t>
            </w:r>
          </w:p>
        </w:tc>
        <w:tc>
          <w:tcPr>
            <w:tcW w:w="860" w:type="dxa"/>
            <w:vAlign w:val="bottom"/>
            <w:vMerge w:val="restart"/>
          </w:tcPr>
          <w:p>
            <w:pPr>
              <w:jc w:val="right"/>
              <w:ind w:right="653"/>
              <w:spacing w:after="0"/>
              <w:rPr>
                <w:sz w:val="20"/>
                <w:szCs w:val="20"/>
                <w:color w:val="auto"/>
              </w:rPr>
            </w:pPr>
            <w:r>
              <w:rPr>
                <w:rFonts w:ascii="Arial" w:cs="Arial" w:eastAsia="Arial" w:hAnsi="Arial"/>
                <w:sz w:val="18"/>
                <w:szCs w:val="18"/>
                <w:b w:val="1"/>
                <w:bCs w:val="1"/>
                <w:color w:val="auto"/>
                <w:w w:val="99"/>
              </w:rPr>
              <w:t>$</w:t>
            </w:r>
          </w:p>
        </w:tc>
        <w:tc>
          <w:tcPr>
            <w:tcW w:w="60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7.48</w:t>
            </w:r>
          </w:p>
        </w:tc>
        <w:tc>
          <w:tcPr>
            <w:tcW w:w="48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5.53</w:t>
            </w:r>
          </w:p>
        </w:tc>
        <w:tc>
          <w:tcPr>
            <w:tcW w:w="140" w:type="dxa"/>
            <w:vAlign w:val="bottom"/>
          </w:tcPr>
          <w:p>
            <w:pPr>
              <w:spacing w:after="0"/>
              <w:rPr>
                <w:sz w:val="16"/>
                <w:szCs w:val="16"/>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194"/>
        </w:trPr>
        <w:tc>
          <w:tcPr>
            <w:tcW w:w="6620" w:type="dxa"/>
            <w:vAlign w:val="bottom"/>
          </w:tcPr>
          <w:p>
            <w:pPr>
              <w:ind w:left="180"/>
              <w:spacing w:after="0" w:line="195" w:lineRule="exact"/>
              <w:rPr>
                <w:sz w:val="20"/>
                <w:szCs w:val="20"/>
                <w:color w:val="auto"/>
              </w:rPr>
            </w:pPr>
            <w:r>
              <w:rPr>
                <w:rFonts w:ascii="Arial" w:cs="Arial" w:eastAsia="Arial" w:hAnsi="Arial"/>
                <w:sz w:val="18"/>
                <w:szCs w:val="18"/>
                <w:b w:val="1"/>
                <w:bCs w:val="1"/>
                <w:color w:val="auto"/>
              </w:rPr>
              <w:t>stockholders</w:t>
            </w:r>
          </w:p>
        </w:tc>
        <w:tc>
          <w:tcPr>
            <w:tcW w:w="86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20" w:type="dxa"/>
            <w:vAlign w:val="bottom"/>
            <w:shd w:val="clear" w:color="auto" w:fill="CFF0FC"/>
          </w:tcPr>
          <w:p>
            <w:pPr>
              <w:ind w:left="20"/>
              <w:spacing w:after="0" w:line="177" w:lineRule="exact"/>
              <w:rPr>
                <w:sz w:val="20"/>
                <w:szCs w:val="20"/>
                <w:color w:val="auto"/>
              </w:rPr>
            </w:pPr>
            <w:r>
              <w:rPr>
                <w:rFonts w:ascii="Arial" w:cs="Arial" w:eastAsia="Arial" w:hAnsi="Arial"/>
                <w:sz w:val="18"/>
                <w:szCs w:val="18"/>
                <w:b w:val="1"/>
                <w:bCs w:val="1"/>
                <w:color w:val="auto"/>
              </w:rPr>
              <w:t>Diluted earnings per share attributable to common</w:t>
            </w:r>
          </w:p>
        </w:tc>
        <w:tc>
          <w:tcPr>
            <w:tcW w:w="860" w:type="dxa"/>
            <w:vAlign w:val="bottom"/>
            <w:vMerge w:val="restart"/>
            <w:shd w:val="clear" w:color="auto" w:fill="CFF0FC"/>
          </w:tcPr>
          <w:p>
            <w:pPr>
              <w:jc w:val="right"/>
              <w:ind w:right="653"/>
              <w:spacing w:after="0"/>
              <w:rPr>
                <w:sz w:val="20"/>
                <w:szCs w:val="20"/>
                <w:color w:val="auto"/>
              </w:rPr>
            </w:pPr>
            <w:r>
              <w:rPr>
                <w:rFonts w:ascii="Arial" w:cs="Arial" w:eastAsia="Arial" w:hAnsi="Arial"/>
                <w:sz w:val="18"/>
                <w:szCs w:val="18"/>
                <w:b w:val="1"/>
                <w:bCs w:val="1"/>
                <w:color w:val="auto"/>
                <w:w w:val="99"/>
              </w:rPr>
              <w:t>$</w:t>
            </w:r>
          </w:p>
        </w:tc>
        <w:tc>
          <w:tcPr>
            <w:tcW w:w="60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7.40</w:t>
            </w:r>
          </w:p>
        </w:tc>
        <w:tc>
          <w:tcPr>
            <w:tcW w:w="480" w:type="dxa"/>
            <w:vAlign w:val="bottom"/>
            <w:gridSpan w:val="2"/>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5.53</w:t>
            </w:r>
          </w:p>
        </w:tc>
        <w:tc>
          <w:tcPr>
            <w:tcW w:w="140" w:type="dxa"/>
            <w:vAlign w:val="bottom"/>
            <w:shd w:val="clear" w:color="auto" w:fill="CFF0FC"/>
          </w:tcPr>
          <w:p>
            <w:pPr>
              <w:spacing w:after="0"/>
              <w:rPr>
                <w:sz w:val="15"/>
                <w:szCs w:val="15"/>
                <w:color w:val="auto"/>
              </w:rPr>
            </w:pPr>
          </w:p>
        </w:tc>
        <w:tc>
          <w:tcPr>
            <w:tcW w:w="30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34"/>
        </w:trPr>
        <w:tc>
          <w:tcPr>
            <w:tcW w:w="6620" w:type="dxa"/>
            <w:vAlign w:val="bottom"/>
            <w:shd w:val="clear" w:color="auto" w:fill="CFF0FC"/>
          </w:tcPr>
          <w:p>
            <w:pPr>
              <w:ind w:left="180"/>
              <w:spacing w:after="0" w:line="195" w:lineRule="exact"/>
              <w:rPr>
                <w:sz w:val="20"/>
                <w:szCs w:val="20"/>
                <w:color w:val="auto"/>
              </w:rPr>
            </w:pPr>
            <w:r>
              <w:rPr>
                <w:rFonts w:ascii="Arial" w:cs="Arial" w:eastAsia="Arial" w:hAnsi="Arial"/>
                <w:sz w:val="18"/>
                <w:szCs w:val="18"/>
                <w:b w:val="1"/>
                <w:bCs w:val="1"/>
                <w:color w:val="auto"/>
              </w:rPr>
              <w:t>stockholders</w:t>
            </w:r>
          </w:p>
        </w:tc>
        <w:tc>
          <w:tcPr>
            <w:tcW w:w="86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480" w:type="dxa"/>
            <w:vAlign w:val="bottom"/>
            <w:gridSpan w:val="2"/>
            <w:vMerge w:val="continue"/>
            <w:shd w:val="clear" w:color="auto" w:fill="CFF0FC"/>
          </w:tcPr>
          <w:p>
            <w:pPr>
              <w:spacing w:after="0"/>
              <w:rPr>
                <w:sz w:val="20"/>
                <w:szCs w:val="20"/>
                <w:color w:val="auto"/>
              </w:rPr>
            </w:pPr>
          </w:p>
        </w:tc>
        <w:tc>
          <w:tcPr>
            <w:tcW w:w="112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vMerge w:val="continue"/>
            <w:shd w:val="clear" w:color="auto" w:fill="CFF0FC"/>
          </w:tcPr>
          <w:p>
            <w:pPr>
              <w:spacing w:after="0"/>
              <w:rPr>
                <w:sz w:val="20"/>
                <w:szCs w:val="20"/>
                <w:color w:val="auto"/>
              </w:rPr>
            </w:pPr>
          </w:p>
        </w:tc>
        <w:tc>
          <w:tcPr>
            <w:tcW w:w="112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8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Pension and OPEB liability adjustment</w:t>
            </w:r>
          </w:p>
        </w:tc>
        <w:tc>
          <w:tcPr>
            <w:tcW w:w="8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(7 )</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Interest rate swaps</w:t>
            </w:r>
          </w:p>
        </w:tc>
        <w:tc>
          <w:tcPr>
            <w:tcW w:w="8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Foreign currency translation</w:t>
            </w:r>
          </w:p>
        </w:tc>
        <w:tc>
          <w:tcPr>
            <w:tcW w:w="8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2</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Total other comprehensive (loss) income, net of tax</w:t>
            </w:r>
          </w:p>
        </w:tc>
        <w:tc>
          <w:tcPr>
            <w:tcW w:w="8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(9 )</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3"/>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income, net of tax</w:t>
            </w:r>
          </w:p>
        </w:tc>
        <w:tc>
          <w:tcPr>
            <w:tcW w:w="860" w:type="dxa"/>
            <w:vAlign w:val="bottom"/>
            <w:tcBorders>
              <w:bottom w:val="single" w:sz="8" w:color="auto"/>
            </w:tcBorders>
            <w:shd w:val="clear" w:color="auto" w:fill="CFF0FC"/>
          </w:tcPr>
          <w:p>
            <w:pPr>
              <w:jc w:val="right"/>
              <w:ind w:right="653"/>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664</w:t>
            </w:r>
          </w:p>
        </w:tc>
        <w:tc>
          <w:tcPr>
            <w:tcW w:w="1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582</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-1471930</wp:posOffset>
            </wp:positionV>
            <wp:extent cx="1028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-1471930</wp:posOffset>
            </wp:positionV>
            <wp:extent cx="939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-941070</wp:posOffset>
            </wp:positionV>
            <wp:extent cx="1028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-923925</wp:posOffset>
            </wp:positionV>
            <wp:extent cx="1028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-941070</wp:posOffset>
            </wp:positionV>
            <wp:extent cx="939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-923925</wp:posOffset>
            </wp:positionV>
            <wp:extent cx="939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-333375</wp:posOffset>
            </wp:positionV>
            <wp:extent cx="1028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-333375</wp:posOffset>
            </wp:positionV>
            <wp:extent cx="939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-24765</wp:posOffset>
            </wp:positionV>
            <wp:extent cx="1028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1028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939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939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Years ended December 31,</w:t>
            </w:r>
          </w:p>
        </w:tc>
        <w:tc>
          <w:tcPr>
            <w:tcW w:w="1000" w:type="dxa"/>
            <w:vAlign w:val="bottom"/>
            <w:tcBorders>
              <w:bottom w:val="single" w:sz="8" w:color="auto"/>
            </w:tcBorders>
          </w:tcPr>
          <w:p>
            <w:pPr>
              <w:spacing w:after="0"/>
              <w:rPr>
                <w:sz w:val="16"/>
                <w:szCs w:val="16"/>
                <w:color w:val="auto"/>
              </w:rPr>
            </w:pPr>
          </w:p>
        </w:tc>
      </w:tr>
      <w:tr>
        <w:trPr>
          <w:trHeight w:val="196"/>
        </w:trPr>
        <w:tc>
          <w:tcPr>
            <w:tcW w:w="70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r>
      <w:tr>
        <w:trPr>
          <w:trHeight w:val="209"/>
        </w:trPr>
        <w:tc>
          <w:tcPr>
            <w:tcW w:w="70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6"/>
        </w:trPr>
        <w:tc>
          <w:tcPr>
            <w:tcW w:w="7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00" w:type="dxa"/>
            <w:vAlign w:val="bottom"/>
          </w:tcPr>
          <w:p>
            <w:pPr>
              <w:jc w:val="right"/>
              <w:ind w:right="620"/>
              <w:spacing w:after="0"/>
              <w:rPr>
                <w:sz w:val="20"/>
                <w:szCs w:val="20"/>
                <w:color w:val="auto"/>
              </w:rPr>
            </w:pPr>
            <w:r>
              <w:rPr>
                <w:rFonts w:ascii="Arial" w:cs="Arial" w:eastAsia="Arial" w:hAnsi="Arial"/>
                <w:sz w:val="16"/>
                <w:szCs w:val="16"/>
                <w:b w:val="1"/>
                <w:bCs w:val="1"/>
                <w:color w:val="auto"/>
                <w:w w:val="89"/>
              </w:rPr>
              <w:t>$</w:t>
            </w: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673</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531</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442</w:t>
            </w:r>
          </w:p>
        </w:tc>
      </w:tr>
      <w:tr>
        <w:trPr>
          <w:trHeight w:val="188"/>
        </w:trPr>
        <w:tc>
          <w:tcPr>
            <w:tcW w:w="7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income to net cash provided by</w:t>
            </w:r>
          </w:p>
        </w:tc>
        <w:tc>
          <w:tcPr>
            <w:tcW w:w="8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r>
      <w:tr>
        <w:trPr>
          <w:trHeight w:val="216"/>
        </w:trPr>
        <w:tc>
          <w:tcPr>
            <w:tcW w:w="70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operating activities:</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6"/>
        </w:trPr>
        <w:tc>
          <w:tcPr>
            <w:tcW w:w="7080" w:type="dxa"/>
            <w:vAlign w:val="bottom"/>
          </w:tcPr>
          <w:p>
            <w:pPr>
              <w:ind w:left="200"/>
              <w:spacing w:after="0"/>
              <w:rPr>
                <w:sz w:val="20"/>
                <w:szCs w:val="20"/>
                <w:color w:val="auto"/>
              </w:rPr>
            </w:pPr>
            <w:r>
              <w:rPr>
                <w:rFonts w:ascii="Arial" w:cs="Arial" w:eastAsia="Arial" w:hAnsi="Arial"/>
                <w:sz w:val="16"/>
                <w:szCs w:val="16"/>
                <w:color w:val="auto"/>
              </w:rPr>
              <w:t>Depreciation of property, plant and equipment</w:t>
            </w:r>
          </w:p>
        </w:tc>
        <w:tc>
          <w:tcPr>
            <w:tcW w:w="80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109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109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104</w:t>
            </w:r>
          </w:p>
        </w:tc>
      </w:tr>
      <w:tr>
        <w:trPr>
          <w:trHeight w:val="216"/>
        </w:trPr>
        <w:tc>
          <w:tcPr>
            <w:tcW w:w="7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intangible assets</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45</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46</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w:t>
            </w:r>
          </w:p>
        </w:tc>
      </w:tr>
      <w:tr>
        <w:trPr>
          <w:trHeight w:val="216"/>
        </w:trPr>
        <w:tc>
          <w:tcPr>
            <w:tcW w:w="708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80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22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w:t>
            </w:r>
          </w:p>
        </w:tc>
      </w:tr>
      <w:tr>
        <w:trPr>
          <w:trHeight w:val="216"/>
        </w:trPr>
        <w:tc>
          <w:tcPr>
            <w:tcW w:w="7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income taxes</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64</w:t>
            </w:r>
          </w:p>
        </w:tc>
      </w:tr>
      <w:tr>
        <w:trPr>
          <w:trHeight w:val="216"/>
        </w:trPr>
        <w:tc>
          <w:tcPr>
            <w:tcW w:w="7080" w:type="dxa"/>
            <w:vAlign w:val="bottom"/>
          </w:tcPr>
          <w:p>
            <w:pPr>
              <w:ind w:left="200"/>
              <w:spacing w:after="0"/>
              <w:rPr>
                <w:sz w:val="20"/>
                <w:szCs w:val="20"/>
                <w:color w:val="auto"/>
              </w:rPr>
            </w:pPr>
            <w:r>
              <w:rPr>
                <w:rFonts w:ascii="Arial" w:cs="Arial" w:eastAsia="Arial" w:hAnsi="Arial"/>
                <w:sz w:val="16"/>
                <w:szCs w:val="16"/>
                <w:color w:val="auto"/>
              </w:rPr>
              <w:t>Amortization of deferred financing costs</w:t>
            </w:r>
          </w:p>
        </w:tc>
        <w:tc>
          <w:tcPr>
            <w:tcW w:w="80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w:t>
            </w:r>
          </w:p>
        </w:tc>
      </w:tr>
      <w:tr>
        <w:trPr>
          <w:trHeight w:val="216"/>
        </w:trPr>
        <w:tc>
          <w:tcPr>
            <w:tcW w:w="7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Technology-related investments gain</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(3 )</w:t>
            </w:r>
          </w:p>
        </w:tc>
      </w:tr>
      <w:tr>
        <w:trPr>
          <w:trHeight w:val="216"/>
        </w:trPr>
        <w:tc>
          <w:tcPr>
            <w:tcW w:w="7080" w:type="dxa"/>
            <w:vAlign w:val="bottom"/>
          </w:tcPr>
          <w:p>
            <w:pPr>
              <w:ind w:left="200"/>
              <w:spacing w:after="0"/>
              <w:rPr>
                <w:sz w:val="20"/>
                <w:szCs w:val="20"/>
                <w:color w:val="auto"/>
              </w:rPr>
            </w:pPr>
            <w:r>
              <w:rPr>
                <w:rFonts w:ascii="Arial" w:cs="Arial" w:eastAsia="Arial" w:hAnsi="Arial"/>
                <w:sz w:val="16"/>
                <w:szCs w:val="16"/>
                <w:color w:val="auto"/>
              </w:rPr>
              <w:t>Unrealized loss (gain) on marketable securities</w:t>
            </w:r>
          </w:p>
        </w:tc>
        <w:tc>
          <w:tcPr>
            <w:tcW w:w="80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(4 )</w:t>
            </w:r>
          </w:p>
        </w:tc>
      </w:tr>
      <w:tr>
        <w:trPr>
          <w:trHeight w:val="216"/>
        </w:trPr>
        <w:tc>
          <w:tcPr>
            <w:tcW w:w="7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Loss on intercompany foreign exchange</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7080" w:type="dxa"/>
            <w:vAlign w:val="bottom"/>
          </w:tcPr>
          <w:p>
            <w:pPr>
              <w:ind w:left="200"/>
              <w:spacing w:after="0"/>
              <w:rPr>
                <w:sz w:val="20"/>
                <w:szCs w:val="20"/>
                <w:color w:val="auto"/>
              </w:rPr>
            </w:pPr>
            <w:r>
              <w:rPr>
                <w:rFonts w:ascii="Arial" w:cs="Arial" w:eastAsia="Arial" w:hAnsi="Arial"/>
                <w:sz w:val="16"/>
                <w:szCs w:val="16"/>
                <w:color w:val="auto"/>
              </w:rPr>
              <w:t>Other</w:t>
            </w:r>
          </w:p>
        </w:tc>
        <w:tc>
          <w:tcPr>
            <w:tcW w:w="80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7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Changes in assets and liabilities:</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6"/>
        </w:trPr>
        <w:tc>
          <w:tcPr>
            <w:tcW w:w="708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80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(78 )</w:t>
            </w:r>
          </w:p>
        </w:tc>
      </w:tr>
      <w:tr>
        <w:trPr>
          <w:trHeight w:val="216"/>
        </w:trPr>
        <w:tc>
          <w:tcPr>
            <w:tcW w:w="7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Inventories</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(52 )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(26 )</w:t>
            </w:r>
          </w:p>
        </w:tc>
      </w:tr>
      <w:tr>
        <w:trPr>
          <w:trHeight w:val="216"/>
        </w:trPr>
        <w:tc>
          <w:tcPr>
            <w:tcW w:w="708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80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21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24</w:t>
            </w:r>
          </w:p>
        </w:tc>
      </w:tr>
      <w:tr>
        <w:trPr>
          <w:trHeight w:val="216"/>
        </w:trPr>
        <w:tc>
          <w:tcPr>
            <w:tcW w:w="70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assets and liabilities</w:t>
            </w:r>
          </w:p>
        </w:tc>
        <w:tc>
          <w:tcPr>
            <w:tcW w:w="8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(27 )</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48</w:t>
            </w:r>
          </w:p>
        </w:tc>
      </w:tr>
      <w:tr>
        <w:trPr>
          <w:trHeight w:val="209"/>
        </w:trPr>
        <w:tc>
          <w:tcPr>
            <w:tcW w:w="7080" w:type="dxa"/>
            <w:vAlign w:val="bottom"/>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80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784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657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635</w:t>
            </w:r>
          </w:p>
        </w:tc>
      </w:tr>
      <w:tr>
        <w:trPr>
          <w:trHeight w:val="216"/>
        </w:trPr>
        <w:tc>
          <w:tcPr>
            <w:tcW w:w="70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6"/>
        </w:trPr>
        <w:tc>
          <w:tcPr>
            <w:tcW w:w="7080" w:type="dxa"/>
            <w:vAlign w:val="bottom"/>
          </w:tcPr>
          <w:p>
            <w:pPr>
              <w:ind w:left="200"/>
              <w:spacing w:after="0"/>
              <w:rPr>
                <w:sz w:val="20"/>
                <w:szCs w:val="20"/>
                <w:color w:val="auto"/>
              </w:rPr>
            </w:pPr>
            <w:r>
              <w:rPr>
                <w:rFonts w:ascii="Arial" w:cs="Arial" w:eastAsia="Arial" w:hAnsi="Arial"/>
                <w:sz w:val="16"/>
                <w:szCs w:val="16"/>
                <w:color w:val="auto"/>
              </w:rPr>
              <w:t>Additions of long-lived assets</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(125 )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(167 )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(175 )</w:t>
            </w:r>
          </w:p>
        </w:tc>
      </w:tr>
      <w:tr>
        <w:trPr>
          <w:trHeight w:val="216"/>
        </w:trPr>
        <w:tc>
          <w:tcPr>
            <w:tcW w:w="7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Investment in equities without a readily determinable fair value</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7080" w:type="dxa"/>
            <w:vAlign w:val="bottom"/>
          </w:tcPr>
          <w:p>
            <w:pPr>
              <w:ind w:left="200"/>
              <w:spacing w:after="0"/>
              <w:rPr>
                <w:sz w:val="20"/>
                <w:szCs w:val="20"/>
                <w:color w:val="auto"/>
              </w:rPr>
            </w:pPr>
            <w:r>
              <w:rPr>
                <w:rFonts w:ascii="Arial" w:cs="Arial" w:eastAsia="Arial" w:hAnsi="Arial"/>
                <w:sz w:val="16"/>
                <w:szCs w:val="16"/>
                <w:color w:val="auto"/>
              </w:rPr>
              <w:t>Proceeds from technology-related investments</w:t>
            </w:r>
          </w:p>
        </w:tc>
        <w:tc>
          <w:tcPr>
            <w:tcW w:w="80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w:t>
            </w:r>
          </w:p>
        </w:tc>
      </w:tr>
      <w:tr>
        <w:trPr>
          <w:trHeight w:val="216"/>
        </w:trPr>
        <w:tc>
          <w:tcPr>
            <w:tcW w:w="7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Investment in equity method investee</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7080" w:type="dxa"/>
            <w:vAlign w:val="bottom"/>
          </w:tcPr>
          <w:p>
            <w:pPr>
              <w:ind w:left="200"/>
              <w:spacing w:after="0"/>
              <w:rPr>
                <w:sz w:val="20"/>
                <w:szCs w:val="20"/>
                <w:color w:val="auto"/>
              </w:rPr>
            </w:pPr>
            <w:r>
              <w:rPr>
                <w:rFonts w:ascii="Arial" w:cs="Arial" w:eastAsia="Arial" w:hAnsi="Arial"/>
                <w:sz w:val="16"/>
                <w:szCs w:val="16"/>
                <w:color w:val="auto"/>
              </w:rPr>
              <w:t>Business acquisitions</w:t>
            </w:r>
          </w:p>
        </w:tc>
        <w:tc>
          <w:tcPr>
            <w:tcW w:w="80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7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sale of assets</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7080" w:type="dxa"/>
            <w:vAlign w:val="bottom"/>
          </w:tcPr>
          <w:p>
            <w:pPr>
              <w:ind w:left="200"/>
              <w:spacing w:after="0"/>
              <w:rPr>
                <w:sz w:val="20"/>
                <w:szCs w:val="20"/>
                <w:color w:val="auto"/>
              </w:rPr>
            </w:pPr>
            <w:r>
              <w:rPr>
                <w:rFonts w:ascii="Arial" w:cs="Arial" w:eastAsia="Arial" w:hAnsi="Arial"/>
                <w:sz w:val="16"/>
                <w:szCs w:val="16"/>
                <w:color w:val="auto"/>
              </w:rPr>
              <w:t>Investment in marketable securities</w:t>
            </w:r>
          </w:p>
        </w:tc>
        <w:tc>
          <w:tcPr>
            <w:tcW w:w="80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(41 )</w:t>
            </w:r>
          </w:p>
        </w:tc>
      </w:tr>
      <w:tr>
        <w:trPr>
          <w:trHeight w:val="216"/>
        </w:trPr>
        <w:tc>
          <w:tcPr>
            <w:tcW w:w="7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Loans to third parties</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(12 )</w:t>
            </w:r>
          </w:p>
        </w:tc>
      </w:tr>
      <w:tr>
        <w:trPr>
          <w:trHeight w:val="216"/>
        </w:trPr>
        <w:tc>
          <w:tcPr>
            <w:tcW w:w="7080" w:type="dxa"/>
            <w:vAlign w:val="bottom"/>
          </w:tcPr>
          <w:p>
            <w:pPr>
              <w:ind w:left="200"/>
              <w:spacing w:after="0"/>
              <w:rPr>
                <w:sz w:val="20"/>
                <w:szCs w:val="20"/>
                <w:color w:val="auto"/>
              </w:rPr>
            </w:pPr>
            <w:r>
              <w:rPr>
                <w:rFonts w:ascii="Arial" w:cs="Arial" w:eastAsia="Arial" w:hAnsi="Arial"/>
                <w:sz w:val="16"/>
                <w:szCs w:val="16"/>
                <w:color w:val="auto"/>
              </w:rPr>
              <w:t>Repayments from loans to third parties</w:t>
            </w: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r>
      <w:tr>
        <w:trPr>
          <w:trHeight w:val="209"/>
        </w:trPr>
        <w:tc>
          <w:tcPr>
            <w:tcW w:w="70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cash used for investing activities</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(129 )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(212 )</w:t>
            </w:r>
          </w:p>
        </w:tc>
      </w:tr>
      <w:tr>
        <w:trPr>
          <w:trHeight w:val="216"/>
        </w:trPr>
        <w:tc>
          <w:tcPr>
            <w:tcW w:w="70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Repurchases of common stock</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(263 )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(513 )</w:t>
            </w:r>
          </w:p>
        </w:tc>
      </w:tr>
      <w:tr>
        <w:trPr>
          <w:trHeight w:val="216"/>
        </w:trPr>
        <w:tc>
          <w:tcPr>
            <w:tcW w:w="7080" w:type="dxa"/>
            <w:vAlign w:val="bottom"/>
          </w:tcPr>
          <w:p>
            <w:pPr>
              <w:ind w:left="200"/>
              <w:spacing w:after="0"/>
              <w:rPr>
                <w:sz w:val="20"/>
                <w:szCs w:val="20"/>
                <w:color w:val="auto"/>
              </w:rPr>
            </w:pPr>
            <w:r>
              <w:rPr>
                <w:rFonts w:ascii="Arial" w:cs="Arial" w:eastAsia="Arial" w:hAnsi="Arial"/>
                <w:sz w:val="16"/>
                <w:szCs w:val="16"/>
                <w:color w:val="auto"/>
              </w:rPr>
              <w:t>Dividend payments</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(83 )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(81 )</w:t>
            </w:r>
          </w:p>
        </w:tc>
      </w:tr>
      <w:tr>
        <w:trPr>
          <w:trHeight w:val="216"/>
        </w:trPr>
        <w:tc>
          <w:tcPr>
            <w:tcW w:w="7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exercise of stock options</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28</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r>
      <w:tr>
        <w:trPr>
          <w:trHeight w:val="216"/>
        </w:trPr>
        <w:tc>
          <w:tcPr>
            <w:tcW w:w="7080" w:type="dxa"/>
            <w:vAlign w:val="bottom"/>
          </w:tcPr>
          <w:p>
            <w:pPr>
              <w:ind w:left="200"/>
              <w:spacing w:after="0"/>
              <w:rPr>
                <w:sz w:val="20"/>
                <w:szCs w:val="20"/>
                <w:color w:val="auto"/>
              </w:rPr>
            </w:pPr>
            <w:r>
              <w:rPr>
                <w:rFonts w:ascii="Arial" w:cs="Arial" w:eastAsia="Arial" w:hAnsi="Arial"/>
                <w:sz w:val="16"/>
                <w:szCs w:val="16"/>
                <w:color w:val="auto"/>
              </w:rPr>
              <w:t>Payments on long-term debt</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(7 )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(7 )</w:t>
            </w:r>
          </w:p>
        </w:tc>
      </w:tr>
      <w:tr>
        <w:trPr>
          <w:trHeight w:val="216"/>
        </w:trPr>
        <w:tc>
          <w:tcPr>
            <w:tcW w:w="7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Taxes paid related to net share settlement of equity awards</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(3 )</w:t>
            </w:r>
          </w:p>
        </w:tc>
      </w:tr>
      <w:tr>
        <w:trPr>
          <w:trHeight w:val="216"/>
        </w:trPr>
        <w:tc>
          <w:tcPr>
            <w:tcW w:w="7080" w:type="dxa"/>
            <w:vAlign w:val="bottom"/>
          </w:tcPr>
          <w:p>
            <w:pPr>
              <w:ind w:left="200"/>
              <w:spacing w:after="0"/>
              <w:rPr>
                <w:sz w:val="20"/>
                <w:szCs w:val="20"/>
                <w:color w:val="auto"/>
              </w:rPr>
            </w:pPr>
            <w:r>
              <w:rPr>
                <w:rFonts w:ascii="Arial" w:cs="Arial" w:eastAsia="Arial" w:hAnsi="Arial"/>
                <w:sz w:val="16"/>
                <w:szCs w:val="16"/>
                <w:color w:val="auto"/>
              </w:rPr>
              <w:t>Repayments on revolving credit facility</w:t>
            </w:r>
          </w:p>
        </w:tc>
        <w:tc>
          <w:tcPr>
            <w:tcW w:w="80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7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Borrowings on revolving credit facility</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95</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7080" w:type="dxa"/>
            <w:vAlign w:val="bottom"/>
          </w:tcPr>
          <w:p>
            <w:pPr>
              <w:ind w:left="200"/>
              <w:spacing w:after="0"/>
              <w:rPr>
                <w:sz w:val="20"/>
                <w:szCs w:val="20"/>
                <w:color w:val="auto"/>
              </w:rPr>
            </w:pPr>
            <w:r>
              <w:rPr>
                <w:rFonts w:ascii="Arial" w:cs="Arial" w:eastAsia="Arial" w:hAnsi="Arial"/>
                <w:sz w:val="16"/>
                <w:szCs w:val="16"/>
                <w:color w:val="auto"/>
              </w:rPr>
              <w:t>Payment of acquisition-related contingent liability</w:t>
            </w: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r>
      <w:tr>
        <w:trPr>
          <w:trHeight w:val="209"/>
        </w:trPr>
        <w:tc>
          <w:tcPr>
            <w:tcW w:w="70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cash used for financing activities</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(332 )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(604 )</w:t>
            </w:r>
          </w:p>
        </w:tc>
      </w:tr>
      <w:tr>
        <w:trPr>
          <w:trHeight w:val="216"/>
        </w:trPr>
        <w:tc>
          <w:tcPr>
            <w:tcW w:w="708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80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216"/>
        </w:trPr>
        <w:tc>
          <w:tcPr>
            <w:tcW w:w="70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increase (decrease) in cash and cash equivalents</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323</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105</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(183 )</w:t>
            </w:r>
          </w:p>
        </w:tc>
      </w:tr>
      <w:tr>
        <w:trPr>
          <w:trHeight w:val="216"/>
        </w:trPr>
        <w:tc>
          <w:tcPr>
            <w:tcW w:w="708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232</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127</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310</w:t>
            </w:r>
          </w:p>
        </w:tc>
      </w:tr>
      <w:tr>
        <w:trPr>
          <w:trHeight w:val="249"/>
        </w:trPr>
        <w:tc>
          <w:tcPr>
            <w:tcW w:w="7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800" w:type="dxa"/>
            <w:vAlign w:val="bottom"/>
            <w:shd w:val="clear" w:color="auto" w:fill="CFF0FC"/>
          </w:tcPr>
          <w:p>
            <w:pPr>
              <w:jc w:val="right"/>
              <w:ind w:right="620"/>
              <w:spacing w:after="0"/>
              <w:rPr>
                <w:sz w:val="20"/>
                <w:szCs w:val="20"/>
                <w:color w:val="auto"/>
              </w:rPr>
            </w:pPr>
            <w:r>
              <w:rPr>
                <w:rFonts w:ascii="Arial" w:cs="Arial" w:eastAsia="Arial" w:hAnsi="Arial"/>
                <w:sz w:val="16"/>
                <w:szCs w:val="16"/>
                <w:b w:val="1"/>
                <w:bCs w:val="1"/>
                <w:color w:val="auto"/>
                <w:w w:val="89"/>
              </w:rPr>
              <w:t>$</w:t>
            </w: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555</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232</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127</w:t>
            </w:r>
          </w:p>
        </w:tc>
      </w:tr>
      <w:tr>
        <w:trPr>
          <w:trHeight w:val="196"/>
        </w:trPr>
        <w:tc>
          <w:tcPr>
            <w:tcW w:w="708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8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16"/>
        </w:trPr>
        <w:tc>
          <w:tcPr>
            <w:tcW w:w="7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taxes paid</w:t>
            </w:r>
          </w:p>
        </w:tc>
        <w:tc>
          <w:tcPr>
            <w:tcW w:w="800" w:type="dxa"/>
            <w:vAlign w:val="bottom"/>
            <w:shd w:val="clear" w:color="auto" w:fill="CFF0FC"/>
          </w:tcPr>
          <w:p>
            <w:pPr>
              <w:jc w:val="right"/>
              <w:ind w:right="620"/>
              <w:spacing w:after="0"/>
              <w:rPr>
                <w:sz w:val="20"/>
                <w:szCs w:val="20"/>
                <w:color w:val="auto"/>
              </w:rPr>
            </w:pPr>
            <w:r>
              <w:rPr>
                <w:rFonts w:ascii="Arial" w:cs="Arial" w:eastAsia="Arial" w:hAnsi="Arial"/>
                <w:sz w:val="16"/>
                <w:szCs w:val="16"/>
                <w:b w:val="1"/>
                <w:bCs w:val="1"/>
                <w:color w:val="auto"/>
                <w:w w:val="8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(194 )</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(102 )</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(60 )</w:t>
            </w:r>
          </w:p>
        </w:tc>
      </w:tr>
      <w:tr>
        <w:trPr>
          <w:trHeight w:val="216"/>
        </w:trPr>
        <w:tc>
          <w:tcPr>
            <w:tcW w:w="7080" w:type="dxa"/>
            <w:vAlign w:val="bottom"/>
          </w:tcPr>
          <w:p>
            <w:pPr>
              <w:ind w:left="200"/>
              <w:spacing w:after="0"/>
              <w:rPr>
                <w:sz w:val="20"/>
                <w:szCs w:val="20"/>
                <w:color w:val="auto"/>
              </w:rPr>
            </w:pPr>
            <w:r>
              <w:rPr>
                <w:rFonts w:ascii="Arial" w:cs="Arial" w:eastAsia="Arial" w:hAnsi="Arial"/>
                <w:sz w:val="16"/>
                <w:szCs w:val="16"/>
                <w:color w:val="auto"/>
              </w:rPr>
              <w:t>Interest paid</w:t>
            </w:r>
          </w:p>
        </w:tc>
        <w:tc>
          <w:tcPr>
            <w:tcW w:w="800" w:type="dxa"/>
            <w:vAlign w:val="bottom"/>
          </w:tcPr>
          <w:p>
            <w:pPr>
              <w:jc w:val="right"/>
              <w:ind w:right="620"/>
              <w:spacing w:after="0"/>
              <w:rPr>
                <w:sz w:val="20"/>
                <w:szCs w:val="20"/>
                <w:color w:val="auto"/>
              </w:rPr>
            </w:pPr>
            <w:r>
              <w:rPr>
                <w:rFonts w:ascii="Arial" w:cs="Arial" w:eastAsia="Arial" w:hAnsi="Arial"/>
                <w:sz w:val="16"/>
                <w:szCs w:val="16"/>
                <w:b w:val="1"/>
                <w:bCs w:val="1"/>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(131 )</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(117 )</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(103 )</w:t>
            </w:r>
          </w:p>
        </w:tc>
      </w:tr>
      <w:tr>
        <w:trPr>
          <w:trHeight w:val="216"/>
        </w:trPr>
        <w:tc>
          <w:tcPr>
            <w:tcW w:w="7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received from interest rate swaps</w:t>
            </w:r>
          </w:p>
        </w:tc>
        <w:tc>
          <w:tcPr>
            <w:tcW w:w="800" w:type="dxa"/>
            <w:vAlign w:val="bottom"/>
            <w:shd w:val="clear" w:color="auto" w:fill="CFF0FC"/>
          </w:tcPr>
          <w:p>
            <w:pPr>
              <w:jc w:val="right"/>
              <w:ind w:right="620"/>
              <w:spacing w:after="0"/>
              <w:rPr>
                <w:sz w:val="20"/>
                <w:szCs w:val="20"/>
                <w:color w:val="auto"/>
              </w:rPr>
            </w:pPr>
            <w:r>
              <w:rPr>
                <w:rFonts w:ascii="Arial" w:cs="Arial" w:eastAsia="Arial" w:hAnsi="Arial"/>
                <w:sz w:val="16"/>
                <w:szCs w:val="16"/>
                <w:b w:val="1"/>
                <w:bCs w:val="1"/>
                <w:color w:val="auto"/>
                <w:w w:val="89"/>
              </w:rPr>
              <w:t>$</w:t>
            </w: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12</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5"/>
        </w:trPr>
        <w:tc>
          <w:tcPr>
            <w:tcW w:w="7080" w:type="dxa"/>
            <w:vAlign w:val="bottom"/>
          </w:tcPr>
          <w:p>
            <w:pPr>
              <w:ind w:left="20"/>
              <w:spacing w:after="0"/>
              <w:rPr>
                <w:sz w:val="20"/>
                <w:szCs w:val="20"/>
                <w:color w:val="auto"/>
              </w:rPr>
            </w:pPr>
            <w:r>
              <w:rPr>
                <w:rFonts w:ascii="Arial" w:cs="Arial" w:eastAsia="Arial" w:hAnsi="Arial"/>
                <w:sz w:val="16"/>
                <w:szCs w:val="16"/>
                <w:color w:val="auto"/>
              </w:rPr>
              <w:t>Non-cash investing activities:</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Capital expenditures in liabilities</w:t>
            </w:r>
          </w:p>
        </w:tc>
        <w:tc>
          <w:tcPr>
            <w:tcW w:w="800" w:type="dxa"/>
            <w:vAlign w:val="bottom"/>
            <w:shd w:val="clear" w:color="auto" w:fill="CFF0FC"/>
          </w:tcPr>
          <w:p>
            <w:pPr>
              <w:jc w:val="right"/>
              <w:ind w:right="620"/>
              <w:spacing w:after="0"/>
              <w:rPr>
                <w:sz w:val="20"/>
                <w:szCs w:val="20"/>
                <w:color w:val="auto"/>
              </w:rPr>
            </w:pPr>
            <w:r>
              <w:rPr>
                <w:rFonts w:ascii="Arial" w:cs="Arial" w:eastAsia="Arial" w:hAnsi="Arial"/>
                <w:sz w:val="16"/>
                <w:szCs w:val="16"/>
                <w:b w:val="1"/>
                <w:bCs w:val="1"/>
                <w:color w:val="auto"/>
                <w:w w:val="89"/>
              </w:rPr>
              <w:t>$</w:t>
            </w: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4</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-4443095</wp:posOffset>
            </wp:positionV>
            <wp:extent cx="1028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-4443095</wp:posOffset>
            </wp:positionV>
            <wp:extent cx="1028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-847090</wp:posOffset>
            </wp:positionV>
            <wp:extent cx="1028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-829945</wp:posOffset>
            </wp:positionV>
            <wp:extent cx="1028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-847090</wp:posOffset>
            </wp:positionV>
            <wp:extent cx="1028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-829945</wp:posOffset>
            </wp:positionV>
            <wp:extent cx="1028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240"/>
          </w:cols>
          <w:pgMar w:left="320" w:top="768" w:right="3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192"/>
              <w:spacing w:after="0"/>
              <w:rPr>
                <w:sz w:val="20"/>
                <w:szCs w:val="20"/>
                <w:color w:val="auto"/>
              </w:rPr>
            </w:pPr>
            <w:r>
              <w:rPr>
                <w:rFonts w:ascii="Arial" w:cs="Arial" w:eastAsia="Arial" w:hAnsi="Arial"/>
                <w:sz w:val="14"/>
                <w:szCs w:val="14"/>
                <w:b w:val="1"/>
                <w:bCs w:val="1"/>
                <w:color w:val="auto"/>
              </w:rPr>
              <w:t>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192"/>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152"/>
              <w:spacing w:after="0"/>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Comprehen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152"/>
              <w:spacing w:after="0"/>
              <w:rPr>
                <w:sz w:val="20"/>
                <w:szCs w:val="20"/>
                <w:color w:val="auto"/>
              </w:rPr>
            </w:pPr>
            <w:r>
              <w:rPr>
                <w:rFonts w:ascii="Arial" w:cs="Arial" w:eastAsia="Arial" w:hAnsi="Arial"/>
                <w:sz w:val="14"/>
                <w:szCs w:val="14"/>
                <w:b w:val="1"/>
                <w:bCs w:val="1"/>
                <w:color w:val="auto"/>
              </w:rPr>
              <w:t>voting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212"/>
              <w:spacing w:after="0"/>
              <w:rPr>
                <w:sz w:val="20"/>
                <w:szCs w:val="20"/>
                <w:color w:val="auto"/>
              </w:rPr>
            </w:pPr>
            <w:r>
              <w:rPr>
                <w:rFonts w:ascii="Arial" w:cs="Arial" w:eastAsia="Arial" w:hAnsi="Arial"/>
                <w:sz w:val="14"/>
                <w:szCs w:val="14"/>
                <w:b w:val="1"/>
                <w:bCs w:val="1"/>
                <w:color w:val="auto"/>
              </w:rPr>
              <w:t>sive</w:t>
            </w:r>
          </w:p>
        </w:tc>
        <w:tc>
          <w:tcPr>
            <w:tcW w:w="16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Stockholder</w:t>
            </w:r>
          </w:p>
        </w:tc>
      </w:tr>
      <w:tr>
        <w:trPr>
          <w:trHeight w:val="162"/>
        </w:trPr>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Common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132"/>
              <w:spacing w:after="0"/>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b w:val="1"/>
                <w:bCs w:val="1"/>
                <w:color w:val="auto"/>
              </w:rPr>
              <w:t>Preferred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11"/>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11"/>
              <w:spacing w:after="0"/>
              <w:rPr>
                <w:sz w:val="20"/>
                <w:szCs w:val="20"/>
                <w:color w:val="auto"/>
              </w:rPr>
            </w:pPr>
            <w:r>
              <w:rPr>
                <w:rFonts w:ascii="Arial" w:cs="Arial" w:eastAsia="Arial" w:hAnsi="Arial"/>
                <w:sz w:val="14"/>
                <w:szCs w:val="14"/>
                <w:b w:val="1"/>
                <w:bCs w:val="1"/>
                <w:color w:val="auto"/>
              </w:rPr>
              <w:t>d</w:t>
            </w:r>
          </w:p>
        </w:tc>
        <w:tc>
          <w:tcPr>
            <w:tcW w:w="16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 net of</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391"/>
              <w:spacing w:after="0"/>
              <w:rPr>
                <w:sz w:val="20"/>
                <w:szCs w:val="20"/>
                <w:color w:val="auto"/>
              </w:rPr>
            </w:pPr>
            <w:r>
              <w:rPr>
                <w:rFonts w:ascii="Arial" w:cs="Arial" w:eastAsia="Arial" w:hAnsi="Arial"/>
                <w:sz w:val="14"/>
                <w:szCs w:val="14"/>
                <w:b w:val="1"/>
                <w:bCs w:val="1"/>
                <w:color w:val="auto"/>
              </w:rPr>
              <w:t>s’</w:t>
            </w:r>
          </w:p>
        </w:tc>
      </w:tr>
      <w:tr>
        <w:trPr>
          <w:trHeight w:val="185"/>
        </w:trPr>
        <w:tc>
          <w:tcPr>
            <w:tcW w:w="3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rPr>
              <w:t>tax</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Equity</w:t>
            </w:r>
          </w:p>
        </w:tc>
      </w:tr>
      <w:tr>
        <w:trPr>
          <w:trHeight w:val="223"/>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1,818</w:t>
            </w:r>
          </w:p>
        </w:tc>
        <w:tc>
          <w:tcPr>
            <w:tcW w:w="3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(974 )</w:t>
            </w:r>
          </w:p>
        </w:tc>
        <w:tc>
          <w:tcPr>
            <w:tcW w:w="3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(89 )</w:t>
            </w:r>
          </w:p>
        </w:tc>
        <w:tc>
          <w:tcPr>
            <w:tcW w:w="3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756</w:t>
            </w:r>
          </w:p>
        </w:tc>
      </w:tr>
      <w:tr>
        <w:trPr>
          <w:trHeight w:val="229"/>
        </w:trPr>
        <w:tc>
          <w:tcPr>
            <w:tcW w:w="336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ind w:lef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14</w:t>
            </w:r>
          </w:p>
        </w:tc>
      </w:tr>
      <w:tr>
        <w:trPr>
          <w:trHeight w:val="197"/>
        </w:trPr>
        <w:tc>
          <w:tcPr>
            <w:tcW w:w="336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Pension and OPEB liability</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r>
      <w:tr>
        <w:trPr>
          <w:trHeight w:val="235"/>
        </w:trPr>
        <w:tc>
          <w:tcPr>
            <w:tcW w:w="33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w:t>
            </w:r>
          </w:p>
        </w:tc>
      </w:tr>
      <w:tr>
        <w:trPr>
          <w:trHeight w:val="197"/>
        </w:trPr>
        <w:tc>
          <w:tcPr>
            <w:tcW w:w="3360" w:type="dxa"/>
            <w:vAlign w:val="bottom"/>
          </w:tcPr>
          <w:p>
            <w:pPr>
              <w:ind w:left="280"/>
              <w:spacing w:after="0" w:line="197" w:lineRule="exact"/>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5"/>
        </w:trPr>
        <w:tc>
          <w:tcPr>
            <w:tcW w:w="3360" w:type="dxa"/>
            <w:vAlign w:val="bottom"/>
          </w:tcPr>
          <w:p>
            <w:pPr>
              <w:ind w:left="280"/>
              <w:spacing w:after="0"/>
              <w:rPr>
                <w:sz w:val="20"/>
                <w:szCs w:val="20"/>
                <w:color w:val="auto"/>
              </w:rPr>
            </w:pPr>
            <w:r>
              <w:rPr>
                <w:rFonts w:ascii="Arial" w:cs="Arial" w:eastAsia="Arial" w:hAnsi="Arial"/>
                <w:sz w:val="18"/>
                <w:szCs w:val="18"/>
                <w:color w:val="auto"/>
              </w:rPr>
              <w:t>adjustment</w:t>
            </w:r>
          </w:p>
        </w:tc>
        <w:tc>
          <w:tcPr>
            <w:tcW w:w="12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ind w:lef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29"/>
        </w:trPr>
        <w:tc>
          <w:tcPr>
            <w:tcW w:w="33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w:t>
            </w:r>
          </w:p>
        </w:tc>
      </w:tr>
      <w:tr>
        <w:trPr>
          <w:trHeight w:val="229"/>
        </w:trPr>
        <w:tc>
          <w:tcPr>
            <w:tcW w:w="336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12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ind w:lef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(513 )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(513 )</w:t>
            </w:r>
          </w:p>
        </w:tc>
      </w:tr>
      <w:tr>
        <w:trPr>
          <w:trHeight w:val="229"/>
        </w:trPr>
        <w:tc>
          <w:tcPr>
            <w:tcW w:w="33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Dividends on common stock</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(81 )</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(81 )</w:t>
            </w:r>
          </w:p>
        </w:tc>
      </w:tr>
      <w:tr>
        <w:trPr>
          <w:trHeight w:val="229"/>
        </w:trPr>
        <w:tc>
          <w:tcPr>
            <w:tcW w:w="33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442</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442</w:t>
            </w:r>
          </w:p>
        </w:tc>
      </w:tr>
      <w:tr>
        <w:trPr>
          <w:trHeight w:val="223"/>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1,832</w:t>
            </w:r>
          </w:p>
        </w:tc>
        <w:tc>
          <w:tcPr>
            <w:tcW w:w="3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(1,126 )</w:t>
            </w:r>
          </w:p>
        </w:tc>
        <w:tc>
          <w:tcPr>
            <w:tcW w:w="3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(73 )</w:t>
            </w:r>
          </w:p>
        </w:tc>
        <w:tc>
          <w:tcPr>
            <w:tcW w:w="3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634</w:t>
            </w:r>
          </w:p>
        </w:tc>
      </w:tr>
      <w:tr>
        <w:trPr>
          <w:trHeight w:val="229"/>
        </w:trPr>
        <w:tc>
          <w:tcPr>
            <w:tcW w:w="336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ind w:lef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18</w:t>
            </w:r>
          </w:p>
        </w:tc>
      </w:tr>
      <w:tr>
        <w:trPr>
          <w:trHeight w:val="197"/>
        </w:trPr>
        <w:tc>
          <w:tcPr>
            <w:tcW w:w="336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Pension and OPEB liability</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r>
      <w:tr>
        <w:trPr>
          <w:trHeight w:val="235"/>
        </w:trPr>
        <w:tc>
          <w:tcPr>
            <w:tcW w:w="33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w:t>
            </w:r>
          </w:p>
        </w:tc>
      </w:tr>
      <w:tr>
        <w:trPr>
          <w:trHeight w:val="197"/>
        </w:trPr>
        <w:tc>
          <w:tcPr>
            <w:tcW w:w="3360" w:type="dxa"/>
            <w:vAlign w:val="bottom"/>
          </w:tcPr>
          <w:p>
            <w:pPr>
              <w:ind w:left="280"/>
              <w:spacing w:after="0" w:line="197" w:lineRule="exact"/>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5"/>
        </w:trPr>
        <w:tc>
          <w:tcPr>
            <w:tcW w:w="3360" w:type="dxa"/>
            <w:vAlign w:val="bottom"/>
          </w:tcPr>
          <w:p>
            <w:pPr>
              <w:ind w:left="280"/>
              <w:spacing w:after="0"/>
              <w:rPr>
                <w:sz w:val="20"/>
                <w:szCs w:val="20"/>
                <w:color w:val="auto"/>
              </w:rPr>
            </w:pPr>
            <w:r>
              <w:rPr>
                <w:rFonts w:ascii="Arial" w:cs="Arial" w:eastAsia="Arial" w:hAnsi="Arial"/>
                <w:sz w:val="18"/>
                <w:szCs w:val="18"/>
                <w:color w:val="auto"/>
              </w:rPr>
              <w:t>adjustment</w:t>
            </w:r>
          </w:p>
        </w:tc>
        <w:tc>
          <w:tcPr>
            <w:tcW w:w="12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ind w:lef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33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39</w:t>
            </w:r>
          </w:p>
        </w:tc>
      </w:tr>
      <w:tr>
        <w:trPr>
          <w:trHeight w:val="229"/>
        </w:trPr>
        <w:tc>
          <w:tcPr>
            <w:tcW w:w="3360" w:type="dxa"/>
            <w:vAlign w:val="bottom"/>
          </w:tcPr>
          <w:p>
            <w:pPr>
              <w:ind w:left="280"/>
              <w:spacing w:after="0"/>
              <w:rPr>
                <w:sz w:val="20"/>
                <w:szCs w:val="20"/>
                <w:color w:val="auto"/>
              </w:rPr>
            </w:pPr>
            <w:r>
              <w:rPr>
                <w:rFonts w:ascii="Arial" w:cs="Arial" w:eastAsia="Arial" w:hAnsi="Arial"/>
                <w:sz w:val="18"/>
                <w:szCs w:val="18"/>
                <w:color w:val="auto"/>
              </w:rPr>
              <w:t>Issuance of common stock</w:t>
            </w:r>
          </w:p>
        </w:tc>
        <w:tc>
          <w:tcPr>
            <w:tcW w:w="12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ind w:lef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33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Repurchase of common stock</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(278 )</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(278 )</w:t>
            </w:r>
          </w:p>
        </w:tc>
      </w:tr>
      <w:tr>
        <w:trPr>
          <w:trHeight w:val="229"/>
        </w:trPr>
        <w:tc>
          <w:tcPr>
            <w:tcW w:w="336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12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ind w:lef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(80 )</w:t>
            </w:r>
          </w:p>
        </w:tc>
      </w:tr>
      <w:tr>
        <w:trPr>
          <w:trHeight w:val="229"/>
        </w:trPr>
        <w:tc>
          <w:tcPr>
            <w:tcW w:w="33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531</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531</w:t>
            </w: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5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5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1,848</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(953 )</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(22 )</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874</w:t>
            </w:r>
          </w:p>
        </w:tc>
      </w:tr>
      <w:tr>
        <w:trPr>
          <w:trHeight w:val="229"/>
        </w:trPr>
        <w:tc>
          <w:tcPr>
            <w:tcW w:w="33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ind w:left="5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22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22</w:t>
            </w:r>
          </w:p>
        </w:tc>
      </w:tr>
      <w:tr>
        <w:trPr>
          <w:trHeight w:val="197"/>
        </w:trPr>
        <w:tc>
          <w:tcPr>
            <w:tcW w:w="3360" w:type="dxa"/>
            <w:vAlign w:val="bottom"/>
          </w:tcPr>
          <w:p>
            <w:pPr>
              <w:ind w:left="280"/>
              <w:spacing w:after="0" w:line="197" w:lineRule="exact"/>
              <w:rPr>
                <w:sz w:val="20"/>
                <w:szCs w:val="20"/>
                <w:color w:val="auto"/>
              </w:rPr>
            </w:pPr>
            <w:r>
              <w:rPr>
                <w:rFonts w:ascii="Arial" w:cs="Arial" w:eastAsia="Arial" w:hAnsi="Arial"/>
                <w:sz w:val="18"/>
                <w:szCs w:val="18"/>
                <w:color w:val="auto"/>
              </w:rPr>
              <w:t>Pension and OPEB liability</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5"/>
        </w:trPr>
        <w:tc>
          <w:tcPr>
            <w:tcW w:w="3360" w:type="dxa"/>
            <w:vAlign w:val="bottom"/>
          </w:tcPr>
          <w:p>
            <w:pPr>
              <w:ind w:left="280"/>
              <w:spacing w:after="0"/>
              <w:rPr>
                <w:sz w:val="20"/>
                <w:szCs w:val="20"/>
                <w:color w:val="auto"/>
              </w:rPr>
            </w:pPr>
            <w:r>
              <w:rPr>
                <w:rFonts w:ascii="Arial" w:cs="Arial" w:eastAsia="Arial" w:hAnsi="Arial"/>
                <w:sz w:val="18"/>
                <w:szCs w:val="18"/>
                <w:color w:val="auto"/>
              </w:rPr>
              <w:t>adjustment</w:t>
            </w:r>
          </w:p>
        </w:tc>
        <w:tc>
          <w:tcPr>
            <w:tcW w:w="12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(7 )</w:t>
            </w:r>
          </w:p>
        </w:tc>
      </w:tr>
      <w:tr>
        <w:trPr>
          <w:trHeight w:val="197"/>
        </w:trPr>
        <w:tc>
          <w:tcPr>
            <w:tcW w:w="336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Foreign currency translation</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r>
      <w:tr>
        <w:trPr>
          <w:trHeight w:val="235"/>
        </w:trPr>
        <w:tc>
          <w:tcPr>
            <w:tcW w:w="33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ind w:left="5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2</w:t>
            </w:r>
          </w:p>
        </w:tc>
      </w:tr>
      <w:tr>
        <w:trPr>
          <w:trHeight w:val="229"/>
        </w:trPr>
        <w:tc>
          <w:tcPr>
            <w:tcW w:w="3360" w:type="dxa"/>
            <w:vAlign w:val="bottom"/>
          </w:tcPr>
          <w:p>
            <w:pPr>
              <w:ind w:left="280"/>
              <w:spacing w:after="0"/>
              <w:rPr>
                <w:sz w:val="20"/>
                <w:szCs w:val="20"/>
                <w:color w:val="auto"/>
              </w:rPr>
            </w:pPr>
            <w:r>
              <w:rPr>
                <w:rFonts w:ascii="Arial" w:cs="Arial" w:eastAsia="Arial" w:hAnsi="Arial"/>
                <w:sz w:val="18"/>
                <w:szCs w:val="18"/>
                <w:color w:val="auto"/>
              </w:rPr>
              <w:t>Interest rate swaps</w:t>
            </w:r>
          </w:p>
        </w:tc>
        <w:tc>
          <w:tcPr>
            <w:tcW w:w="12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(4 )</w:t>
            </w:r>
          </w:p>
        </w:tc>
      </w:tr>
      <w:tr>
        <w:trPr>
          <w:trHeight w:val="229"/>
        </w:trPr>
        <w:tc>
          <w:tcPr>
            <w:tcW w:w="33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Issuance of common stock</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ind w:left="5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21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21</w:t>
            </w:r>
          </w:p>
        </w:tc>
      </w:tr>
      <w:tr>
        <w:trPr>
          <w:trHeight w:val="229"/>
        </w:trPr>
        <w:tc>
          <w:tcPr>
            <w:tcW w:w="336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12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(265 )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(265 )</w:t>
            </w:r>
          </w:p>
        </w:tc>
      </w:tr>
      <w:tr>
        <w:trPr>
          <w:trHeight w:val="229"/>
        </w:trPr>
        <w:tc>
          <w:tcPr>
            <w:tcW w:w="33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Dividends on common stock</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ind w:left="5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(83 )</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(83 )</w:t>
            </w:r>
          </w:p>
        </w:tc>
      </w:tr>
      <w:tr>
        <w:trPr>
          <w:trHeight w:val="229"/>
        </w:trPr>
        <w:tc>
          <w:tcPr>
            <w:tcW w:w="33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673</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673</w:t>
            </w:r>
          </w:p>
        </w:tc>
      </w:tr>
      <w:tr>
        <w:trPr>
          <w:trHeight w:val="263"/>
        </w:trPr>
        <w:tc>
          <w:tcPr>
            <w:tcW w:w="3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December 31, 2023</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1</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1,891</w:t>
            </w:r>
          </w:p>
        </w:tc>
        <w:tc>
          <w:tcPr>
            <w:tcW w:w="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(628 )</w:t>
            </w:r>
          </w:p>
        </w:tc>
        <w:tc>
          <w:tcPr>
            <w:tcW w:w="1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(31 )</w:t>
            </w:r>
          </w:p>
        </w:tc>
        <w:tc>
          <w:tcPr>
            <w:tcW w:w="1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1,233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2770505</wp:posOffset>
            </wp:positionH>
            <wp:positionV relativeFrom="paragraph">
              <wp:posOffset>-1754505</wp:posOffset>
            </wp:positionV>
            <wp:extent cx="1111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-1754505</wp:posOffset>
            </wp:positionV>
            <wp:extent cx="1111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-1754505</wp:posOffset>
            </wp:positionV>
            <wp:extent cx="1028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-1754505</wp:posOffset>
            </wp:positionV>
            <wp:extent cx="1028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-1754505</wp:posOffset>
            </wp:positionV>
            <wp:extent cx="1028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-1754505</wp:posOffset>
            </wp:positionV>
            <wp:extent cx="1028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-24765</wp:posOffset>
            </wp:positionV>
            <wp:extent cx="1111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-7620</wp:posOffset>
            </wp:positionV>
            <wp:extent cx="1111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-24765</wp:posOffset>
            </wp:positionV>
            <wp:extent cx="1111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-7620</wp:posOffset>
            </wp:positionV>
            <wp:extent cx="1111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-24765</wp:posOffset>
            </wp:positionV>
            <wp:extent cx="1028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-7620</wp:posOffset>
            </wp:positionV>
            <wp:extent cx="1028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-24765</wp:posOffset>
            </wp:positionV>
            <wp:extent cx="1028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-7620</wp:posOffset>
            </wp:positionV>
            <wp:extent cx="1028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-24765</wp:posOffset>
            </wp:positionV>
            <wp:extent cx="1028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-7620</wp:posOffset>
            </wp:positionV>
            <wp:extent cx="1028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-24765</wp:posOffset>
            </wp:positionV>
            <wp:extent cx="1028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-7620</wp:posOffset>
            </wp:positionV>
            <wp:extent cx="1028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Allison Transmission Holdings,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155" w:lineRule="exact"/>
        <w:rPr>
          <w:sz w:val="20"/>
          <w:szCs w:val="20"/>
          <w:color w:val="auto"/>
        </w:rPr>
      </w:pPr>
    </w:p>
    <w:p>
      <w:pPr>
        <w:ind w:right="80" w:firstLine="494"/>
        <w:spacing w:after="0" w:line="246" w:lineRule="auto"/>
        <w:rPr>
          <w:sz w:val="20"/>
          <w:szCs w:val="20"/>
          <w:color w:val="auto"/>
        </w:rPr>
      </w:pPr>
      <w:r>
        <w:rPr>
          <w:rFonts w:ascii="Arial" w:cs="Arial" w:eastAsia="Arial" w:hAnsi="Arial"/>
          <w:sz w:val="18"/>
          <w:szCs w:val="18"/>
          <w:color w:val="auto"/>
        </w:rPr>
        <w:t>Allison Transmission Holdings, Inc. and its subsidiaries (“Allison” or the “Company”)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trades on the New York Stock Exchange under the symbol, “ALSN”.</w:t>
      </w:r>
    </w:p>
    <w:p>
      <w:pPr>
        <w:spacing w:after="0" w:line="122" w:lineRule="exact"/>
        <w:rPr>
          <w:sz w:val="20"/>
          <w:szCs w:val="20"/>
          <w:color w:val="auto"/>
        </w:rPr>
      </w:pPr>
    </w:p>
    <w:p>
      <w:pPr>
        <w:ind w:right="480" w:firstLine="494"/>
        <w:spacing w:after="0" w:line="252" w:lineRule="auto"/>
        <w:rPr>
          <w:sz w:val="20"/>
          <w:szCs w:val="20"/>
          <w:color w:val="auto"/>
        </w:rPr>
      </w:pPr>
      <w:r>
        <w:rPr>
          <w:rFonts w:ascii="Arial" w:cs="Arial" w:eastAsia="Arial" w:hAnsi="Arial"/>
          <w:sz w:val="18"/>
          <w:szCs w:val="18"/>
          <w:color w:val="auto"/>
        </w:rPr>
        <w:t>The Company has a global presence by serving customers in North America, Asia, Europe, South America, and Africa, with approximately 75% of its revenues being generated in North America in 2023. The Company serves customers through an independent network of approximately 1,600 independent distributor and dealer locations worldwide.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55" w:lineRule="exact"/>
        <w:rPr>
          <w:sz w:val="20"/>
          <w:szCs w:val="20"/>
          <w:color w:val="auto"/>
        </w:rPr>
      </w:pPr>
    </w:p>
    <w:p>
      <w:pPr>
        <w:ind w:right="120" w:firstLine="494"/>
        <w:spacing w:after="0" w:line="246"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(“GAAP”). The information herein reflects all normal recurring material adjustments, which are, in the opinion of management, necessary for a fair statement of the results for the periods presented. The consolidated financial statements herein consist of all wholly-owned domestic and foreign subsidiaries with all significant intercompany transactions eliminated.</w:t>
      </w:r>
    </w:p>
    <w:p>
      <w:pPr>
        <w:spacing w:after="0" w:line="122" w:lineRule="exact"/>
        <w:rPr>
          <w:sz w:val="20"/>
          <w:szCs w:val="20"/>
          <w:color w:val="auto"/>
        </w:rPr>
      </w:pPr>
    </w:p>
    <w:p>
      <w:pPr>
        <w:ind w:right="60" w:firstLine="494"/>
        <w:spacing w:after="0" w:line="246" w:lineRule="auto"/>
        <w:rPr>
          <w:sz w:val="20"/>
          <w:szCs w:val="20"/>
          <w:color w:val="auto"/>
        </w:rPr>
      </w:pPr>
      <w:r>
        <w:rPr>
          <w:rFonts w:ascii="Arial" w:cs="Arial" w:eastAsia="Arial" w:hAnsi="Arial"/>
          <w:sz w:val="18"/>
          <w:szCs w:val="18"/>
          <w:color w:val="auto"/>
        </w:rPr>
        <w:t>These consolidated financial statements present the financial position, results of comprehensive income, cash flows and statements of stockholders’ equity. Certain immaterial reclassifications have been made in the consolidated financial statements of prior periods to conform to the current period presentation. These reclassifications had no material impact on previously reported net income, total stockholders’ equity or cash flows.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5"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incentives, government price adjustments, fair market values and future cash flows associated with goodwill, indefinite-lived intangibles, definite-lived intangibles, long-lived asset impairment tests, useful lives for depreciation and amortization, warranty liabilities, core deposit liabilities, determination of discount rate and other assumptions for pension and other post-retirement benefit (“OPEB”) expense, income taxes and deferred tax valuation allowances, derivative valuation, assumptions for business combinations and contingencies. The Company’s accounting policies involve the application of judgments and assumptions made by management that include inherent risks and uncertainties. Actual results could differ materially from these estimates and from the assumptions used in the preparation of the Company's financial statements. Changes in estimates are recorded in results of operations in the period that the events or circumstances giving rise to such changes occur.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55" w:lineRule="exact"/>
        <w:rPr>
          <w:sz w:val="20"/>
          <w:szCs w:val="20"/>
          <w:color w:val="auto"/>
        </w:rPr>
      </w:pPr>
    </w:p>
    <w:p>
      <w:pPr>
        <w:ind w:right="120" w:firstLine="494"/>
        <w:spacing w:after="0" w:line="252" w:lineRule="auto"/>
        <w:rPr>
          <w:sz w:val="20"/>
          <w:szCs w:val="20"/>
          <w:color w:val="auto"/>
        </w:rPr>
      </w:pPr>
      <w:r>
        <w:rPr>
          <w:rFonts w:ascii="Arial" w:cs="Arial" w:eastAsia="Arial" w:hAnsi="Arial"/>
          <w:sz w:val="18"/>
          <w:szCs w:val="18"/>
          <w:color w:val="auto"/>
        </w:rPr>
        <w:t>In accordance with the Financial Accounting Standards Board’s (“FASB”) authoritative accounting guidance on segment reporting, the Company has one operating segment and reportable segment. The Company is in one line of business, which is the manufacture and distribution of vehicle propulsion solutions.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55" w:lineRule="exact"/>
        <w:rPr>
          <w:sz w:val="20"/>
          <w:szCs w:val="20"/>
          <w:color w:val="auto"/>
        </w:rPr>
      </w:pPr>
    </w:p>
    <w:p>
      <w:pPr>
        <w:ind w:right="80" w:firstLine="494"/>
        <w:spacing w:after="0" w:line="243" w:lineRule="auto"/>
        <w:rPr>
          <w:sz w:val="20"/>
          <w:szCs w:val="20"/>
          <w:color w:val="auto"/>
        </w:rPr>
      </w:pPr>
      <w:r>
        <w:rPr>
          <w:rFonts w:ascii="Arial" w:cs="Arial" w:eastAsia="Arial" w:hAnsi="Arial"/>
          <w:sz w:val="18"/>
          <w:szCs w:val="18"/>
          <w:color w:val="auto"/>
        </w:rPr>
        <w:t>The Company uses the acquisition method to account for business combinations. The assets acquired and liabilities assumed are recorded at their respective estimated fair value at the date of acquisition. Any excess purchase price over the fair values of the acquired net assets is recorded as goodwill. Determining the fair values of assets acquired and liabilities assumed requires management's judgment and includes the use of estimates with respect to timing and amount of future cash flows, market rate assumptions, actuarial assumptions, appropriate discount rates and other relevant factors.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5" w:lineRule="exact"/>
        <w:rPr>
          <w:sz w:val="20"/>
          <w:szCs w:val="20"/>
          <w:color w:val="auto"/>
        </w:rPr>
      </w:pPr>
    </w:p>
    <w:p>
      <w:pPr>
        <w:ind w:right="40" w:firstLine="494"/>
        <w:spacing w:after="0" w:line="246" w:lineRule="auto"/>
        <w:rPr>
          <w:sz w:val="20"/>
          <w:szCs w:val="20"/>
          <w:color w:val="auto"/>
        </w:rPr>
      </w:pPr>
      <w:r>
        <w:rPr>
          <w:rFonts w:ascii="Arial" w:cs="Arial" w:eastAsia="Arial" w:hAnsi="Arial"/>
          <w:sz w:val="18"/>
          <w:szCs w:val="18"/>
          <w:color w:val="auto"/>
        </w:rPr>
        <w:t>Cash equivalents are defined as short-term, highly-liquid investments with original maturities of 90 days or less. Under the Company’s cash management system, checks issued but not presented to banks may result in book overdraft balances for accounting purposes and are classified within Accounts payable in the Consolidated Balance Sheets. The change in book overdrafts is reported as a component of operating cash flows for Accounts payable.</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Investments</w:t>
      </w:r>
    </w:p>
    <w:p>
      <w:pPr>
        <w:spacing w:after="0" w:line="155"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Investments in equity securities where the Company is able to exercise significant influence, but not control, are accounted for under the equity method. Significant influence is typically considered to exist when the Company's ownership interest in the investee is between 20% and 50%, although other factors, such as representation on the investee's board of directors and the impact of commercial arrangements, also are considered. Investments in limited partnerships and limited liability companies are also accounted for using the equity method if the Company's investment is more than minor or if the Company is the general partner. Under the equity method of accounting, the investment is initially recorded at cost and subsequently adjusted by the Company's proportionate share of the entity's net income, with adjustments recognized in Other income (expense), net.</w:t>
      </w:r>
    </w:p>
    <w:p>
      <w:pPr>
        <w:spacing w:after="0" w:line="129" w:lineRule="exact"/>
        <w:rPr>
          <w:sz w:val="20"/>
          <w:szCs w:val="20"/>
          <w:color w:val="auto"/>
        </w:rPr>
      </w:pPr>
    </w:p>
    <w:p>
      <w:pPr>
        <w:ind w:right="120" w:firstLine="494"/>
        <w:spacing w:after="0" w:line="243" w:lineRule="auto"/>
        <w:rPr>
          <w:sz w:val="20"/>
          <w:szCs w:val="20"/>
          <w:color w:val="auto"/>
        </w:rPr>
      </w:pPr>
      <w:r>
        <w:rPr>
          <w:rFonts w:ascii="Arial" w:cs="Arial" w:eastAsia="Arial" w:hAnsi="Arial"/>
          <w:sz w:val="18"/>
          <w:szCs w:val="18"/>
          <w:color w:val="auto"/>
        </w:rPr>
        <w:t>Investments in equity securities with a readily determinable fair value, not accounted for under the equity method, are recorded at fair value with unrealized gains and losses included in Other income (expense), net. For equity securities without a readily determinable fair value, the investments are recorded utilizing the measurement alternative at cost, less any impairment, plus or minus adjustments related to observable transactions for the same or similar securities, with gains and losses included in Other income (expense), net. See "Note 7. Fair Value of Financial Instruments" for more details on the Company's investments in equity securities.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Inventories</w:t>
      </w:r>
    </w:p>
    <w:p>
      <w:pPr>
        <w:spacing w:after="0" w:line="155" w:lineRule="exact"/>
        <w:rPr>
          <w:sz w:val="20"/>
          <w:szCs w:val="20"/>
          <w:color w:val="auto"/>
        </w:rPr>
      </w:pPr>
    </w:p>
    <w:p>
      <w:pPr>
        <w:ind w:firstLine="494"/>
        <w:spacing w:after="0" w:line="246" w:lineRule="auto"/>
        <w:rPr>
          <w:sz w:val="20"/>
          <w:szCs w:val="20"/>
          <w:color w:val="auto"/>
        </w:rPr>
      </w:pPr>
      <w:r>
        <w:rPr>
          <w:rFonts w:ascii="Arial" w:cs="Arial" w:eastAsia="Arial" w:hAnsi="Arial"/>
          <w:sz w:val="18"/>
          <w:szCs w:val="18"/>
          <w:color w:val="auto"/>
        </w:rPr>
        <w:t>Inventories are stated at the lower of cost or net realizable value. The Company determines cost using the first-in, first-out method. The Company analyzes inventory on a quarterly basis to determine whether it is excess or obsolete inventory. Any decline in carrying value of estimated excess or obsolete inventory is recorded as a reduction of inventory and as an expense included in Cost of sales in the period it is identified.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55" w:lineRule="exact"/>
        <w:rPr>
          <w:sz w:val="20"/>
          <w:szCs w:val="20"/>
          <w:color w:val="auto"/>
        </w:rPr>
      </w:pPr>
    </w:p>
    <w:p>
      <w:pPr>
        <w:ind w:right="680" w:firstLine="494"/>
        <w:spacing w:after="0" w:line="271" w:lineRule="auto"/>
        <w:rPr>
          <w:sz w:val="20"/>
          <w:szCs w:val="20"/>
          <w:color w:val="auto"/>
        </w:rPr>
      </w:pPr>
      <w:r>
        <w:rPr>
          <w:rFonts w:ascii="Arial" w:cs="Arial" w:eastAsia="Arial" w:hAnsi="Arial"/>
          <w:sz w:val="18"/>
          <w:szCs w:val="18"/>
          <w:color w:val="auto"/>
        </w:rPr>
        <w:t>Property, plant and equipment are recorded at cost less accumulated depreciation. Depreciation expense is recorded using the straight-line method over the following estimated lives: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Range in</w:t>
            </w:r>
          </w:p>
        </w:tc>
      </w:tr>
      <w:tr>
        <w:trPr>
          <w:trHeight w:val="185"/>
        </w:trPr>
        <w:tc>
          <w:tcPr>
            <w:tcW w:w="924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Years</w:t>
            </w:r>
          </w:p>
        </w:tc>
      </w:tr>
      <w:tr>
        <w:trPr>
          <w:trHeight w:val="223"/>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 improvements</w:t>
            </w:r>
          </w:p>
        </w:tc>
        <w:tc>
          <w:tcPr>
            <w:tcW w:w="2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 – 30</w:t>
            </w: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10 – 40</w:t>
            </w: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Machinery and equipment</w:t>
            </w:r>
          </w:p>
        </w:tc>
        <w:tc>
          <w:tcPr>
            <w:tcW w:w="2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 – 20</w:t>
            </w: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Software</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2 – 5</w:t>
            </w: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Special tooling</w:t>
            </w:r>
          </w:p>
        </w:tc>
        <w:tc>
          <w:tcPr>
            <w:tcW w:w="2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 – 10</w:t>
            </w:r>
          </w:p>
        </w:tc>
      </w:tr>
    </w:tbl>
    <w:p>
      <w:pPr>
        <w:spacing w:after="0" w:line="170" w:lineRule="exact"/>
        <w:rPr>
          <w:sz w:val="20"/>
          <w:szCs w:val="20"/>
          <w:color w:val="auto"/>
        </w:rPr>
      </w:pPr>
    </w:p>
    <w:p>
      <w:pPr>
        <w:ind w:right="80" w:firstLine="494"/>
        <w:spacing w:after="0" w:line="243" w:lineRule="auto"/>
        <w:rPr>
          <w:sz w:val="20"/>
          <w:szCs w:val="20"/>
          <w:color w:val="auto"/>
        </w:rPr>
      </w:pPr>
      <w:r>
        <w:rPr>
          <w:rFonts w:ascii="Arial" w:cs="Arial" w:eastAsia="Arial" w:hAnsi="Arial"/>
          <w:sz w:val="18"/>
          <w:szCs w:val="18"/>
          <w:color w:val="auto"/>
        </w:rPr>
        <w:t>Software represents the costs of software developed or obtained for internal use. Software costs are amortized on a straight-line basis over their estimated useful lives. Software assets are reviewed for impairment when events or circumstances indicate that the carrying value may not be recoverable over the remaining lives of the assets. Upgrades and enhancements are capitalized if they result in added functionality, which enables the software to perform tasks it was previously incapable of performing. Software maintenance, training, data conversion and business process reengineering costs are expensed in the period in which they are incurred.</w:t>
      </w:r>
    </w:p>
    <w:p>
      <w:pPr>
        <w:spacing w:after="0" w:line="125" w:lineRule="exact"/>
        <w:rPr>
          <w:sz w:val="20"/>
          <w:szCs w:val="20"/>
          <w:color w:val="auto"/>
        </w:rPr>
      </w:pPr>
    </w:p>
    <w:p>
      <w:pPr>
        <w:ind w:firstLine="494"/>
        <w:spacing w:after="0" w:line="246" w:lineRule="auto"/>
        <w:rPr>
          <w:sz w:val="20"/>
          <w:szCs w:val="20"/>
          <w:color w:val="auto"/>
        </w:rPr>
      </w:pPr>
      <w:r>
        <w:rPr>
          <w:rFonts w:ascii="Arial" w:cs="Arial" w:eastAsia="Arial" w:hAnsi="Arial"/>
          <w:sz w:val="18"/>
          <w:szCs w:val="18"/>
          <w:color w:val="auto"/>
        </w:rPr>
        <w:t>Special tooling represents the costs to design and develop tools, dies, jigs and other items owned by the Company and used in the manufacture of components by suppliers under long-term supply agreements. Special tooling is depreciated on a straight-line basis over the tool’s expected useful life. Special tooling used in the development of new technology is expensed as incurred. Engineering, testing and other costs incurred in the design and development of production parts are expensed as incurred.</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5" w:lineRule="exact"/>
        <w:rPr>
          <w:sz w:val="20"/>
          <w:szCs w:val="20"/>
          <w:color w:val="auto"/>
        </w:rPr>
      </w:pPr>
    </w:p>
    <w:p>
      <w:pPr>
        <w:ind w:firstLine="494"/>
        <w:spacing w:after="0" w:line="243" w:lineRule="auto"/>
        <w:rPr>
          <w:sz w:val="20"/>
          <w:szCs w:val="20"/>
          <w:color w:val="auto"/>
        </w:rPr>
      </w:pPr>
      <w:r>
        <w:rPr>
          <w:rFonts w:ascii="Arial" w:cs="Arial" w:eastAsia="Arial" w:hAnsi="Arial"/>
          <w:sz w:val="18"/>
          <w:szCs w:val="18"/>
          <w:color w:val="auto"/>
        </w:rPr>
        <w:t>The carrying value of long-lived assets is evaluated whenever events or circumstances indicate that the carrying value of an asset may not be recoverable. Events or circumstances that would result in an impairment review primarily include a significant change in the use of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w:t>
      </w:r>
    </w:p>
    <w:p>
      <w:pPr>
        <w:spacing w:after="0" w:line="125" w:lineRule="exact"/>
        <w:rPr>
          <w:sz w:val="20"/>
          <w:szCs w:val="20"/>
          <w:color w:val="auto"/>
        </w:rPr>
      </w:pPr>
    </w:p>
    <w:p>
      <w:pPr>
        <w:ind w:right="60" w:firstLine="494"/>
        <w:spacing w:after="0" w:line="246" w:lineRule="auto"/>
        <w:rPr>
          <w:sz w:val="20"/>
          <w:szCs w:val="20"/>
          <w:color w:val="auto"/>
        </w:rPr>
      </w:pPr>
      <w:r>
        <w:rPr>
          <w:rFonts w:ascii="Arial" w:cs="Arial" w:eastAsia="Arial" w:hAnsi="Arial"/>
          <w:sz w:val="18"/>
          <w:szCs w:val="18"/>
          <w:color w:val="auto"/>
        </w:rPr>
        <w:t>Assumptions and estimates used to determine cash flows in the evaluation of impairment and the fair values used to determine the impairment are subject to a degree of judgment and complexity. Any changes to the assumptions and estimates resulting from changes in actual results or market conditions from those anticipated may affect the carrying value of long-lived assets and could result in an impairment charge.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55"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The Company has elected to perform its annual impairment tests for goodwill and indefinite-lived intangible assets on October 31 of every year using a multi-step impairment test. In Step 0, the Company has the option to evaluate various qualitative factors to determine the likelihood of impairment. If the Company determines that the fair value is more likely than not less than the carrying value, then it is required to perform Step 1. If the Company does not elect to perform Step 0, it can voluntarily proceed directly to Step 1. In Step 1, the Company performs a quantitative analysis to compare the fair value to its carrying value. If the fair value exceeds the carrying value, no impairment is recorded, and the Company is not required to perform further testing. If the carrying value exceeds fair value, the Company would record an impairment loss equal to the difference.</w:t>
      </w:r>
    </w:p>
    <w:p>
      <w:pPr>
        <w:spacing w:after="0" w:line="129" w:lineRule="exact"/>
        <w:rPr>
          <w:sz w:val="20"/>
          <w:szCs w:val="20"/>
          <w:color w:val="auto"/>
        </w:rPr>
      </w:pPr>
    </w:p>
    <w:p>
      <w:pPr>
        <w:jc w:val="both"/>
        <w:ind w:right="400" w:firstLine="494"/>
        <w:spacing w:after="0" w:line="252" w:lineRule="auto"/>
        <w:rPr>
          <w:sz w:val="20"/>
          <w:szCs w:val="20"/>
          <w:color w:val="auto"/>
        </w:rPr>
      </w:pPr>
      <w:r>
        <w:rPr>
          <w:rFonts w:ascii="Arial" w:cs="Arial" w:eastAsia="Arial" w:hAnsi="Arial"/>
          <w:sz w:val="18"/>
          <w:szCs w:val="18"/>
          <w:color w:val="auto"/>
        </w:rPr>
        <w:t>A qualitative assessment contains uncertainties because it requires management to make assumptions and to apply judgment to assess business changes, economic outlook, financial trends and forecasts, growth rates, credit ratings, equity ratings, discount rates, industry data and other relevant qualitative factors.</w:t>
      </w:r>
    </w:p>
    <w:p>
      <w:pPr>
        <w:spacing w:after="0" w:line="117" w:lineRule="exact"/>
        <w:rPr>
          <w:sz w:val="20"/>
          <w:szCs w:val="20"/>
          <w:color w:val="auto"/>
        </w:rPr>
      </w:pPr>
    </w:p>
    <w:p>
      <w:pPr>
        <w:ind w:firstLine="494"/>
        <w:spacing w:after="0" w:line="246" w:lineRule="auto"/>
        <w:rPr>
          <w:sz w:val="20"/>
          <w:szCs w:val="20"/>
          <w:color w:val="auto"/>
        </w:rPr>
      </w:pPr>
      <w:r>
        <w:rPr>
          <w:rFonts w:ascii="Arial" w:cs="Arial" w:eastAsia="Arial" w:hAnsi="Arial"/>
          <w:sz w:val="18"/>
          <w:szCs w:val="18"/>
          <w:color w:val="auto"/>
        </w:rPr>
        <w:t>A quantitative analysis contains uncertainties because it is performed utilizing a discounted cash flow model which includes key assumptions, such as financial forecasts; net sales growth derived from market information, industry reports, marketing programs and future new product introductions; operating margin improvements derived from cost reduction programs and fixed cost leverage driven by higher sales volumes; and a risk-adjusted discount rate.</w:t>
      </w:r>
    </w:p>
    <w:p>
      <w:pPr>
        <w:spacing w:after="0" w:line="122" w:lineRule="exact"/>
        <w:rPr>
          <w:sz w:val="20"/>
          <w:szCs w:val="20"/>
          <w:color w:val="auto"/>
        </w:rPr>
      </w:pPr>
    </w:p>
    <w:p>
      <w:pPr>
        <w:ind w:right="60" w:firstLine="494"/>
        <w:spacing w:after="0" w:line="243" w:lineRule="auto"/>
        <w:rPr>
          <w:sz w:val="20"/>
          <w:szCs w:val="20"/>
          <w:color w:val="auto"/>
        </w:rPr>
      </w:pPr>
      <w:r>
        <w:rPr>
          <w:rFonts w:ascii="Arial" w:cs="Arial" w:eastAsia="Arial" w:hAnsi="Arial"/>
          <w:sz w:val="18"/>
          <w:szCs w:val="18"/>
          <w:color w:val="auto"/>
        </w:rPr>
        <w:t>Goodwill represents the excess of purchase price paid over the fair value of net assets acquired. In accordance with the FASB’s authoritative accounting guidance on goodwill, the Company does not amortize goodwill but rather evaluates it for impairment on an annual basis, or more often if events or circumstances change that could cause goodwill to become impaired. Goodwill is tested for impairment at the reporting unit level, which is the same as the Company's one operating and reportable segment. The Company does not aggregate any components into its reporting unit.</w:t>
      </w:r>
    </w:p>
    <w:p>
      <w:pPr>
        <w:spacing w:after="0" w:line="125" w:lineRule="exact"/>
        <w:rPr>
          <w:sz w:val="20"/>
          <w:szCs w:val="20"/>
          <w:color w:val="auto"/>
        </w:rPr>
      </w:pPr>
    </w:p>
    <w:p>
      <w:pPr>
        <w:ind w:right="60" w:firstLine="494"/>
        <w:spacing w:after="0" w:line="246" w:lineRule="auto"/>
        <w:rPr>
          <w:sz w:val="20"/>
          <w:szCs w:val="20"/>
          <w:color w:val="auto"/>
        </w:rPr>
      </w:pPr>
      <w:r>
        <w:rPr>
          <w:rFonts w:ascii="Arial" w:cs="Arial" w:eastAsia="Arial" w:hAnsi="Arial"/>
          <w:sz w:val="18"/>
          <w:szCs w:val="18"/>
          <w:color w:val="auto"/>
        </w:rPr>
        <w:t>Goodwill impairment testing for 2023 was performed using the Step 0 analysis by assessing certain qualitative trends and factors. These trends and factors were compared to, and based on, the assumptions used in prior years. After reviewing the various qualitative factors mentioned above, the Company's 2023 annual goodwill impairment test indicated that the fair value for the reporting unit more likely than not exceeded its carrying value, indicating no impairment.</w:t>
      </w:r>
    </w:p>
    <w:p>
      <w:pPr>
        <w:spacing w:after="0" w:line="1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8" w:right="45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firstLine="494"/>
        <w:spacing w:after="0" w:line="243" w:lineRule="auto"/>
        <w:rPr>
          <w:sz w:val="20"/>
          <w:szCs w:val="20"/>
          <w:color w:val="auto"/>
        </w:rPr>
      </w:pPr>
      <w:r>
        <w:rPr>
          <w:rFonts w:ascii="Arial" w:cs="Arial" w:eastAsia="Arial" w:hAnsi="Arial"/>
          <w:sz w:val="18"/>
          <w:szCs w:val="18"/>
          <w:color w:val="auto"/>
        </w:rPr>
        <w:t>Other intangible assets have both indefinite and finite useful lives. Intangible assets with indefinite useful lives are not amortized but are tested annually for impairment, or more often if events or circumstances change that could cause intangible assets with indefinite useful lives to become impaired. After reviewing the various qualitative factors mentioned above, the Company's annual 2023 indefinite-lived intangible assets impairment tests, as of October 31, 2023, indicated that the fair value of its indefinite-lived intangible assets more likely than not exceeded their respective carrying value, indicating no impairment.</w:t>
      </w:r>
    </w:p>
    <w:p>
      <w:pPr>
        <w:spacing w:after="0" w:line="125"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Intangible assets with finite lives are amortized over their estimated useful lives and reviewed for impairment when circumstances change that would create a triggering event. Customer relationships are amortized over the life in which expected benefits are to be consumed. The other remaining finite life intangibles are amortized on a straight-line basis over their useful lives. The Company evaluates the remaining useful life of the other intangible assets on a periodic basis to determine whether events or circumstances warrant a revision to the remaining useful life. Assumptions and estimates about future values and remaining useful lives of the Company's intangible and other long-lived assets are complex and subjective. Such assumptions and estimates can be affected by a variety of factors, including external factors such as industry and economic trends, and internal factors, such as changes in the Company's business strategy and internal forecasts. Although management believes the historical assumptions and estimates are reasonable and appropriate, different assumptions and estimates could materially impact the Company's reported financial results. Further information is provided in "Note 6. Goodwill and Other Intangible Assets.”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55" w:lineRule="exact"/>
        <w:rPr>
          <w:sz w:val="20"/>
          <w:szCs w:val="20"/>
          <w:color w:val="auto"/>
        </w:rPr>
      </w:pPr>
    </w:p>
    <w:p>
      <w:pPr>
        <w:ind w:right="60" w:firstLine="494"/>
        <w:spacing w:after="0" w:line="243" w:lineRule="auto"/>
        <w:rPr>
          <w:sz w:val="20"/>
          <w:szCs w:val="20"/>
          <w:color w:val="auto"/>
        </w:rPr>
      </w:pPr>
      <w:r>
        <w:rPr>
          <w:rFonts w:ascii="Arial" w:cs="Arial" w:eastAsia="Arial" w:hAnsi="Arial"/>
          <w:sz w:val="18"/>
          <w:szCs w:val="18"/>
          <w:color w:val="auto"/>
        </w:rPr>
        <w:t>The deferred financing costs related to line-of-credit arrangements are presented as a component of other non-current assets. The deferred financing costs related to other types of debt instruments such as notes and loans are presented as a component of long-term debt. Deferred financing costs continue to be amortized over the life of the related debt using the effective interest method. Amortization of deferred financing costs is recorded as part of interest expense and totaled $4 million for each of the years ended December 31, 2023, 2022 and 2021.</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55"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The Company’s cash equivalents are invested in U.S. government backed securities and recorded at fair value in the Consolidated Balance Sheets. The Company's marketable securities are carried at fair value on the Consolidated Balance Sheets. The Company’s financial derivative instruments, including interest rate swaps, are carried at fair value on the Consolidated Balance Sheets. Refer to "Note 7. Fair Value of Financial Instruments” for more detail. The Company’s long-term debt obligations are carried at historical amounts with the Company providing fair value disclosure in "Note 8. Debt”. The carrying values of accounts receivable and accounts payable approximate fair value due to their short-term nature.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Insurable Liabilities</w:t>
      </w:r>
    </w:p>
    <w:p>
      <w:pPr>
        <w:spacing w:after="0" w:line="155" w:lineRule="exact"/>
        <w:rPr>
          <w:sz w:val="20"/>
          <w:szCs w:val="20"/>
          <w:color w:val="auto"/>
        </w:rPr>
      </w:pPr>
    </w:p>
    <w:p>
      <w:pPr>
        <w:ind w:firstLine="494"/>
        <w:spacing w:after="0" w:line="252" w:lineRule="auto"/>
        <w:rPr>
          <w:sz w:val="20"/>
          <w:szCs w:val="20"/>
          <w:color w:val="auto"/>
        </w:rPr>
      </w:pPr>
      <w:r>
        <w:rPr>
          <w:rFonts w:ascii="Arial" w:cs="Arial" w:eastAsia="Arial" w:hAnsi="Arial"/>
          <w:sz w:val="18"/>
          <w:szCs w:val="18"/>
          <w:color w:val="auto"/>
        </w:rPr>
        <w:t>The Company records liabilities for its medical, workers’ compensation, long-term disability, product, general and auto liabilities. The determination of these liabilities and related expenses is dependent on claims experience. For most of these liabilities, claims incurred but not yet reported are estimated based upon historical claims experience.</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5" w:lineRule="exact"/>
        <w:rPr>
          <w:sz w:val="20"/>
          <w:szCs w:val="20"/>
          <w:color w:val="auto"/>
        </w:rPr>
      </w:pPr>
    </w:p>
    <w:p>
      <w:pPr>
        <w:ind w:right="120" w:firstLine="494"/>
        <w:spacing w:after="0"/>
        <w:rPr>
          <w:sz w:val="20"/>
          <w:szCs w:val="20"/>
          <w:color w:val="auto"/>
        </w:rPr>
      </w:pPr>
      <w:r>
        <w:rPr>
          <w:rFonts w:ascii="Arial" w:cs="Arial" w:eastAsia="Arial" w:hAnsi="Arial"/>
          <w:sz w:val="18"/>
          <w:szCs w:val="18"/>
          <w:color w:val="auto"/>
        </w:rPr>
        <w:t>The Company records sales as each distinct performance obligation within a contract is satisfied. The Company sells extended transmission coverage (“ETC”) for which sales are deferred. ETC sales are recognized ratably over the period of coverage, which typically ranges from one to five years after the standard warranty coverage ends. Costs associated with ETC programs are recorded as incurred during the extended period. Distributor and customer sales incentives, consisting of allowances and other rebates, are recorded as a reduction to Net sales when it is determined that the adjustment is not likely to reverse, historically on a quarterly basis. Incentive programs are generally product specific or region specific. Some factors used in estimating when an adjustment is not likely to reverse are the number of transmissions that will be affected by the incentive program and rate of acceptance of any incentive program.</w:t>
      </w:r>
    </w:p>
    <w:p>
      <w:pPr>
        <w:spacing w:after="0" w:line="129"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Sales under U.S. government production contracts are recognized at the point in time when control passes to the customer, or when the U.S. government accepts the transmission and is able to direct its use in certain bill-and-hold arrangements. Deferred revenue arises from cash received in advance of the culmination of the earnings process and is recognized as revenue in future periods when the applicable revenue recognition criteria have been met. Under the terms of certain previous U.S. government contracts, there were certain price reduction clauses and provisions for potential price reductions which were estimated at the time of sale based upon the Company’s history and experience and were recorded as a reduction to Net sales. Potential reductions may be attributed to a change in projected sales volumes or plant efficiencies which impact overall costs. The Company had $54 million recorded in the price reduction reserve account as of both December 31, 2023 and 2022.</w:t>
      </w:r>
    </w:p>
    <w:p>
      <w:pPr>
        <w:spacing w:after="0" w:line="131" w:lineRule="exact"/>
        <w:rPr>
          <w:sz w:val="20"/>
          <w:szCs w:val="20"/>
          <w:color w:val="auto"/>
        </w:rPr>
      </w:pPr>
    </w:p>
    <w:p>
      <w:pPr>
        <w:ind w:right="100" w:firstLine="494"/>
        <w:spacing w:after="0" w:line="252" w:lineRule="auto"/>
        <w:rPr>
          <w:sz w:val="20"/>
          <w:szCs w:val="20"/>
          <w:color w:val="auto"/>
        </w:rPr>
      </w:pPr>
      <w:r>
        <w:rPr>
          <w:rFonts w:ascii="Arial" w:cs="Arial" w:eastAsia="Arial" w:hAnsi="Arial"/>
          <w:sz w:val="18"/>
          <w:szCs w:val="18"/>
          <w:color w:val="auto"/>
        </w:rPr>
        <w:t>The Company engages in licensing agreements with certain third parties for the use of the Company’s intellectual property. Deferred revenue arises from cash received in advance of the period of use of the intellectual property. Revenue is recognized over the license period as it is earned.</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classifies shipping and handling billed to customers in Net sales and shipping and handling costs in Cost of sales.</w:t>
      </w:r>
    </w:p>
    <w:p>
      <w:pPr>
        <w:spacing w:after="0" w:line="157" w:lineRule="exact"/>
        <w:rPr>
          <w:sz w:val="20"/>
          <w:szCs w:val="20"/>
          <w:color w:val="auto"/>
        </w:rPr>
      </w:pPr>
    </w:p>
    <w:p>
      <w:pPr>
        <w:ind w:right="240" w:firstLine="494"/>
        <w:spacing w:after="0" w:line="252" w:lineRule="auto"/>
        <w:rPr>
          <w:sz w:val="20"/>
          <w:szCs w:val="20"/>
          <w:color w:val="auto"/>
        </w:rPr>
      </w:pPr>
      <w:r>
        <w:rPr>
          <w:rFonts w:ascii="Arial" w:cs="Arial" w:eastAsia="Arial" w:hAnsi="Arial"/>
          <w:sz w:val="18"/>
          <w:szCs w:val="18"/>
          <w:color w:val="auto"/>
        </w:rPr>
        <w:t>The Company contracts with various third parties to provide engineering services. These services are recorded as Net sales in accordance with the terms of the contract. The saleable engineering services recorded were $26 million, $21 million and $21 million for the years ended December 31, 2023, 2022 and 2021, respectively. The associated costs are recorded in Cost of sales.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Warranty</w:t>
      </w:r>
    </w:p>
    <w:p>
      <w:pPr>
        <w:spacing w:after="0" w:line="155" w:lineRule="exact"/>
        <w:rPr>
          <w:sz w:val="20"/>
          <w:szCs w:val="20"/>
          <w:color w:val="auto"/>
        </w:rPr>
      </w:pPr>
    </w:p>
    <w:p>
      <w:pPr>
        <w:ind w:right="100" w:firstLine="494"/>
        <w:spacing w:after="0" w:line="238" w:lineRule="auto"/>
        <w:rPr>
          <w:sz w:val="20"/>
          <w:szCs w:val="20"/>
          <w:color w:val="auto"/>
        </w:rPr>
      </w:pPr>
      <w:r>
        <w:rPr>
          <w:rFonts w:ascii="Arial" w:cs="Arial" w:eastAsia="Arial" w:hAnsi="Arial"/>
          <w:sz w:val="18"/>
          <w:szCs w:val="18"/>
          <w:color w:val="auto"/>
        </w:rPr>
        <w:t>Provisions for estimated expenses related to product warranties are made at the time products are sold. Warranty claims arise when a transmission or propulsion solution manufactured by us fails while in service during the relevant warranty period. The warranty reserve is adjusted in Selling, general and administrative expense based on the Company’s current and historical warranty claims paid and associated repair costs. These estimates are established using historical information including the nature, frequency, and average cost of warranty claims and are adjusted as actual information becomes available. From time to time, the Company may initiate a specific field action program. As a result of the uncertainty surrounding the nature and frequency of specific field action programs, the liability for such programs is recorded when the Company commits to an action. The Company reviews and assesses the liability for these programs on a quarterly basis. The Company also assesses its ability to recover certain costs from its suppliers and records a receivable from the supplier when it believes a recovery is probable. Warranty costs may differ from those estimated if actual claim rates are higher or lower than the Company's historical rates.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incurs costs in connection with research and development programs that are expected to contribute to future earnings.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Such costs are charged to Engineering — research and development as incurred.</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55" w:lineRule="exact"/>
        <w:rPr>
          <w:sz w:val="20"/>
          <w:szCs w:val="20"/>
          <w:color w:val="auto"/>
        </w:rPr>
      </w:pPr>
    </w:p>
    <w:p>
      <w:pPr>
        <w:ind w:firstLine="494"/>
        <w:spacing w:after="0" w:line="243" w:lineRule="auto"/>
        <w:rPr>
          <w:sz w:val="20"/>
          <w:szCs w:val="20"/>
          <w:color w:val="auto"/>
        </w:rPr>
      </w:pPr>
      <w:r>
        <w:rPr>
          <w:rFonts w:ascii="Arial" w:cs="Arial" w:eastAsia="Arial" w:hAnsi="Arial"/>
          <w:sz w:val="18"/>
          <w:szCs w:val="18"/>
          <w:color w:val="auto"/>
        </w:rPr>
        <w:t>Most of the Company’s subsidiaries outside the United States prepare financial statements in currencies other than the U.S. Dollar. The functional currency for all of these subsidiaries is the local currency, except for the Company’s Hong Kong and Middle East subsidiaries which currently use the U.S. Dollar as their functional currency. Balances are translated at period-end exchange rates for assets and liabilities and monthly weighted-average exchange rates for revenues and expenses. The translation gains and losses are stated as a component of Accumulated Other Comprehensive Loss (“AOCL”) as disclosed in "Note 17. Accumulated Other Comprehensive Loss”.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55" w:lineRule="exact"/>
        <w:rPr>
          <w:sz w:val="20"/>
          <w:szCs w:val="20"/>
          <w:color w:val="auto"/>
        </w:rPr>
      </w:pPr>
    </w:p>
    <w:p>
      <w:pPr>
        <w:ind w:right="80" w:firstLine="494"/>
        <w:spacing w:after="0" w:line="243" w:lineRule="auto"/>
        <w:rPr>
          <w:sz w:val="20"/>
          <w:szCs w:val="20"/>
          <w:color w:val="auto"/>
        </w:rPr>
      </w:pPr>
      <w:r>
        <w:rPr>
          <w:rFonts w:ascii="Arial" w:cs="Arial" w:eastAsia="Arial" w:hAnsi="Arial"/>
          <w:sz w:val="18"/>
          <w:szCs w:val="18"/>
          <w:color w:val="auto"/>
        </w:rPr>
        <w:t>In the normal course of business, the Company is exposed to fluctuations in interest rates, foreign currency exchange rates, and commodity prices. The risk is managed through the use of financial derivative instruments, when appropriate. The Company has qualified for and elected hedge accounting treatment on interest rate swap contracts. As necessary, the Company adjusts the values of the derivative instruments for counter-party or credit risk. "Note 9. Derivatives” provides further information on the accounting treatment of the Company’s derivative instruments.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55"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 and tax credit carryforwards are recognized as deferred tax assets. Deferred tax assets and liabilities are measured using enacted tax rates expected to apply to taxable income in the years in which those temporary differences are expected to be recovered or settled. When releasing income tax effects from AOCL, the Company utilizes the portfolio securities approach.</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the FASB’s authoritative accounting guidance on income taxes.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spacing w:after="0" w:line="128" w:lineRule="exact"/>
        <w:rPr>
          <w:sz w:val="20"/>
          <w:szCs w:val="20"/>
          <w:color w:val="auto"/>
        </w:rPr>
      </w:pPr>
    </w:p>
    <w:p>
      <w:pPr>
        <w:ind w:right="20" w:firstLine="494"/>
        <w:spacing w:after="0" w:line="246" w:lineRule="auto"/>
        <w:rPr>
          <w:sz w:val="20"/>
          <w:szCs w:val="20"/>
          <w:color w:val="auto"/>
        </w:rPr>
      </w:pPr>
      <w:r>
        <w:rPr>
          <w:rFonts w:ascii="Arial" w:cs="Arial" w:eastAsia="Arial" w:hAnsi="Arial"/>
          <w:sz w:val="18"/>
          <w:szCs w:val="18"/>
          <w:color w:val="auto"/>
        </w:rPr>
        <w:t>The Company records uncertain tax positions on the basis of a two-step process whereby (1) it is determined whether it is more likely than not that the tax position will be sustained based on the technical merits of the position and (2) for those tax positions that meet the more-likely-than-not recognition threshold, the Company recognizes the largest amount of tax benefit that is greater than 50% likely to be realized upon ultimate settlement with the related tax authority.</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5"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In March 2015, the Company’s Board of Directors adopted, and in May 2015, the Company’s stockholders approved, the Allison Transmission Holdings, Inc. 2015 Equity Incentive Award Plan (“2015 Plan”), which became effective on May 14, 2015. Under the 2015 Plan, certain employees (including executive officers), consultants and directors are eligible to receive equity-based compensation, including non-qualified stock options, incentive stock options, restricted stock, dividend equivalents, stock payments, restricted stock units (“RSUs”), performance awards, stock appreciation rights and other equity-based awards, or any combination thereof. The 2015 Plan limits the aggregate number of shares of common stock available for issue to 15 million and will expire on, and no option or other equity award may be granted pursuant to the 2015 Plan after, the tenth anniversary of the date the 2015 Plan was approved by the Board of Directors.</w:t>
      </w:r>
    </w:p>
    <w:p>
      <w:pPr>
        <w:spacing w:after="0" w:line="129" w:lineRule="exact"/>
        <w:rPr>
          <w:sz w:val="20"/>
          <w:szCs w:val="20"/>
          <w:color w:val="auto"/>
        </w:rPr>
      </w:pPr>
    </w:p>
    <w:p>
      <w:pPr>
        <w:ind w:right="20" w:firstLine="494"/>
        <w:spacing w:after="0" w:line="252" w:lineRule="auto"/>
        <w:rPr>
          <w:sz w:val="20"/>
          <w:szCs w:val="20"/>
          <w:color w:val="auto"/>
        </w:rPr>
      </w:pPr>
      <w:r>
        <w:rPr>
          <w:rFonts w:ascii="Arial" w:cs="Arial" w:eastAsia="Arial" w:hAnsi="Arial"/>
          <w:sz w:val="18"/>
          <w:szCs w:val="18"/>
          <w:color w:val="auto"/>
        </w:rPr>
        <w:t>Prior to the adoption of the 2015 Plan, the Company’s equity-based awards were granted under the Allison Transmission Holdings, Inc. 2011 Equity Incentive Award Plan (“Prior Plan”). As of the effective date of the 2015 Plan, no new awards will be granted under the Prior Plan, but the Prior Plan will continue to govern the equity awards issued under the Prior Plan.</w:t>
      </w:r>
    </w:p>
    <w:p>
      <w:pPr>
        <w:spacing w:after="0" w:line="117" w:lineRule="exact"/>
        <w:rPr>
          <w:sz w:val="20"/>
          <w:szCs w:val="20"/>
          <w:color w:val="auto"/>
        </w:rPr>
      </w:pPr>
    </w:p>
    <w:p>
      <w:pPr>
        <w:ind w:right="100" w:firstLine="494"/>
        <w:spacing w:after="0" w:line="243" w:lineRule="auto"/>
        <w:rPr>
          <w:sz w:val="20"/>
          <w:szCs w:val="20"/>
          <w:color w:val="auto"/>
        </w:rPr>
      </w:pPr>
      <w:r>
        <w:rPr>
          <w:rFonts w:ascii="Arial" w:cs="Arial" w:eastAsia="Arial" w:hAnsi="Arial"/>
          <w:sz w:val="18"/>
          <w:szCs w:val="18"/>
          <w:color w:val="auto"/>
        </w:rPr>
        <w:t>RSU grants are recorded at fair market value at the date of grant and vest upon continued performance of services by the RSU holder typically over one to three years. Performance unit grants are recorded at fair value based on a Monte-Carlo pricing model, and the restrictions lapse on the date the Compensation Committee of the Board of Directors determines the number of shares that shall vest based on the related performance or market condition achievement. Non-qualified stock option grants are recorded at fair value using a Black-Scholes option pricing model and vest upon the continued performance of services by the option holder typically over one to three years.</w:t>
      </w:r>
    </w:p>
    <w:p>
      <w:pPr>
        <w:spacing w:after="0" w:line="125" w:lineRule="exact"/>
        <w:rPr>
          <w:sz w:val="20"/>
          <w:szCs w:val="20"/>
          <w:color w:val="auto"/>
        </w:rPr>
      </w:pPr>
    </w:p>
    <w:p>
      <w:pPr>
        <w:ind w:right="480" w:firstLine="494"/>
        <w:spacing w:after="0" w:line="271" w:lineRule="auto"/>
        <w:rPr>
          <w:sz w:val="20"/>
          <w:szCs w:val="20"/>
          <w:color w:val="auto"/>
        </w:rPr>
      </w:pPr>
      <w:r>
        <w:rPr>
          <w:rFonts w:ascii="Arial" w:cs="Arial" w:eastAsia="Arial" w:hAnsi="Arial"/>
          <w:sz w:val="18"/>
          <w:szCs w:val="18"/>
          <w:color w:val="auto"/>
        </w:rPr>
        <w:t>The Company has made a policy election under applicable accounting guidance to account for forfeitures as a reduction of stock-based compensation expense when the forfeiture actually occurs.</w:t>
      </w:r>
    </w:p>
    <w:p>
      <w:pPr>
        <w:spacing w:after="0" w:line="99" w:lineRule="exact"/>
        <w:rPr>
          <w:sz w:val="20"/>
          <w:szCs w:val="20"/>
          <w:color w:val="auto"/>
        </w:rPr>
      </w:pPr>
    </w:p>
    <w:p>
      <w:pPr>
        <w:jc w:val="both"/>
        <w:ind w:right="80" w:firstLine="494"/>
        <w:spacing w:after="0" w:line="252" w:lineRule="auto"/>
        <w:rPr>
          <w:sz w:val="20"/>
          <w:szCs w:val="20"/>
          <w:color w:val="auto"/>
        </w:rPr>
      </w:pPr>
      <w:r>
        <w:rPr>
          <w:rFonts w:ascii="Arial" w:cs="Arial" w:eastAsia="Arial" w:hAnsi="Arial"/>
          <w:sz w:val="18"/>
          <w:szCs w:val="18"/>
          <w:color w:val="auto"/>
        </w:rPr>
        <w:t>RSUs were granted to certain employees and directors at fair market value on the date of grant. The restrictions lapse upon continued performance by the RSU holder on the vest date which generally occurs over one, two or three years. RSU incentive compensation expense recorded was $11 million, $9 million and $6 million for the years ended December 31, 2023, 2022 and 2021, respectively.</w:t>
      </w:r>
    </w:p>
    <w:p>
      <w:pPr>
        <w:spacing w:after="0" w:line="117" w:lineRule="exact"/>
        <w:rPr>
          <w:sz w:val="20"/>
          <w:szCs w:val="20"/>
          <w:color w:val="auto"/>
        </w:rPr>
      </w:pPr>
    </w:p>
    <w:p>
      <w:pPr>
        <w:ind w:right="420" w:firstLine="494"/>
        <w:spacing w:after="0" w:line="252" w:lineRule="auto"/>
        <w:rPr>
          <w:sz w:val="20"/>
          <w:szCs w:val="20"/>
          <w:color w:val="auto"/>
        </w:rPr>
      </w:pPr>
      <w:r>
        <w:rPr>
          <w:rFonts w:ascii="Arial" w:cs="Arial" w:eastAsia="Arial" w:hAnsi="Arial"/>
          <w:sz w:val="18"/>
          <w:szCs w:val="18"/>
          <w:color w:val="auto"/>
        </w:rPr>
        <w:t>Performance-based awards, including performance units, were granted to certain employees at fair value at the date of grant. The Company records the fair value of each performance-based award based on a Monte-Carlo pricing model. Performance-based award incentive compensation expense recorded was $5 million for each of the years ended December 31, 2023, 2022 and 2021.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right="20" w:firstLine="494"/>
        <w:spacing w:after="0" w:line="252" w:lineRule="auto"/>
        <w:rPr>
          <w:sz w:val="20"/>
          <w:szCs w:val="20"/>
          <w:color w:val="auto"/>
        </w:rPr>
      </w:pPr>
      <w:r>
        <w:rPr>
          <w:rFonts w:ascii="Arial" w:cs="Arial" w:eastAsia="Arial" w:hAnsi="Arial"/>
          <w:sz w:val="18"/>
          <w:szCs w:val="18"/>
          <w:color w:val="auto"/>
        </w:rPr>
        <w:t>Stock options were granted to certain employees at fair value on the date of grant using a Black-Scholes option pricing model. Stock option incentive compensation expense recorded was $6 million, $4 million and $3 million for the years ended December 31, 2023, 2022 and 2021, respectively.</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Pension and Post-retirement Benefit Plans</w:t>
      </w:r>
    </w:p>
    <w:p>
      <w:pPr>
        <w:spacing w:after="0" w:line="155" w:lineRule="exact"/>
        <w:rPr>
          <w:sz w:val="20"/>
          <w:szCs w:val="20"/>
          <w:color w:val="auto"/>
        </w:rPr>
      </w:pPr>
    </w:p>
    <w:p>
      <w:pPr>
        <w:ind w:right="280" w:firstLine="494"/>
        <w:spacing w:after="0" w:line="243" w:lineRule="auto"/>
        <w:rPr>
          <w:sz w:val="20"/>
          <w:szCs w:val="20"/>
          <w:color w:val="auto"/>
        </w:rPr>
      </w:pPr>
      <w:r>
        <w:rPr>
          <w:rFonts w:ascii="Arial" w:cs="Arial" w:eastAsia="Arial" w:hAnsi="Arial"/>
          <w:sz w:val="18"/>
          <w:szCs w:val="18"/>
          <w:color w:val="auto"/>
        </w:rPr>
        <w:t>For pension and OPEB plans in which employees participate, costs are determined within the FASB’s authoritative accounting guidance set forth in employers’ defined benefit pensions including accounting for settlements and curtailments of defined benefit pension plans, termination of benefits and accounting for post-retirement benefits other than pensions. In accordance with the authoritative accounting guidance, the Company recognizes the funded status of its defined benefit pension plans and OPEB plan in its Consolidated Balance Sheets with a corresponding adjustment to AOCL, net of tax.</w:t>
      </w:r>
    </w:p>
    <w:p>
      <w:pPr>
        <w:spacing w:after="0" w:line="125" w:lineRule="exact"/>
        <w:rPr>
          <w:sz w:val="20"/>
          <w:szCs w:val="20"/>
          <w:color w:val="auto"/>
        </w:rPr>
      </w:pPr>
    </w:p>
    <w:p>
      <w:pPr>
        <w:ind w:right="160" w:firstLine="494"/>
        <w:spacing w:after="0" w:line="271" w:lineRule="auto"/>
        <w:rPr>
          <w:sz w:val="20"/>
          <w:szCs w:val="20"/>
          <w:color w:val="auto"/>
        </w:rPr>
      </w:pPr>
      <w:r>
        <w:rPr>
          <w:rFonts w:ascii="Arial" w:cs="Arial" w:eastAsia="Arial" w:hAnsi="Arial"/>
          <w:sz w:val="18"/>
          <w:szCs w:val="18"/>
          <w:color w:val="auto"/>
        </w:rPr>
        <w:t>Post-retirement benefit costs consist of service cost and interest cost on accrued obligations. Actuarial gains and losses on liabilities, together with any prior service costs, are charged (or credited) to income over the average remaining service lives of employees.</w:t>
      </w:r>
    </w:p>
    <w:p>
      <w:pPr>
        <w:spacing w:after="0" w:line="99" w:lineRule="exact"/>
        <w:rPr>
          <w:sz w:val="20"/>
          <w:szCs w:val="20"/>
          <w:color w:val="auto"/>
        </w:rPr>
      </w:pPr>
    </w:p>
    <w:p>
      <w:pPr>
        <w:ind w:right="240" w:firstLine="494"/>
        <w:spacing w:after="0" w:line="241" w:lineRule="auto"/>
        <w:rPr>
          <w:sz w:val="20"/>
          <w:szCs w:val="20"/>
          <w:color w:val="auto"/>
        </w:rPr>
      </w:pPr>
      <w:r>
        <w:rPr>
          <w:rFonts w:ascii="Arial" w:cs="Arial" w:eastAsia="Arial" w:hAnsi="Arial"/>
          <w:sz w:val="18"/>
          <w:szCs w:val="18"/>
          <w:color w:val="auto"/>
        </w:rPr>
        <w:t>The benefit cost components shown in the Consolidated Statements of Comprehensive Income are based upon various actuarial assumptions and methodologies as prescribed by authoritative accounting guidance. These assumptions include discount rates, expected return on plan assets, health care cost trend rates, inflation, rate of compensation increases, population demographics, mortality rates and other factors. The Company reviews all actuarial assumptions on an annual basis. Changes in key economic indicators can change these assumptions. These assumptions, along with the actual value of assets at the measurement date, will impact the calculation of pension expenses for the following year.</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1" w:lineRule="exact"/>
        <w:rPr>
          <w:sz w:val="20"/>
          <w:szCs w:val="20"/>
          <w:color w:val="auto"/>
        </w:rPr>
      </w:pPr>
    </w:p>
    <w:p>
      <w:pPr>
        <w:ind w:right="320" w:firstLine="494"/>
        <w:spacing w:after="0" w:line="241" w:lineRule="auto"/>
        <w:rPr>
          <w:sz w:val="20"/>
          <w:szCs w:val="20"/>
          <w:color w:val="auto"/>
        </w:rPr>
      </w:pPr>
      <w:r>
        <w:rPr>
          <w:rFonts w:ascii="Arial" w:cs="Arial" w:eastAsia="Arial" w:hAnsi="Arial"/>
          <w:sz w:val="18"/>
          <w:szCs w:val="18"/>
          <w:color w:val="auto"/>
        </w:rPr>
        <w:t>In November 2023, the FASB issued authoritative accounting guidance expanding public entities’ reportable segment disclosures, primarily through enhanced disclosures about significant segment expenses that are regularly reviewed by the Chief Operating Decision Maker and included within each reported measure of segment profit or loss. The guidance will become effective for the Company starting with its fiscal year ended December 31, 2024 and the subsequent interim periods. The guidance will be applied retrospectively, and the Company does not plan to early adopt. Management is currently evaluating the impact of this guidance on the Company's consolidated financial statements.</w:t>
      </w:r>
    </w:p>
    <w:p>
      <w:pPr>
        <w:spacing w:after="0" w:line="74" w:lineRule="exact"/>
        <w:rPr>
          <w:sz w:val="20"/>
          <w:szCs w:val="20"/>
          <w:color w:val="auto"/>
        </w:rPr>
      </w:pPr>
    </w:p>
    <w:p>
      <w:pPr>
        <w:ind w:firstLine="494"/>
        <w:spacing w:after="0" w:line="243" w:lineRule="auto"/>
        <w:rPr>
          <w:sz w:val="20"/>
          <w:szCs w:val="20"/>
          <w:color w:val="auto"/>
        </w:rPr>
      </w:pPr>
      <w:r>
        <w:rPr>
          <w:rFonts w:ascii="Arial" w:cs="Arial" w:eastAsia="Arial" w:hAnsi="Arial"/>
          <w:sz w:val="18"/>
          <w:szCs w:val="18"/>
          <w:color w:val="auto"/>
        </w:rPr>
        <w:t>In December 2023, the FASB issued authoritative accounting guidance to improve income tax disclosures by requiring disaggregated information about a reporting entity's effective tax rate reconciliation and information on income taxes paid. The guidance will become effective for the Company beginning with its fiscal year ended December 31, 2025. The guidance will be applied prospectively with the option to apply it retrospectively. Management is currently evaluating the impact of this guidance on the Company's consolidated financial statements.</w:t>
      </w:r>
    </w:p>
    <w:p>
      <w:pPr>
        <w:spacing w:after="0" w:line="71" w:lineRule="exact"/>
        <w:rPr>
          <w:sz w:val="20"/>
          <w:szCs w:val="20"/>
          <w:color w:val="auto"/>
        </w:rPr>
      </w:pPr>
    </w:p>
    <w:p>
      <w:pPr>
        <w:ind w:right="80" w:firstLine="494"/>
        <w:spacing w:after="0" w:line="271" w:lineRule="auto"/>
        <w:rPr>
          <w:sz w:val="20"/>
          <w:szCs w:val="20"/>
          <w:color w:val="auto"/>
        </w:rPr>
      </w:pPr>
      <w:r>
        <w:rPr>
          <w:rFonts w:ascii="Arial" w:cs="Arial" w:eastAsia="Arial" w:hAnsi="Arial"/>
          <w:sz w:val="18"/>
          <w:szCs w:val="18"/>
          <w:color w:val="auto"/>
        </w:rPr>
        <w:t>All other recently issued accounting pronouncements were assessed as either not applicable to the Company or were not expected to have a material impact on the Company's consolidated financial statements.</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157" w:lineRule="exact"/>
        <w:rPr>
          <w:sz w:val="20"/>
          <w:szCs w:val="20"/>
          <w:color w:val="auto"/>
        </w:rPr>
      </w:pPr>
    </w:p>
    <w:p>
      <w:pPr>
        <w:ind w:right="40" w:firstLine="494"/>
        <w:spacing w:after="0" w:line="241" w:lineRule="auto"/>
        <w:rPr>
          <w:sz w:val="20"/>
          <w:szCs w:val="20"/>
          <w:color w:val="auto"/>
        </w:rPr>
      </w:pPr>
      <w:r>
        <w:rPr>
          <w:rFonts w:ascii="Arial" w:cs="Arial" w:eastAsia="Arial" w:hAnsi="Arial"/>
          <w:sz w:val="18"/>
          <w:szCs w:val="18"/>
          <w:color w:val="auto"/>
        </w:rPr>
        <w:t>Revenue is recognized as each distinct performance obligation within a contract is satisfied. A performance obligation is a promise in a contract to transfer a distinct good or service to the customer. The Company enters into long-term agreements (“LTAs”) and distributor agreements with certain customers. The LTAs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128" w:lineRule="exact"/>
        <w:rPr>
          <w:sz w:val="20"/>
          <w:szCs w:val="20"/>
          <w:color w:val="auto"/>
        </w:rPr>
      </w:pPr>
    </w:p>
    <w:p>
      <w:pPr>
        <w:jc w:val="both"/>
        <w:ind w:right="80" w:firstLine="494"/>
        <w:spacing w:after="0" w:line="252" w:lineRule="auto"/>
        <w:rPr>
          <w:sz w:val="20"/>
          <w:szCs w:val="20"/>
          <w:color w:val="auto"/>
        </w:rPr>
      </w:pPr>
      <w:r>
        <w:rPr>
          <w:rFonts w:ascii="Arial" w:cs="Arial" w:eastAsia="Arial" w:hAnsi="Arial"/>
          <w:sz w:val="18"/>
          <w:szCs w:val="18"/>
          <w:color w:val="auto"/>
        </w:rPr>
        <w:t>Some of the Company's contracts include multiple performance obligations, most commonly the sale of both a transmission and ETC. The Company allocates the contract’s transaction price to each performance obligation based on the standalone selling price of each distinct good or service in the contract.</w:t>
      </w:r>
    </w:p>
    <w:p>
      <w:pPr>
        <w:spacing w:after="0" w:line="117" w:lineRule="exact"/>
        <w:rPr>
          <w:sz w:val="20"/>
          <w:szCs w:val="20"/>
          <w:color w:val="auto"/>
        </w:rPr>
      </w:pPr>
    </w:p>
    <w:p>
      <w:pPr>
        <w:ind w:right="360" w:firstLine="494"/>
        <w:spacing w:after="0" w:line="243" w:lineRule="auto"/>
        <w:rPr>
          <w:sz w:val="20"/>
          <w:szCs w:val="20"/>
          <w:color w:val="auto"/>
        </w:rPr>
      </w:pPr>
      <w:r>
        <w:rPr>
          <w:rFonts w:ascii="Arial" w:cs="Arial" w:eastAsia="Arial" w:hAnsi="Arial"/>
          <w:sz w:val="18"/>
          <w:szCs w:val="18"/>
          <w:color w:val="auto"/>
        </w:rPr>
        <w:t>The Company may also use volume-based discounts and rebates as marketing incentives in the sales of both vehicle propulsion solutions and service parts, which are accounted for as variable consideration. The Company records the impact of the incentives as a reduction to revenue when it is determined that the adjustment is not likely to reverse. The Company estimates the impact of all other incentives based on the related sales and market conditions in the end market vocation. The Company recorded no material adjustments based on variable consideration during any of the years ended December 31, 2023, 2022 and 2021.</w:t>
      </w:r>
    </w:p>
    <w:p>
      <w:pPr>
        <w:spacing w:after="0" w:line="125" w:lineRule="exact"/>
        <w:rPr>
          <w:sz w:val="20"/>
          <w:szCs w:val="20"/>
          <w:color w:val="auto"/>
        </w:rPr>
      </w:pPr>
    </w:p>
    <w:p>
      <w:pPr>
        <w:ind w:right="60" w:firstLine="494"/>
        <w:spacing w:after="0" w:line="243" w:lineRule="auto"/>
        <w:rPr>
          <w:sz w:val="20"/>
          <w:szCs w:val="20"/>
          <w:color w:val="auto"/>
        </w:rPr>
      </w:pPr>
      <w:r>
        <w:rPr>
          <w:rFonts w:ascii="Arial" w:cs="Arial" w:eastAsia="Arial" w:hAnsi="Arial"/>
          <w:sz w:val="18"/>
          <w:szCs w:val="18"/>
          <w:color w:val="auto"/>
        </w:rPr>
        <w:t>Net sales are made on credit terms, generally 30 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December 31, 2023 and December 31, 2022. See "Note 11. Deferred Revenue” for more information including the amount of revenue earned during the year ended December 31, 2023 that had been previously deferred. The Company had no material contract assets as of either December 31, 2023 or 2022.</w:t>
      </w:r>
    </w:p>
    <w:p>
      <w:pPr>
        <w:spacing w:after="0" w:line="125" w:lineRule="exact"/>
        <w:rPr>
          <w:sz w:val="20"/>
          <w:szCs w:val="20"/>
          <w:color w:val="auto"/>
        </w:rPr>
      </w:pPr>
    </w:p>
    <w:p>
      <w:pPr>
        <w:jc w:val="both"/>
        <w:ind w:right="100" w:firstLine="494"/>
        <w:spacing w:after="0" w:line="252" w:lineRule="auto"/>
        <w:rPr>
          <w:sz w:val="20"/>
          <w:szCs w:val="20"/>
          <w:color w:val="auto"/>
        </w:rPr>
      </w:pPr>
      <w:r>
        <w:rPr>
          <w:rFonts w:ascii="Arial" w:cs="Arial" w:eastAsia="Arial" w:hAnsi="Arial"/>
          <w:sz w:val="18"/>
          <w:szCs w:val="18"/>
          <w:color w:val="auto"/>
        </w:rPr>
        <w:t>The Company has one operating segment and reportable segment. The Company is in one line of business, which is the manufacture and distribution of vehicle propulsion solutions. The following presents disaggregated revenue by categories that best depict how the nature, amount, timing and uncertainty of revenue and cash flows are affected by economic factors (dollars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56"/>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56"/>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76"/>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56"/>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6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North America On-Highway</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1,529</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North America Off-Highway</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Defense</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Outside North America On-Highway</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477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Outside North America Off-Highway</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104</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Service Parts, Support Equipment and Other</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696</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r>
      <w:tr>
        <w:trPr>
          <w:trHeight w:val="263"/>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Net Sales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3,035</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2,769</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Disaggregated revenue by end market is further described as follows: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North America On-Highway</w:t>
      </w:r>
    </w:p>
    <w:p>
      <w:pPr>
        <w:spacing w:after="0" w:line="155" w:lineRule="exact"/>
        <w:rPr>
          <w:sz w:val="20"/>
          <w:szCs w:val="20"/>
          <w:color w:val="auto"/>
        </w:rPr>
      </w:pPr>
    </w:p>
    <w:p>
      <w:pPr>
        <w:ind w:right="100" w:firstLine="494"/>
        <w:spacing w:after="0" w:line="246" w:lineRule="auto"/>
        <w:rPr>
          <w:sz w:val="20"/>
          <w:szCs w:val="20"/>
          <w:color w:val="auto"/>
        </w:rPr>
      </w:pPr>
      <w:r>
        <w:rPr>
          <w:rFonts w:ascii="Arial" w:cs="Arial" w:eastAsia="Arial" w:hAnsi="Arial"/>
          <w:sz w:val="18"/>
          <w:szCs w:val="18"/>
          <w:color w:val="auto"/>
        </w:rPr>
        <w:t>Revenue from the North America On-Highway end market is driven by the sale of propulsion solutions to original equipment manufacturers (“OEMs”), distributors and dealers that install the product into Class 4-5, Class 6-7 and Class 8 straight trucks, Class 8 day cab tractors, conventional transit, shuttle and coach buses, school buses and motorhome applications. Revenue is recognized at the point in time when control passes to the customer, which is based on shipping terms when the order is fulfilled by 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North America Off-Highway</w:t>
      </w:r>
    </w:p>
    <w:p>
      <w:pPr>
        <w:spacing w:after="0" w:line="155" w:lineRule="exact"/>
        <w:rPr>
          <w:sz w:val="20"/>
          <w:szCs w:val="20"/>
          <w:color w:val="auto"/>
        </w:rPr>
      </w:pPr>
    </w:p>
    <w:p>
      <w:pPr>
        <w:ind w:right="140" w:firstLine="494"/>
        <w:spacing w:after="0" w:line="252" w:lineRule="auto"/>
        <w:rPr>
          <w:sz w:val="20"/>
          <w:szCs w:val="20"/>
          <w:color w:val="auto"/>
        </w:rPr>
      </w:pPr>
      <w:r>
        <w:rPr>
          <w:rFonts w:ascii="Arial" w:cs="Arial" w:eastAsia="Arial" w:hAnsi="Arial"/>
          <w:sz w:val="18"/>
          <w:szCs w:val="18"/>
          <w:color w:val="auto"/>
        </w:rPr>
        <w:t>Revenue from the North America Off-Highway end market is driven by sales of transmissions to OEMs and distributors that serve end users who operate vehicles and auxiliary equipment in energy, mining and construction applications. Revenue is recognized at the point in time when control passes to the customer, which is based on shipping terms when the order is fulfilled by the Company.</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Defense</w:t>
      </w:r>
    </w:p>
    <w:p>
      <w:pPr>
        <w:spacing w:after="0" w:line="155" w:lineRule="exact"/>
        <w:rPr>
          <w:sz w:val="20"/>
          <w:szCs w:val="20"/>
          <w:color w:val="auto"/>
        </w:rPr>
      </w:pPr>
    </w:p>
    <w:p>
      <w:pPr>
        <w:jc w:val="both"/>
        <w:ind w:right="40" w:firstLine="494"/>
        <w:spacing w:after="0" w:line="274" w:lineRule="auto"/>
        <w:rPr>
          <w:sz w:val="20"/>
          <w:szCs w:val="20"/>
          <w:color w:val="auto"/>
        </w:rPr>
      </w:pPr>
      <w:r>
        <w:rPr>
          <w:rFonts w:ascii="Arial" w:cs="Arial" w:eastAsia="Arial" w:hAnsi="Arial"/>
          <w:sz w:val="17"/>
          <w:szCs w:val="17"/>
          <w:color w:val="auto"/>
        </w:rPr>
        <w:t>Revenue from the Defense end market is driven by sales of propulsion solutions to the U.S. Government or its contractors and sales to certain government contractors outside of the U.S. for use in both wheeled and tracked defense vehicle applications. Revenue is recognized at the point in time when control passes to the customer, which is based on shipping terms when the order is fulfilled by the Company.</w:t>
      </w:r>
    </w:p>
    <w:p>
      <w:pPr>
        <w:spacing w:after="0" w:line="99" w:lineRule="exact"/>
        <w:rPr>
          <w:sz w:val="20"/>
          <w:szCs w:val="20"/>
          <w:color w:val="auto"/>
        </w:rPr>
      </w:pPr>
    </w:p>
    <w:p>
      <w:pPr>
        <w:ind w:right="440" w:firstLine="494"/>
        <w:spacing w:after="0" w:line="252" w:lineRule="auto"/>
        <w:rPr>
          <w:sz w:val="20"/>
          <w:szCs w:val="20"/>
          <w:color w:val="auto"/>
        </w:rPr>
      </w:pPr>
      <w:r>
        <w:rPr>
          <w:rFonts w:ascii="Arial" w:cs="Arial" w:eastAsia="Arial" w:hAnsi="Arial"/>
          <w:sz w:val="18"/>
          <w:szCs w:val="18"/>
          <w:color w:val="auto"/>
        </w:rPr>
        <w:t>Periodically, the Company and the U.S. Government will enter into a bill-and-hold arrangement where a completed transmission physically remains at the Company’s facility at the request of the U.S. Government. Revenue is recognized at the point in time when it is determined that the U.S. Government accepts the transmission and is able to direct its use.</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Outside North America On-Highway</w:t>
      </w:r>
    </w:p>
    <w:p>
      <w:pPr>
        <w:spacing w:after="0" w:line="155" w:lineRule="exact"/>
        <w:rPr>
          <w:sz w:val="20"/>
          <w:szCs w:val="20"/>
          <w:color w:val="auto"/>
        </w:rPr>
      </w:pPr>
    </w:p>
    <w:p>
      <w:pPr>
        <w:ind w:right="220" w:firstLine="494"/>
        <w:spacing w:after="0" w:line="252" w:lineRule="auto"/>
        <w:rPr>
          <w:sz w:val="20"/>
          <w:szCs w:val="20"/>
          <w:color w:val="auto"/>
        </w:rPr>
      </w:pPr>
      <w:r>
        <w:rPr>
          <w:rFonts w:ascii="Arial" w:cs="Arial" w:eastAsia="Arial" w:hAnsi="Arial"/>
          <w:sz w:val="18"/>
          <w:szCs w:val="18"/>
          <w:color w:val="auto"/>
        </w:rPr>
        <w:t>Revenue from the Outside North America On-Highway end market is driven by the sale of propulsion solutions to OEMs and distributors that produce vehicles for commercial users in medium- and heavy-duty applications. Revenue is recognized at the point in time when control passes to the customer, which is based on shipping terms when the order is fulfilled by the Company.</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Outside North America Off-Highway</w:t>
      </w:r>
    </w:p>
    <w:p>
      <w:pPr>
        <w:spacing w:after="0" w:line="155" w:lineRule="exact"/>
        <w:rPr>
          <w:sz w:val="20"/>
          <w:szCs w:val="20"/>
          <w:color w:val="auto"/>
        </w:rPr>
      </w:pPr>
    </w:p>
    <w:p>
      <w:pPr>
        <w:jc w:val="both"/>
        <w:ind w:right="20" w:firstLine="494"/>
        <w:spacing w:after="0" w:line="252" w:lineRule="auto"/>
        <w:rPr>
          <w:sz w:val="20"/>
          <w:szCs w:val="20"/>
          <w:color w:val="auto"/>
        </w:rPr>
      </w:pPr>
      <w:r>
        <w:rPr>
          <w:rFonts w:ascii="Arial" w:cs="Arial" w:eastAsia="Arial" w:hAnsi="Arial"/>
          <w:sz w:val="18"/>
          <w:szCs w:val="18"/>
          <w:color w:val="auto"/>
        </w:rPr>
        <w:t>Revenue from the Outside North America Off-Highway end market is driven by sales of transmissions to OEMs and distributors serving end users who operate vehicles and auxiliary equipment in energy, mining and construction applications. Revenue is recognized at the point in time when control passes to the customer, which is based on shipping terms when the order is fulfilled by the Company.</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Service Parts, Support Equipment and Other</w:t>
      </w:r>
    </w:p>
    <w:p>
      <w:pPr>
        <w:spacing w:after="0" w:line="155" w:lineRule="exact"/>
        <w:rPr>
          <w:sz w:val="20"/>
          <w:szCs w:val="20"/>
          <w:color w:val="auto"/>
        </w:rPr>
      </w:pPr>
    </w:p>
    <w:p>
      <w:pPr>
        <w:ind w:right="40" w:firstLine="494"/>
        <w:spacing w:after="0" w:line="246" w:lineRule="auto"/>
        <w:rPr>
          <w:sz w:val="20"/>
          <w:szCs w:val="20"/>
          <w:color w:val="auto"/>
        </w:rPr>
      </w:pPr>
      <w:r>
        <w:rPr>
          <w:rFonts w:ascii="Arial" w:cs="Arial" w:eastAsia="Arial" w:hAnsi="Arial"/>
          <w:sz w:val="18"/>
          <w:szCs w:val="18"/>
          <w:color w:val="auto"/>
        </w:rPr>
        <w:t>Revenue from the Service Parts, Support Equipment and Other end market is primarily derived from the sale of transmission parts and fluid purchased for the normal maintenance and repair needs of products in service, the sale of aluminum die cast components purchased as original parts and the sale of ETC contracts which extend the warranty coverages of propulsion solutions beyond the standard warranty period.</w:t>
      </w:r>
    </w:p>
    <w:p>
      <w:pPr>
        <w:spacing w:after="0" w:line="122" w:lineRule="exact"/>
        <w:rPr>
          <w:sz w:val="20"/>
          <w:szCs w:val="20"/>
          <w:color w:val="auto"/>
        </w:rPr>
      </w:pPr>
    </w:p>
    <w:p>
      <w:pPr>
        <w:ind w:right="460" w:firstLine="494"/>
        <w:spacing w:after="0" w:line="271" w:lineRule="auto"/>
        <w:rPr>
          <w:sz w:val="20"/>
          <w:szCs w:val="20"/>
          <w:color w:val="auto"/>
        </w:rPr>
      </w:pPr>
      <w:r>
        <w:rPr>
          <w:rFonts w:ascii="Arial" w:cs="Arial" w:eastAsia="Arial" w:hAnsi="Arial"/>
          <w:sz w:val="18"/>
          <w:szCs w:val="18"/>
          <w:color w:val="auto"/>
        </w:rPr>
        <w:t>Revenue is recognized on sales of service parts, support equipment and aluminum die cast components at the point in time when control passes to the customer, which is based on shipping terms when the order is fulfilled by the Company.</w:t>
      </w:r>
    </w:p>
    <w:p>
      <w:pPr>
        <w:spacing w:after="0" w:line="99" w:lineRule="exact"/>
        <w:rPr>
          <w:sz w:val="20"/>
          <w:szCs w:val="20"/>
          <w:color w:val="auto"/>
        </w:rPr>
      </w:pPr>
    </w:p>
    <w:p>
      <w:pPr>
        <w:ind w:firstLine="494"/>
        <w:spacing w:after="0" w:line="243" w:lineRule="auto"/>
        <w:rPr>
          <w:sz w:val="20"/>
          <w:szCs w:val="20"/>
          <w:color w:val="auto"/>
        </w:rPr>
      </w:pPr>
      <w:r>
        <w:rPr>
          <w:rFonts w:ascii="Arial" w:cs="Arial" w:eastAsia="Arial" w:hAnsi="Arial"/>
          <w:sz w:val="18"/>
          <w:szCs w:val="18"/>
          <w:color w:val="auto"/>
        </w:rPr>
        <w:t>Revenue from the sale of ETC contracts is recognized ratably over the time period that corresponds with the period of coverage, as the Company has determined this method best depicts the progress towards satisfaction of its performance obligation. ETC contracts are typically sold in one to five year durations within the North America On-Highway, Outside North America On-Highway, North America Off-Highway and Outside North America Off-Highway end markets. The ETC contract period begins when the standard warranty coverage period ends. All consideration allocated to an ETC performance obligation is initially deferred until the coverage period begins.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December 31, 2023</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December 31, 2022</w:t>
            </w: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Purchased parts and raw materials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152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115</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140" w:type="dxa"/>
            <w:vAlign w:val="bottom"/>
          </w:tcPr>
          <w:p>
            <w:pPr>
              <w:spacing w:after="0"/>
              <w:rPr>
                <w:sz w:val="19"/>
                <w:szCs w:val="19"/>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b w:val="1"/>
                <w:bCs w:val="1"/>
                <w:color w:val="auto"/>
              </w:rPr>
              <w:t>17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7</w:t>
            </w: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 parts</w:t>
            </w: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54</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53</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53</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49</w:t>
            </w:r>
          </w:p>
        </w:tc>
      </w:tr>
      <w:tr>
        <w:trPr>
          <w:trHeight w:val="263"/>
        </w:trPr>
        <w:tc>
          <w:tcPr>
            <w:tcW w:w="77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inventories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276</w:t>
            </w:r>
          </w:p>
        </w:tc>
        <w:tc>
          <w:tcPr>
            <w:tcW w:w="1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-24765</wp:posOffset>
            </wp:positionV>
            <wp:extent cx="1028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028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0" w:lineRule="exact"/>
        <w:rPr>
          <w:sz w:val="20"/>
          <w:szCs w:val="20"/>
          <w:color w:val="auto"/>
        </w:rPr>
      </w:pPr>
    </w:p>
    <w:p>
      <w:pPr>
        <w:ind w:right="220" w:firstLine="494"/>
        <w:spacing w:after="0" w:line="252" w:lineRule="auto"/>
        <w:rPr>
          <w:sz w:val="20"/>
          <w:szCs w:val="20"/>
          <w:color w:val="auto"/>
        </w:rPr>
      </w:pPr>
      <w:r>
        <w:rPr>
          <w:rFonts w:ascii="Arial" w:cs="Arial" w:eastAsia="Arial" w:hAnsi="Arial"/>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14. Other Current Liabilities” for more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PLANT AND EQUIPMENT</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cost and accumulated depreciation of property, plant and equipment are as follows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December 31, 2023</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December 31, 2022</w:t>
            </w: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937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845</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140" w:type="dxa"/>
            <w:vAlign w:val="bottom"/>
          </w:tcPr>
          <w:p>
            <w:pPr>
              <w:spacing w:after="0"/>
              <w:rPr>
                <w:sz w:val="19"/>
                <w:szCs w:val="19"/>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b w:val="1"/>
                <w:bCs w:val="1"/>
                <w:color w:val="auto"/>
              </w:rPr>
              <w:t>528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517</w:t>
            </w: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Special tooling</w:t>
            </w: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259</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268</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Software</w:t>
            </w:r>
          </w:p>
        </w:tc>
        <w:tc>
          <w:tcPr>
            <w:tcW w:w="140" w:type="dxa"/>
            <w:vAlign w:val="bottom"/>
          </w:tcPr>
          <w:p>
            <w:pPr>
              <w:spacing w:after="0"/>
              <w:rPr>
                <w:sz w:val="19"/>
                <w:szCs w:val="19"/>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b w:val="1"/>
                <w:bCs w:val="1"/>
                <w:color w:val="auto"/>
              </w:rPr>
              <w:t>195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186</w:t>
            </w: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Construction in progress</w:t>
            </w: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68</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107</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Land and land improvements</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29</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w:t>
            </w:r>
          </w:p>
        </w:tc>
      </w:tr>
      <w:tr>
        <w:trPr>
          <w:trHeight w:val="223"/>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property, plant and equipment</w:t>
            </w: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2,016</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1,950</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(1,242 )</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(1,187 )</w:t>
            </w:r>
          </w:p>
        </w:tc>
      </w:tr>
      <w:tr>
        <w:trPr>
          <w:trHeight w:val="263"/>
        </w:trPr>
        <w:tc>
          <w:tcPr>
            <w:tcW w:w="77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774</w:t>
            </w:r>
          </w:p>
        </w:tc>
        <w:tc>
          <w:tcPr>
            <w:tcW w:w="1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-24765</wp:posOffset>
            </wp:positionV>
            <wp:extent cx="1028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028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0" w:lineRule="exact"/>
        <w:rPr>
          <w:sz w:val="20"/>
          <w:szCs w:val="20"/>
          <w:color w:val="auto"/>
        </w:rPr>
      </w:pPr>
    </w:p>
    <w:p>
      <w:pPr>
        <w:ind w:right="40" w:firstLine="494"/>
        <w:spacing w:after="0" w:line="271" w:lineRule="auto"/>
        <w:rPr>
          <w:sz w:val="20"/>
          <w:szCs w:val="20"/>
          <w:color w:val="auto"/>
        </w:rPr>
      </w:pPr>
      <w:r>
        <w:rPr>
          <w:rFonts w:ascii="Arial" w:cs="Arial" w:eastAsia="Arial" w:hAnsi="Arial"/>
          <w:sz w:val="18"/>
          <w:szCs w:val="18"/>
          <w:color w:val="auto"/>
        </w:rPr>
        <w:t>Depreciation of property, plant and equipment was $109 million, $109 million and $104 million for the years ended December 31, 2023, 2022 and 2021, respectively.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OTHER INTANGIBLE ASSETS</w:t>
      </w:r>
    </w:p>
    <w:p>
      <w:pPr>
        <w:spacing w:after="0" w:line="157" w:lineRule="exact"/>
        <w:rPr>
          <w:sz w:val="20"/>
          <w:szCs w:val="20"/>
          <w:color w:val="auto"/>
        </w:rPr>
      </w:pPr>
    </w:p>
    <w:p>
      <w:pPr>
        <w:ind w:right="940" w:firstLine="494"/>
        <w:spacing w:after="0" w:line="271" w:lineRule="auto"/>
        <w:rPr>
          <w:sz w:val="20"/>
          <w:szCs w:val="20"/>
          <w:color w:val="auto"/>
        </w:rPr>
      </w:pPr>
      <w:r>
        <w:rPr>
          <w:rFonts w:ascii="Arial" w:cs="Arial" w:eastAsia="Arial" w:hAnsi="Arial"/>
          <w:sz w:val="18"/>
          <w:szCs w:val="18"/>
          <w:color w:val="auto"/>
        </w:rPr>
        <w:t>As of December 31, 2023 and 2022, the carrying amount of the Company’s Goodwill was $2,076 million and $2,075 million, respectively.</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presents a summary of other intangible assets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rPr>
              <w:t>December 31, 2023</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December 31, 2022</w:t>
            </w: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160"/>
        </w:trPr>
        <w:tc>
          <w:tcPr>
            <w:tcW w:w="4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200"/>
              <w:spacing w:after="0" w:line="159" w:lineRule="exact"/>
              <w:rPr>
                <w:sz w:val="20"/>
                <w:szCs w:val="20"/>
                <w:color w:val="auto"/>
              </w:rPr>
            </w:pPr>
            <w:r>
              <w:rPr>
                <w:rFonts w:ascii="Arial" w:cs="Arial" w:eastAsia="Arial" w:hAnsi="Arial"/>
                <w:sz w:val="14"/>
                <w:szCs w:val="14"/>
                <w:b w:val="1"/>
                <w:bCs w:val="1"/>
                <w:color w:val="auto"/>
              </w:rPr>
              <w:t>Accumulate</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2"/>
        </w:trPr>
        <w:tc>
          <w:tcPr>
            <w:tcW w:w="4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6"/>
              <w:spacing w:after="0"/>
              <w:rPr>
                <w:sz w:val="20"/>
                <w:szCs w:val="20"/>
                <w:color w:val="auto"/>
              </w:rPr>
            </w:pPr>
            <w:r>
              <w:rPr>
                <w:rFonts w:ascii="Arial" w:cs="Arial" w:eastAsia="Arial" w:hAnsi="Arial"/>
                <w:sz w:val="14"/>
                <w:szCs w:val="14"/>
                <w:b w:val="1"/>
                <w:bCs w:val="1"/>
                <w:color w:val="auto"/>
              </w:rPr>
              <w:t>Intangible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Accumulate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Intangible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4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96"/>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w:t>
            </w:r>
          </w:p>
        </w:tc>
        <w:tc>
          <w:tcPr>
            <w:tcW w:w="100" w:type="dxa"/>
            <w:vAlign w:val="bottom"/>
          </w:tcPr>
          <w:p>
            <w:pPr>
              <w:spacing w:after="0"/>
              <w:rPr>
                <w:sz w:val="14"/>
                <w:szCs w:val="14"/>
                <w:color w:val="auto"/>
              </w:rPr>
            </w:pPr>
          </w:p>
        </w:tc>
        <w:tc>
          <w:tcPr>
            <w:tcW w:w="900" w:type="dxa"/>
            <w:vAlign w:val="bottom"/>
          </w:tcPr>
          <w:p>
            <w:pPr>
              <w:jc w:val="right"/>
              <w:ind w:right="132"/>
              <w:spacing w:after="0"/>
              <w:rPr>
                <w:sz w:val="20"/>
                <w:szCs w:val="20"/>
                <w:color w:val="auto"/>
              </w:rPr>
            </w:pPr>
            <w:r>
              <w:rPr>
                <w:rFonts w:ascii="Arial" w:cs="Arial" w:eastAsia="Arial" w:hAnsi="Arial"/>
                <w:sz w:val="14"/>
                <w:szCs w:val="14"/>
                <w:b w:val="1"/>
                <w:bCs w:val="1"/>
                <w:color w:val="auto"/>
                <w:w w:val="99"/>
              </w:rPr>
              <w:t>Intangible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94"/>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amortizatio</w:t>
            </w:r>
          </w:p>
        </w:tc>
        <w:tc>
          <w:tcPr>
            <w:tcW w:w="9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Intangible</w:t>
            </w:r>
          </w:p>
        </w:tc>
      </w:tr>
      <w:tr>
        <w:trPr>
          <w:trHeight w:val="185"/>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ind w:right="56"/>
              <w:spacing w:after="0"/>
              <w:rPr>
                <w:sz w:val="20"/>
                <w:szCs w:val="20"/>
                <w:color w:val="auto"/>
              </w:rPr>
            </w:pPr>
            <w:r>
              <w:rPr>
                <w:rFonts w:ascii="Arial" w:cs="Arial" w:eastAsia="Arial" w:hAnsi="Arial"/>
                <w:sz w:val="14"/>
                <w:szCs w:val="14"/>
                <w:b w:val="1"/>
                <w:bCs w:val="1"/>
                <w:color w:val="auto"/>
                <w:w w:val="99"/>
              </w:rPr>
              <w:t>gross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amortization</w:t>
            </w:r>
          </w:p>
        </w:tc>
        <w:tc>
          <w:tcPr>
            <w:tcW w:w="10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assets, net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center"/>
              <w:ind w:right="54"/>
              <w:spacing w:after="0"/>
              <w:rPr>
                <w:sz w:val="20"/>
                <w:szCs w:val="20"/>
                <w:color w:val="auto"/>
              </w:rPr>
            </w:pPr>
            <w:r>
              <w:rPr>
                <w:rFonts w:ascii="Arial" w:cs="Arial" w:eastAsia="Arial" w:hAnsi="Arial"/>
                <w:sz w:val="14"/>
                <w:szCs w:val="14"/>
                <w:b w:val="1"/>
                <w:bCs w:val="1"/>
                <w:color w:val="auto"/>
                <w:w w:val="99"/>
              </w:rPr>
              <w:t>gross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n</w:t>
            </w:r>
          </w:p>
        </w:tc>
        <w:tc>
          <w:tcPr>
            <w:tcW w:w="9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assets, net</w:t>
            </w:r>
          </w:p>
        </w:tc>
      </w:tr>
      <w:tr>
        <w:trPr>
          <w:trHeight w:val="22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intangible assets:</w:t>
            </w: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791</w:t>
            </w:r>
          </w:p>
        </w:tc>
        <w:tc>
          <w:tcPr>
            <w:tcW w:w="480" w:type="dxa"/>
            <w:vAlign w:val="bottom"/>
            <w:gridSpan w:val="3"/>
          </w:tcPr>
          <w:p>
            <w:pPr>
              <w:jc w:val="right"/>
              <w:ind w:right="68"/>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791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791</w:t>
            </w:r>
          </w:p>
        </w:tc>
        <w:tc>
          <w:tcPr>
            <w:tcW w:w="46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9"/>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791</w:t>
            </w:r>
          </w:p>
        </w:tc>
      </w:tr>
      <w:tr>
        <w:trPr>
          <w:trHeight w:val="229"/>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In-process research and development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Customer relationships – commercial</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(833 )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(793 )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46</w:t>
            </w:r>
          </w:p>
        </w:tc>
      </w:tr>
      <w:tr>
        <w:trPr>
          <w:trHeight w:val="229"/>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 – defense</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(56 )</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(53 )</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Proprietary technology</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(479 )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(477 )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229"/>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Non-compete agreement</w:t>
            </w: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4660" w:type="dxa"/>
            <w:vAlign w:val="bottom"/>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2,202</w:t>
            </w:r>
          </w:p>
        </w:tc>
        <w:tc>
          <w:tcPr>
            <w:tcW w:w="480" w:type="dxa"/>
            <w:vAlign w:val="bottom"/>
            <w:gridSpan w:val="3"/>
          </w:tcPr>
          <w:p>
            <w:pPr>
              <w:jc w:val="right"/>
              <w:ind w:right="68"/>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(1,369 )</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833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2,202</w:t>
            </w:r>
          </w:p>
        </w:tc>
        <w:tc>
          <w:tcPr>
            <w:tcW w:w="46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(1,324 )</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878</w:t>
            </w:r>
          </w:p>
        </w:tc>
      </w:tr>
      <w:tr>
        <w:trPr>
          <w:trHeight w:val="20"/>
        </w:trPr>
        <w:tc>
          <w:tcPr>
            <w:tcW w:w="4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3609975</wp:posOffset>
            </wp:positionH>
            <wp:positionV relativeFrom="paragraph">
              <wp:posOffset>-179070</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-179070</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-179070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-179070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-179070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80" w:firstLine="494"/>
        <w:spacing w:after="0" w:line="271" w:lineRule="auto"/>
        <w:rPr>
          <w:sz w:val="20"/>
          <w:szCs w:val="20"/>
          <w:color w:val="auto"/>
        </w:rPr>
      </w:pPr>
      <w:r>
        <w:rPr>
          <w:rFonts w:ascii="Arial" w:cs="Arial" w:eastAsia="Arial" w:hAnsi="Arial"/>
          <w:sz w:val="18"/>
          <w:szCs w:val="18"/>
          <w:color w:val="auto"/>
        </w:rPr>
        <w:t>Amortization of intangible assets was $45 million, $46 million and $46 million for the years ended December 31, 2023, 2022 and 2021, respectively.</w:t>
      </w:r>
    </w:p>
    <w:p>
      <w:pPr>
        <w:spacing w:after="0" w:line="99" w:lineRule="exact"/>
        <w:rPr>
          <w:sz w:val="20"/>
          <w:szCs w:val="20"/>
          <w:color w:val="auto"/>
        </w:rPr>
      </w:pPr>
    </w:p>
    <w:p>
      <w:pPr>
        <w:jc w:val="both"/>
        <w:ind w:firstLine="494"/>
        <w:spacing w:after="0" w:line="252" w:lineRule="auto"/>
        <w:rPr>
          <w:sz w:val="20"/>
          <w:szCs w:val="20"/>
          <w:color w:val="auto"/>
        </w:rPr>
      </w:pPr>
      <w:r>
        <w:rPr>
          <w:rFonts w:ascii="Arial" w:cs="Arial" w:eastAsia="Arial" w:hAnsi="Arial"/>
          <w:sz w:val="18"/>
          <w:szCs w:val="18"/>
          <w:color w:val="auto"/>
        </w:rPr>
        <w:t>The Company’s 2023 annual goodwill impairment test indicated that the fair value of the reporting unit more likely than not exceeded its carrying value, indicating no impairment. The Company's 2023 annual indefinite-lived intangible assets impairment test indicated that the fair value of the Company’s indefinite-lived intangible assets more likely than not exceeded their carrying value, indicating no impairment.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related to other intangible assets for the next five years is expected to be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2028</w:t>
            </w:r>
          </w:p>
        </w:tc>
      </w:tr>
      <w:tr>
        <w:trPr>
          <w:trHeight w:val="223"/>
        </w:trPr>
        <w:tc>
          <w:tcPr>
            <w:tcW w:w="53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Amortization expense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10</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7</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w:t>
            </w:r>
          </w:p>
        </w:tc>
      </w:tr>
      <w:tr>
        <w:trPr>
          <w:trHeight w:val="651"/>
        </w:trPr>
        <w:tc>
          <w:tcPr>
            <w:tcW w:w="5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656"/>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745"/>
        </w:trPr>
        <w:tc>
          <w:tcPr>
            <w:tcW w:w="5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OF FINANCIAL INSTRUMENTS</w:t>
      </w:r>
    </w:p>
    <w:p>
      <w:pPr>
        <w:spacing w:after="0" w:line="157"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w:t>
      </w:r>
    </w:p>
    <w:p>
      <w:pPr>
        <w:spacing w:after="0" w:line="157" w:lineRule="exact"/>
        <w:rPr>
          <w:sz w:val="20"/>
          <w:szCs w:val="20"/>
          <w:color w:val="auto"/>
        </w:rPr>
      </w:pPr>
    </w:p>
    <w:p>
      <w:pPr>
        <w:jc w:val="both"/>
        <w:ind w:right="200" w:firstLine="544"/>
        <w:spacing w:after="0" w:line="246" w:lineRule="auto"/>
        <w:rPr>
          <w:sz w:val="20"/>
          <w:szCs w:val="20"/>
          <w:color w:val="auto"/>
        </w:rPr>
      </w:pPr>
      <w:r>
        <w:rPr>
          <w:rFonts w:ascii="Arial" w:cs="Arial" w:eastAsia="Arial" w:hAnsi="Arial"/>
          <w:sz w:val="18"/>
          <w:szCs w:val="18"/>
          <w:color w:val="auto"/>
        </w:rPr>
        <w:t>Level 2 — Inputs are other than quoted prices in active markets included in Level 1, which are either directly or indirectly observable as of the reporting date. Level 2 includes financial instruments that are valued using quoted prices in markets that are not active and those financial instruments that are valued using models or other valuation methodologies in which all significant value-drivers are observable in active markets or are supported by observable levels at which transactions are executed in the marketplace.</w:t>
      </w:r>
    </w:p>
    <w:p>
      <w:pPr>
        <w:spacing w:after="0" w:line="122" w:lineRule="exact"/>
        <w:rPr>
          <w:sz w:val="20"/>
          <w:szCs w:val="20"/>
          <w:color w:val="auto"/>
        </w:rPr>
      </w:pPr>
    </w:p>
    <w:p>
      <w:pPr>
        <w:ind w:right="360" w:firstLine="544"/>
        <w:spacing w:after="0" w:line="266" w:lineRule="auto"/>
        <w:rPr>
          <w:sz w:val="20"/>
          <w:szCs w:val="20"/>
          <w:color w:val="auto"/>
        </w:rPr>
      </w:pPr>
      <w:r>
        <w:rPr>
          <w:rFonts w:ascii="Arial" w:cs="Arial" w:eastAsia="Arial" w:hAnsi="Arial"/>
          <w:sz w:val="17"/>
          <w:szCs w:val="17"/>
          <w:color w:val="auto"/>
        </w:rPr>
        <w:t>Level 3 — Certain inputs are unobservable or have little or no market data available.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December 31, 2023 and 2022, the Company did not have any Level 3 financial assets or liabilities.</w:t>
      </w:r>
    </w:p>
    <w:p>
      <w:pPr>
        <w:spacing w:after="0" w:line="104" w:lineRule="exact"/>
        <w:rPr>
          <w:sz w:val="20"/>
          <w:szCs w:val="20"/>
          <w:color w:val="auto"/>
        </w:rPr>
      </w:pPr>
    </w:p>
    <w:p>
      <w:pPr>
        <w:ind w:right="60" w:firstLine="544"/>
        <w:spacing w:after="0" w:line="241" w:lineRule="auto"/>
        <w:rPr>
          <w:sz w:val="20"/>
          <w:szCs w:val="20"/>
          <w:color w:val="auto"/>
        </w:rPr>
      </w:pPr>
      <w:r>
        <w:rPr>
          <w:rFonts w:ascii="Arial" w:cs="Arial" w:eastAsia="Arial" w:hAnsi="Arial"/>
          <w:sz w:val="18"/>
          <w:szCs w:val="18"/>
          <w:color w:val="auto"/>
        </w:rPr>
        <w:t>The Company’s assets and liabilities that are measured at fair value include cash equivalents, marketable securities, derivative instruments, assets held in a rabbi trust and a deferred compensation obligation. The Company’s cash equivalents consist of short-term U.S. government backed securities and time deposits. The Company's marketable securities consist of publicly traded stock of Jing-Jin Electric Technologies Co. Ltd., which has a readily determinable fair value. The Company’s derivative instruments consist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128" w:lineRule="exact"/>
        <w:rPr>
          <w:sz w:val="20"/>
          <w:szCs w:val="20"/>
          <w:color w:val="auto"/>
        </w:rPr>
      </w:pPr>
    </w:p>
    <w:p>
      <w:pPr>
        <w:ind w:right="120" w:firstLine="544"/>
        <w:spacing w:after="0" w:line="252" w:lineRule="auto"/>
        <w:rPr>
          <w:sz w:val="20"/>
          <w:szCs w:val="20"/>
          <w:color w:val="auto"/>
        </w:rPr>
      </w:pPr>
      <w:r>
        <w:rPr>
          <w:rFonts w:ascii="Arial" w:cs="Arial" w:eastAsia="Arial" w:hAnsi="Arial"/>
          <w:sz w:val="18"/>
          <w:szCs w:val="18"/>
          <w:color w:val="auto"/>
        </w:rPr>
        <w:t>The Company’s valuation techniques used to calculate the fair value of cash equivalents, marketable securities, assets held in the rabbi trust and the deferred compensation obligation represent a market approach in active markets for identical assets that qualify as Level 1 in the fair value hierarchy.</w:t>
      </w:r>
    </w:p>
    <w:p>
      <w:pPr>
        <w:spacing w:after="0" w:line="117" w:lineRule="exact"/>
        <w:rPr>
          <w:sz w:val="20"/>
          <w:szCs w:val="20"/>
          <w:color w:val="auto"/>
        </w:rPr>
      </w:pPr>
    </w:p>
    <w:p>
      <w:pPr>
        <w:ind w:right="40" w:firstLine="544"/>
        <w:spacing w:after="0" w:line="243" w:lineRule="auto"/>
        <w:rPr>
          <w:sz w:val="20"/>
          <w:szCs w:val="20"/>
          <w:color w:val="auto"/>
        </w:rPr>
      </w:pPr>
      <w:r>
        <w:rPr>
          <w:rFonts w:ascii="Arial" w:cs="Arial" w:eastAsia="Arial" w:hAnsi="Arial"/>
          <w:sz w:val="18"/>
          <w:szCs w:val="18"/>
          <w:color w:val="auto"/>
        </w:rPr>
        <w:t>The Company’s valuation techniques used to calculate the fair value of derivative instruments represent a market approach with observable inputs that qualify as Level 2 in the fair value hierarchy. The Company uses valuations from the issuing financial institutions for the fair value measurement of interest rate swaps. The floating-to-fixed interest rate swaps are based on the Secured Overnight Financing Rate ("SOFR"), which is observable at commonly quoted intervals. The fair values are included in other current and non-current assets in the Consolidated Balance Sheets. See “Note 9. Derivatives” for more information regarding the Company’s interest rate swaps.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right="360" w:firstLine="494"/>
        <w:spacing w:after="0" w:line="271" w:lineRule="auto"/>
        <w:rPr>
          <w:sz w:val="20"/>
          <w:szCs w:val="20"/>
          <w:color w:val="auto"/>
        </w:rPr>
      </w:pPr>
      <w:r>
        <w:rPr>
          <w:rFonts w:ascii="Arial" w:cs="Arial" w:eastAsia="Arial" w:hAnsi="Arial"/>
          <w:sz w:val="18"/>
          <w:szCs w:val="18"/>
          <w:color w:val="auto"/>
        </w:rPr>
        <w:t>The following table summarizes the fair value of the Company’s financial assets and (liabilities) as of December 31, 2023 and 2022 (dollars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Fair Value Measurements Using</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60"/>
        </w:trPr>
        <w:tc>
          <w:tcPr>
            <w:tcW w:w="4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4"/>
          </w:tcPr>
          <w:p>
            <w:pPr>
              <w:jc w:val="center"/>
              <w:ind w:right="153"/>
              <w:spacing w:after="0" w:line="159" w:lineRule="exact"/>
              <w:rPr>
                <w:sz w:val="20"/>
                <w:szCs w:val="20"/>
                <w:color w:val="auto"/>
              </w:rPr>
            </w:pPr>
            <w:r>
              <w:rPr>
                <w:rFonts w:ascii="Arial" w:cs="Arial" w:eastAsia="Arial" w:hAnsi="Arial"/>
                <w:sz w:val="14"/>
                <w:szCs w:val="14"/>
                <w:b w:val="1"/>
                <w:bCs w:val="1"/>
                <w:color w:val="auto"/>
              </w:rPr>
              <w:t>Quoted Prices in Active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4"/>
          </w:tcPr>
          <w:p>
            <w:pPr>
              <w:jc w:val="center"/>
              <w:ind w:right="233"/>
              <w:spacing w:after="0" w:line="159" w:lineRule="exact"/>
              <w:rPr>
                <w:sz w:val="20"/>
                <w:szCs w:val="20"/>
                <w:color w:val="auto"/>
              </w:rPr>
            </w:pPr>
            <w:r>
              <w:rPr>
                <w:rFonts w:ascii="Arial" w:cs="Arial" w:eastAsia="Arial" w:hAnsi="Arial"/>
                <w:sz w:val="14"/>
                <w:szCs w:val="14"/>
                <w:b w:val="1"/>
                <w:bCs w:val="1"/>
                <w:color w:val="auto"/>
              </w:rPr>
              <w:t>Significant Other</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2"/>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rPr>
              <w:t>Markets for Identical</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rPr>
              <w:t>Observable Inputs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5"/>
        </w:trPr>
        <w:tc>
          <w:tcPr>
            <w:tcW w:w="4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center"/>
              <w:ind w:right="153"/>
              <w:spacing w:after="0"/>
              <w:rPr>
                <w:sz w:val="20"/>
                <w:szCs w:val="20"/>
                <w:color w:val="auto"/>
              </w:rPr>
            </w:pPr>
            <w:r>
              <w:rPr>
                <w:rFonts w:ascii="Arial" w:cs="Arial" w:eastAsia="Arial" w:hAnsi="Arial"/>
                <w:sz w:val="14"/>
                <w:szCs w:val="14"/>
                <w:b w:val="1"/>
                <w:bCs w:val="1"/>
                <w:color w:val="auto"/>
              </w:rPr>
              <w:t>Assets (Level 1)</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left="357"/>
              <w:spacing w:after="0"/>
              <w:rPr>
                <w:sz w:val="20"/>
                <w:szCs w:val="20"/>
                <w:color w:val="auto"/>
              </w:rPr>
            </w:pPr>
            <w:r>
              <w:rPr>
                <w:rFonts w:ascii="Arial" w:cs="Arial" w:eastAsia="Arial" w:hAnsi="Arial"/>
                <w:sz w:val="14"/>
                <w:szCs w:val="14"/>
                <w:b w:val="1"/>
                <w:bCs w:val="1"/>
                <w:color w:val="auto"/>
              </w:rPr>
              <w:t>(Level 2)</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780" w:type="dxa"/>
            <w:vAlign w:val="bottom"/>
            <w:tcBorders>
              <w:bottom w:val="single" w:sz="8" w:color="auto"/>
            </w:tcBorders>
          </w:tcPr>
          <w:p>
            <w:pPr>
              <w:spacing w:after="0"/>
              <w:rPr>
                <w:sz w:val="16"/>
                <w:szCs w:val="16"/>
                <w:color w:val="auto"/>
              </w:rPr>
            </w:pPr>
          </w:p>
        </w:tc>
      </w:tr>
      <w:tr>
        <w:trPr>
          <w:trHeight w:val="182"/>
        </w:trPr>
        <w:tc>
          <w:tcPr>
            <w:tcW w:w="4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r>
      <w:tr>
        <w:trPr>
          <w:trHeight w:val="22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FF0FC"/>
          </w:tcPr>
          <w:p>
            <w:pPr>
              <w:jc w:val="right"/>
              <w:ind w:right="57"/>
              <w:spacing w:after="0"/>
              <w:rPr>
                <w:sz w:val="20"/>
                <w:szCs w:val="20"/>
                <w:color w:val="auto"/>
              </w:rPr>
            </w:pPr>
            <w:r>
              <w:rPr>
                <w:rFonts w:ascii="Arial" w:cs="Arial" w:eastAsia="Arial" w:hAnsi="Arial"/>
                <w:sz w:val="18"/>
                <w:szCs w:val="18"/>
                <w:b w:val="1"/>
                <w:bCs w:val="1"/>
                <w:color w:val="auto"/>
              </w:rPr>
              <w:t>421</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111</w:t>
            </w:r>
          </w:p>
        </w:tc>
        <w:tc>
          <w:tcPr>
            <w:tcW w:w="3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421</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111</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22</w:t>
            </w:r>
          </w:p>
        </w:tc>
      </w:tr>
      <w:tr>
        <w:trPr>
          <w:trHeight w:val="229"/>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Rabbi trust assets</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15</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Deferred compensation obligation</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(18 )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(15 )</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(18 )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Derivative assets</w:t>
            </w: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18</w:t>
            </w:r>
          </w:p>
        </w:tc>
      </w:tr>
      <w:tr>
        <w:trPr>
          <w:trHeight w:val="223"/>
        </w:trPr>
        <w:tc>
          <w:tcPr>
            <w:tcW w:w="4660" w:type="dxa"/>
            <w:vAlign w:val="bottom"/>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57"/>
              <w:spacing w:after="0"/>
              <w:rPr>
                <w:sz w:val="20"/>
                <w:szCs w:val="20"/>
                <w:color w:val="auto"/>
              </w:rPr>
            </w:pPr>
            <w:r>
              <w:rPr>
                <w:rFonts w:ascii="Arial" w:cs="Arial" w:eastAsia="Arial" w:hAnsi="Arial"/>
                <w:sz w:val="18"/>
                <w:szCs w:val="18"/>
                <w:b w:val="1"/>
                <w:bCs w:val="1"/>
                <w:color w:val="auto"/>
              </w:rPr>
              <w:t>441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133</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7"/>
              <w:spacing w:after="0"/>
              <w:rPr>
                <w:sz w:val="20"/>
                <w:szCs w:val="20"/>
                <w:color w:val="auto"/>
              </w:rPr>
            </w:pPr>
            <w:r>
              <w:rPr>
                <w:rFonts w:ascii="Arial" w:cs="Arial" w:eastAsia="Arial" w:hAnsi="Arial"/>
                <w:sz w:val="18"/>
                <w:szCs w:val="18"/>
                <w:b w:val="1"/>
                <w:bCs w:val="1"/>
                <w:color w:val="auto"/>
              </w:rPr>
              <w:t>12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5"/>
              <w:spacing w:after="0"/>
              <w:rPr>
                <w:sz w:val="20"/>
                <w:szCs w:val="20"/>
                <w:color w:val="auto"/>
              </w:rPr>
            </w:pPr>
            <w:r>
              <w:rPr>
                <w:rFonts w:ascii="Arial" w:cs="Arial" w:eastAsia="Arial" w:hAnsi="Arial"/>
                <w:sz w:val="18"/>
                <w:szCs w:val="18"/>
                <w:b w:val="1"/>
                <w:bCs w:val="1"/>
                <w:color w:val="auto"/>
              </w:rPr>
              <w:t>453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151</w:t>
            </w:r>
          </w:p>
        </w:tc>
      </w:tr>
      <w:tr>
        <w:trPr>
          <w:trHeight w:val="20"/>
        </w:trPr>
        <w:tc>
          <w:tcPr>
            <w:tcW w:w="4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3609975</wp:posOffset>
            </wp:positionH>
            <wp:positionV relativeFrom="paragraph">
              <wp:posOffset>-179070</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-179070</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-179070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-179070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-179070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In 2023, the Company invested in equity securities in an unconsolidated entity without a readily determinable fair value. This investment represents a less than a 20% ownership interest in the privately-held affiliate, and the Company does not maintain significant influence over or control of the entity. The Company has elected the measurement alternative and measures the investment at cost, less any impairment, plus or minus adjustments related to observable transactions for the same or similar securities. This equity investment is recorded in Other non-current assets in the Consolidated Balance Sheets, with changes in the value recorded in Other income (expense), net in the Consolidated Statements of Comprehensive Income. As of December 31, 2023, the Company held equity securities without a readily determinable fair value of $5 million and no such equity securities were held as of December 31, 2022.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and maturities are as follows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December 31, 2023</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December 31, 2022</w:t>
            </w: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Senior Secured Credit Facility Term Loan, variable, due 2026</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Pr>
          <w:p>
            <w:pPr>
              <w:jc w:val="right"/>
              <w:ind w:right="32"/>
              <w:spacing w:after="0"/>
              <w:rPr>
                <w:sz w:val="20"/>
                <w:szCs w:val="20"/>
                <w:color w:val="auto"/>
              </w:rPr>
            </w:pPr>
            <w:r>
              <w:rPr>
                <w:rFonts w:ascii="Arial" w:cs="Arial" w:eastAsia="Arial" w:hAnsi="Arial"/>
                <w:sz w:val="18"/>
                <w:szCs w:val="18"/>
                <w:b w:val="1"/>
                <w:bCs w:val="1"/>
                <w:color w:val="auto"/>
              </w:rPr>
              <w:t>618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625</w:t>
            </w: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fixed 4.75%, due 2027</w:t>
            </w: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400</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400</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Senior Notes, fixed 5.875%, due 2029</w:t>
            </w:r>
          </w:p>
        </w:tc>
        <w:tc>
          <w:tcPr>
            <w:tcW w:w="140" w:type="dxa"/>
            <w:vAlign w:val="bottom"/>
          </w:tcPr>
          <w:p>
            <w:pPr>
              <w:spacing w:after="0"/>
              <w:rPr>
                <w:sz w:val="19"/>
                <w:szCs w:val="19"/>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b w:val="1"/>
                <w:bCs w:val="1"/>
                <w:color w:val="auto"/>
              </w:rPr>
              <w:t>500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500</w:t>
            </w:r>
          </w:p>
        </w:tc>
      </w:tr>
      <w:tr>
        <w:trPr>
          <w:trHeight w:val="22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Senior Notes, fixed 3.75%, due 2031</w:t>
            </w:r>
          </w:p>
        </w:tc>
        <w:tc>
          <w:tcPr>
            <w:tcW w:w="1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1,000</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1,000</w:t>
            </w:r>
          </w:p>
        </w:tc>
      </w:tr>
      <w:tr>
        <w:trPr>
          <w:trHeight w:val="223"/>
        </w:trPr>
        <w:tc>
          <w:tcPr>
            <w:tcW w:w="7700" w:type="dxa"/>
            <w:vAlign w:val="bottom"/>
          </w:tcPr>
          <w:p>
            <w:pPr>
              <w:ind w:left="280"/>
              <w:spacing w:after="0"/>
              <w:rPr>
                <w:sz w:val="20"/>
                <w:szCs w:val="20"/>
                <w:color w:val="auto"/>
              </w:rPr>
            </w:pPr>
            <w:r>
              <w:rPr>
                <w:rFonts w:ascii="Arial" w:cs="Arial" w:eastAsia="Arial" w:hAnsi="Arial"/>
                <w:sz w:val="18"/>
                <w:szCs w:val="18"/>
                <w:color w:val="auto"/>
              </w:rPr>
              <w:t>Total long-term debt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Pr>
          <w:p>
            <w:pPr>
              <w:jc w:val="right"/>
              <w:ind w:right="32"/>
              <w:spacing w:after="0"/>
              <w:rPr>
                <w:sz w:val="20"/>
                <w:szCs w:val="20"/>
                <w:color w:val="auto"/>
              </w:rPr>
            </w:pPr>
            <w:r>
              <w:rPr>
                <w:rFonts w:ascii="Arial" w:cs="Arial" w:eastAsia="Arial" w:hAnsi="Arial"/>
                <w:sz w:val="18"/>
                <w:szCs w:val="18"/>
                <w:b w:val="1"/>
                <w:bCs w:val="1"/>
                <w:color w:val="auto"/>
              </w:rPr>
              <w:t>2,518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2,525</w:t>
            </w: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current maturities of long-term debt</w:t>
            </w: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6</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w:t>
            </w:r>
          </w:p>
        </w:tc>
      </w:tr>
      <w:tr>
        <w:trPr>
          <w:trHeight w:val="229"/>
        </w:trPr>
        <w:tc>
          <w:tcPr>
            <w:tcW w:w="7700" w:type="dxa"/>
            <w:vAlign w:val="bottom"/>
          </w:tcPr>
          <w:p>
            <w:pPr>
              <w:ind w:left="520"/>
              <w:spacing w:after="0"/>
              <w:rPr>
                <w:sz w:val="20"/>
                <w:szCs w:val="20"/>
                <w:color w:val="auto"/>
              </w:rPr>
            </w:pPr>
            <w:r>
              <w:rPr>
                <w:rFonts w:ascii="Arial" w:cs="Arial" w:eastAsia="Arial" w:hAnsi="Arial"/>
                <w:sz w:val="18"/>
                <w:szCs w:val="18"/>
                <w:color w:val="auto"/>
              </w:rPr>
              <w:t>deferred financing costs, net (see Note 2)</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15</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w:t>
            </w:r>
          </w:p>
        </w:tc>
      </w:tr>
      <w:tr>
        <w:trPr>
          <w:trHeight w:val="263"/>
        </w:trPr>
        <w:tc>
          <w:tcPr>
            <w:tcW w:w="77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long-term debt, net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2,497</w:t>
            </w:r>
          </w:p>
        </w:tc>
        <w:tc>
          <w:tcPr>
            <w:tcW w:w="1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2,501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-624205</wp:posOffset>
            </wp:positionV>
            <wp:extent cx="1028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-24765</wp:posOffset>
            </wp:positionV>
            <wp:extent cx="1028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028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payments required on long-term debt during the next five years are as follows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2026</w:t>
            </w: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2027</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2028</w:t>
            </w:r>
          </w:p>
        </w:tc>
      </w:tr>
      <w:tr>
        <w:trPr>
          <w:trHeight w:val="223"/>
        </w:trPr>
        <w:tc>
          <w:tcPr>
            <w:tcW w:w="52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Payments</w:t>
            </w:r>
          </w:p>
        </w:tc>
        <w:tc>
          <w:tcPr>
            <w:tcW w:w="660" w:type="dxa"/>
            <w:vAlign w:val="bottom"/>
            <w:shd w:val="clear" w:color="auto" w:fill="CFF0FC"/>
          </w:tcPr>
          <w:p>
            <w:pPr>
              <w:jc w:val="right"/>
              <w:ind w:right="459"/>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c>
          <w:tcPr>
            <w:tcW w:w="960" w:type="dxa"/>
            <w:vAlign w:val="bottom"/>
            <w:gridSpan w:val="2"/>
            <w:shd w:val="clear" w:color="auto" w:fill="CFF0FC"/>
          </w:tcPr>
          <w:p>
            <w:pPr>
              <w:jc w:val="right"/>
              <w:ind w:right="468"/>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606</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400</w:t>
            </w: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r>
    </w:tbl>
    <w:p>
      <w:pPr>
        <w:spacing w:after="0" w:line="170"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As of December 31, 2023, the Company had $2,518 million of indebtedness associated with Allison Transmission, Inc.’s (“ATI”), the Company’s wholly-owned subsidiary, 4.75% Senior Notes due October 2027 (“4.75% Senior Notes”), ATI’s 5.875% Senior Notes due June 2029 (“5.875% Senior Notes”), ATI’s 3.75% Senior Notes due January 2031 (“3.75% Senior Notes” and, together with the 4.75% Senior Notes and 5.875% Senior Notes, the “Senior Notes”) and the Second Amended and Restated Credit Agreement dated as of March 29, 2019, as amended (the “Credit Agreement”), governing ATI’s term loan facility in the amount of $618 million due March 2026 (“Term Loan”) and ATI’s revolving credit facility with commitments in the amount of $650 million due September 2025 (“Revolving Credit Facility” and, together with the Term Loan, the “Senior Secured Credit Facility”).</w:t>
      </w:r>
    </w:p>
    <w:p>
      <w:pPr>
        <w:spacing w:after="0" w:line="129" w:lineRule="exact"/>
        <w:rPr>
          <w:sz w:val="20"/>
          <w:szCs w:val="20"/>
          <w:color w:val="auto"/>
        </w:rPr>
      </w:pPr>
    </w:p>
    <w:p>
      <w:pPr>
        <w:jc w:val="both"/>
        <w:ind w:right="240" w:firstLine="494"/>
        <w:spacing w:after="0" w:line="252" w:lineRule="auto"/>
        <w:rPr>
          <w:sz w:val="20"/>
          <w:szCs w:val="20"/>
          <w:color w:val="auto"/>
        </w:rPr>
      </w:pPr>
      <w:r>
        <w:rPr>
          <w:rFonts w:ascii="Arial" w:cs="Arial" w:eastAsia="Arial" w:hAnsi="Arial"/>
          <w:sz w:val="18"/>
          <w:szCs w:val="18"/>
          <w:color w:val="auto"/>
        </w:rPr>
        <w:t>The fair value of the Company’s long-term debt obligations as of December 31, 2023 was $2,388 million. The fair value is based on quoted Level 2 market prices of the Company’s debt as of December 31, 2023. The difference between the fair value and carrying value of the long-term debt is driven primarily by trends in the financial markets.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55" w:lineRule="exact"/>
        <w:rPr>
          <w:sz w:val="20"/>
          <w:szCs w:val="20"/>
          <w:color w:val="auto"/>
        </w:rPr>
      </w:pPr>
    </w:p>
    <w:p>
      <w:pPr>
        <w:ind w:right="80" w:firstLine="494"/>
        <w:spacing w:after="0" w:line="243" w:lineRule="auto"/>
        <w:rPr>
          <w:sz w:val="20"/>
          <w:szCs w:val="20"/>
          <w:color w:val="auto"/>
        </w:rPr>
      </w:pPr>
      <w:r>
        <w:rPr>
          <w:rFonts w:ascii="Arial" w:cs="Arial" w:eastAsia="Arial" w:hAnsi="Arial"/>
          <w:sz w:val="18"/>
          <w:szCs w:val="18"/>
          <w:color w:val="auto"/>
        </w:rPr>
        <w:t>In February 2023, the Company and ATI entered into Amendment No. 3 (the "Amendment") to the Credit Agreement. The Amendment replaced the London Interbank Offered Rate ("LIBOR") interest rate benchmark with SOFR and included a 0.1% credit spread adjustment to the SOFR benchmark for all available interest periods. Other than the foregoing, the material terms of the Credit Agreement remained unchanged. The Amendment was treated as a modification to the Senior Secured Credit Facility through a practical expedient provided through reference rate reform accounting guidance.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right="20" w:firstLine="494"/>
        <w:spacing w:after="0" w:line="237" w:lineRule="auto"/>
        <w:rPr>
          <w:sz w:val="20"/>
          <w:szCs w:val="20"/>
          <w:color w:val="auto"/>
        </w:rPr>
      </w:pPr>
      <w:r>
        <w:rPr>
          <w:rFonts w:ascii="Arial" w:cs="Arial" w:eastAsia="Arial" w:hAnsi="Arial"/>
          <w:sz w:val="18"/>
          <w:szCs w:val="18"/>
          <w:color w:val="auto"/>
        </w:rPr>
        <w:t>The borrowings under the Senior Secured Credit Facility are collateralized by a lien on substantially all assets of the Company, ATI and certain existing and future U.S. subsidiary guarantors, as provided in the Credit Agreement. Interest on the Term Loan, as of December 31, 2023, is either (a) 1.75% over a SOFR rate on deposits in U.S. dollars for one-, three- or six-month periods (or a twelve-month period if, at the time of the borrowing, consented to by all relevant lenders and the administrative agent) plus a 0.1% credit spread adjustment for all interest periods ("Adjusted Term SOFR"), or (b) 0.75% over the greater of the prime lending rate as quoted by the administrative agent, the Adjusted Term SOFR Rate for an interest period of one month plus 1.00% and the federal funds effective rate published by the Federal Reserve Bank of New York plus 0.50%, subject to a 1.00% floor (the "Base Rate"). As of December 31, 2023, the Company elected to pay the lowest all-in rate of Adjusted Term SOFR plus the applicable margin, or 7.21%, on the Term Loan. The Credit Agreement requires minimum quarterly principal payments on the Term Loan, as well as prepayments from certain net cash proceeds of non-ordinary course asset sales and casualty and condemnation events, the incurrence of certain debt and from a percentage of excess cash flow, if applicable. The minimum required quarterly principal payment on the Term Loan through its maturity date of March 2026 is $2 million. As of December 31, 2023, there had been no payments required for certain net cash proceeds of non-ordinary course asset sales and casualty and condemnation events. The remaining principal balance is due upon maturity.</w:t>
      </w:r>
    </w:p>
    <w:p>
      <w:pPr>
        <w:spacing w:after="0" w:line="134" w:lineRule="exact"/>
        <w:rPr>
          <w:sz w:val="20"/>
          <w:szCs w:val="20"/>
          <w:color w:val="auto"/>
        </w:rPr>
      </w:pPr>
    </w:p>
    <w:p>
      <w:pPr>
        <w:ind w:firstLine="494"/>
        <w:spacing w:after="0" w:line="252" w:lineRule="auto"/>
        <w:rPr>
          <w:sz w:val="20"/>
          <w:szCs w:val="20"/>
          <w:color w:val="auto"/>
        </w:rPr>
      </w:pPr>
      <w:r>
        <w:rPr>
          <w:rFonts w:ascii="Arial" w:cs="Arial" w:eastAsia="Arial" w:hAnsi="Arial"/>
          <w:sz w:val="17"/>
          <w:szCs w:val="17"/>
          <w:color w:val="auto"/>
        </w:rPr>
        <w:t>The Senior Secured Credit Facility also provides a Revolving Credit Facility, net of an allowance for up to $75 million in outstanding letters of credit commitments. Throughout the year ended December 31, 2023, the Company made no withdrawals on the Revolving Credit Facility. As of December 31, 2023, the Company had $645 million available under the Revolving Credit Facility, net of $5 million in letters of credit. Borrowings under the Revolving Credit Facility bear interest at a variable base rate plus an applicable margin based on the Company’s first lien net leverage ratio. When the Company’s first lien net leverage ratio is above 4.00x, interest on the Revolving Credit Facility is (a)</w:t>
      </w:r>
    </w:p>
    <w:p>
      <w:pPr>
        <w:spacing w:after="0" w:line="3"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0.75% over the Base Rate or (b) 1.75% over the Adjusted Term SOFR Rate; when the Company’s first lien net leverage ratio is equal to or less than 4.00x and above 3.50x, interest on the Revolving Credit Facility is (i) 0.50% over the Base Rate or (ii) 1.50% over the Adjusted Term SOFR Rate; and when the Company’s first lien net leverage ratio is equal to or below 3.50x, interest on the Revolving Credit Facility is</w:t>
      </w:r>
    </w:p>
    <w:p>
      <w:pPr>
        <w:spacing w:after="0" w:line="1" w:lineRule="exact"/>
        <w:rPr>
          <w:sz w:val="20"/>
          <w:szCs w:val="20"/>
          <w:color w:val="auto"/>
        </w:rPr>
      </w:pPr>
    </w:p>
    <w:p>
      <w:pPr>
        <w:ind w:right="100" w:firstLine="8"/>
        <w:spacing w:after="0" w:line="238" w:lineRule="auto"/>
        <w:tabs>
          <w:tab w:leader="none" w:pos="2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0.25% over the Base Rate or (z) 1.25% over the Adjusted Term SOFR Rate. As of December 31, 2023, the applicable margin for the Revolving Credit Facility was 1.25%. In addition, there is an annual commitment fee, based on the Company’s first lien net leverage ratio, on the average unused revolving credit borrowings available under the Revolving Credit Facility. As of December 31, 2023, the commitment fee was 0.25%. Borrowings under the Revolving Credit Facility are payable at the option of the Company throughout the term of the Senior Secured Credit Facility with the balance due in September 2025.</w:t>
      </w:r>
    </w:p>
    <w:p>
      <w:pPr>
        <w:spacing w:after="0" w:line="129"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The Senior Secured Credit Facility requires the Company to maintain a specified maximum first lien net leverage ratio of 5.50x when revolving loan commitments remain outstanding on the Revolving Credit Facility at the end of a fiscal quarter. As of December 31, 2023, the Company had no amounts outstanding under the Revolving Credit Facility; however, the Company would have been in compliance with the maximum first lien net leverage ratio, achieving a 0.06x ratio. Additionally, within the terms of the Senior Secured Credit Facility, a first lien net leverage ratio at or below 4.00x results in the elimination of excess cash flow payments on the Senior Secured Credit Facility for the applicable year.</w:t>
      </w:r>
    </w:p>
    <w:p>
      <w:pPr>
        <w:spacing w:after="0" w:line="128" w:lineRule="exact"/>
        <w:rPr>
          <w:sz w:val="20"/>
          <w:szCs w:val="20"/>
          <w:color w:val="auto"/>
        </w:rPr>
      </w:pPr>
    </w:p>
    <w:p>
      <w:pPr>
        <w:ind w:right="220" w:firstLine="494"/>
        <w:spacing w:after="0" w:line="246" w:lineRule="auto"/>
        <w:rPr>
          <w:sz w:val="20"/>
          <w:szCs w:val="20"/>
          <w:color w:val="auto"/>
        </w:rPr>
      </w:pPr>
      <w:r>
        <w:rPr>
          <w:rFonts w:ascii="Arial" w:cs="Arial" w:eastAsia="Arial" w:hAnsi="Arial"/>
          <w:sz w:val="18"/>
          <w:szCs w:val="18"/>
          <w:color w:val="auto"/>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 Company’s common stock. As of December 31, 2023, the Company was in compliance with all covenants under the Credit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Senior Notes</w:t>
      </w:r>
    </w:p>
    <w:p>
      <w:pPr>
        <w:spacing w:after="0" w:line="101"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Each series of the Senior Notes is unsecured and is guaranteed by each of ATI’s domestic subsidiaries that is a borrower under or guarantees the Senior Secured Credit Facility and is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any series of the Senior Notes. The indentures governing the Senior Notes contain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December 31, 2023, the Company was in compliance with all covenants under the indentures governing the Senior Notes.</w:t>
      </w:r>
    </w:p>
    <w:p>
      <w:pPr>
        <w:spacing w:after="0" w:line="127" w:lineRule="exact"/>
        <w:rPr>
          <w:sz w:val="20"/>
          <w:szCs w:val="20"/>
          <w:color w:val="auto"/>
        </w:rPr>
      </w:pPr>
    </w:p>
    <w:p>
      <w:pPr>
        <w:ind w:right="40" w:firstLine="494"/>
        <w:spacing w:after="0" w:line="238" w:lineRule="auto"/>
        <w:rPr>
          <w:sz w:val="20"/>
          <w:szCs w:val="20"/>
          <w:color w:val="auto"/>
        </w:rPr>
      </w:pPr>
      <w:r>
        <w:rPr>
          <w:rFonts w:ascii="Arial" w:cs="Arial" w:eastAsia="Arial" w:hAnsi="Arial"/>
          <w:sz w:val="18"/>
          <w:szCs w:val="18"/>
          <w:color w:val="auto"/>
        </w:rPr>
        <w:t>ATI may from time to time seek to retire its Senior Notes through cash purchases, exchanges for equity securities, open market purchases, privately negotiated transactions, contractual redemptions or otherwise. Such repurchases or exchanges, if any, will depend on prevailing market conditions, liquidity requirements, contractual restrictions and other factors and will be in accordance with the respective indenture governing such notes. The amounts involved may be material. Some or all of the 4.75% Senior Notes may be redeemed at any time at redemption prices specified in the indenture governing such notes. Some or all of the 5.875% Senior Notes may be redeemed prior to June 1, 2024 by paying a price equal to 100.00% of the principal amount being redeemed, plus an “applicable premium”. At any time on or after June 1, 2024, ATI may redeem some or all of the 5.875% Senior Notes at redemption prices specified in the indenture governing such notes. Prior to January 30, 2026, ATI may redeem some or all of the 3.75% Senior Notes by paying a price equal to 100.00% of the principal amount being redeemed, plus an “applicable premium”. At any time on or after January 30, 2026, ATI may redeem some or all of the 3.75% Senior Notes at redemption prices specified in the indenture governing such notes.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DERIVATIVES</w:t>
      </w:r>
    </w:p>
    <w:p>
      <w:pPr>
        <w:spacing w:after="0" w:line="157" w:lineRule="exact"/>
        <w:rPr>
          <w:sz w:val="20"/>
          <w:szCs w:val="20"/>
          <w:color w:val="auto"/>
        </w:rPr>
      </w:pPr>
    </w:p>
    <w:p>
      <w:pPr>
        <w:ind w:right="80" w:firstLine="494"/>
        <w:spacing w:after="0" w:line="239" w:lineRule="auto"/>
        <w:rPr>
          <w:sz w:val="20"/>
          <w:szCs w:val="20"/>
          <w:color w:val="auto"/>
        </w:rPr>
      </w:pPr>
      <w:r>
        <w:rPr>
          <w:rFonts w:ascii="Arial" w:cs="Arial" w:eastAsia="Arial" w:hAnsi="Arial"/>
          <w:sz w:val="18"/>
          <w:szCs w:val="18"/>
          <w:color w:val="auto"/>
        </w:rPr>
        <w:t>The Company is subject to interest rate risk related to the Senior Secured Credit Facility and entered into interest rate swaps to manage a portion of this exposure. The Company amended the contractual terms of its interest rate swaps in the second quarter of 2023. These amendments transitioned the reference rates from LIBOR to the forward-looking term rate based on SOFR ("Term SOFR") and were only a result of reference rate reform. During this transition period, the Company utilized optional expedients permitting the Company not to de-designate the existing cash flow hedging relationships and to continue to qualify for hedge accounting based upon a qualitative subsequent assessment concluding that the hedging relationships remained highly effective. When the transition of the reference rates was completed, the Company performed an initial quantitative assessment that demonstrated a highly effective hedging relationship that qualifies for hedge accounting under the hypothetical derivative method.</w:t>
      </w:r>
    </w:p>
    <w:p>
      <w:pPr>
        <w:spacing w:after="0" w:line="131" w:lineRule="exact"/>
        <w:rPr>
          <w:sz w:val="20"/>
          <w:szCs w:val="20"/>
          <w:color w:val="auto"/>
        </w:rPr>
      </w:pPr>
    </w:p>
    <w:p>
      <w:pPr>
        <w:ind w:right="200" w:firstLine="494"/>
        <w:spacing w:after="0" w:line="271" w:lineRule="auto"/>
        <w:rPr>
          <w:sz w:val="20"/>
          <w:szCs w:val="20"/>
          <w:color w:val="auto"/>
        </w:rPr>
      </w:pPr>
      <w:r>
        <w:rPr>
          <w:rFonts w:ascii="Arial" w:cs="Arial" w:eastAsia="Arial" w:hAnsi="Arial"/>
          <w:sz w:val="18"/>
          <w:szCs w:val="18"/>
          <w:color w:val="auto"/>
        </w:rPr>
        <w:t>As of December 31, 2023, the Company held interest rate swap contracts that, in the aggregate, effectively hedge $500 million of the variable rate debt associated with the Term Loan at the Term SOFR weighted average fixed rate of 2.81% through September 2025.</w:t>
      </w:r>
    </w:p>
    <w:p>
      <w:pPr>
        <w:spacing w:after="0" w:line="99" w:lineRule="exact"/>
        <w:rPr>
          <w:sz w:val="20"/>
          <w:szCs w:val="20"/>
          <w:color w:val="auto"/>
        </w:rPr>
      </w:pPr>
    </w:p>
    <w:p>
      <w:pPr>
        <w:ind w:right="60" w:firstLine="494"/>
        <w:spacing w:after="0" w:line="252" w:lineRule="auto"/>
        <w:rPr>
          <w:sz w:val="20"/>
          <w:szCs w:val="20"/>
          <w:color w:val="auto"/>
        </w:rPr>
      </w:pPr>
      <w:r>
        <w:rPr>
          <w:rFonts w:ascii="Arial" w:cs="Arial" w:eastAsia="Arial" w:hAnsi="Arial"/>
          <w:sz w:val="18"/>
          <w:szCs w:val="18"/>
          <w:color w:val="auto"/>
        </w:rPr>
        <w:t>Fair value adjustments are recorded as a component of AOCL in the Consolidated Balance Sheets. Balances in AOCL are reclassified to earnings when transactions related to the underlying risk are settled. See "Note 7. Fair Value of Financial Instruments” for information regarding the fair value of the Company’s interest rate swaps.</w:t>
      </w:r>
    </w:p>
    <w:p>
      <w:pPr>
        <w:spacing w:after="0" w:line="117" w:lineRule="exact"/>
        <w:rPr>
          <w:sz w:val="20"/>
          <w:szCs w:val="20"/>
          <w:color w:val="auto"/>
        </w:rPr>
      </w:pPr>
    </w:p>
    <w:p>
      <w:pPr>
        <w:ind w:right="780" w:firstLine="494"/>
        <w:spacing w:after="0" w:line="271" w:lineRule="auto"/>
        <w:rPr>
          <w:sz w:val="20"/>
          <w:szCs w:val="20"/>
          <w:color w:val="auto"/>
        </w:rPr>
      </w:pPr>
      <w:r>
        <w:rPr>
          <w:rFonts w:ascii="Arial" w:cs="Arial" w:eastAsia="Arial" w:hAnsi="Arial"/>
          <w:sz w:val="18"/>
          <w:szCs w:val="18"/>
          <w:color w:val="auto"/>
        </w:rPr>
        <w:t>The following tabular disclosures further describe the Company’s interest rate derivatives qualifying and designated for hedge accounting and their impact on the financial condition of the Company (dollars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Fair Value</w:t>
            </w:r>
          </w:p>
        </w:tc>
        <w:tc>
          <w:tcPr>
            <w:tcW w:w="1460" w:type="dxa"/>
            <w:vAlign w:val="bottom"/>
            <w:tcBorders>
              <w:bottom w:val="single" w:sz="8" w:color="auto"/>
            </w:tcBorders>
          </w:tcPr>
          <w:p>
            <w:pPr>
              <w:spacing w:after="0"/>
              <w:rPr>
                <w:sz w:val="16"/>
                <w:szCs w:val="16"/>
                <w:color w:val="auto"/>
              </w:rPr>
            </w:pPr>
          </w:p>
        </w:tc>
      </w:tr>
      <w:tr>
        <w:trPr>
          <w:trHeight w:val="160"/>
        </w:trPr>
        <w:tc>
          <w:tcPr>
            <w:tcW w:w="3960" w:type="dxa"/>
            <w:vAlign w:val="bottom"/>
          </w:tcPr>
          <w:p>
            <w:pPr>
              <w:spacing w:after="0"/>
              <w:rPr>
                <w:sz w:val="13"/>
                <w:szCs w:val="13"/>
                <w:color w:val="auto"/>
              </w:rPr>
            </w:pPr>
          </w:p>
        </w:tc>
        <w:tc>
          <w:tcPr>
            <w:tcW w:w="362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rPr>
              <w:t>Balance Sheet</w:t>
            </w:r>
          </w:p>
        </w:tc>
        <w:tc>
          <w:tcPr>
            <w:tcW w:w="240" w:type="dxa"/>
            <w:vAlign w:val="bottom"/>
          </w:tcPr>
          <w:p>
            <w:pPr>
              <w:spacing w:after="0"/>
              <w:rPr>
                <w:sz w:val="13"/>
                <w:szCs w:val="13"/>
                <w:color w:val="auto"/>
              </w:rPr>
            </w:pPr>
          </w:p>
        </w:tc>
        <w:tc>
          <w:tcPr>
            <w:tcW w:w="1500" w:type="dxa"/>
            <w:vAlign w:val="bottom"/>
          </w:tcPr>
          <w:p>
            <w:pPr>
              <w:jc w:val="right"/>
              <w:ind w:right="379"/>
              <w:spacing w:after="0" w:line="159"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357"/>
              <w:spacing w:after="0" w:line="159"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3960" w:type="dxa"/>
            <w:vAlign w:val="bottom"/>
          </w:tcPr>
          <w:p>
            <w:pPr>
              <w:spacing w:after="0"/>
              <w:rPr>
                <w:sz w:val="16"/>
                <w:szCs w:val="16"/>
                <w:color w:val="auto"/>
              </w:rPr>
            </w:pPr>
          </w:p>
        </w:tc>
        <w:tc>
          <w:tcPr>
            <w:tcW w:w="3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Location</w:t>
            </w:r>
          </w:p>
        </w:tc>
        <w:tc>
          <w:tcPr>
            <w:tcW w:w="240" w:type="dxa"/>
            <w:vAlign w:val="bottom"/>
          </w:tcPr>
          <w:p>
            <w:pPr>
              <w:spacing w:after="0"/>
              <w:rPr>
                <w:sz w:val="16"/>
                <w:szCs w:val="16"/>
                <w:color w:val="auto"/>
              </w:rPr>
            </w:pPr>
          </w:p>
        </w:tc>
        <w:tc>
          <w:tcPr>
            <w:tcW w:w="1500" w:type="dxa"/>
            <w:vAlign w:val="bottom"/>
          </w:tcPr>
          <w:p>
            <w:pPr>
              <w:jc w:val="right"/>
              <w:ind w:right="679"/>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677"/>
              <w:spacing w:after="0"/>
              <w:rPr>
                <w:sz w:val="20"/>
                <w:szCs w:val="20"/>
                <w:color w:val="auto"/>
              </w:rPr>
            </w:pPr>
            <w:r>
              <w:rPr>
                <w:rFonts w:ascii="Arial" w:cs="Arial" w:eastAsia="Arial" w:hAnsi="Arial"/>
                <w:sz w:val="14"/>
                <w:szCs w:val="14"/>
                <w:b w:val="1"/>
                <w:bCs w:val="1"/>
                <w:color w:val="auto"/>
              </w:rPr>
              <w:t>2022</w:t>
            </w:r>
          </w:p>
        </w:tc>
      </w:tr>
      <w:tr>
        <w:trPr>
          <w:trHeight w:val="223"/>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Assets:</w:t>
            </w:r>
          </w:p>
        </w:tc>
        <w:tc>
          <w:tcPr>
            <w:tcW w:w="342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r>
      <w:tr>
        <w:trPr>
          <w:trHeight w:val="229"/>
        </w:trPr>
        <w:tc>
          <w:tcPr>
            <w:tcW w:w="3960" w:type="dxa"/>
            <w:vAlign w:val="bottom"/>
          </w:tcPr>
          <w:p>
            <w:pPr>
              <w:ind w:left="280"/>
              <w:spacing w:after="0"/>
              <w:rPr>
                <w:sz w:val="20"/>
                <w:szCs w:val="20"/>
                <w:color w:val="auto"/>
              </w:rPr>
            </w:pPr>
            <w:r>
              <w:rPr>
                <w:rFonts w:ascii="Arial" w:cs="Arial" w:eastAsia="Arial" w:hAnsi="Arial"/>
                <w:sz w:val="18"/>
                <w:szCs w:val="18"/>
                <w:color w:val="auto"/>
              </w:rPr>
              <w:t>Interest rate swaps</w:t>
            </w: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Pr>
          <w:p>
            <w:pPr>
              <w:jc w:val="right"/>
              <w:ind w:right="39"/>
              <w:spacing w:after="0"/>
              <w:rPr>
                <w:sz w:val="20"/>
                <w:szCs w:val="20"/>
                <w:color w:val="auto"/>
              </w:rPr>
            </w:pPr>
            <w:r>
              <w:rPr>
                <w:rFonts w:ascii="Arial" w:cs="Arial" w:eastAsia="Arial" w:hAnsi="Arial"/>
                <w:sz w:val="18"/>
                <w:szCs w:val="18"/>
                <w:b w:val="1"/>
                <w:bCs w:val="1"/>
                <w:color w:val="auto"/>
              </w:rPr>
              <w:t>7</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7</w:t>
            </w:r>
          </w:p>
        </w:tc>
      </w:tr>
      <w:tr>
        <w:trPr>
          <w:trHeight w:val="229"/>
        </w:trPr>
        <w:tc>
          <w:tcPr>
            <w:tcW w:w="3960" w:type="dxa"/>
            <w:vAlign w:val="bottom"/>
            <w:tcBorders>
              <w:bottom w:val="single" w:sz="8" w:color="CFF0FC"/>
            </w:tcBorders>
            <w:shd w:val="clear" w:color="auto" w:fill="CFF0FC"/>
          </w:tcPr>
          <w:p>
            <w:pPr>
              <w:spacing w:after="0"/>
              <w:rPr>
                <w:sz w:val="19"/>
                <w:szCs w:val="19"/>
                <w:color w:val="auto"/>
              </w:rPr>
            </w:pPr>
          </w:p>
        </w:tc>
        <w:tc>
          <w:tcPr>
            <w:tcW w:w="36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5</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11</w:t>
            </w:r>
          </w:p>
        </w:tc>
      </w:tr>
      <w:tr>
        <w:trPr>
          <w:trHeight w:val="223"/>
        </w:trPr>
        <w:tc>
          <w:tcPr>
            <w:tcW w:w="3960" w:type="dxa"/>
            <w:vAlign w:val="bottom"/>
          </w:tcPr>
          <w:p>
            <w:pPr>
              <w:ind w:left="280"/>
              <w:spacing w:after="0"/>
              <w:rPr>
                <w:sz w:val="20"/>
                <w:szCs w:val="20"/>
                <w:color w:val="auto"/>
              </w:rPr>
            </w:pPr>
            <w:r>
              <w:rPr>
                <w:rFonts w:ascii="Arial" w:cs="Arial" w:eastAsia="Arial" w:hAnsi="Arial"/>
                <w:sz w:val="18"/>
                <w:szCs w:val="18"/>
                <w:color w:val="auto"/>
              </w:rPr>
              <w:t>Total derivative assets</w:t>
            </w:r>
          </w:p>
        </w:tc>
        <w:tc>
          <w:tcPr>
            <w:tcW w:w="3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Pr>
          <w:p>
            <w:pPr>
              <w:jc w:val="right"/>
              <w:ind w:right="39"/>
              <w:spacing w:after="0"/>
              <w:rPr>
                <w:sz w:val="20"/>
                <w:szCs w:val="20"/>
                <w:color w:val="auto"/>
              </w:rPr>
            </w:pPr>
            <w:r>
              <w:rPr>
                <w:rFonts w:ascii="Arial" w:cs="Arial" w:eastAsia="Arial" w:hAnsi="Arial"/>
                <w:sz w:val="18"/>
                <w:szCs w:val="18"/>
                <w:b w:val="1"/>
                <w:bCs w:val="1"/>
                <w:color w:val="auto"/>
              </w:rPr>
              <w:t>12</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18</w:t>
            </w:r>
          </w:p>
        </w:tc>
      </w:tr>
      <w:tr>
        <w:trPr>
          <w:trHeight w:val="20"/>
        </w:trPr>
        <w:tc>
          <w:tcPr>
            <w:tcW w:w="39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-179070</wp:posOffset>
            </wp:positionV>
            <wp:extent cx="1200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50" w:lineRule="exact"/>
        <w:rPr>
          <w:sz w:val="20"/>
          <w:szCs w:val="20"/>
          <w:color w:val="auto"/>
        </w:rPr>
      </w:pPr>
    </w:p>
    <w:p>
      <w:pPr>
        <w:ind w:right="100" w:firstLine="494"/>
        <w:spacing w:after="0" w:line="246" w:lineRule="auto"/>
        <w:rPr>
          <w:sz w:val="20"/>
          <w:szCs w:val="20"/>
          <w:color w:val="auto"/>
        </w:rPr>
      </w:pPr>
      <w:r>
        <w:rPr>
          <w:rFonts w:ascii="Arial" w:cs="Arial" w:eastAsia="Arial" w:hAnsi="Arial"/>
          <w:sz w:val="18"/>
          <w:szCs w:val="18"/>
          <w:color w:val="auto"/>
        </w:rPr>
        <w:t>The balance of derivative gains recorded in AOCL as of December 31, 2023 and 2022 was $12 million and $18 million, respectively. The Company had $10 million of derivative gains recorded in AOCL expected to be reclassified to earnings within the next twelve months as of December 31, 2023. See "Note 17. Accumulated Other Comprehensive Loss” for information regarding activity recorded as a component of AOCL during the year ended December 31, 2023.</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PRODUCT WARRANTY LIABILITIES</w:t>
      </w:r>
    </w:p>
    <w:p>
      <w:pPr>
        <w:spacing w:after="0" w:line="157" w:lineRule="exact"/>
        <w:rPr>
          <w:sz w:val="20"/>
          <w:szCs w:val="20"/>
          <w:color w:val="auto"/>
        </w:rPr>
      </w:pPr>
    </w:p>
    <w:p>
      <w:pPr>
        <w:jc w:val="both"/>
        <w:ind w:right="160" w:firstLine="494"/>
        <w:spacing w:after="0" w:line="252" w:lineRule="auto"/>
        <w:rPr>
          <w:sz w:val="20"/>
          <w:szCs w:val="20"/>
          <w:color w:val="auto"/>
        </w:rPr>
      </w:pPr>
      <w:r>
        <w:rPr>
          <w:rFonts w:ascii="Arial" w:cs="Arial" w:eastAsia="Arial" w:hAnsi="Arial"/>
          <w:sz w:val="18"/>
          <w:szCs w:val="18"/>
          <w:color w:val="auto"/>
        </w:rPr>
        <w:t>As of December 31, 2023, the current and non-current product warranty liabilities were $32 million and $27 million, respectively. As of December 31, 2022, the current and non-current product warranty liabilities were $33 million and $24 million, respectively. Product warranty liability activities consisted of the following (dollars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177"/>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177"/>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197"/>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177"/>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6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2021</w:t>
            </w: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57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53</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66</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Payments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(41 )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Increase in liability (warranty issued during period)</w:t>
            </w: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28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16</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Net adjustments to liability</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15</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w:t>
            </w:r>
          </w:p>
        </w:tc>
      </w:tr>
      <w:tr>
        <w:trPr>
          <w:trHeight w:val="263"/>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59</w:t>
            </w:r>
          </w:p>
        </w:tc>
        <w:tc>
          <w:tcPr>
            <w:tcW w:w="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-24765</wp:posOffset>
            </wp:positionV>
            <wp:extent cx="1028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1028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939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939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50" w:lineRule="exact"/>
        <w:rPr>
          <w:sz w:val="20"/>
          <w:szCs w:val="20"/>
          <w:color w:val="auto"/>
        </w:rPr>
      </w:pPr>
    </w:p>
    <w:p>
      <w:pPr>
        <w:ind w:right="200" w:firstLine="494"/>
        <w:spacing w:after="0" w:line="271" w:lineRule="auto"/>
        <w:rPr>
          <w:sz w:val="20"/>
          <w:szCs w:val="20"/>
          <w:color w:val="auto"/>
        </w:rPr>
      </w:pPr>
      <w:r>
        <w:rPr>
          <w:rFonts w:ascii="Arial" w:cs="Arial" w:eastAsia="Arial" w:hAnsi="Arial"/>
          <w:sz w:val="18"/>
          <w:szCs w:val="18"/>
          <w:color w:val="auto"/>
        </w:rPr>
        <w:t>The adjustments to the total liability in 2023, 2022 and 2021 were the result of general changes in estimates for various products and specific field action programs as additional claims data and field information became available.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DEFERRED REVENUE</w:t>
      </w:r>
    </w:p>
    <w:p>
      <w:pPr>
        <w:spacing w:after="0" w:line="157" w:lineRule="exact"/>
        <w:rPr>
          <w:sz w:val="20"/>
          <w:szCs w:val="20"/>
          <w:color w:val="auto"/>
        </w:rPr>
      </w:pPr>
    </w:p>
    <w:p>
      <w:pPr>
        <w:ind w:right="220" w:firstLine="494"/>
        <w:spacing w:after="0" w:line="252" w:lineRule="auto"/>
        <w:rPr>
          <w:sz w:val="20"/>
          <w:szCs w:val="20"/>
          <w:color w:val="auto"/>
        </w:rPr>
      </w:pPr>
      <w:r>
        <w:rPr>
          <w:rFonts w:ascii="Arial" w:cs="Arial" w:eastAsia="Arial" w:hAnsi="Arial"/>
          <w:sz w:val="18"/>
          <w:szCs w:val="18"/>
          <w:color w:val="auto"/>
        </w:rPr>
        <w:t>As of December 31, 2023, the current and non-current deferred revenue were $41 million and $89 million, respectively. As of December 31, 2022, the current and non-current deferred revenue were $38 million and $93 million, respectively. Deferred revenue activity consisted of the following (dollars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198"/>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178"/>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178"/>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6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198"/>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178"/>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15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6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2021</w:t>
            </w:r>
          </w:p>
        </w:tc>
      </w:tr>
      <w:tr>
        <w:trPr>
          <w:trHeight w:val="22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FF0FC"/>
          </w:tcPr>
          <w:p>
            <w:pPr>
              <w:jc w:val="right"/>
              <w:ind w:right="58"/>
              <w:spacing w:after="0"/>
              <w:rPr>
                <w:sz w:val="20"/>
                <w:szCs w:val="20"/>
                <w:color w:val="auto"/>
              </w:rPr>
            </w:pPr>
            <w:r>
              <w:rPr>
                <w:rFonts w:ascii="Arial" w:cs="Arial" w:eastAsia="Arial" w:hAnsi="Arial"/>
                <w:sz w:val="18"/>
                <w:szCs w:val="18"/>
                <w:b w:val="1"/>
                <w:bCs w:val="1"/>
                <w:color w:val="auto"/>
              </w:rPr>
              <w:t>131</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136</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143</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Increases</w:t>
            </w:r>
          </w:p>
        </w:tc>
        <w:tc>
          <w:tcPr>
            <w:tcW w:w="160" w:type="dxa"/>
            <w:vAlign w:val="bottom"/>
          </w:tcPr>
          <w:p>
            <w:pPr>
              <w:spacing w:after="0"/>
              <w:rPr>
                <w:sz w:val="19"/>
                <w:szCs w:val="19"/>
                <w:color w:val="auto"/>
              </w:rPr>
            </w:pPr>
          </w:p>
        </w:tc>
        <w:tc>
          <w:tcPr>
            <w:tcW w:w="1300" w:type="dxa"/>
            <w:vAlign w:val="bottom"/>
          </w:tcPr>
          <w:p>
            <w:pPr>
              <w:jc w:val="right"/>
              <w:ind w:right="58"/>
              <w:spacing w:after="0"/>
              <w:rPr>
                <w:sz w:val="20"/>
                <w:szCs w:val="20"/>
                <w:color w:val="auto"/>
              </w:rPr>
            </w:pPr>
            <w:r>
              <w:rPr>
                <w:rFonts w:ascii="Arial" w:cs="Arial" w:eastAsia="Arial" w:hAnsi="Arial"/>
                <w:sz w:val="18"/>
                <w:szCs w:val="18"/>
                <w:b w:val="1"/>
                <w:bCs w:val="1"/>
                <w:color w:val="auto"/>
              </w:rPr>
              <w:t>52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29</w:t>
            </w:r>
          </w:p>
        </w:tc>
      </w:tr>
      <w:tr>
        <w:trPr>
          <w:trHeight w:val="229"/>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 earned</w:t>
            </w:r>
          </w:p>
        </w:tc>
        <w:tc>
          <w:tcPr>
            <w:tcW w:w="1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(53 )</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(40 )</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(36 )</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58"/>
              <w:spacing w:after="0"/>
              <w:rPr>
                <w:sz w:val="20"/>
                <w:szCs w:val="20"/>
                <w:color w:val="auto"/>
              </w:rPr>
            </w:pPr>
            <w:r>
              <w:rPr>
                <w:rFonts w:ascii="Arial" w:cs="Arial" w:eastAsia="Arial" w:hAnsi="Arial"/>
                <w:sz w:val="18"/>
                <w:szCs w:val="18"/>
                <w:b w:val="1"/>
                <w:bCs w:val="1"/>
                <w:color w:val="auto"/>
              </w:rPr>
              <w:t>130</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131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136</w:t>
            </w:r>
          </w:p>
        </w:tc>
      </w:tr>
      <w:tr>
        <w:trPr>
          <w:trHeight w:val="20"/>
        </w:trPr>
        <w:tc>
          <w:tcPr>
            <w:tcW w:w="6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-179070</wp:posOffset>
            </wp:positionV>
            <wp:extent cx="1028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-179070</wp:posOffset>
            </wp:positionV>
            <wp:extent cx="939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50" w:lineRule="exact"/>
        <w:rPr>
          <w:sz w:val="20"/>
          <w:szCs w:val="20"/>
          <w:color w:val="auto"/>
        </w:rPr>
      </w:pPr>
    </w:p>
    <w:p>
      <w:pPr>
        <w:ind w:right="500" w:firstLine="494"/>
        <w:spacing w:after="0" w:line="271" w:lineRule="auto"/>
        <w:rPr>
          <w:sz w:val="20"/>
          <w:szCs w:val="20"/>
          <w:color w:val="auto"/>
        </w:rPr>
      </w:pPr>
      <w:r>
        <w:rPr>
          <w:rFonts w:ascii="Arial" w:cs="Arial" w:eastAsia="Arial" w:hAnsi="Arial"/>
          <w:sz w:val="18"/>
          <w:szCs w:val="18"/>
          <w:color w:val="auto"/>
        </w:rPr>
        <w:t>As of both December 31, 2023 and 2022, deferred revenue recorded in current and non-current liabilities related to ETC was $30 million and $85 million, respectively.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Lessee Accounting</w:t>
      </w:r>
    </w:p>
    <w:p>
      <w:pPr>
        <w:spacing w:after="0" w:line="155" w:lineRule="exact"/>
        <w:rPr>
          <w:sz w:val="20"/>
          <w:szCs w:val="20"/>
          <w:color w:val="auto"/>
        </w:rPr>
      </w:pPr>
    </w:p>
    <w:p>
      <w:pPr>
        <w:ind w:right="20" w:firstLine="499"/>
        <w:spacing w:after="0"/>
        <w:rPr>
          <w:sz w:val="20"/>
          <w:szCs w:val="20"/>
          <w:color w:val="auto"/>
        </w:rPr>
      </w:pPr>
      <w:r>
        <w:rPr>
          <w:rFonts w:ascii="Arial" w:cs="Arial" w:eastAsia="Arial" w:hAnsi="Arial"/>
          <w:sz w:val="18"/>
          <w:szCs w:val="18"/>
          <w:color w:val="auto"/>
        </w:rPr>
        <w:t>Contracts are assessed by the Company to determine if the contract conveys the right to control an identified asset in exchange for consideration during a period of time. The Company classifies all identified leases as either operating or finance leases. As of both December 31, 2023 and 2022, the Company was not a party to any finance leases. Contracts that contain leases are assessed to determine if the consideration in the contract is related to a lease component, non-lease component or other components not related to the lease. Lease components are recorded as right-of-use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spacing w:after="0" w:line="129" w:lineRule="exact"/>
        <w:rPr>
          <w:sz w:val="20"/>
          <w:szCs w:val="20"/>
          <w:color w:val="auto"/>
        </w:rPr>
      </w:pPr>
    </w:p>
    <w:p>
      <w:pPr>
        <w:ind w:right="320" w:firstLine="499"/>
        <w:spacing w:after="0" w:line="252" w:lineRule="auto"/>
        <w:rPr>
          <w:sz w:val="20"/>
          <w:szCs w:val="20"/>
          <w:color w:val="auto"/>
        </w:rPr>
      </w:pPr>
      <w:r>
        <w:rPr>
          <w:rFonts w:ascii="Arial" w:cs="Arial" w:eastAsia="Arial" w:hAnsi="Arial"/>
          <w:sz w:val="18"/>
          <w:szCs w:val="18"/>
          <w:color w:val="auto"/>
        </w:rPr>
        <w:t>Certain lease contracts may contain an option to extend or terminate the lease. The Company considers the economic impact of extension and termination options by contract. If the Company concludes it is reasonably certain an option will be exercised, that option is included in the lease term and impacts the amount recorded as an ROU asset and lease liability upon inception of the contract.</w:t>
      </w:r>
    </w:p>
    <w:p>
      <w:pPr>
        <w:spacing w:after="0" w:line="117" w:lineRule="exact"/>
        <w:rPr>
          <w:sz w:val="20"/>
          <w:szCs w:val="20"/>
          <w:color w:val="auto"/>
        </w:rPr>
      </w:pPr>
    </w:p>
    <w:p>
      <w:pPr>
        <w:ind w:right="120" w:firstLine="499"/>
        <w:spacing w:after="0" w:line="241" w:lineRule="auto"/>
        <w:rPr>
          <w:sz w:val="20"/>
          <w:szCs w:val="20"/>
          <w:color w:val="auto"/>
        </w:rPr>
      </w:pPr>
      <w:r>
        <w:rPr>
          <w:rFonts w:ascii="Arial" w:cs="Arial" w:eastAsia="Arial" w:hAnsi="Arial"/>
          <w:sz w:val="18"/>
          <w:szCs w:val="18"/>
          <w:color w:val="auto"/>
        </w:rPr>
        <w:t>The Company's lease liability is determined by discounting the future cash flows over the lease period. The Company determines its discount rates utilizing current secured financing rates based on the length of the lease period plus the Company's margin over Adjusted Term SOFR on the Term Loan. The Company believes this rate effectively represents a borrowing rate the Company could obtain on a debt instrument possessing similar terms as the lease. Lease liabilities are classified between current and non-current liabilities based on the terms of the underlying leases. The weighted average discount rate on operating leases as of December 31, 2023 and 2022 was 4.75% and 4.43%, respectively.</w:t>
      </w:r>
    </w:p>
    <w:p>
      <w:pPr>
        <w:spacing w:after="0" w:line="74" w:lineRule="exact"/>
        <w:rPr>
          <w:sz w:val="20"/>
          <w:szCs w:val="20"/>
          <w:color w:val="auto"/>
        </w:rPr>
      </w:pPr>
    </w:p>
    <w:p>
      <w:pPr>
        <w:ind w:right="420" w:firstLine="494"/>
        <w:spacing w:after="0" w:line="246" w:lineRule="auto"/>
        <w:rPr>
          <w:sz w:val="20"/>
          <w:szCs w:val="20"/>
          <w:color w:val="auto"/>
        </w:rPr>
      </w:pPr>
      <w:r>
        <w:rPr>
          <w:rFonts w:ascii="Arial" w:cs="Arial" w:eastAsia="Arial" w:hAnsi="Arial"/>
          <w:sz w:val="18"/>
          <w:szCs w:val="18"/>
          <w:color w:val="auto"/>
        </w:rPr>
        <w:t>As of December 31, 2023, the Company recorded current and non-current operating lease liabilities of $4 million and $14 million, respectively. As of December 31, 2022, the Company recorded current and non-current operating lease liabilities of $4 million and $13 million, respectively. The following table reconciles future undiscounted cash flows for operating leases as of December 31, 2023 to total operating lease liabilities: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right"/>
              <w:ind w:right="573"/>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45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873"/>
              <w:spacing w:after="0"/>
              <w:rPr>
                <w:sz w:val="20"/>
                <w:szCs w:val="20"/>
                <w:color w:val="auto"/>
              </w:rPr>
            </w:pPr>
            <w:r>
              <w:rPr>
                <w:rFonts w:ascii="Arial" w:cs="Arial" w:eastAsia="Arial" w:hAnsi="Arial"/>
                <w:sz w:val="14"/>
                <w:szCs w:val="14"/>
                <w:b w:val="1"/>
                <w:bCs w:val="1"/>
                <w:color w:val="auto"/>
              </w:rPr>
              <w:t>2023</w:t>
            </w:r>
          </w:p>
        </w:tc>
      </w:tr>
      <w:tr>
        <w:trPr>
          <w:trHeight w:val="223"/>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4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5</w:t>
            </w: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2025</w:t>
            </w:r>
          </w:p>
        </w:tc>
        <w:tc>
          <w:tcPr>
            <w:tcW w:w="4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ind w:right="33"/>
              <w:spacing w:after="0"/>
              <w:rPr>
                <w:sz w:val="20"/>
                <w:szCs w:val="20"/>
                <w:color w:val="auto"/>
              </w:rPr>
            </w:pPr>
            <w:r>
              <w:rPr>
                <w:rFonts w:ascii="Arial" w:cs="Arial" w:eastAsia="Arial" w:hAnsi="Arial"/>
                <w:sz w:val="18"/>
                <w:szCs w:val="18"/>
                <w:b w:val="1"/>
                <w:bCs w:val="1"/>
                <w:color w:val="auto"/>
              </w:rPr>
              <w:t>5</w:t>
            </w:r>
          </w:p>
        </w:tc>
      </w:tr>
      <w:tr>
        <w:trPr>
          <w:trHeight w:val="229"/>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45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4</w:t>
            </w: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2027</w:t>
            </w:r>
          </w:p>
        </w:tc>
        <w:tc>
          <w:tcPr>
            <w:tcW w:w="4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ind w:right="33"/>
              <w:spacing w:after="0"/>
              <w:rPr>
                <w:sz w:val="20"/>
                <w:szCs w:val="20"/>
                <w:color w:val="auto"/>
              </w:rPr>
            </w:pPr>
            <w:r>
              <w:rPr>
                <w:rFonts w:ascii="Arial" w:cs="Arial" w:eastAsia="Arial" w:hAnsi="Arial"/>
                <w:sz w:val="18"/>
                <w:szCs w:val="18"/>
                <w:b w:val="1"/>
                <w:bCs w:val="1"/>
                <w:color w:val="auto"/>
              </w:rPr>
              <w:t>3</w:t>
            </w:r>
          </w:p>
        </w:tc>
      </w:tr>
      <w:tr>
        <w:trPr>
          <w:trHeight w:val="229"/>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2028</w:t>
            </w:r>
          </w:p>
        </w:tc>
        <w:tc>
          <w:tcPr>
            <w:tcW w:w="45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3</w:t>
            </w: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5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w:t>
            </w:r>
          </w:p>
        </w:tc>
      </w:tr>
      <w:tr>
        <w:trPr>
          <w:trHeight w:val="223"/>
        </w:trPr>
        <w:tc>
          <w:tcPr>
            <w:tcW w:w="4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lease payments</w:t>
            </w:r>
          </w:p>
        </w:tc>
        <w:tc>
          <w:tcPr>
            <w:tcW w:w="4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24</w:t>
            </w:r>
          </w:p>
        </w:tc>
      </w:tr>
      <w:tr>
        <w:trPr>
          <w:trHeight w:val="229"/>
        </w:trPr>
        <w:tc>
          <w:tcPr>
            <w:tcW w:w="4560" w:type="dxa"/>
            <w:vAlign w:val="bottom"/>
          </w:tcPr>
          <w:p>
            <w:pPr>
              <w:ind w:left="520"/>
              <w:spacing w:after="0"/>
              <w:rPr>
                <w:sz w:val="20"/>
                <w:szCs w:val="20"/>
                <w:color w:val="auto"/>
              </w:rPr>
            </w:pPr>
            <w:r>
              <w:rPr>
                <w:rFonts w:ascii="Arial" w:cs="Arial" w:eastAsia="Arial" w:hAnsi="Arial"/>
                <w:sz w:val="18"/>
                <w:szCs w:val="18"/>
                <w:color w:val="auto"/>
              </w:rPr>
              <w:t>Less: Interest</w:t>
            </w:r>
          </w:p>
        </w:tc>
        <w:tc>
          <w:tcPr>
            <w:tcW w:w="45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6</w:t>
            </w:r>
          </w:p>
        </w:tc>
      </w:tr>
      <w:tr>
        <w:trPr>
          <w:trHeight w:val="263"/>
        </w:trPr>
        <w:tc>
          <w:tcPr>
            <w:tcW w:w="4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Present value of operating lease liabilities</w:t>
            </w:r>
          </w:p>
        </w:tc>
        <w:tc>
          <w:tcPr>
            <w:tcW w:w="4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18</w:t>
            </w:r>
          </w:p>
        </w:tc>
      </w:tr>
      <w:tr>
        <w:trPr>
          <w:trHeight w:val="632"/>
        </w:trPr>
        <w:tc>
          <w:tcPr>
            <w:tcW w:w="4560" w:type="dxa"/>
            <w:vAlign w:val="bottom"/>
            <w:tcBorders>
              <w:top w:val="single" w:sz="8" w:color="CFF0FC"/>
            </w:tcBorders>
          </w:tcPr>
          <w:p>
            <w:pPr>
              <w:spacing w:after="0"/>
              <w:rPr>
                <w:sz w:val="24"/>
                <w:szCs w:val="24"/>
                <w:color w:val="auto"/>
              </w:rPr>
            </w:pPr>
          </w:p>
        </w:tc>
        <w:tc>
          <w:tcPr>
            <w:tcW w:w="4540" w:type="dxa"/>
            <w:vAlign w:val="bottom"/>
            <w:tcBorders>
              <w:top w:val="single" w:sz="8" w:color="CFF0FC"/>
            </w:tcBorders>
          </w:tcPr>
          <w:p>
            <w:pPr>
              <w:jc w:val="right"/>
              <w:ind w:right="3290"/>
              <w:spacing w:after="0"/>
              <w:rPr>
                <w:sz w:val="20"/>
                <w:szCs w:val="20"/>
                <w:color w:val="auto"/>
              </w:rPr>
            </w:pPr>
            <w:r>
              <w:rPr>
                <w:rFonts w:ascii="Arial" w:cs="Arial" w:eastAsia="Arial" w:hAnsi="Arial"/>
                <w:sz w:val="18"/>
                <w:szCs w:val="18"/>
                <w:color w:val="auto"/>
              </w:rPr>
              <w:t>77</w:t>
            </w:r>
          </w:p>
        </w:tc>
        <w:tc>
          <w:tcPr>
            <w:tcW w:w="34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r>
      <w:tr>
        <w:trPr>
          <w:trHeight w:val="745"/>
        </w:trPr>
        <w:tc>
          <w:tcPr>
            <w:tcW w:w="456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ind w:right="260" w:firstLine="494"/>
        <w:spacing w:after="0" w:line="271" w:lineRule="auto"/>
        <w:rPr>
          <w:sz w:val="20"/>
          <w:szCs w:val="20"/>
          <w:color w:val="auto"/>
        </w:rPr>
      </w:pPr>
      <w:r>
        <w:rPr>
          <w:rFonts w:ascii="Arial" w:cs="Arial" w:eastAsia="Arial" w:hAnsi="Arial"/>
          <w:sz w:val="18"/>
          <w:szCs w:val="18"/>
          <w:color w:val="auto"/>
        </w:rPr>
        <w:t>ROU assets are calculated as the related lease liability adjusted for lease incentives, prepayments and the effect of escalating lease payments on period expense. The below table depicts the ROU assets held by the Company based on the underlying asset: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ind w:right="375"/>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560" w:type="dxa"/>
            <w:vAlign w:val="bottom"/>
          </w:tcPr>
          <w:p>
            <w:pPr>
              <w:spacing w:after="0"/>
              <w:rPr>
                <w:sz w:val="16"/>
                <w:szCs w:val="16"/>
                <w:color w:val="auto"/>
              </w:rPr>
            </w:pPr>
          </w:p>
        </w:tc>
        <w:tc>
          <w:tcPr>
            <w:tcW w:w="13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2022</w:t>
            </w:r>
          </w:p>
        </w:tc>
      </w:tr>
      <w:tr>
        <w:trPr>
          <w:trHeight w:val="22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Buildings</w:t>
            </w:r>
          </w:p>
        </w:tc>
        <w:tc>
          <w:tcPr>
            <w:tcW w:w="1360" w:type="dxa"/>
            <w:vAlign w:val="bottom"/>
            <w:shd w:val="clear" w:color="auto" w:fill="CFF0FC"/>
          </w:tcPr>
          <w:p>
            <w:pPr>
              <w:jc w:val="right"/>
              <w:ind w:right="1159"/>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15</w:t>
            </w:r>
          </w:p>
        </w:tc>
        <w:tc>
          <w:tcPr>
            <w:tcW w:w="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Equipment</w:t>
            </w:r>
          </w:p>
        </w:tc>
        <w:tc>
          <w:tcPr>
            <w:tcW w:w="1360" w:type="dxa"/>
            <w:vAlign w:val="bottom"/>
          </w:tcPr>
          <w:p>
            <w:pPr>
              <w:spacing w:after="0"/>
              <w:rPr>
                <w:sz w:val="19"/>
                <w:szCs w:val="19"/>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w:t>
            </w:r>
          </w:p>
        </w:tc>
      </w:tr>
      <w:tr>
        <w:trPr>
          <w:trHeight w:val="22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w:t>
            </w:r>
          </w:p>
        </w:tc>
        <w:tc>
          <w:tcPr>
            <w:tcW w:w="13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Vehicles</w:t>
            </w:r>
          </w:p>
        </w:tc>
        <w:tc>
          <w:tcPr>
            <w:tcW w:w="1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w:t>
            </w:r>
          </w:p>
        </w:tc>
      </w:tr>
      <w:tr>
        <w:trPr>
          <w:trHeight w:val="263"/>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ROU assets</w:t>
            </w:r>
          </w:p>
        </w:tc>
        <w:tc>
          <w:tcPr>
            <w:tcW w:w="1360" w:type="dxa"/>
            <w:vAlign w:val="bottom"/>
            <w:tcBorders>
              <w:bottom w:val="single" w:sz="8" w:color="auto"/>
            </w:tcBorders>
            <w:shd w:val="clear" w:color="auto" w:fill="CFF0FC"/>
          </w:tcPr>
          <w:p>
            <w:pPr>
              <w:jc w:val="right"/>
              <w:ind w:right="1159"/>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19</w:t>
            </w:r>
          </w:p>
        </w:tc>
        <w:tc>
          <w:tcPr>
            <w:tcW w:w="1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-24765</wp:posOffset>
            </wp:positionV>
            <wp:extent cx="12001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1200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50" w:lineRule="exact"/>
        <w:rPr>
          <w:sz w:val="20"/>
          <w:szCs w:val="20"/>
          <w:color w:val="auto"/>
        </w:rPr>
      </w:pPr>
    </w:p>
    <w:p>
      <w:pPr>
        <w:ind w:right="840" w:firstLine="494"/>
        <w:spacing w:after="0" w:line="271" w:lineRule="auto"/>
        <w:rPr>
          <w:sz w:val="20"/>
          <w:szCs w:val="20"/>
          <w:color w:val="auto"/>
        </w:rPr>
      </w:pPr>
      <w:r>
        <w:rPr>
          <w:rFonts w:ascii="Arial" w:cs="Arial" w:eastAsia="Arial" w:hAnsi="Arial"/>
          <w:sz w:val="18"/>
          <w:szCs w:val="18"/>
          <w:color w:val="auto"/>
        </w:rPr>
        <w:t>The weighted average remaining lease term as of December 31, 2023 and December 31, 2022 was 5.6 years and 6.3 years, respectively.</w:t>
      </w:r>
    </w:p>
    <w:p>
      <w:pPr>
        <w:spacing w:after="0" w:line="99" w:lineRule="exact"/>
        <w:rPr>
          <w:sz w:val="20"/>
          <w:szCs w:val="20"/>
          <w:color w:val="auto"/>
        </w:rPr>
      </w:pPr>
    </w:p>
    <w:p>
      <w:pPr>
        <w:ind w:right="120" w:firstLine="494"/>
        <w:spacing w:after="0" w:line="246" w:lineRule="auto"/>
        <w:rPr>
          <w:sz w:val="20"/>
          <w:szCs w:val="20"/>
          <w:color w:val="auto"/>
        </w:rPr>
      </w:pPr>
      <w:r>
        <w:rPr>
          <w:rFonts w:ascii="Arial" w:cs="Arial" w:eastAsia="Arial" w:hAnsi="Arial"/>
          <w:sz w:val="18"/>
          <w:szCs w:val="18"/>
          <w:color w:val="auto"/>
        </w:rPr>
        <w:t>Operating lease expense was $6 million and $5 million for the years ended December 31, 2023 and 2022, respectively, and was recorded within Selling, general and administrative expense and Engineering — research and development on the Company's Consolidated Statements of Comprehensive Income. There was no material short-term operating lease expense for either of the years ended December 31, 2023 or 2022.</w:t>
      </w:r>
    </w:p>
    <w:p>
      <w:pPr>
        <w:spacing w:after="0" w:line="122" w:lineRule="exact"/>
        <w:rPr>
          <w:sz w:val="20"/>
          <w:szCs w:val="20"/>
          <w:color w:val="auto"/>
        </w:rPr>
      </w:pPr>
    </w:p>
    <w:p>
      <w:pPr>
        <w:ind w:right="440" w:firstLine="494"/>
        <w:spacing w:after="0" w:line="271" w:lineRule="auto"/>
        <w:rPr>
          <w:sz w:val="20"/>
          <w:szCs w:val="20"/>
          <w:color w:val="auto"/>
        </w:rPr>
      </w:pPr>
      <w:r>
        <w:rPr>
          <w:rFonts w:ascii="Arial" w:cs="Arial" w:eastAsia="Arial" w:hAnsi="Arial"/>
          <w:sz w:val="18"/>
          <w:szCs w:val="18"/>
          <w:color w:val="auto"/>
        </w:rPr>
        <w:t>During the years ended December 31, 2023 and 2022, the Company recorded $6 million and $4 million, respectively, of new ROU assets obtained in exchange for lease obligations.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OTHER INCOME (EXPENSE), NET</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income (expense), net consists of the following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jc w:val="center"/>
              <w:ind w:left="877"/>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6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Post-retirement benefit plan amendment credits</w:t>
            </w:r>
          </w:p>
        </w:tc>
        <w:tc>
          <w:tcPr>
            <w:tcW w:w="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Technology-related investments gain</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Rabbi trust assets gain (loss)</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3</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Loss on foreign exchange</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Unrealized (loss) gain on marketable securities</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(1 )</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(22 )</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6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15</w:t>
            </w:r>
          </w:p>
        </w:tc>
        <w:tc>
          <w:tcPr>
            <w:tcW w:w="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(21 )</w:t>
            </w:r>
          </w:p>
        </w:tc>
        <w:tc>
          <w:tcPr>
            <w:tcW w:w="1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51"/>
        </w:trPr>
        <w:tc>
          <w:tcPr>
            <w:tcW w:w="6620" w:type="dxa"/>
            <w:vAlign w:val="bottom"/>
          </w:tcPr>
          <w:p>
            <w:pPr>
              <w:spacing w:after="0"/>
              <w:rPr>
                <w:sz w:val="20"/>
                <w:szCs w:val="20"/>
                <w:color w:val="auto"/>
              </w:rPr>
            </w:pPr>
            <w:r>
              <w:rPr>
                <w:rFonts w:ascii="Arial" w:cs="Arial" w:eastAsia="Arial" w:hAnsi="Arial"/>
                <w:sz w:val="18"/>
                <w:szCs w:val="18"/>
                <w:b w:val="1"/>
                <w:bCs w:val="1"/>
                <w:color w:val="auto"/>
              </w:rPr>
              <w:t>NOTE 14.  OTHER CURRENT LIABILITIES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620" w:type="dxa"/>
            <w:vAlign w:val="bottom"/>
          </w:tcPr>
          <w:p>
            <w:pPr>
              <w:ind w:left="500"/>
              <w:spacing w:after="0"/>
              <w:rPr>
                <w:sz w:val="20"/>
                <w:szCs w:val="20"/>
                <w:color w:val="auto"/>
              </w:rPr>
            </w:pPr>
            <w:r>
              <w:rPr>
                <w:rFonts w:ascii="Arial" w:cs="Arial" w:eastAsia="Arial" w:hAnsi="Arial"/>
                <w:sz w:val="18"/>
                <w:szCs w:val="18"/>
                <w:color w:val="auto"/>
              </w:rPr>
              <w:t>Other current liabilities consist of the following (dollars in millions):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6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92"/>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Payroll and related costs</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89</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12"/>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Sales incentives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b w:val="1"/>
                <w:bCs w:val="1"/>
                <w:color w:val="auto"/>
              </w:rPr>
              <w:t>41</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interest payable</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24</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Vendor buyback obligation</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b w:val="1"/>
                <w:bCs w:val="1"/>
                <w:color w:val="auto"/>
              </w:rPr>
              <w:t>18</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Taxes payable</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17</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b w:val="1"/>
                <w:bCs w:val="1"/>
                <w:color w:val="auto"/>
              </w:rPr>
              <w:t>4</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accruals</w:t>
            </w: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19</w:t>
            </w:r>
          </w:p>
        </w:tc>
        <w:tc>
          <w:tcPr>
            <w:tcW w:w="1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6620" w:type="dxa"/>
            <w:vAlign w:val="bottom"/>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b w:val="1"/>
                <w:bCs w:val="1"/>
                <w:color w:val="auto"/>
              </w:rPr>
              <w:t>212</w:t>
            </w:r>
          </w:p>
        </w:tc>
        <w:tc>
          <w:tcPr>
            <w:tcW w:w="180" w:type="dxa"/>
            <w:vAlign w:val="bottom"/>
          </w:tcPr>
          <w:p>
            <w:pPr>
              <w:spacing w:after="0"/>
              <w:rPr>
                <w:sz w:val="19"/>
                <w:szCs w:val="19"/>
                <w:color w:val="auto"/>
              </w:rPr>
            </w:pPr>
          </w:p>
        </w:tc>
        <w:tc>
          <w:tcPr>
            <w:tcW w:w="620" w:type="dxa"/>
            <w:vAlign w:val="bottom"/>
          </w:tcPr>
          <w:p>
            <w:pPr>
              <w:jc w:val="right"/>
              <w:ind w:right="412"/>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552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6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6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-2987675</wp:posOffset>
            </wp:positionV>
            <wp:extent cx="1028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-2970530</wp:posOffset>
            </wp:positionV>
            <wp:extent cx="1028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-2987675</wp:posOffset>
            </wp:positionV>
            <wp:extent cx="939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-2970530</wp:posOffset>
            </wp:positionV>
            <wp:extent cx="939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-1078230</wp:posOffset>
            </wp:positionV>
            <wp:extent cx="1200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EMPLOYEE BENEFIT PLANS</w:t>
      </w:r>
    </w:p>
    <w:p>
      <w:pPr>
        <w:spacing w:after="0" w:line="157" w:lineRule="exact"/>
        <w:rPr>
          <w:sz w:val="20"/>
          <w:szCs w:val="20"/>
          <w:color w:val="auto"/>
        </w:rPr>
      </w:pPr>
    </w:p>
    <w:p>
      <w:pPr>
        <w:ind w:right="100" w:firstLine="494"/>
        <w:spacing w:after="0" w:line="238" w:lineRule="auto"/>
        <w:rPr>
          <w:sz w:val="20"/>
          <w:szCs w:val="20"/>
          <w:color w:val="auto"/>
        </w:rPr>
      </w:pPr>
      <w:r>
        <w:rPr>
          <w:rFonts w:ascii="Arial" w:cs="Arial" w:eastAsia="Arial" w:hAnsi="Arial"/>
          <w:sz w:val="18"/>
          <w:szCs w:val="18"/>
          <w:color w:val="auto"/>
        </w:rPr>
        <w:t>The Company provides defined benefit pension plans, defined contribution plans and/or other postretirement benefit plans to certain employees globally. However, contributions to the Company’s various international benefit plans are not material for the periods presented. The Company’s defined benefit pension plans generally provide benefits of negotiated, stated amounts for each year of service as well as significant supplemental benefits for eligible employees. The Company sponsors defined contribution retirement savings plans for eligible employees, based on employee location and status. The Company’s salaried defined contribution retirement savings plans provide for a Company match of employee contributions up to certain limits based upon eligible base salary. The charge to expense for the Company’s defined contribution retirement savings plans was $18 million, $16 million and $14 million for the years ended December 31, 2023, 2022 and 2021, respectively. The Company is also responsible for OPEB costs (medical, dental, vision, and life insurance) for hourly employees hired prior to May 19, 2008, excluding those employees eligible to retire at the time of the sale of the Company. The plan is unfunded and any future payments will be funded by the Company’s operating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Obligations, Funded Status and Recognition in the Consolidated Balance Sheets</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 reconciliation of the changes in the benefit obligations, funded status and amounts recognized in the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for the years ended December 31, 2023 and 2022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Pension Plans</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Post-retirement Benefits</w:t>
            </w:r>
          </w:p>
        </w:tc>
      </w:tr>
      <w:tr>
        <w:trPr>
          <w:trHeight w:val="160"/>
        </w:trPr>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center"/>
              <w:ind w:right="193"/>
              <w:spacing w:after="0" w:line="159" w:lineRule="exact"/>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ind w:right="173"/>
              <w:spacing w:after="0" w:line="159" w:lineRule="exact"/>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center"/>
              <w:ind w:right="153"/>
              <w:spacing w:after="0" w:line="159" w:lineRule="exact"/>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center"/>
              <w:ind w:right="173"/>
              <w:spacing w:after="0" w:line="159" w:lineRule="exact"/>
              <w:rPr>
                <w:sz w:val="20"/>
                <w:szCs w:val="20"/>
                <w:color w:val="auto"/>
              </w:rPr>
            </w:pPr>
            <w:r>
              <w:rPr>
                <w:rFonts w:ascii="Arial" w:cs="Arial" w:eastAsia="Arial" w:hAnsi="Arial"/>
                <w:sz w:val="14"/>
                <w:szCs w:val="14"/>
                <w:b w:val="1"/>
                <w:bCs w:val="1"/>
                <w:color w:val="auto"/>
              </w:rPr>
              <w:t>Year ended</w:t>
            </w:r>
          </w:p>
        </w:tc>
      </w:tr>
      <w:tr>
        <w:trPr>
          <w:trHeight w:val="162"/>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173"/>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173"/>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173"/>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173"/>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5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2022</w:t>
            </w:r>
          </w:p>
        </w:tc>
      </w:tr>
      <w:tr>
        <w:trPr>
          <w:trHeight w:val="223"/>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Benefit Obligations:</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Benefit obligation at beginning of year</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ind w:right="53"/>
              <w:spacing w:after="0"/>
              <w:rPr>
                <w:sz w:val="20"/>
                <w:szCs w:val="20"/>
                <w:color w:val="auto"/>
              </w:rPr>
            </w:pPr>
            <w:r>
              <w:rPr>
                <w:rFonts w:ascii="Arial" w:cs="Arial" w:eastAsia="Arial" w:hAnsi="Arial"/>
                <w:sz w:val="18"/>
                <w:szCs w:val="18"/>
                <w:b w:val="1"/>
                <w:bCs w:val="1"/>
                <w:color w:val="auto"/>
              </w:rPr>
              <w:t>161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220</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33"/>
              <w:spacing w:after="0"/>
              <w:rPr>
                <w:sz w:val="20"/>
                <w:szCs w:val="20"/>
                <w:color w:val="auto"/>
              </w:rPr>
            </w:pPr>
            <w:r>
              <w:rPr>
                <w:rFonts w:ascii="Arial" w:cs="Arial" w:eastAsia="Arial" w:hAnsi="Arial"/>
                <w:sz w:val="18"/>
                <w:szCs w:val="18"/>
                <w:b w:val="1"/>
                <w:bCs w:val="1"/>
                <w:color w:val="auto"/>
              </w:rPr>
              <w:t>73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102</w:t>
            </w:r>
          </w:p>
        </w:tc>
      </w:tr>
      <w:tr>
        <w:trPr>
          <w:trHeight w:val="22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 cost</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b w:val="1"/>
                <w:bCs w:val="1"/>
                <w:color w:val="auto"/>
              </w:rPr>
              <w:t>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b w:val="1"/>
                <w:bCs w:val="1"/>
                <w:color w:val="auto"/>
              </w:rPr>
              <w:t>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w:t>
            </w:r>
          </w:p>
        </w:tc>
      </w:tr>
      <w:tr>
        <w:trPr>
          <w:trHeight w:val="22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Benefits paid</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(12 )</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(15 )</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(5 )</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Actuarial loss (gain)</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8</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(57 )</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(8 )</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(29 )</w:t>
            </w:r>
          </w:p>
        </w:tc>
      </w:tr>
      <w:tr>
        <w:trPr>
          <w:trHeight w:val="263"/>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Benefit obligation at end of year</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169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64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73</w:t>
            </w:r>
          </w:p>
        </w:tc>
      </w:tr>
      <w:tr>
        <w:trPr>
          <w:trHeight w:val="210"/>
        </w:trPr>
        <w:tc>
          <w:tcPr>
            <w:tcW w:w="518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Fair Value of Plan Assets:</w:t>
            </w: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2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of plan assets at beginning of year</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158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213</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14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b w:val="1"/>
                <w:bCs w:val="1"/>
                <w:color w:val="auto"/>
              </w:rPr>
              <w:t>10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2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Employer contributions</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5</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(12 )</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(5 )</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r>
      <w:tr>
        <w:trPr>
          <w:trHeight w:val="263"/>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Fair value of plan assets at end of year</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164</w:t>
            </w:r>
          </w:p>
        </w:tc>
        <w:tc>
          <w:tcPr>
            <w:tcW w:w="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158</w:t>
            </w:r>
          </w:p>
        </w:tc>
        <w:tc>
          <w:tcPr>
            <w:tcW w:w="1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10"/>
        </w:trPr>
        <w:tc>
          <w:tcPr>
            <w:tcW w:w="5180" w:type="dxa"/>
            <w:vAlign w:val="bottom"/>
          </w:tcPr>
          <w:p>
            <w:pPr>
              <w:ind w:left="20"/>
              <w:spacing w:after="0"/>
              <w:rPr>
                <w:sz w:val="20"/>
                <w:szCs w:val="20"/>
                <w:color w:val="auto"/>
              </w:rPr>
            </w:pPr>
            <w:r>
              <w:rPr>
                <w:rFonts w:ascii="Arial" w:cs="Arial" w:eastAsia="Arial" w:hAnsi="Arial"/>
                <w:sz w:val="18"/>
                <w:szCs w:val="18"/>
                <w:color w:val="auto"/>
              </w:rPr>
              <w:t>Net Funded Status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(3 )</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(64 )</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(73 )</w:t>
            </w:r>
          </w:p>
        </w:tc>
      </w:tr>
      <w:tr>
        <w:trPr>
          <w:trHeight w:val="20"/>
        </w:trPr>
        <w:tc>
          <w:tcPr>
            <w:tcW w:w="5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Amounts Recognized in Balance Sheet:</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ind w:right="53"/>
              <w:spacing w:after="0"/>
              <w:rPr>
                <w:sz w:val="20"/>
                <w:szCs w:val="20"/>
                <w:color w:val="auto"/>
              </w:rPr>
            </w:pPr>
            <w:r>
              <w:rPr>
                <w:rFonts w:ascii="Arial" w:cs="Arial" w:eastAsia="Arial" w:hAnsi="Arial"/>
                <w:sz w:val="18"/>
                <w:szCs w:val="18"/>
                <w:b w:val="1"/>
                <w:bCs w:val="1"/>
                <w:color w:val="auto"/>
              </w:rPr>
              <w:t>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2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(4 )</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(6 )</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(60 )</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(69 )</w:t>
            </w:r>
          </w:p>
        </w:tc>
      </w:tr>
      <w:tr>
        <w:trPr>
          <w:trHeight w:val="263"/>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(5 )</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(64 )</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(73 )</w:t>
            </w:r>
          </w:p>
        </w:tc>
      </w:tr>
      <w:tr>
        <w:trPr>
          <w:trHeight w:val="210"/>
        </w:trPr>
        <w:tc>
          <w:tcPr>
            <w:tcW w:w="518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2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Prior service credit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24</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Actuarial (gain) loss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(7 )</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33</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w:t>
            </w:r>
          </w:p>
        </w:tc>
      </w:tr>
      <w:tr>
        <w:trPr>
          <w:trHeight w:val="263"/>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(6 )</w:t>
            </w:r>
          </w:p>
        </w:tc>
        <w:tc>
          <w:tcPr>
            <w:tcW w:w="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47</w:t>
            </w:r>
          </w:p>
        </w:tc>
        <w:tc>
          <w:tcPr>
            <w:tcW w:w="1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4192270</wp:posOffset>
            </wp:positionH>
            <wp:positionV relativeFrom="paragraph">
              <wp:posOffset>-2482215</wp:posOffset>
            </wp:positionV>
            <wp:extent cx="1028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-2465070</wp:posOffset>
            </wp:positionV>
            <wp:extent cx="1028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-2482215</wp:posOffset>
            </wp:positionV>
            <wp:extent cx="939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-2465070</wp:posOffset>
            </wp:positionV>
            <wp:extent cx="939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-2482215</wp:posOffset>
            </wp:positionV>
            <wp:extent cx="939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-2465070</wp:posOffset>
            </wp:positionV>
            <wp:extent cx="939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-1574800</wp:posOffset>
            </wp:positionV>
            <wp:extent cx="1028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-1557655</wp:posOffset>
            </wp:positionV>
            <wp:extent cx="1028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-1574800</wp:posOffset>
            </wp:positionV>
            <wp:extent cx="939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-1557655</wp:posOffset>
            </wp:positionV>
            <wp:extent cx="939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-1574800</wp:posOffset>
            </wp:positionV>
            <wp:extent cx="939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-1557655</wp:posOffset>
            </wp:positionV>
            <wp:extent cx="939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-641350</wp:posOffset>
            </wp:positionV>
            <wp:extent cx="1028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-624205</wp:posOffset>
            </wp:positionV>
            <wp:extent cx="1028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-641350</wp:posOffset>
            </wp:positionV>
            <wp:extent cx="939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-624205</wp:posOffset>
            </wp:positionV>
            <wp:extent cx="939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-641350</wp:posOffset>
            </wp:positionV>
            <wp:extent cx="939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-624205</wp:posOffset>
            </wp:positionV>
            <wp:extent cx="939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-24765</wp:posOffset>
            </wp:positionV>
            <wp:extent cx="1028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-7620</wp:posOffset>
            </wp:positionV>
            <wp:extent cx="1028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-24765</wp:posOffset>
            </wp:positionV>
            <wp:extent cx="939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-7620</wp:posOffset>
            </wp:positionV>
            <wp:extent cx="939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-24765</wp:posOffset>
            </wp:positionV>
            <wp:extent cx="939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-7620</wp:posOffset>
            </wp:positionV>
            <wp:extent cx="939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23" w:lineRule="exact"/>
        <w:rPr>
          <w:sz w:val="20"/>
          <w:szCs w:val="20"/>
          <w:color w:val="auto"/>
        </w:rPr>
      </w:pPr>
    </w:p>
    <w:p>
      <w:pPr>
        <w:ind w:right="240" w:firstLine="494"/>
        <w:spacing w:after="0" w:line="271" w:lineRule="auto"/>
        <w:rPr>
          <w:sz w:val="20"/>
          <w:szCs w:val="20"/>
          <w:color w:val="auto"/>
        </w:rPr>
      </w:pPr>
      <w:r>
        <w:rPr>
          <w:rFonts w:ascii="Arial" w:cs="Arial" w:eastAsia="Arial" w:hAnsi="Arial"/>
          <w:sz w:val="18"/>
          <w:szCs w:val="18"/>
          <w:color w:val="auto"/>
        </w:rPr>
        <w:t>The accumulated benefit obligation for the Company's pension plans as of December 31, 2023 and 2022 was $164 million and $159 million, respectively.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provides the weighted-average actuarial assumptions used to determine the benefit obligations of the Company’s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plans.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64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Pension Plans</w:t>
            </w:r>
          </w:p>
        </w:tc>
        <w:tc>
          <w:tcPr>
            <w:tcW w:w="140" w:type="dxa"/>
            <w:vAlign w:val="bottom"/>
          </w:tcPr>
          <w:p>
            <w:pPr>
              <w:spacing w:after="0"/>
              <w:rPr>
                <w:sz w:val="16"/>
                <w:szCs w:val="16"/>
                <w:color w:val="auto"/>
              </w:rPr>
            </w:pPr>
          </w:p>
        </w:tc>
        <w:tc>
          <w:tcPr>
            <w:tcW w:w="26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Post-retirement Benefits</w:t>
            </w:r>
          </w:p>
        </w:tc>
      </w:tr>
      <w:tr>
        <w:trPr>
          <w:trHeight w:val="182"/>
        </w:trPr>
        <w:tc>
          <w:tcPr>
            <w:tcW w:w="582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As of December 31,</w:t>
            </w: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82"/>
        </w:trPr>
        <w:tc>
          <w:tcPr>
            <w:tcW w:w="582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12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Discount rate</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7"/>
              </w:rPr>
              <w:t>5.00%</w:t>
            </w:r>
          </w:p>
        </w:tc>
        <w:tc>
          <w:tcPr>
            <w:tcW w:w="13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5.20%</w:t>
            </w:r>
          </w:p>
        </w:tc>
        <w:tc>
          <w:tcPr>
            <w:tcW w:w="1400" w:type="dxa"/>
            <w:vAlign w:val="bottom"/>
            <w:gridSpan w:val="2"/>
            <w:shd w:val="clear" w:color="auto" w:fill="CFF0FC"/>
          </w:tcPr>
          <w:p>
            <w:pPr>
              <w:jc w:val="right"/>
              <w:ind w:right="302"/>
              <w:spacing w:after="0"/>
              <w:rPr>
                <w:sz w:val="20"/>
                <w:szCs w:val="20"/>
                <w:color w:val="auto"/>
              </w:rPr>
            </w:pPr>
            <w:r>
              <w:rPr>
                <w:rFonts w:ascii="Arial" w:cs="Arial" w:eastAsia="Arial" w:hAnsi="Arial"/>
                <w:sz w:val="18"/>
                <w:szCs w:val="18"/>
                <w:b w:val="1"/>
                <w:bCs w:val="1"/>
                <w:color w:val="auto"/>
              </w:rPr>
              <w:t>5.00%</w:t>
            </w:r>
          </w:p>
        </w:tc>
        <w:tc>
          <w:tcPr>
            <w:tcW w:w="1380" w:type="dxa"/>
            <w:vAlign w:val="bottom"/>
            <w:gridSpan w:val="2"/>
            <w:shd w:val="clear" w:color="auto" w:fill="CFF0FC"/>
          </w:tcPr>
          <w:p>
            <w:pPr>
              <w:jc w:val="right"/>
              <w:ind w:right="299"/>
              <w:spacing w:after="0"/>
              <w:rPr>
                <w:sz w:val="20"/>
                <w:szCs w:val="20"/>
                <w:color w:val="auto"/>
              </w:rPr>
            </w:pPr>
            <w:r>
              <w:rPr>
                <w:rFonts w:ascii="Arial" w:cs="Arial" w:eastAsia="Arial" w:hAnsi="Arial"/>
                <w:sz w:val="18"/>
                <w:szCs w:val="18"/>
                <w:color w:val="auto"/>
              </w:rPr>
              <w:t>5.20%</w:t>
            </w:r>
          </w:p>
        </w:tc>
      </w:tr>
      <w:tr>
        <w:trPr>
          <w:trHeight w:val="247"/>
        </w:trPr>
        <w:tc>
          <w:tcPr>
            <w:tcW w:w="5820" w:type="dxa"/>
            <w:vAlign w:val="bottom"/>
          </w:tcPr>
          <w:p>
            <w:pPr>
              <w:ind w:left="20"/>
              <w:spacing w:after="0"/>
              <w:rPr>
                <w:sz w:val="20"/>
                <w:szCs w:val="20"/>
                <w:color w:val="auto"/>
              </w:rPr>
            </w:pPr>
            <w:r>
              <w:rPr>
                <w:rFonts w:ascii="Arial" w:cs="Arial" w:eastAsia="Arial" w:hAnsi="Arial"/>
                <w:sz w:val="18"/>
                <w:szCs w:val="18"/>
                <w:color w:val="auto"/>
              </w:rPr>
              <w:t>Rate of compensation increase (salaried)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7"/>
              </w:rPr>
              <w:t>3.00%</w:t>
            </w:r>
          </w:p>
        </w:tc>
        <w:tc>
          <w:tcPr>
            <w:tcW w:w="1380" w:type="dxa"/>
            <w:vAlign w:val="bottom"/>
            <w:gridSpan w:val="2"/>
          </w:tcPr>
          <w:p>
            <w:pPr>
              <w:jc w:val="center"/>
              <w:ind w:left="5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21"/>
                <w:szCs w:val="21"/>
                <w:color w:val="auto"/>
              </w:rPr>
            </w:pPr>
          </w:p>
        </w:tc>
        <w:tc>
          <w:tcPr>
            <w:tcW w:w="1260" w:type="dxa"/>
            <w:vAlign w:val="bottom"/>
          </w:tcPr>
          <w:p>
            <w:pPr>
              <w:ind w:left="460"/>
              <w:spacing w:after="0"/>
              <w:rPr>
                <w:sz w:val="20"/>
                <w:szCs w:val="20"/>
                <w:color w:val="auto"/>
              </w:rPr>
            </w:pPr>
            <w:r>
              <w:rPr>
                <w:rFonts w:ascii="Arial" w:cs="Arial" w:eastAsia="Arial" w:hAnsi="Arial"/>
                <w:sz w:val="18"/>
                <w:szCs w:val="18"/>
                <w:b w:val="1"/>
                <w:bCs w:val="1"/>
                <w:color w:val="auto"/>
              </w:rPr>
              <w:t>N/A</w:t>
            </w:r>
          </w:p>
        </w:tc>
        <w:tc>
          <w:tcPr>
            <w:tcW w:w="120" w:type="dxa"/>
            <w:vAlign w:val="bottom"/>
          </w:tcPr>
          <w:p>
            <w:pPr>
              <w:spacing w:after="0"/>
              <w:rPr>
                <w:sz w:val="21"/>
                <w:szCs w:val="21"/>
                <w:color w:val="auto"/>
              </w:rPr>
            </w:pPr>
          </w:p>
        </w:tc>
        <w:tc>
          <w:tcPr>
            <w:tcW w:w="1260" w:type="dxa"/>
            <w:vAlign w:val="bottom"/>
          </w:tcPr>
          <w:p>
            <w:pPr>
              <w:ind w:left="480"/>
              <w:spacing w:after="0"/>
              <w:rPr>
                <w:sz w:val="20"/>
                <w:szCs w:val="20"/>
                <w:color w:val="auto"/>
              </w:rPr>
            </w:pPr>
            <w:r>
              <w:rPr>
                <w:rFonts w:ascii="Arial" w:cs="Arial" w:eastAsia="Arial" w:hAnsi="Arial"/>
                <w:sz w:val="18"/>
                <w:szCs w:val="18"/>
                <w:color w:val="auto"/>
              </w:rPr>
              <w:t>N/A</w:t>
            </w:r>
          </w:p>
        </w:tc>
      </w:tr>
    </w:tbl>
    <w:p>
      <w:pPr>
        <w:spacing w:after="0" w:line="314" w:lineRule="exact"/>
        <w:rPr>
          <w:sz w:val="20"/>
          <w:szCs w:val="20"/>
          <w:color w:val="auto"/>
        </w:rPr>
      </w:pPr>
    </w:p>
    <w:p>
      <w:pPr>
        <w:ind w:right="280" w:firstLine="494"/>
        <w:spacing w:after="0" w:line="246" w:lineRule="auto"/>
        <w:rPr>
          <w:sz w:val="20"/>
          <w:szCs w:val="20"/>
          <w:color w:val="auto"/>
        </w:rPr>
      </w:pPr>
      <w:r>
        <w:rPr>
          <w:rFonts w:ascii="Arial" w:cs="Arial" w:eastAsia="Arial" w:hAnsi="Arial"/>
          <w:sz w:val="18"/>
          <w:szCs w:val="18"/>
          <w:color w:val="auto"/>
        </w:rPr>
        <w:t>The discount rate is used to determine the present value of the Company’s benefit obligations. The Company’s discount rate is determined by matching the plans’ projected cash flows to a yield curve based on long-term, fixed income debt instruments available as of the measurement date of December 31, 2023. The Company reviews all actuarial assumptions on an annual basis and in the case of remeasurement.</w:t>
      </w:r>
    </w:p>
    <w:p>
      <w:pPr>
        <w:spacing w:after="0" w:line="122" w:lineRule="exact"/>
        <w:rPr>
          <w:sz w:val="20"/>
          <w:szCs w:val="20"/>
          <w:color w:val="auto"/>
        </w:rPr>
      </w:pPr>
    </w:p>
    <w:p>
      <w:pPr>
        <w:ind w:right="460" w:firstLine="494"/>
        <w:spacing w:after="0" w:line="252" w:lineRule="auto"/>
        <w:rPr>
          <w:sz w:val="20"/>
          <w:szCs w:val="20"/>
          <w:color w:val="auto"/>
        </w:rPr>
      </w:pPr>
      <w:r>
        <w:rPr>
          <w:rFonts w:ascii="Arial" w:cs="Arial" w:eastAsia="Arial" w:hAnsi="Arial"/>
          <w:sz w:val="18"/>
          <w:szCs w:val="18"/>
          <w:color w:val="auto"/>
        </w:rPr>
        <w:t>As of December 31, 2023 and 2022, the projected benefit obligation, the accumulated benefit obligation, and the fair value of plan assets for pension plans with a projected benefit obligation in excess of plan assets and for pension plans with an accumulated benefit obligation in excess of plan assets were as follows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60" w:type="dxa"/>
            <w:vAlign w:val="bottom"/>
          </w:tcPr>
          <w:p>
            <w:pPr>
              <w:spacing w:after="0"/>
              <w:rPr>
                <w:sz w:val="16"/>
                <w:szCs w:val="16"/>
                <w:color w:val="auto"/>
              </w:rPr>
            </w:pPr>
          </w:p>
        </w:tc>
        <w:tc>
          <w:tcPr>
            <w:tcW w:w="194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color w:val="auto"/>
              </w:rPr>
              <w:t>Hourly Plan</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color w:val="auto"/>
              </w:rPr>
              <w:t>Salary Plan</w:t>
            </w:r>
          </w:p>
        </w:tc>
      </w:tr>
      <w:tr>
        <w:trPr>
          <w:trHeight w:val="182"/>
        </w:trPr>
        <w:tc>
          <w:tcPr>
            <w:tcW w:w="72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82"/>
        </w:trPr>
        <w:tc>
          <w:tcPr>
            <w:tcW w:w="72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2023</w:t>
            </w:r>
          </w:p>
        </w:tc>
        <w:tc>
          <w:tcPr>
            <w:tcW w:w="1060" w:type="dxa"/>
            <w:vAlign w:val="bottom"/>
            <w:gridSpan w:val="2"/>
          </w:tcPr>
          <w:p>
            <w:pPr>
              <w:jc w:val="right"/>
              <w:ind w:right="194"/>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36"/>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234"/>
              <w:spacing w:after="0"/>
              <w:rPr>
                <w:sz w:val="20"/>
                <w:szCs w:val="20"/>
                <w:color w:val="auto"/>
              </w:rPr>
            </w:pPr>
            <w:r>
              <w:rPr>
                <w:rFonts w:ascii="Arial" w:cs="Arial" w:eastAsia="Arial" w:hAnsi="Arial"/>
                <w:sz w:val="14"/>
                <w:szCs w:val="14"/>
                <w:b w:val="1"/>
                <w:bCs w:val="1"/>
                <w:color w:val="auto"/>
              </w:rPr>
              <w:t>2022</w:t>
            </w:r>
          </w:p>
        </w:tc>
      </w:tr>
      <w:tr>
        <w:trPr>
          <w:trHeight w:val="223"/>
        </w:trPr>
        <w:tc>
          <w:tcPr>
            <w:tcW w:w="7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Plans with projected benefit obligation in excess of plan assets:</w:t>
            </w: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r>
      <w:tr>
        <w:trPr>
          <w:trHeight w:val="229"/>
        </w:trPr>
        <w:tc>
          <w:tcPr>
            <w:tcW w:w="7260" w:type="dxa"/>
            <w:vAlign w:val="bottom"/>
          </w:tcPr>
          <w:p>
            <w:pPr>
              <w:ind w:left="20"/>
              <w:spacing w:after="0"/>
              <w:rPr>
                <w:sz w:val="20"/>
                <w:szCs w:val="20"/>
                <w:color w:val="auto"/>
              </w:rPr>
            </w:pPr>
            <w:r>
              <w:rPr>
                <w:rFonts w:ascii="Arial" w:cs="Arial" w:eastAsia="Arial" w:hAnsi="Arial"/>
                <w:sz w:val="18"/>
                <w:szCs w:val="18"/>
                <w:color w:val="auto"/>
              </w:rPr>
              <w:t>Projected benefit obligation</w:t>
            </w:r>
          </w:p>
        </w:tc>
        <w:tc>
          <w:tcPr>
            <w:tcW w:w="880" w:type="dxa"/>
            <w:vAlign w:val="bottom"/>
          </w:tcPr>
          <w:p>
            <w:pPr>
              <w:jc w:val="center"/>
              <w:spacing w:after="0" w:line="229" w:lineRule="exact"/>
              <w:rPr>
                <w:sz w:val="20"/>
                <w:szCs w:val="20"/>
                <w:color w:val="auto"/>
              </w:rPr>
            </w:pPr>
            <w:r>
              <w:rPr>
                <w:rFonts w:ascii="Arial" w:cs="Arial" w:eastAsia="Arial" w:hAnsi="Arial"/>
                <w:sz w:val="18"/>
                <w:szCs w:val="18"/>
                <w:b w:val="1"/>
                <w:bCs w:val="1"/>
                <w:color w:val="auto"/>
                <w:w w:val="97"/>
              </w:rPr>
              <w:t xml:space="preserve">N/A </w:t>
            </w:r>
            <w:r>
              <w:rPr>
                <w:rFonts w:ascii="Arial" w:cs="Arial" w:eastAsia="Arial" w:hAnsi="Arial"/>
                <w:sz w:val="24"/>
                <w:szCs w:val="24"/>
                <w:b w:val="1"/>
                <w:bCs w:val="1"/>
                <w:color w:val="auto"/>
                <w:w w:val="97"/>
                <w:vertAlign w:val="superscript"/>
              </w:rPr>
              <w:t>1</w:t>
            </w:r>
          </w:p>
        </w:tc>
        <w:tc>
          <w:tcPr>
            <w:tcW w:w="180" w:type="dxa"/>
            <w:vAlign w:val="bottom"/>
          </w:tcPr>
          <w:p>
            <w:pPr>
              <w:spacing w:after="0"/>
              <w:rPr>
                <w:sz w:val="19"/>
                <w:szCs w:val="19"/>
                <w:color w:val="auto"/>
              </w:rPr>
            </w:pPr>
          </w:p>
        </w:tc>
        <w:tc>
          <w:tcPr>
            <w:tcW w:w="880" w:type="dxa"/>
            <w:vAlign w:val="bottom"/>
          </w:tcPr>
          <w:p>
            <w:pPr>
              <w:ind w:left="220"/>
              <w:spacing w:after="0" w:line="229" w:lineRule="exact"/>
              <w:rPr>
                <w:sz w:val="20"/>
                <w:szCs w:val="20"/>
                <w:color w:val="auto"/>
              </w:rPr>
            </w:pPr>
            <w:r>
              <w:rPr>
                <w:rFonts w:ascii="Arial" w:cs="Arial" w:eastAsia="Arial" w:hAnsi="Arial"/>
                <w:sz w:val="18"/>
                <w:szCs w:val="18"/>
                <w:color w:val="auto"/>
              </w:rPr>
              <w:t xml:space="preserve">N/A </w:t>
            </w:r>
            <w:r>
              <w:rPr>
                <w:rFonts w:ascii="Arial" w:cs="Arial" w:eastAsia="Arial" w:hAnsi="Arial"/>
                <w:sz w:val="24"/>
                <w:szCs w:val="24"/>
                <w:color w:val="auto"/>
                <w:vertAlign w:val="superscript"/>
              </w:rPr>
              <w:t>1</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36"/>
              <w:spacing w:after="0"/>
              <w:rPr>
                <w:sz w:val="20"/>
                <w:szCs w:val="20"/>
                <w:color w:val="auto"/>
              </w:rPr>
            </w:pPr>
            <w:r>
              <w:rPr>
                <w:rFonts w:ascii="Arial" w:cs="Arial" w:eastAsia="Arial" w:hAnsi="Arial"/>
                <w:sz w:val="18"/>
                <w:szCs w:val="18"/>
                <w:b w:val="1"/>
                <w:bCs w:val="1"/>
                <w:color w:val="auto"/>
              </w:rPr>
              <w:t>83</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79</w:t>
            </w:r>
          </w:p>
        </w:tc>
      </w:tr>
      <w:tr>
        <w:trPr>
          <w:trHeight w:val="229"/>
        </w:trPr>
        <w:tc>
          <w:tcPr>
            <w:tcW w:w="7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of plan assets</w:t>
            </w:r>
          </w:p>
        </w:tc>
        <w:tc>
          <w:tcPr>
            <w:tcW w:w="880" w:type="dxa"/>
            <w:vAlign w:val="bottom"/>
            <w:shd w:val="clear" w:color="auto" w:fill="CFF0FC"/>
          </w:tcPr>
          <w:p>
            <w:pPr>
              <w:jc w:val="center"/>
              <w:spacing w:after="0" w:line="229" w:lineRule="exact"/>
              <w:rPr>
                <w:sz w:val="20"/>
                <w:szCs w:val="20"/>
                <w:color w:val="auto"/>
              </w:rPr>
            </w:pPr>
            <w:r>
              <w:rPr>
                <w:rFonts w:ascii="Arial" w:cs="Arial" w:eastAsia="Arial" w:hAnsi="Arial"/>
                <w:sz w:val="18"/>
                <w:szCs w:val="18"/>
                <w:b w:val="1"/>
                <w:bCs w:val="1"/>
                <w:color w:val="auto"/>
                <w:w w:val="97"/>
              </w:rPr>
              <w:t xml:space="preserve">N/A </w:t>
            </w:r>
            <w:r>
              <w:rPr>
                <w:rFonts w:ascii="Arial" w:cs="Arial" w:eastAsia="Arial" w:hAnsi="Arial"/>
                <w:sz w:val="24"/>
                <w:szCs w:val="24"/>
                <w:b w:val="1"/>
                <w:bCs w:val="1"/>
                <w:color w:val="auto"/>
                <w:w w:val="97"/>
                <w:vertAlign w:val="superscript"/>
              </w:rPr>
              <w:t>1</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ind w:left="220"/>
              <w:spacing w:after="0" w:line="229" w:lineRule="exact"/>
              <w:rPr>
                <w:sz w:val="20"/>
                <w:szCs w:val="20"/>
                <w:color w:val="auto"/>
              </w:rPr>
            </w:pPr>
            <w:r>
              <w:rPr>
                <w:rFonts w:ascii="Arial" w:cs="Arial" w:eastAsia="Arial" w:hAnsi="Arial"/>
                <w:sz w:val="18"/>
                <w:szCs w:val="18"/>
                <w:color w:val="auto"/>
              </w:rPr>
              <w:t xml:space="preserve">N/A </w:t>
            </w:r>
            <w:r>
              <w:rPr>
                <w:rFonts w:ascii="Arial" w:cs="Arial" w:eastAsia="Arial" w:hAnsi="Arial"/>
                <w:sz w:val="24"/>
                <w:szCs w:val="24"/>
                <w:color w:val="auto"/>
                <w:vertAlign w:val="superscript"/>
              </w:rPr>
              <w:t>1</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77</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73</w:t>
            </w:r>
          </w:p>
        </w:tc>
      </w:tr>
      <w:tr>
        <w:trPr>
          <w:trHeight w:val="229"/>
        </w:trPr>
        <w:tc>
          <w:tcPr>
            <w:tcW w:w="7260" w:type="dxa"/>
            <w:vAlign w:val="bottom"/>
          </w:tcPr>
          <w:p>
            <w:pPr>
              <w:ind w:left="20"/>
              <w:spacing w:after="0"/>
              <w:rPr>
                <w:sz w:val="20"/>
                <w:szCs w:val="20"/>
                <w:color w:val="auto"/>
              </w:rPr>
            </w:pPr>
            <w:r>
              <w:rPr>
                <w:rFonts w:ascii="Arial" w:cs="Arial" w:eastAsia="Arial" w:hAnsi="Arial"/>
                <w:sz w:val="18"/>
                <w:szCs w:val="18"/>
                <w:color w:val="auto"/>
              </w:rPr>
              <w:t>Plans with accumulated benefit obligation in excess of plan assets: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7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benefit obligation</w:t>
            </w:r>
          </w:p>
        </w:tc>
        <w:tc>
          <w:tcPr>
            <w:tcW w:w="880" w:type="dxa"/>
            <w:vAlign w:val="bottom"/>
            <w:shd w:val="clear" w:color="auto" w:fill="CFF0FC"/>
          </w:tcPr>
          <w:p>
            <w:pPr>
              <w:jc w:val="center"/>
              <w:spacing w:after="0" w:line="229" w:lineRule="exact"/>
              <w:rPr>
                <w:sz w:val="20"/>
                <w:szCs w:val="20"/>
                <w:color w:val="auto"/>
              </w:rPr>
            </w:pPr>
            <w:r>
              <w:rPr>
                <w:rFonts w:ascii="Arial" w:cs="Arial" w:eastAsia="Arial" w:hAnsi="Arial"/>
                <w:sz w:val="18"/>
                <w:szCs w:val="18"/>
                <w:b w:val="1"/>
                <w:bCs w:val="1"/>
                <w:color w:val="auto"/>
                <w:w w:val="97"/>
              </w:rPr>
              <w:t xml:space="preserve">N/A </w:t>
            </w:r>
            <w:r>
              <w:rPr>
                <w:rFonts w:ascii="Arial" w:cs="Arial" w:eastAsia="Arial" w:hAnsi="Arial"/>
                <w:sz w:val="24"/>
                <w:szCs w:val="24"/>
                <w:b w:val="1"/>
                <w:bCs w:val="1"/>
                <w:color w:val="auto"/>
                <w:w w:val="97"/>
                <w:vertAlign w:val="superscript"/>
              </w:rPr>
              <w:t>1</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ind w:left="220"/>
              <w:spacing w:after="0" w:line="229" w:lineRule="exact"/>
              <w:rPr>
                <w:sz w:val="20"/>
                <w:szCs w:val="20"/>
                <w:color w:val="auto"/>
              </w:rPr>
            </w:pPr>
            <w:r>
              <w:rPr>
                <w:rFonts w:ascii="Arial" w:cs="Arial" w:eastAsia="Arial" w:hAnsi="Arial"/>
                <w:sz w:val="18"/>
                <w:szCs w:val="18"/>
                <w:color w:val="auto"/>
              </w:rPr>
              <w:t xml:space="preserve">N/A </w:t>
            </w:r>
            <w:r>
              <w:rPr>
                <w:rFonts w:ascii="Arial" w:cs="Arial" w:eastAsia="Arial" w:hAnsi="Arial"/>
                <w:sz w:val="24"/>
                <w:szCs w:val="24"/>
                <w:color w:val="auto"/>
                <w:vertAlign w:val="superscript"/>
              </w:rPr>
              <w:t>1</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79</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76</w:t>
            </w:r>
          </w:p>
        </w:tc>
      </w:tr>
      <w:tr>
        <w:trPr>
          <w:trHeight w:val="232"/>
        </w:trPr>
        <w:tc>
          <w:tcPr>
            <w:tcW w:w="726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880" w:type="dxa"/>
            <w:vAlign w:val="bottom"/>
          </w:tcPr>
          <w:p>
            <w:pPr>
              <w:jc w:val="center"/>
              <w:spacing w:after="0" w:line="233" w:lineRule="exact"/>
              <w:rPr>
                <w:sz w:val="20"/>
                <w:szCs w:val="20"/>
                <w:color w:val="auto"/>
              </w:rPr>
            </w:pPr>
            <w:r>
              <w:rPr>
                <w:rFonts w:ascii="Arial" w:cs="Arial" w:eastAsia="Arial" w:hAnsi="Arial"/>
                <w:sz w:val="18"/>
                <w:szCs w:val="18"/>
                <w:b w:val="1"/>
                <w:bCs w:val="1"/>
                <w:color w:val="auto"/>
                <w:w w:val="97"/>
              </w:rPr>
              <w:t xml:space="preserve">N/A </w:t>
            </w:r>
            <w:r>
              <w:rPr>
                <w:rFonts w:ascii="Arial" w:cs="Arial" w:eastAsia="Arial" w:hAnsi="Arial"/>
                <w:sz w:val="24"/>
                <w:szCs w:val="24"/>
                <w:b w:val="1"/>
                <w:bCs w:val="1"/>
                <w:color w:val="auto"/>
                <w:w w:val="97"/>
                <w:vertAlign w:val="superscript"/>
              </w:rPr>
              <w:t>1</w:t>
            </w:r>
          </w:p>
        </w:tc>
        <w:tc>
          <w:tcPr>
            <w:tcW w:w="180" w:type="dxa"/>
            <w:vAlign w:val="bottom"/>
          </w:tcPr>
          <w:p>
            <w:pPr>
              <w:spacing w:after="0"/>
              <w:rPr>
                <w:sz w:val="20"/>
                <w:szCs w:val="20"/>
                <w:color w:val="auto"/>
              </w:rPr>
            </w:pPr>
          </w:p>
        </w:tc>
        <w:tc>
          <w:tcPr>
            <w:tcW w:w="880" w:type="dxa"/>
            <w:vAlign w:val="bottom"/>
          </w:tcPr>
          <w:p>
            <w:pPr>
              <w:ind w:left="220"/>
              <w:spacing w:after="0" w:line="233" w:lineRule="exact"/>
              <w:rPr>
                <w:sz w:val="20"/>
                <w:szCs w:val="20"/>
                <w:color w:val="auto"/>
              </w:rPr>
            </w:pPr>
            <w:r>
              <w:rPr>
                <w:rFonts w:ascii="Arial" w:cs="Arial" w:eastAsia="Arial" w:hAnsi="Arial"/>
                <w:sz w:val="18"/>
                <w:szCs w:val="18"/>
                <w:color w:val="auto"/>
              </w:rPr>
              <w:t xml:space="preserve">N/A </w:t>
            </w:r>
            <w:r>
              <w:rPr>
                <w:rFonts w:ascii="Arial" w:cs="Arial" w:eastAsia="Arial" w:hAnsi="Arial"/>
                <w:sz w:val="24"/>
                <w:szCs w:val="24"/>
                <w:color w:val="auto"/>
                <w:vertAlign w:val="superscript"/>
              </w:rPr>
              <w:t>1</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36"/>
              <w:spacing w:after="0"/>
              <w:rPr>
                <w:sz w:val="20"/>
                <w:szCs w:val="20"/>
                <w:color w:val="auto"/>
              </w:rPr>
            </w:pPr>
            <w:r>
              <w:rPr>
                <w:rFonts w:ascii="Arial" w:cs="Arial" w:eastAsia="Arial" w:hAnsi="Arial"/>
                <w:sz w:val="18"/>
                <w:szCs w:val="18"/>
                <w:b w:val="1"/>
                <w:bCs w:val="1"/>
                <w:color w:val="auto"/>
              </w:rPr>
              <w:t>77</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73</w:t>
            </w:r>
          </w:p>
        </w:tc>
      </w:tr>
    </w:tbl>
    <w:p>
      <w:pPr>
        <w:ind w:left="500" w:right="680" w:hanging="371"/>
        <w:spacing w:after="0" w:line="214" w:lineRule="auto"/>
        <w:tabs>
          <w:tab w:leader="none" w:pos="50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As of December 31, 2023 and 2022, the hourly defined pension plan had plan assets greater than the projected benefit obligation and the accumulated benefit obligation.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Periodic Benefit Cost</w:t>
      </w:r>
    </w:p>
    <w:p>
      <w:pPr>
        <w:spacing w:after="0" w:line="155" w:lineRule="exact"/>
        <w:rPr>
          <w:sz w:val="20"/>
          <w:szCs w:val="20"/>
          <w:color w:val="auto"/>
        </w:rPr>
      </w:pPr>
    </w:p>
    <w:p>
      <w:pPr>
        <w:ind w:right="440" w:firstLine="494"/>
        <w:spacing w:after="0" w:line="271" w:lineRule="auto"/>
        <w:rPr>
          <w:sz w:val="20"/>
          <w:szCs w:val="20"/>
          <w:color w:val="auto"/>
        </w:rPr>
      </w:pPr>
      <w:r>
        <w:rPr>
          <w:rFonts w:ascii="Arial" w:cs="Arial" w:eastAsia="Arial" w:hAnsi="Arial"/>
          <w:sz w:val="18"/>
          <w:szCs w:val="18"/>
          <w:color w:val="auto"/>
        </w:rPr>
        <w:t>Information about the net periodic benefit cost (credit) and other changes recognized in AOCL for the pension and post-retirement benefit plans is as follows (dollars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53"/>
              <w:spacing w:after="0"/>
              <w:rPr>
                <w:sz w:val="20"/>
                <w:szCs w:val="20"/>
                <w:color w:val="auto"/>
              </w:rPr>
            </w:pPr>
            <w:r>
              <w:rPr>
                <w:rFonts w:ascii="Arial" w:cs="Arial" w:eastAsia="Arial" w:hAnsi="Arial"/>
                <w:sz w:val="14"/>
                <w:szCs w:val="14"/>
                <w:b w:val="1"/>
                <w:bCs w:val="1"/>
                <w:color w:val="auto"/>
              </w:rPr>
              <w:t>Pension Plans</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ind w:left="735"/>
              <w:spacing w:after="0"/>
              <w:rPr>
                <w:sz w:val="20"/>
                <w:szCs w:val="20"/>
                <w:color w:val="auto"/>
              </w:rPr>
            </w:pPr>
            <w:r>
              <w:rPr>
                <w:rFonts w:ascii="Arial" w:cs="Arial" w:eastAsia="Arial" w:hAnsi="Arial"/>
                <w:sz w:val="14"/>
                <w:szCs w:val="14"/>
                <w:b w:val="1"/>
                <w:bCs w:val="1"/>
                <w:color w:val="auto"/>
              </w:rPr>
              <w:t>Post-retirement Benefits</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173"/>
              <w:spacing w:after="0" w:line="159"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193"/>
              <w:spacing w:after="0" w:line="159"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173"/>
              <w:spacing w:after="0" w:line="159"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175"/>
              <w:spacing w:after="0" w:line="159"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173"/>
              <w:spacing w:after="0" w:line="159"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173"/>
              <w:spacing w:after="0" w:line="159"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240" w:type="dxa"/>
            <w:vAlign w:val="bottom"/>
            <w:gridSpan w:val="2"/>
          </w:tcPr>
          <w:p>
            <w:pPr>
              <w:jc w:val="center"/>
              <w:ind w:right="33"/>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240" w:type="dxa"/>
            <w:vAlign w:val="bottom"/>
            <w:gridSpan w:val="2"/>
          </w:tcPr>
          <w:p>
            <w:pPr>
              <w:jc w:val="center"/>
              <w:ind w:right="53"/>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40" w:type="dxa"/>
            <w:vAlign w:val="bottom"/>
            <w:gridSpan w:val="2"/>
          </w:tcPr>
          <w:p>
            <w:pPr>
              <w:jc w:val="center"/>
              <w:ind w:right="13"/>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00" w:type="dxa"/>
            <w:vAlign w:val="bottom"/>
            <w:gridSpan w:val="2"/>
          </w:tcPr>
          <w:p>
            <w:pPr>
              <w:jc w:val="center"/>
              <w:ind w:right="15"/>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00" w:type="dxa"/>
            <w:vAlign w:val="bottom"/>
            <w:gridSpan w:val="2"/>
          </w:tcPr>
          <w:p>
            <w:pPr>
              <w:jc w:val="center"/>
              <w:ind w:right="13"/>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00" w:type="dxa"/>
            <w:vAlign w:val="bottom"/>
            <w:gridSpan w:val="2"/>
          </w:tcPr>
          <w:p>
            <w:pPr>
              <w:jc w:val="center"/>
              <w:ind w:right="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3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3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Periodic Benefit Cost (Credit):</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53"/>
              <w:spacing w:after="0"/>
              <w:rPr>
                <w:sz w:val="20"/>
                <w:szCs w:val="20"/>
                <w:color w:val="auto"/>
              </w:rPr>
            </w:pPr>
            <w:r>
              <w:rPr>
                <w:rFonts w:ascii="Arial" w:cs="Arial" w:eastAsia="Arial" w:hAnsi="Arial"/>
                <w:sz w:val="18"/>
                <w:szCs w:val="18"/>
                <w:b w:val="1"/>
                <w:bCs w:val="1"/>
                <w:color w:val="auto"/>
              </w:rPr>
              <w:t>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cost</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8</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Expected return on assets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Prior service credit</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(10 )</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Recognized actuarial loss (gain)</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Periodic Benefit Cost (Credit)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(8 )</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197"/>
        </w:trPr>
        <w:tc>
          <w:tcPr>
            <w:tcW w:w="3300" w:type="dxa"/>
            <w:vAlign w:val="bottom"/>
          </w:tcPr>
          <w:p>
            <w:pPr>
              <w:ind w:left="20"/>
              <w:spacing w:after="0" w:line="197" w:lineRule="exact"/>
              <w:rPr>
                <w:sz w:val="20"/>
                <w:szCs w:val="20"/>
                <w:color w:val="auto"/>
              </w:rPr>
            </w:pPr>
            <w:r>
              <w:rPr>
                <w:rFonts w:ascii="Arial" w:cs="Arial" w:eastAsia="Arial" w:hAnsi="Arial"/>
                <w:sz w:val="18"/>
                <w:szCs w:val="18"/>
                <w:color w:val="auto"/>
              </w:rPr>
              <w:t>Other changes in 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300" w:type="dxa"/>
            <w:vAlign w:val="bottom"/>
          </w:tcPr>
          <w:p>
            <w:pPr>
              <w:ind w:left="180"/>
              <w:spacing w:after="0"/>
              <w:rPr>
                <w:sz w:val="20"/>
                <w:szCs w:val="20"/>
                <w:color w:val="auto"/>
              </w:rPr>
            </w:pPr>
            <w:r>
              <w:rPr>
                <w:rFonts w:ascii="Arial" w:cs="Arial" w:eastAsia="Arial" w:hAnsi="Arial"/>
                <w:sz w:val="18"/>
                <w:szCs w:val="18"/>
                <w:color w:val="auto"/>
              </w:rPr>
              <w:t>comprehensive loss (income):</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(gain)</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6</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(8 )</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(29 )</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Amortizations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0"/>
        </w:trPr>
        <w:tc>
          <w:tcPr>
            <w:tcW w:w="3300" w:type="dxa"/>
            <w:vAlign w:val="bottom"/>
            <w:shd w:val="clear" w:color="auto" w:fill="CFF0FC"/>
          </w:tcPr>
          <w:p>
            <w:pPr>
              <w:ind w:left="20"/>
              <w:spacing w:after="0" w:line="190" w:lineRule="exact"/>
              <w:rPr>
                <w:sz w:val="20"/>
                <w:szCs w:val="20"/>
                <w:color w:val="auto"/>
              </w:rPr>
            </w:pPr>
            <w:r>
              <w:rPr>
                <w:rFonts w:ascii="Arial" w:cs="Arial" w:eastAsia="Arial" w:hAnsi="Arial"/>
                <w:sz w:val="18"/>
                <w:szCs w:val="18"/>
                <w:color w:val="auto"/>
              </w:rPr>
              <w:t>Total recognized – other</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6</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vMerge w:val="restart"/>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4</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(19 )</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4"/>
        </w:trPr>
        <w:tc>
          <w:tcPr>
            <w:tcW w:w="3300" w:type="dxa"/>
            <w:vAlign w:val="bottom"/>
            <w:shd w:val="clear" w:color="auto" w:fill="CFF0FC"/>
          </w:tcPr>
          <w:p>
            <w:pPr>
              <w:ind w:left="180"/>
              <w:spacing w:after="0" w:line="195" w:lineRule="exact"/>
              <w:rPr>
                <w:sz w:val="20"/>
                <w:szCs w:val="20"/>
                <w:color w:val="auto"/>
              </w:rPr>
            </w:pPr>
            <w:r>
              <w:rPr>
                <w:rFonts w:ascii="Arial" w:cs="Arial" w:eastAsia="Arial" w:hAnsi="Arial"/>
                <w:sz w:val="18"/>
                <w:szCs w:val="18"/>
                <w:color w:val="auto"/>
              </w:rPr>
              <w:t>comprehensive loss (income)</w:t>
            </w:r>
          </w:p>
        </w:tc>
        <w:tc>
          <w:tcPr>
            <w:tcW w:w="140" w:type="dxa"/>
            <w:vAlign w:val="bottom"/>
            <w:vMerge w:val="continue"/>
            <w:shd w:val="clear" w:color="auto" w:fill="CFF0FC"/>
          </w:tcPr>
          <w:p>
            <w:pPr>
              <w:spacing w:after="0"/>
              <w:rPr>
                <w:sz w:val="20"/>
                <w:szCs w:val="20"/>
                <w:color w:val="auto"/>
              </w:rPr>
            </w:pPr>
          </w:p>
        </w:tc>
        <w:tc>
          <w:tcPr>
            <w:tcW w:w="1100" w:type="dxa"/>
            <w:vAlign w:val="bottom"/>
            <w:vMerge w:val="continue"/>
            <w:shd w:val="clear" w:color="auto" w:fill="CFF0FC"/>
          </w:tcPr>
          <w:p>
            <w:pPr>
              <w:spacing w:after="0"/>
              <w:rPr>
                <w:sz w:val="20"/>
                <w:szCs w:val="20"/>
                <w:color w:val="auto"/>
              </w:rPr>
            </w:pPr>
          </w:p>
        </w:tc>
        <w:tc>
          <w:tcPr>
            <w:tcW w:w="280" w:type="dxa"/>
            <w:vAlign w:val="bottom"/>
            <w:gridSpan w:val="2"/>
            <w:vMerge w:val="continue"/>
            <w:shd w:val="clear" w:color="auto" w:fill="CFF0FC"/>
          </w:tcPr>
          <w:p>
            <w:pPr>
              <w:spacing w:after="0"/>
              <w:rPr>
                <w:sz w:val="20"/>
                <w:szCs w:val="20"/>
                <w:color w:val="auto"/>
              </w:rPr>
            </w:pPr>
          </w:p>
        </w:tc>
        <w:tc>
          <w:tcPr>
            <w:tcW w:w="1100" w:type="dxa"/>
            <w:vAlign w:val="bottom"/>
            <w:vMerge w:val="continue"/>
            <w:shd w:val="clear" w:color="auto" w:fill="CFF0FC"/>
          </w:tcPr>
          <w:p>
            <w:pPr>
              <w:spacing w:after="0"/>
              <w:rPr>
                <w:sz w:val="20"/>
                <w:szCs w:val="20"/>
                <w:color w:val="auto"/>
              </w:rPr>
            </w:pPr>
          </w:p>
        </w:tc>
        <w:tc>
          <w:tcPr>
            <w:tcW w:w="280" w:type="dxa"/>
            <w:vAlign w:val="bottom"/>
            <w:gridSpan w:val="2"/>
            <w:vMerge w:val="continue"/>
            <w:shd w:val="clear" w:color="auto" w:fill="CFF0FC"/>
          </w:tcPr>
          <w:p>
            <w:pPr>
              <w:spacing w:after="0"/>
              <w:rPr>
                <w:sz w:val="20"/>
                <w:szCs w:val="20"/>
                <w:color w:val="auto"/>
              </w:rPr>
            </w:pPr>
          </w:p>
        </w:tc>
        <w:tc>
          <w:tcPr>
            <w:tcW w:w="1080" w:type="dxa"/>
            <w:vAlign w:val="bottom"/>
            <w:vMerge w:val="continue"/>
            <w:shd w:val="clear" w:color="auto" w:fill="CFF0FC"/>
          </w:tcPr>
          <w:p>
            <w:pPr>
              <w:spacing w:after="0"/>
              <w:rPr>
                <w:sz w:val="20"/>
                <w:szCs w:val="20"/>
                <w:color w:val="auto"/>
              </w:rPr>
            </w:pPr>
          </w:p>
        </w:tc>
        <w:tc>
          <w:tcPr>
            <w:tcW w:w="260" w:type="dxa"/>
            <w:vAlign w:val="bottom"/>
            <w:gridSpan w:val="2"/>
            <w:vMerge w:val="continue"/>
            <w:shd w:val="clear" w:color="auto" w:fill="CFF0FC"/>
          </w:tcPr>
          <w:p>
            <w:pPr>
              <w:spacing w:after="0"/>
              <w:rPr>
                <w:sz w:val="20"/>
                <w:szCs w:val="20"/>
                <w:color w:val="auto"/>
              </w:rPr>
            </w:pPr>
          </w:p>
        </w:tc>
        <w:tc>
          <w:tcPr>
            <w:tcW w:w="1060" w:type="dxa"/>
            <w:vAlign w:val="bottom"/>
            <w:vMerge w:val="continue"/>
            <w:shd w:val="clear" w:color="auto" w:fill="CFF0FC"/>
          </w:tcPr>
          <w:p>
            <w:pPr>
              <w:spacing w:after="0"/>
              <w:rPr>
                <w:sz w:val="20"/>
                <w:szCs w:val="20"/>
                <w:color w:val="auto"/>
              </w:rPr>
            </w:pPr>
          </w:p>
        </w:tc>
        <w:tc>
          <w:tcPr>
            <w:tcW w:w="260" w:type="dxa"/>
            <w:vAlign w:val="bottom"/>
            <w:gridSpan w:val="2"/>
            <w:vMerge w:val="continue"/>
            <w:shd w:val="clear" w:color="auto" w:fill="CFF0FC"/>
          </w:tcPr>
          <w:p>
            <w:pPr>
              <w:spacing w:after="0"/>
              <w:rPr>
                <w:sz w:val="20"/>
                <w:szCs w:val="20"/>
                <w:color w:val="auto"/>
              </w:rPr>
            </w:pPr>
          </w:p>
        </w:tc>
        <w:tc>
          <w:tcPr>
            <w:tcW w:w="1060" w:type="dxa"/>
            <w:vAlign w:val="bottom"/>
            <w:vMerge w:val="continue"/>
            <w:shd w:val="clear" w:color="auto" w:fill="CFF0FC"/>
          </w:tcPr>
          <w:p>
            <w:pPr>
              <w:spacing w:after="0"/>
              <w:rPr>
                <w:sz w:val="20"/>
                <w:szCs w:val="20"/>
                <w:color w:val="auto"/>
              </w:rPr>
            </w:pPr>
          </w:p>
        </w:tc>
        <w:tc>
          <w:tcPr>
            <w:tcW w:w="260" w:type="dxa"/>
            <w:vAlign w:val="bottom"/>
            <w:gridSpan w:val="2"/>
            <w:vMerge w:val="continue"/>
            <w:shd w:val="clear" w:color="auto" w:fill="CFF0FC"/>
          </w:tcPr>
          <w:p>
            <w:pPr>
              <w:spacing w:after="0"/>
              <w:rPr>
                <w:sz w:val="20"/>
                <w:szCs w:val="20"/>
                <w:color w:val="auto"/>
              </w:rPr>
            </w:pPr>
          </w:p>
        </w:tc>
        <w:tc>
          <w:tcPr>
            <w:tcW w:w="106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32"/>
        </w:trPr>
        <w:tc>
          <w:tcPr>
            <w:tcW w:w="33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80</w:t>
            </w: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3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2882265</wp:posOffset>
            </wp:positionH>
            <wp:positionV relativeFrom="paragraph">
              <wp:posOffset>-923925</wp:posOffset>
            </wp:positionV>
            <wp:extent cx="857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-906780</wp:posOffset>
            </wp:positionV>
            <wp:extent cx="857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-923925</wp:posOffset>
            </wp:positionV>
            <wp:extent cx="857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-906780</wp:posOffset>
            </wp:positionV>
            <wp:extent cx="857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-923925</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-906780</wp:posOffset>
            </wp:positionV>
            <wp:extent cx="768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-923925</wp:posOffset>
            </wp:positionV>
            <wp:extent cx="768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-906780</wp:posOffset>
            </wp:positionV>
            <wp:extent cx="768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-923925</wp:posOffset>
            </wp:positionV>
            <wp:extent cx="768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-906780</wp:posOffset>
            </wp:positionV>
            <wp:extent cx="768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ind w:right="80" w:firstLine="494"/>
        <w:spacing w:after="0" w:line="271" w:lineRule="auto"/>
        <w:rPr>
          <w:sz w:val="20"/>
          <w:szCs w:val="20"/>
          <w:color w:val="auto"/>
        </w:rPr>
      </w:pPr>
      <w:r>
        <w:rPr>
          <w:rFonts w:ascii="Arial" w:cs="Arial" w:eastAsia="Arial" w:hAnsi="Arial"/>
          <w:sz w:val="18"/>
          <w:szCs w:val="18"/>
          <w:color w:val="auto"/>
        </w:rPr>
        <w:t>The components of net periodic benefit costs other than the service cost component are included in Other income (expense), net in the Consolidated Statements of Comprehensive Income.</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provides the weighted-average actuarial assumptions used to determine the net periodic benefit cost (credit).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Pension Plans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Post-retirement Benefits</w:t>
            </w:r>
          </w:p>
        </w:tc>
        <w:tc>
          <w:tcPr>
            <w:tcW w:w="1100" w:type="dxa"/>
            <w:vAlign w:val="bottom"/>
            <w:tcBorders>
              <w:bottom w:val="single" w:sz="8" w:color="auto"/>
            </w:tcBorders>
          </w:tcPr>
          <w:p>
            <w:pPr>
              <w:spacing w:after="0"/>
              <w:rPr>
                <w:sz w:val="16"/>
                <w:szCs w:val="16"/>
                <w:color w:val="auto"/>
              </w:rPr>
            </w:pPr>
          </w:p>
        </w:tc>
      </w:tr>
      <w:tr>
        <w:trPr>
          <w:trHeight w:val="160"/>
        </w:trPr>
        <w:tc>
          <w:tcPr>
            <w:tcW w:w="3300" w:type="dxa"/>
            <w:vAlign w:val="bottom"/>
          </w:tcPr>
          <w:p>
            <w:pPr>
              <w:spacing w:after="0"/>
              <w:rPr>
                <w:sz w:val="13"/>
                <w:szCs w:val="13"/>
                <w:color w:val="auto"/>
              </w:rPr>
            </w:pPr>
          </w:p>
        </w:tc>
        <w:tc>
          <w:tcPr>
            <w:tcW w:w="12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3"/>
                <w:szCs w:val="13"/>
                <w:color w:val="auto"/>
              </w:rPr>
            </w:pPr>
          </w:p>
        </w:tc>
        <w:tc>
          <w:tcPr>
            <w:tcW w:w="12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3"/>
                <w:szCs w:val="13"/>
                <w:color w:val="auto"/>
              </w:rPr>
            </w:pPr>
          </w:p>
        </w:tc>
        <w:tc>
          <w:tcPr>
            <w:tcW w:w="12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3"/>
                <w:szCs w:val="13"/>
                <w:color w:val="auto"/>
              </w:rPr>
            </w:pPr>
          </w:p>
        </w:tc>
        <w:tc>
          <w:tcPr>
            <w:tcW w:w="1080" w:type="dxa"/>
            <w:vAlign w:val="bottom"/>
          </w:tcPr>
          <w:p>
            <w:pPr>
              <w:jc w:val="center"/>
              <w:ind w:left="41"/>
              <w:spacing w:after="0" w:line="159"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3"/>
          </w:tcPr>
          <w:p>
            <w:pPr>
              <w:jc w:val="center"/>
              <w:ind w:right="240"/>
              <w:spacing w:after="0" w:line="159" w:lineRule="exact"/>
              <w:rPr>
                <w:sz w:val="20"/>
                <w:szCs w:val="20"/>
                <w:color w:val="auto"/>
              </w:rPr>
            </w:pPr>
            <w:r>
              <w:rPr>
                <w:rFonts w:ascii="Arial" w:cs="Arial" w:eastAsia="Arial" w:hAnsi="Arial"/>
                <w:sz w:val="14"/>
                <w:szCs w:val="14"/>
                <w:b w:val="1"/>
                <w:bCs w:val="1"/>
                <w:color w:val="auto"/>
              </w:rPr>
              <w:t>Year ended</w:t>
            </w:r>
          </w:p>
        </w:tc>
        <w:tc>
          <w:tcPr>
            <w:tcW w:w="1100" w:type="dxa"/>
            <w:vAlign w:val="bottom"/>
          </w:tcPr>
          <w:p>
            <w:pPr>
              <w:jc w:val="center"/>
              <w:ind w:right="39"/>
              <w:spacing w:after="0" w:line="159" w:lineRule="exact"/>
              <w:rPr>
                <w:sz w:val="20"/>
                <w:szCs w:val="20"/>
                <w:color w:val="auto"/>
              </w:rPr>
            </w:pPr>
            <w:r>
              <w:rPr>
                <w:rFonts w:ascii="Arial" w:cs="Arial" w:eastAsia="Arial" w:hAnsi="Arial"/>
                <w:sz w:val="14"/>
                <w:szCs w:val="14"/>
                <w:b w:val="1"/>
                <w:bCs w:val="1"/>
                <w:color w:val="auto"/>
              </w:rPr>
              <w:t>Year ended</w:t>
            </w:r>
          </w:p>
        </w:tc>
      </w:tr>
      <w:tr>
        <w:trPr>
          <w:trHeight w:val="162"/>
        </w:trPr>
        <w:tc>
          <w:tcPr>
            <w:tcW w:w="33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080" w:type="dxa"/>
            <w:vAlign w:val="bottom"/>
          </w:tcPr>
          <w:p>
            <w:pPr>
              <w:jc w:val="center"/>
              <w:ind w:left="61"/>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jc w:val="center"/>
              <w:ind w:right="39"/>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33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r>
      <w:tr>
        <w:trPr>
          <w:trHeight w:val="223"/>
        </w:trPr>
        <w:tc>
          <w:tcPr>
            <w:tcW w:w="3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Discount rate</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7"/>
              </w:rPr>
              <w:t>5.20%</w:t>
            </w:r>
          </w:p>
        </w:tc>
        <w:tc>
          <w:tcPr>
            <w:tcW w:w="136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7"/>
              </w:rPr>
              <w:t>2.70%</w:t>
            </w:r>
          </w:p>
        </w:tc>
        <w:tc>
          <w:tcPr>
            <w:tcW w:w="136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7"/>
              </w:rPr>
              <w:t>2.30%</w:t>
            </w:r>
          </w:p>
        </w:tc>
        <w:tc>
          <w:tcPr>
            <w:tcW w:w="120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b w:val="1"/>
                <w:bCs w:val="1"/>
                <w:color w:val="auto"/>
              </w:rPr>
              <w:t>5.20%</w:t>
            </w:r>
          </w:p>
        </w:tc>
        <w:tc>
          <w:tcPr>
            <w:tcW w:w="1460" w:type="dxa"/>
            <w:vAlign w:val="bottom"/>
            <w:gridSpan w:val="3"/>
            <w:shd w:val="clear" w:color="auto" w:fill="CFF0FC"/>
          </w:tcPr>
          <w:p>
            <w:pPr>
              <w:jc w:val="right"/>
              <w:ind w:right="261"/>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279"/>
              <w:spacing w:after="0"/>
              <w:rPr>
                <w:sz w:val="20"/>
                <w:szCs w:val="20"/>
                <w:color w:val="auto"/>
              </w:rPr>
            </w:pPr>
            <w:r>
              <w:rPr>
                <w:rFonts w:ascii="Arial" w:cs="Arial" w:eastAsia="Arial" w:hAnsi="Arial"/>
                <w:sz w:val="18"/>
                <w:szCs w:val="18"/>
                <w:color w:val="auto"/>
              </w:rPr>
              <w:t>2.40%</w:t>
            </w:r>
          </w:p>
        </w:tc>
      </w:tr>
      <w:tr>
        <w:trPr>
          <w:trHeight w:val="197"/>
        </w:trPr>
        <w:tc>
          <w:tcPr>
            <w:tcW w:w="3300" w:type="dxa"/>
            <w:vAlign w:val="bottom"/>
          </w:tcPr>
          <w:p>
            <w:pPr>
              <w:ind w:left="20"/>
              <w:spacing w:after="0" w:line="197" w:lineRule="exact"/>
              <w:rPr>
                <w:sz w:val="20"/>
                <w:szCs w:val="20"/>
                <w:color w:val="auto"/>
              </w:rPr>
            </w:pPr>
            <w:r>
              <w:rPr>
                <w:rFonts w:ascii="Arial" w:cs="Arial" w:eastAsia="Arial" w:hAnsi="Arial"/>
                <w:sz w:val="18"/>
                <w:szCs w:val="18"/>
                <w:color w:val="auto"/>
              </w:rPr>
              <w:t>Rate of compensation</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5"/>
        </w:trPr>
        <w:tc>
          <w:tcPr>
            <w:tcW w:w="3300" w:type="dxa"/>
            <w:vAlign w:val="bottom"/>
          </w:tcPr>
          <w:p>
            <w:pPr>
              <w:ind w:left="180"/>
              <w:spacing w:after="0"/>
              <w:rPr>
                <w:sz w:val="20"/>
                <w:szCs w:val="20"/>
                <w:color w:val="auto"/>
              </w:rPr>
            </w:pPr>
            <w:r>
              <w:rPr>
                <w:rFonts w:ascii="Arial" w:cs="Arial" w:eastAsia="Arial" w:hAnsi="Arial"/>
                <w:sz w:val="18"/>
                <w:szCs w:val="18"/>
                <w:color w:val="auto"/>
              </w:rPr>
              <w:t>increase (salaried)</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7"/>
              </w:rPr>
              <w:t>3.00%</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7"/>
              </w:rPr>
              <w:t>3.00%</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7"/>
              </w:rPr>
              <w:t>3.00%</w:t>
            </w:r>
          </w:p>
        </w:tc>
        <w:tc>
          <w:tcPr>
            <w:tcW w:w="120" w:type="dxa"/>
            <w:vAlign w:val="bottom"/>
          </w:tcPr>
          <w:p>
            <w:pPr>
              <w:spacing w:after="0"/>
              <w:rPr>
                <w:sz w:val="20"/>
                <w:szCs w:val="20"/>
                <w:color w:val="auto"/>
              </w:rPr>
            </w:pPr>
          </w:p>
        </w:tc>
        <w:tc>
          <w:tcPr>
            <w:tcW w:w="1080" w:type="dxa"/>
            <w:vAlign w:val="bottom"/>
          </w:tcPr>
          <w:p>
            <w:pPr>
              <w:jc w:val="center"/>
              <w:ind w:left="41"/>
              <w:spacing w:after="0"/>
              <w:rPr>
                <w:sz w:val="20"/>
                <w:szCs w:val="20"/>
                <w:color w:val="auto"/>
              </w:rPr>
            </w:pPr>
            <w:r>
              <w:rPr>
                <w:rFonts w:ascii="Arial" w:cs="Arial" w:eastAsia="Arial" w:hAnsi="Arial"/>
                <w:sz w:val="18"/>
                <w:szCs w:val="18"/>
                <w:b w:val="1"/>
                <w:bCs w:val="1"/>
                <w:color w:val="auto"/>
              </w:rPr>
              <w:t>N/A</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N/A</w:t>
            </w:r>
          </w:p>
        </w:tc>
        <w:tc>
          <w:tcPr>
            <w:tcW w:w="1100" w:type="dxa"/>
            <w:vAlign w:val="bottom"/>
          </w:tcPr>
          <w:p>
            <w:pPr>
              <w:jc w:val="center"/>
              <w:ind w:right="39"/>
              <w:spacing w:after="0"/>
              <w:rPr>
                <w:sz w:val="20"/>
                <w:szCs w:val="20"/>
                <w:color w:val="auto"/>
              </w:rPr>
            </w:pPr>
            <w:r>
              <w:rPr>
                <w:rFonts w:ascii="Arial" w:cs="Arial" w:eastAsia="Arial" w:hAnsi="Arial"/>
                <w:sz w:val="18"/>
                <w:szCs w:val="18"/>
                <w:color w:val="auto"/>
                <w:w w:val="99"/>
              </w:rPr>
              <w:t>N/A</w:t>
            </w:r>
          </w:p>
        </w:tc>
      </w:tr>
      <w:tr>
        <w:trPr>
          <w:trHeight w:val="229"/>
        </w:trPr>
        <w:tc>
          <w:tcPr>
            <w:tcW w:w="3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return on assets</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7"/>
              </w:rPr>
              <w:t>5.30%</w:t>
            </w:r>
          </w:p>
        </w:tc>
        <w:tc>
          <w:tcPr>
            <w:tcW w:w="136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7"/>
              </w:rPr>
              <w:t>3.80%</w:t>
            </w:r>
          </w:p>
        </w:tc>
        <w:tc>
          <w:tcPr>
            <w:tcW w:w="136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7"/>
              </w:rPr>
              <w:t>3.70%</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center"/>
              <w:ind w:left="41"/>
              <w:spacing w:after="0"/>
              <w:rPr>
                <w:sz w:val="20"/>
                <w:szCs w:val="20"/>
                <w:color w:val="auto"/>
              </w:rPr>
            </w:pPr>
            <w:r>
              <w:rPr>
                <w:rFonts w:ascii="Arial" w:cs="Arial" w:eastAsia="Arial" w:hAnsi="Arial"/>
                <w:sz w:val="18"/>
                <w:szCs w:val="18"/>
                <w:b w:val="1"/>
                <w:bCs w:val="1"/>
                <w:color w:val="auto"/>
              </w:rPr>
              <w:t>N/A</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3"/>
            <w:shd w:val="clear" w:color="auto" w:fill="CFF0FC"/>
          </w:tcPr>
          <w:p>
            <w:pPr>
              <w:jc w:val="center"/>
              <w:ind w:right="260"/>
              <w:spacing w:after="0"/>
              <w:rPr>
                <w:sz w:val="20"/>
                <w:szCs w:val="20"/>
                <w:color w:val="auto"/>
              </w:rPr>
            </w:pPr>
            <w:r>
              <w:rPr>
                <w:rFonts w:ascii="Arial" w:cs="Arial" w:eastAsia="Arial" w:hAnsi="Arial"/>
                <w:sz w:val="18"/>
                <w:szCs w:val="18"/>
                <w:color w:val="auto"/>
                <w:w w:val="99"/>
              </w:rPr>
              <w:t>N/A</w:t>
            </w:r>
          </w:p>
        </w:tc>
        <w:tc>
          <w:tcPr>
            <w:tcW w:w="1100" w:type="dxa"/>
            <w:vAlign w:val="bottom"/>
            <w:shd w:val="clear" w:color="auto" w:fill="CFF0FC"/>
          </w:tcPr>
          <w:p>
            <w:pPr>
              <w:jc w:val="center"/>
              <w:ind w:right="39"/>
              <w:spacing w:after="0"/>
              <w:rPr>
                <w:sz w:val="20"/>
                <w:szCs w:val="20"/>
                <w:color w:val="auto"/>
              </w:rPr>
            </w:pPr>
            <w:r>
              <w:rPr>
                <w:rFonts w:ascii="Arial" w:cs="Arial" w:eastAsia="Arial" w:hAnsi="Arial"/>
                <w:sz w:val="18"/>
                <w:szCs w:val="18"/>
                <w:color w:val="auto"/>
                <w:w w:val="99"/>
              </w:rPr>
              <w:t>N/A</w:t>
            </w:r>
          </w:p>
        </w:tc>
      </w:tr>
    </w:tbl>
    <w:p>
      <w:pPr>
        <w:spacing w:after="0" w:line="332" w:lineRule="exact"/>
        <w:rPr>
          <w:sz w:val="20"/>
          <w:szCs w:val="20"/>
          <w:color w:val="auto"/>
        </w:rPr>
      </w:pPr>
    </w:p>
    <w:p>
      <w:pPr>
        <w:ind w:right="180" w:firstLine="494"/>
        <w:spacing w:after="0" w:line="243" w:lineRule="auto"/>
        <w:rPr>
          <w:sz w:val="20"/>
          <w:szCs w:val="20"/>
          <w:color w:val="auto"/>
        </w:rPr>
      </w:pPr>
      <w:r>
        <w:rPr>
          <w:rFonts w:ascii="Arial" w:cs="Arial" w:eastAsia="Arial" w:hAnsi="Arial"/>
          <w:sz w:val="18"/>
          <w:szCs w:val="18"/>
          <w:color w:val="auto"/>
        </w:rPr>
        <w:t>The overall expected rate of return on plan assets is based upon historical and expected future returns consistent with the expected benefit duration of the plan for each asset group adjusted for investment and administrative fees. Health care cost trends are used to project future post-retirement benefits payable from the Company’s plans. As of December 31, 2023, future post-retirement health care costs were forecasted assuming an initial annual increase of up to 9.75%, decreasing to an annual increase of up to 4.00% by the year 2048. The Company reviews all actuarial assumptions on an annual basis and in the case of remeasurement.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 Assets</w:t>
      </w:r>
    </w:p>
    <w:p>
      <w:pPr>
        <w:spacing w:after="0" w:line="155" w:lineRule="exact"/>
        <w:rPr>
          <w:sz w:val="20"/>
          <w:szCs w:val="20"/>
          <w:color w:val="auto"/>
        </w:rPr>
      </w:pPr>
    </w:p>
    <w:p>
      <w:pPr>
        <w:ind w:right="440" w:firstLine="494"/>
        <w:spacing w:after="0" w:line="271" w:lineRule="auto"/>
        <w:rPr>
          <w:sz w:val="20"/>
          <w:szCs w:val="20"/>
          <w:color w:val="auto"/>
        </w:rPr>
      </w:pPr>
      <w:r>
        <w:rPr>
          <w:rFonts w:ascii="Arial" w:cs="Arial" w:eastAsia="Arial" w:hAnsi="Arial"/>
          <w:sz w:val="18"/>
          <w:szCs w:val="18"/>
          <w:color w:val="auto"/>
        </w:rPr>
        <w:t>The Company’s pension plan assets mostly consist of diversified equity securities and diversified debt securities. The fair values of plan assets for the Company’s pension plans as of December 31, 2023 and 2022 are as follows (dollars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Fair Value Measurements Using</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60"/>
        </w:trPr>
        <w:tc>
          <w:tcPr>
            <w:tcW w:w="4640" w:type="dxa"/>
            <w:vAlign w:val="bottom"/>
          </w:tcPr>
          <w:p>
            <w:pPr>
              <w:spacing w:after="0"/>
              <w:rPr>
                <w:sz w:val="13"/>
                <w:szCs w:val="13"/>
                <w:color w:val="auto"/>
              </w:rPr>
            </w:pPr>
          </w:p>
        </w:tc>
        <w:tc>
          <w:tcPr>
            <w:tcW w:w="1860" w:type="dxa"/>
            <w:vAlign w:val="bottom"/>
            <w:gridSpan w:val="4"/>
          </w:tcPr>
          <w:p>
            <w:pPr>
              <w:jc w:val="center"/>
              <w:ind w:left="142"/>
              <w:spacing w:after="0" w:line="159" w:lineRule="exact"/>
              <w:rPr>
                <w:sz w:val="20"/>
                <w:szCs w:val="20"/>
                <w:color w:val="auto"/>
              </w:rPr>
            </w:pPr>
            <w:r>
              <w:rPr>
                <w:rFonts w:ascii="Arial" w:cs="Arial" w:eastAsia="Arial" w:hAnsi="Arial"/>
                <w:sz w:val="14"/>
                <w:szCs w:val="14"/>
                <w:b w:val="1"/>
                <w:bCs w:val="1"/>
                <w:color w:val="auto"/>
              </w:rPr>
              <w:t>Quoted Prices in Active</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4"/>
          </w:tcPr>
          <w:p>
            <w:pPr>
              <w:jc w:val="center"/>
              <w:ind w:right="214"/>
              <w:spacing w:after="0" w:line="159" w:lineRule="exact"/>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2"/>
        </w:trPr>
        <w:tc>
          <w:tcPr>
            <w:tcW w:w="4640" w:type="dxa"/>
            <w:vAlign w:val="bottom"/>
          </w:tcPr>
          <w:p>
            <w:pPr>
              <w:spacing w:after="0"/>
              <w:rPr>
                <w:sz w:val="14"/>
                <w:szCs w:val="14"/>
                <w:color w:val="auto"/>
              </w:rPr>
            </w:pPr>
          </w:p>
        </w:tc>
        <w:tc>
          <w:tcPr>
            <w:tcW w:w="1860" w:type="dxa"/>
            <w:vAlign w:val="bottom"/>
            <w:gridSpan w:val="4"/>
          </w:tcPr>
          <w:p>
            <w:pPr>
              <w:jc w:val="center"/>
              <w:ind w:left="142"/>
              <w:spacing w:after="0"/>
              <w:rPr>
                <w:sz w:val="20"/>
                <w:szCs w:val="20"/>
                <w:color w:val="auto"/>
              </w:rPr>
            </w:pPr>
            <w:r>
              <w:rPr>
                <w:rFonts w:ascii="Arial" w:cs="Arial" w:eastAsia="Arial" w:hAnsi="Arial"/>
                <w:sz w:val="14"/>
                <w:szCs w:val="14"/>
                <w:b w:val="1"/>
                <w:bCs w:val="1"/>
                <w:color w:val="auto"/>
              </w:rPr>
              <w:t>Markets for Identical</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4"/>
          </w:tcPr>
          <w:p>
            <w:pPr>
              <w:jc w:val="center"/>
              <w:ind w:right="214"/>
              <w:spacing w:after="0"/>
              <w:rPr>
                <w:sz w:val="20"/>
                <w:szCs w:val="20"/>
                <w:color w:val="auto"/>
              </w:rPr>
            </w:pPr>
            <w:r>
              <w:rPr>
                <w:rFonts w:ascii="Arial" w:cs="Arial" w:eastAsia="Arial" w:hAnsi="Arial"/>
                <w:sz w:val="14"/>
                <w:szCs w:val="14"/>
                <w:b w:val="1"/>
                <w:bCs w:val="1"/>
                <w:color w:val="auto"/>
              </w:rPr>
              <w:t>Observable Inputs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5"/>
        </w:trPr>
        <w:tc>
          <w:tcPr>
            <w:tcW w:w="4640" w:type="dxa"/>
            <w:vAlign w:val="bottom"/>
          </w:tcPr>
          <w:p>
            <w:pPr>
              <w:spacing w:after="0"/>
              <w:rPr>
                <w:sz w:val="16"/>
                <w:szCs w:val="16"/>
                <w:color w:val="auto"/>
              </w:rPr>
            </w:pPr>
          </w:p>
        </w:tc>
        <w:tc>
          <w:tcPr>
            <w:tcW w:w="1860" w:type="dxa"/>
            <w:vAlign w:val="bottom"/>
            <w:tcBorders>
              <w:bottom w:val="single" w:sz="8" w:color="auto"/>
            </w:tcBorders>
            <w:gridSpan w:val="4"/>
          </w:tcPr>
          <w:p>
            <w:pPr>
              <w:jc w:val="center"/>
              <w:ind w:left="142"/>
              <w:spacing w:after="0"/>
              <w:rPr>
                <w:sz w:val="20"/>
                <w:szCs w:val="20"/>
                <w:color w:val="auto"/>
              </w:rPr>
            </w:pPr>
            <w:r>
              <w:rPr>
                <w:rFonts w:ascii="Arial" w:cs="Arial" w:eastAsia="Arial" w:hAnsi="Arial"/>
                <w:sz w:val="14"/>
                <w:szCs w:val="14"/>
                <w:b w:val="1"/>
                <w:bCs w:val="1"/>
                <w:color w:val="auto"/>
              </w:rPr>
              <w:t>Assets (Level 1)</w:t>
            </w:r>
          </w:p>
        </w:tc>
        <w:tc>
          <w:tcPr>
            <w:tcW w:w="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rPr>
              <w:t>(Level 2)</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800" w:type="dxa"/>
            <w:vAlign w:val="bottom"/>
            <w:tcBorders>
              <w:bottom w:val="single" w:sz="8" w:color="auto"/>
            </w:tcBorders>
          </w:tcPr>
          <w:p>
            <w:pPr>
              <w:spacing w:after="0"/>
              <w:rPr>
                <w:sz w:val="16"/>
                <w:szCs w:val="16"/>
                <w:color w:val="auto"/>
              </w:rPr>
            </w:pPr>
          </w:p>
        </w:tc>
      </w:tr>
      <w:tr>
        <w:trPr>
          <w:trHeight w:val="182"/>
        </w:trPr>
        <w:tc>
          <w:tcPr>
            <w:tcW w:w="464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r>
      <w:tr>
        <w:trPr>
          <w:trHeight w:val="223"/>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Diversified debt securities</w:t>
            </w:r>
          </w:p>
        </w:tc>
        <w:tc>
          <w:tcPr>
            <w:tcW w:w="660" w:type="dxa"/>
            <w:vAlign w:val="bottom"/>
            <w:shd w:val="clear" w:color="auto" w:fill="CFF0FC"/>
          </w:tcPr>
          <w:p>
            <w:pPr>
              <w:jc w:val="right"/>
              <w:ind w:right="462"/>
              <w:spacing w:after="0"/>
              <w:rPr>
                <w:sz w:val="20"/>
                <w:szCs w:val="20"/>
                <w:color w:val="auto"/>
              </w:rPr>
            </w:pPr>
            <w:r>
              <w:rPr>
                <w:rFonts w:ascii="Arial" w:cs="Arial" w:eastAsia="Arial" w:hAnsi="Arial"/>
                <w:sz w:val="18"/>
                <w:szCs w:val="18"/>
                <w:b w:val="1"/>
                <w:bCs w:val="1"/>
                <w:color w:val="auto"/>
                <w:w w:val="99"/>
              </w:rPr>
              <w:t>$</w:t>
            </w: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12</w:t>
            </w:r>
          </w:p>
        </w:tc>
        <w:tc>
          <w:tcPr>
            <w:tcW w:w="820" w:type="dxa"/>
            <w:vAlign w:val="bottom"/>
            <w:gridSpan w:val="2"/>
            <w:shd w:val="clear" w:color="auto" w:fill="CFF0FC"/>
          </w:tcPr>
          <w:p>
            <w:pPr>
              <w:jc w:val="right"/>
              <w:ind w:right="508"/>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123</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123</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135</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131</w:t>
            </w: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Diversified equity securities</w:t>
            </w:r>
          </w:p>
        </w:tc>
        <w:tc>
          <w:tcPr>
            <w:tcW w:w="660" w:type="dxa"/>
            <w:vAlign w:val="bottom"/>
          </w:tcPr>
          <w:p>
            <w:pPr>
              <w:spacing w:after="0"/>
              <w:rPr>
                <w:sz w:val="19"/>
                <w:szCs w:val="19"/>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25</w:t>
            </w:r>
          </w:p>
        </w:tc>
      </w:tr>
      <w:tr>
        <w:trPr>
          <w:trHeight w:val="229"/>
        </w:trPr>
        <w:tc>
          <w:tcPr>
            <w:tcW w:w="4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6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w:t>
            </w:r>
          </w:p>
        </w:tc>
      </w:tr>
      <w:tr>
        <w:trPr>
          <w:trHeight w:val="223"/>
        </w:trPr>
        <w:tc>
          <w:tcPr>
            <w:tcW w:w="4640" w:type="dxa"/>
            <w:vAlign w:val="bottom"/>
          </w:tcPr>
          <w:p>
            <w:pPr>
              <w:ind w:left="280"/>
              <w:spacing w:after="0"/>
              <w:rPr>
                <w:sz w:val="20"/>
                <w:szCs w:val="20"/>
                <w:color w:val="auto"/>
              </w:rPr>
            </w:pPr>
            <w:r>
              <w:rPr>
                <w:rFonts w:ascii="Arial" w:cs="Arial" w:eastAsia="Arial" w:hAnsi="Arial"/>
                <w:sz w:val="18"/>
                <w:szCs w:val="18"/>
                <w:color w:val="auto"/>
              </w:rPr>
              <w:t>Total</w:t>
            </w:r>
          </w:p>
        </w:tc>
        <w:tc>
          <w:tcPr>
            <w:tcW w:w="660" w:type="dxa"/>
            <w:vAlign w:val="bottom"/>
          </w:tcPr>
          <w:p>
            <w:pPr>
              <w:jc w:val="right"/>
              <w:ind w:right="462"/>
              <w:spacing w:after="0"/>
              <w:rPr>
                <w:sz w:val="20"/>
                <w:szCs w:val="20"/>
                <w:color w:val="auto"/>
              </w:rPr>
            </w:pPr>
            <w:r>
              <w:rPr>
                <w:rFonts w:ascii="Arial" w:cs="Arial" w:eastAsia="Arial" w:hAnsi="Arial"/>
                <w:sz w:val="18"/>
                <w:szCs w:val="18"/>
                <w:b w:val="1"/>
                <w:bCs w:val="1"/>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b w:val="1"/>
                <w:bCs w:val="1"/>
                <w:color w:val="auto"/>
              </w:rPr>
              <w:t>34</w:t>
            </w:r>
          </w:p>
        </w:tc>
        <w:tc>
          <w:tcPr>
            <w:tcW w:w="820" w:type="dxa"/>
            <w:vAlign w:val="bottom"/>
            <w:gridSpan w:val="2"/>
          </w:tcPr>
          <w:p>
            <w:pPr>
              <w:jc w:val="right"/>
              <w:ind w:right="508"/>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89"/>
              </w:rPr>
              <w:t>28</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9"/>
              <w:spacing w:after="0"/>
              <w:rPr>
                <w:sz w:val="20"/>
                <w:szCs w:val="20"/>
                <w:color w:val="auto"/>
              </w:rPr>
            </w:pPr>
            <w:r>
              <w:rPr>
                <w:rFonts w:ascii="Arial" w:cs="Arial" w:eastAsia="Arial" w:hAnsi="Arial"/>
                <w:sz w:val="18"/>
                <w:szCs w:val="18"/>
                <w:b w:val="1"/>
                <w:bCs w:val="1"/>
                <w:color w:val="auto"/>
              </w:rPr>
              <w:t>130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130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6"/>
              <w:spacing w:after="0"/>
              <w:rPr>
                <w:sz w:val="20"/>
                <w:szCs w:val="20"/>
                <w:color w:val="auto"/>
              </w:rPr>
            </w:pPr>
            <w:r>
              <w:rPr>
                <w:rFonts w:ascii="Arial" w:cs="Arial" w:eastAsia="Arial" w:hAnsi="Arial"/>
                <w:sz w:val="18"/>
                <w:szCs w:val="18"/>
                <w:b w:val="1"/>
                <w:bCs w:val="1"/>
                <w:color w:val="auto"/>
              </w:rPr>
              <w:t>164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158</w:t>
            </w:r>
          </w:p>
        </w:tc>
      </w:tr>
      <w:tr>
        <w:trPr>
          <w:trHeight w:val="20"/>
        </w:trPr>
        <w:tc>
          <w:tcPr>
            <w:tcW w:w="4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3609975</wp:posOffset>
            </wp:positionH>
            <wp:positionV relativeFrom="paragraph">
              <wp:posOffset>-179070</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-179070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-179070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-179070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-179070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720" w:firstLine="494"/>
        <w:spacing w:after="0" w:line="246" w:lineRule="auto"/>
        <w:rPr>
          <w:sz w:val="20"/>
          <w:szCs w:val="20"/>
          <w:color w:val="auto"/>
        </w:rPr>
      </w:pPr>
      <w:r>
        <w:rPr>
          <w:rFonts w:ascii="Arial" w:cs="Arial" w:eastAsia="Arial" w:hAnsi="Arial"/>
          <w:sz w:val="18"/>
          <w:szCs w:val="18"/>
          <w:color w:val="auto"/>
        </w:rPr>
        <w:t>The Company’s investment strategy with respect to pension plan assets is to invest the assets in accordance with laws and regulations. The long-term primary objectives for the Company’s pension assets are to provide results that meet or exceed the plans’ actuarially assumed long-term rate of return without subjecting the funds to undue risk. To achieve these objectives the Company has established the following targets: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gridSpan w:val="3"/>
          </w:tcPr>
          <w:p>
            <w:pPr>
              <w:ind w:left="1560"/>
              <w:spacing w:after="0"/>
              <w:rPr>
                <w:sz w:val="20"/>
                <w:szCs w:val="20"/>
                <w:color w:val="auto"/>
              </w:rPr>
            </w:pPr>
            <w:r>
              <w:rPr>
                <w:rFonts w:ascii="Arial" w:cs="Arial" w:eastAsia="Arial" w:hAnsi="Arial"/>
                <w:sz w:val="14"/>
                <w:szCs w:val="14"/>
                <w:b w:val="1"/>
                <w:bCs w:val="1"/>
                <w:color w:val="auto"/>
              </w:rPr>
              <w:t>Target</w:t>
            </w:r>
          </w:p>
        </w:tc>
        <w:tc>
          <w:tcPr>
            <w:tcW w:w="14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2"/>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 Category</w:t>
            </w:r>
          </w:p>
        </w:tc>
        <w:tc>
          <w:tcPr>
            <w:tcW w:w="120" w:type="dxa"/>
            <w:vAlign w:val="bottom"/>
          </w:tcPr>
          <w:p>
            <w:pPr>
              <w:spacing w:after="0"/>
              <w:rPr>
                <w:sz w:val="15"/>
                <w:szCs w:val="15"/>
                <w:color w:val="auto"/>
              </w:rPr>
            </w:pPr>
          </w:p>
        </w:tc>
        <w:tc>
          <w:tcPr>
            <w:tcW w:w="178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Hourly</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Salary</w:t>
            </w:r>
          </w:p>
        </w:tc>
        <w:tc>
          <w:tcPr>
            <w:tcW w:w="60" w:type="dxa"/>
            <w:vAlign w:val="bottom"/>
          </w:tcPr>
          <w:p>
            <w:pPr>
              <w:spacing w:after="0"/>
              <w:rPr>
                <w:sz w:val="15"/>
                <w:szCs w:val="15"/>
                <w:color w:val="auto"/>
              </w:rPr>
            </w:pPr>
          </w:p>
        </w:tc>
      </w:tr>
      <w:tr>
        <w:trPr>
          <w:trHeight w:val="223"/>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Cash equivalents</w:t>
            </w: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36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Diversified equity securities</w:t>
            </w:r>
          </w:p>
        </w:tc>
        <w:tc>
          <w:tcPr>
            <w:tcW w:w="1780" w:type="dxa"/>
            <w:vAlign w:val="bottom"/>
          </w:tcPr>
          <w:p>
            <w:pPr>
              <w:jc w:val="right"/>
              <w:ind w:right="36"/>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r>
      <w:tr>
        <w:trPr>
          <w:trHeight w:val="229"/>
        </w:trPr>
        <w:tc>
          <w:tcPr>
            <w:tcW w:w="75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Diversified debt securities</w:t>
            </w:r>
          </w:p>
        </w:tc>
        <w:tc>
          <w:tcPr>
            <w:tcW w:w="17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9"/>
                <w:szCs w:val="19"/>
                <w:color w:val="auto"/>
              </w:rPr>
            </w:pPr>
          </w:p>
        </w:tc>
      </w:tr>
      <w:tr>
        <w:trPr>
          <w:trHeight w:val="223"/>
        </w:trPr>
        <w:tc>
          <w:tcPr>
            <w:tcW w:w="758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100 %</w:t>
            </w:r>
          </w:p>
        </w:tc>
        <w:tc>
          <w:tcPr>
            <w:tcW w:w="36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1454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-179070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820" w:firstLine="494"/>
        <w:spacing w:after="0" w:line="271" w:lineRule="auto"/>
        <w:rPr>
          <w:sz w:val="20"/>
          <w:szCs w:val="20"/>
          <w:color w:val="auto"/>
        </w:rPr>
      </w:pPr>
      <w:r>
        <w:rPr>
          <w:rFonts w:ascii="Arial" w:cs="Arial" w:eastAsia="Arial" w:hAnsi="Arial"/>
          <w:sz w:val="18"/>
          <w:szCs w:val="18"/>
          <w:color w:val="auto"/>
        </w:rPr>
        <w:t>Throughout 2023, the Company’s investment committee has continued to evaluate the investments and take steps toward the established targets.</w:t>
      </w:r>
    </w:p>
    <w:p>
      <w:pPr>
        <w:spacing w:after="0" w:line="36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Contributions and Benefit Payments</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about expected cash flows for the Company’s pension and post-retirement benefit plans is as follows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1240" w:type="dxa"/>
            <w:vAlign w:val="bottom"/>
          </w:tcPr>
          <w:p>
            <w:pPr>
              <w:jc w:val="center"/>
              <w:ind w:left="282"/>
              <w:spacing w:after="0"/>
              <w:rPr>
                <w:sz w:val="20"/>
                <w:szCs w:val="20"/>
                <w:color w:val="auto"/>
              </w:rPr>
            </w:pPr>
            <w:r>
              <w:rPr>
                <w:rFonts w:ascii="Arial" w:cs="Arial" w:eastAsia="Arial" w:hAnsi="Arial"/>
                <w:sz w:val="14"/>
                <w:szCs w:val="14"/>
                <w:b w:val="1"/>
                <w:bCs w:val="1"/>
                <w:color w:val="auto"/>
              </w:rPr>
              <w:t>Pension</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ind w:right="274"/>
              <w:spacing w:after="0"/>
              <w:rPr>
                <w:sz w:val="20"/>
                <w:szCs w:val="20"/>
                <w:color w:val="auto"/>
              </w:rPr>
            </w:pPr>
            <w:r>
              <w:rPr>
                <w:rFonts w:ascii="Arial" w:cs="Arial" w:eastAsia="Arial" w:hAnsi="Arial"/>
                <w:sz w:val="14"/>
                <w:szCs w:val="14"/>
                <w:b w:val="1"/>
                <w:bCs w:val="1"/>
                <w:color w:val="auto"/>
              </w:rPr>
              <w:t>Post-retirement</w:t>
            </w:r>
          </w:p>
        </w:tc>
      </w:tr>
      <w:tr>
        <w:trPr>
          <w:trHeight w:val="185"/>
        </w:trPr>
        <w:tc>
          <w:tcPr>
            <w:tcW w:w="7700" w:type="dxa"/>
            <w:vAlign w:val="bottom"/>
          </w:tcPr>
          <w:p>
            <w:pPr>
              <w:spacing w:after="0"/>
              <w:rPr>
                <w:sz w:val="16"/>
                <w:szCs w:val="16"/>
                <w:color w:val="auto"/>
              </w:rPr>
            </w:pPr>
          </w:p>
        </w:tc>
        <w:tc>
          <w:tcPr>
            <w:tcW w:w="1240" w:type="dxa"/>
            <w:vAlign w:val="bottom"/>
            <w:tcBorders>
              <w:bottom w:val="single" w:sz="8" w:color="auto"/>
            </w:tcBorders>
          </w:tcPr>
          <w:p>
            <w:pPr>
              <w:jc w:val="center"/>
              <w:ind w:left="302"/>
              <w:spacing w:after="0"/>
              <w:rPr>
                <w:sz w:val="20"/>
                <w:szCs w:val="20"/>
                <w:color w:val="auto"/>
              </w:rPr>
            </w:pPr>
            <w:r>
              <w:rPr>
                <w:rFonts w:ascii="Arial" w:cs="Arial" w:eastAsia="Arial" w:hAnsi="Arial"/>
                <w:sz w:val="14"/>
                <w:szCs w:val="14"/>
                <w:b w:val="1"/>
                <w:bCs w:val="1"/>
                <w:color w:val="auto"/>
              </w:rPr>
              <w:t>Plans</w:t>
            </w:r>
          </w:p>
        </w:tc>
        <w:tc>
          <w:tcPr>
            <w:tcW w:w="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Benefits</w:t>
            </w: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Employer Contributions:</w:t>
            </w:r>
          </w:p>
        </w:tc>
        <w:tc>
          <w:tcPr>
            <w:tcW w:w="1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2024 expected contributions</w:t>
            </w:r>
          </w:p>
        </w:tc>
        <w:tc>
          <w:tcPr>
            <w:tcW w:w="1240" w:type="dxa"/>
            <w:vAlign w:val="bottom"/>
          </w:tcPr>
          <w:p>
            <w:pPr>
              <w:jc w:val="right"/>
              <w:ind w:right="1042"/>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ind w:left="160"/>
              <w:spacing w:after="0"/>
              <w:rPr>
                <w:sz w:val="20"/>
                <w:szCs w:val="20"/>
                <w:color w:val="auto"/>
              </w:rPr>
            </w:pPr>
            <w:r>
              <w:rPr>
                <w:rFonts w:ascii="Arial" w:cs="Arial" w:eastAsia="Arial" w:hAnsi="Arial"/>
                <w:sz w:val="18"/>
                <w:szCs w:val="18"/>
                <w:color w:val="auto"/>
              </w:rPr>
              <w:t>—   $</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4</w:t>
            </w: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Benefit Payments:</w:t>
            </w:r>
          </w:p>
        </w:tc>
        <w:tc>
          <w:tcPr>
            <w:tcW w:w="1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2024</w:t>
            </w:r>
          </w:p>
        </w:tc>
        <w:tc>
          <w:tcPr>
            <w:tcW w:w="124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4</w:t>
            </w:r>
          </w:p>
        </w:tc>
      </w:tr>
      <w:tr>
        <w:trPr>
          <w:trHeight w:val="229"/>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2025</w:t>
            </w:r>
          </w:p>
        </w:tc>
        <w:tc>
          <w:tcPr>
            <w:tcW w:w="12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w:t>
            </w: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2026</w:t>
            </w:r>
          </w:p>
        </w:tc>
        <w:tc>
          <w:tcPr>
            <w:tcW w:w="124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4</w:t>
            </w:r>
          </w:p>
        </w:tc>
      </w:tr>
      <w:tr>
        <w:trPr>
          <w:trHeight w:val="229"/>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2027</w:t>
            </w:r>
          </w:p>
        </w:tc>
        <w:tc>
          <w:tcPr>
            <w:tcW w:w="12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w:t>
            </w: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2028</w:t>
            </w:r>
          </w:p>
        </w:tc>
        <w:tc>
          <w:tcPr>
            <w:tcW w:w="124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4</w:t>
            </w:r>
          </w:p>
        </w:tc>
      </w:tr>
      <w:tr>
        <w:trPr>
          <w:trHeight w:val="229"/>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2029-2033</w:t>
            </w:r>
          </w:p>
        </w:tc>
        <w:tc>
          <w:tcPr>
            <w:tcW w:w="12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w:t>
            </w:r>
          </w:p>
        </w:tc>
      </w:tr>
    </w:tbl>
    <w:p>
      <w:pPr>
        <w:spacing w:after="0" w:line="170" w:lineRule="exact"/>
        <w:rPr>
          <w:sz w:val="20"/>
          <w:szCs w:val="20"/>
          <w:color w:val="auto"/>
        </w:rPr>
      </w:pPr>
    </w:p>
    <w:p>
      <w:pPr>
        <w:ind w:right="180" w:firstLine="494"/>
        <w:spacing w:after="0" w:line="246" w:lineRule="auto"/>
        <w:rPr>
          <w:sz w:val="20"/>
          <w:szCs w:val="20"/>
          <w:color w:val="auto"/>
        </w:rPr>
      </w:pPr>
      <w:r>
        <w:rPr>
          <w:rFonts w:ascii="Arial" w:cs="Arial" w:eastAsia="Arial" w:hAnsi="Arial"/>
          <w:sz w:val="18"/>
          <w:szCs w:val="18"/>
          <w:color w:val="auto"/>
        </w:rPr>
        <w:t>Expected benefit payments for pension and post-retirement benefits will be paid from plan trusts or corporate assets. The Company’s funding policy is to contribute amounts annually that are at least equal to the amounts required by applicable laws and regulations or to directly fund payments to plan participants. Additional discretionary contributions will be made when deemed appropriate to meet the Company’s long-term obligation to the plans.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Plan</w:t>
      </w:r>
    </w:p>
    <w:p>
      <w:pPr>
        <w:spacing w:after="0" w:line="155" w:lineRule="exact"/>
        <w:rPr>
          <w:sz w:val="20"/>
          <w:szCs w:val="20"/>
          <w:color w:val="auto"/>
        </w:rPr>
      </w:pPr>
    </w:p>
    <w:p>
      <w:pPr>
        <w:ind w:right="40" w:firstLine="494"/>
        <w:spacing w:after="0" w:line="238" w:lineRule="auto"/>
        <w:rPr>
          <w:sz w:val="20"/>
          <w:szCs w:val="20"/>
          <w:color w:val="auto"/>
        </w:rPr>
      </w:pPr>
      <w:r>
        <w:rPr>
          <w:rFonts w:ascii="Arial" w:cs="Arial" w:eastAsia="Arial" w:hAnsi="Arial"/>
          <w:sz w:val="18"/>
          <w:szCs w:val="18"/>
          <w:color w:val="auto"/>
        </w:rPr>
        <w:t>The Company maintains a non-qualified deferred compensation plan (“Deferred Compensation Plan”) for a select group of management. Under the terms of the plan, the Company has utilized a rabbi trust to accumulate assets to fund its promise to pay benefits under the Deferred Compensation Plan. The rabbi trust is an irrevocable trust, which restricts any use of funds (operational or otherwise) by the Company other than to pay benefits under the Deferred Compensation Plan, and prevents immediate taxation of contributed amounts. Funds are accumulated through both employee deferrals and a Company match. Funds can be invested by the employee into a diversified group of investment options, which have been selected by the Company’s investment committee, that are all categorized as Level 1 in the fair value hierarchy. The Company match resulted in $1 million of expense recorded for the year ended December 31, 2023 and no charge to the Consolidated Statements of Comprehensive Income for either of the years ended December 31, 2022 and 2021. The fair value of the rabbi trust plan assets and deferred compensation obligation was $18 million and $15 million as of December 31, 2023 and 2022,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Income before income taxes included the following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2"/>
        </w:trPr>
        <w:tc>
          <w:tcPr>
            <w:tcW w:w="34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223"/>
        </w:trPr>
        <w:tc>
          <w:tcPr>
            <w:tcW w:w="3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income</w:t>
            </w:r>
          </w:p>
        </w:tc>
        <w:tc>
          <w:tcPr>
            <w:tcW w:w="4140" w:type="dxa"/>
            <w:vAlign w:val="bottom"/>
            <w:gridSpan w:val="2"/>
            <w:shd w:val="clear" w:color="auto" w:fill="CFF0FC"/>
          </w:tcPr>
          <w:p>
            <w:pPr>
              <w:jc w:val="right"/>
              <w:ind w:right="748"/>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776</w:t>
            </w:r>
          </w:p>
        </w:tc>
        <w:tc>
          <w:tcPr>
            <w:tcW w:w="5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621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513</w:t>
            </w: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Foreign income</w:t>
            </w:r>
          </w:p>
        </w:tc>
        <w:tc>
          <w:tcPr>
            <w:tcW w:w="32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59</w:t>
            </w:r>
          </w:p>
        </w:tc>
      </w:tr>
      <w:tr>
        <w:trPr>
          <w:trHeight w:val="263"/>
        </w:trPr>
        <w:tc>
          <w:tcPr>
            <w:tcW w:w="34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4140" w:type="dxa"/>
            <w:vAlign w:val="bottom"/>
            <w:gridSpan w:val="2"/>
            <w:shd w:val="clear" w:color="auto" w:fill="CFF0FC"/>
          </w:tcPr>
          <w:p>
            <w:pPr>
              <w:jc w:val="right"/>
              <w:ind w:right="748"/>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827</w:t>
            </w:r>
          </w:p>
        </w:tc>
        <w:tc>
          <w:tcPr>
            <w:tcW w:w="5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645</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572</w:t>
            </w:r>
          </w:p>
        </w:tc>
      </w:tr>
      <w:tr>
        <w:trPr>
          <w:trHeight w:val="632"/>
        </w:trPr>
        <w:tc>
          <w:tcPr>
            <w:tcW w:w="3400" w:type="dxa"/>
            <w:vAlign w:val="bottom"/>
            <w:tcBorders>
              <w:top w:val="single" w:sz="8" w:color="CFF0FC"/>
            </w:tcBorders>
          </w:tcPr>
          <w:p>
            <w:pPr>
              <w:spacing w:after="0"/>
              <w:rPr>
                <w:sz w:val="24"/>
                <w:szCs w:val="24"/>
                <w:color w:val="auto"/>
              </w:rPr>
            </w:pPr>
          </w:p>
        </w:tc>
        <w:tc>
          <w:tcPr>
            <w:tcW w:w="3220" w:type="dxa"/>
            <w:vAlign w:val="bottom"/>
            <w:tcBorders>
              <w:top w:val="single" w:sz="8" w:color="CFF0FC"/>
            </w:tcBorders>
          </w:tcPr>
          <w:p>
            <w:pPr>
              <w:jc w:val="right"/>
              <w:ind w:right="810"/>
              <w:spacing w:after="0"/>
              <w:rPr>
                <w:sz w:val="20"/>
                <w:szCs w:val="20"/>
                <w:color w:val="auto"/>
              </w:rPr>
            </w:pPr>
            <w:r>
              <w:rPr>
                <w:rFonts w:ascii="Arial" w:cs="Arial" w:eastAsia="Arial" w:hAnsi="Arial"/>
                <w:sz w:val="18"/>
                <w:szCs w:val="18"/>
                <w:color w:val="auto"/>
              </w:rPr>
              <w:t>82</w:t>
            </w:r>
          </w:p>
        </w:tc>
        <w:tc>
          <w:tcPr>
            <w:tcW w:w="9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731"/>
        </w:trPr>
        <w:tc>
          <w:tcPr>
            <w:tcW w:w="34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-915670</wp:posOffset>
            </wp:positionV>
            <wp:extent cx="939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-898525</wp:posOffset>
            </wp:positionV>
            <wp:extent cx="939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-915670</wp:posOffset>
            </wp:positionV>
            <wp:extent cx="857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-898525</wp:posOffset>
            </wp:positionV>
            <wp:extent cx="857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provision for income tax expense was estimated as follows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2"/>
        </w:trPr>
        <w:tc>
          <w:tcPr>
            <w:tcW w:w="6620" w:type="dxa"/>
            <w:vAlign w:val="bottom"/>
          </w:tcPr>
          <w:p>
            <w:pPr>
              <w:spacing w:after="0"/>
              <w:rPr>
                <w:sz w:val="15"/>
                <w:szCs w:val="15"/>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income taxes:</w:t>
            </w:r>
          </w:p>
        </w:tc>
        <w:tc>
          <w:tcPr>
            <w:tcW w:w="9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U.S. federal</w:t>
            </w:r>
          </w:p>
        </w:tc>
        <w:tc>
          <w:tcPr>
            <w:tcW w:w="920" w:type="dxa"/>
            <w:vAlign w:val="bottom"/>
          </w:tcPr>
          <w:p>
            <w:pPr>
              <w:jc w:val="right"/>
              <w:ind w:right="736"/>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ind w:right="32"/>
              <w:spacing w:after="0"/>
              <w:rPr>
                <w:sz w:val="20"/>
                <w:szCs w:val="20"/>
                <w:color w:val="auto"/>
              </w:rPr>
            </w:pPr>
            <w:r>
              <w:rPr>
                <w:rFonts w:ascii="Arial" w:cs="Arial" w:eastAsia="Arial" w:hAnsi="Arial"/>
                <w:sz w:val="18"/>
                <w:szCs w:val="18"/>
                <w:b w:val="1"/>
                <w:bCs w:val="1"/>
                <w:color w:val="auto"/>
              </w:rPr>
              <w:t>144</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48</w:t>
            </w: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U.S. state and local</w:t>
            </w:r>
          </w:p>
        </w:tc>
        <w:tc>
          <w:tcPr>
            <w:tcW w:w="9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w:t>
            </w: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Foreign</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11</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w:t>
            </w:r>
          </w:p>
        </w:tc>
      </w:tr>
      <w:tr>
        <w:trPr>
          <w:trHeight w:val="223"/>
        </w:trPr>
        <w:tc>
          <w:tcPr>
            <w:tcW w:w="66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Current</w:t>
            </w:r>
          </w:p>
        </w:tc>
        <w:tc>
          <w:tcPr>
            <w:tcW w:w="9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171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66</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Deferred income tax expense, net:</w:t>
            </w: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U.S. federal</w:t>
            </w:r>
          </w:p>
        </w:tc>
        <w:tc>
          <w:tcPr>
            <w:tcW w:w="9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(15 )</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56</w:t>
            </w: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U.S. state and local</w:t>
            </w:r>
          </w:p>
        </w:tc>
        <w:tc>
          <w:tcPr>
            <w:tcW w:w="920" w:type="dxa"/>
            <w:vAlign w:val="bottom"/>
          </w:tcPr>
          <w:p>
            <w:pPr>
              <w:spacing w:after="0"/>
              <w:rPr>
                <w:sz w:val="19"/>
                <w:szCs w:val="19"/>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(3 )</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w:t>
            </w:r>
          </w:p>
        </w:tc>
      </w:tr>
      <w:tr>
        <w:trPr>
          <w:trHeight w:val="229"/>
        </w:trPr>
        <w:tc>
          <w:tcPr>
            <w:tcW w:w="6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Foreign</w:t>
            </w:r>
          </w:p>
        </w:tc>
        <w:tc>
          <w:tcPr>
            <w:tcW w:w="9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(4 )</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23"/>
        </w:trPr>
        <w:tc>
          <w:tcPr>
            <w:tcW w:w="6620" w:type="dxa"/>
            <w:vAlign w:val="bottom"/>
          </w:tcPr>
          <w:p>
            <w:pPr>
              <w:ind w:left="520"/>
              <w:spacing w:after="0"/>
              <w:rPr>
                <w:sz w:val="20"/>
                <w:szCs w:val="20"/>
                <w:color w:val="auto"/>
              </w:rPr>
            </w:pPr>
            <w:r>
              <w:rPr>
                <w:rFonts w:ascii="Arial" w:cs="Arial" w:eastAsia="Arial" w:hAnsi="Arial"/>
                <w:sz w:val="18"/>
                <w:szCs w:val="18"/>
                <w:color w:val="auto"/>
              </w:rPr>
              <w:t>Total Deferred</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(17 )</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64</w:t>
            </w:r>
          </w:p>
        </w:tc>
      </w:tr>
      <w:tr>
        <w:trPr>
          <w:trHeight w:val="263"/>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income tax expense</w:t>
            </w:r>
          </w:p>
        </w:tc>
        <w:tc>
          <w:tcPr>
            <w:tcW w:w="920" w:type="dxa"/>
            <w:vAlign w:val="bottom"/>
            <w:tcBorders>
              <w:bottom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154</w:t>
            </w:r>
          </w:p>
        </w:tc>
        <w:tc>
          <w:tcPr>
            <w:tcW w:w="1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114</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-333375</wp:posOffset>
            </wp:positionV>
            <wp:extent cx="939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-333375</wp:posOffset>
            </wp:positionV>
            <wp:extent cx="857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-24765</wp:posOffset>
            </wp:positionV>
            <wp:extent cx="939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939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857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857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3" w:lineRule="exact"/>
        <w:rPr>
          <w:sz w:val="20"/>
          <w:szCs w:val="20"/>
          <w:color w:val="auto"/>
        </w:rPr>
      </w:pPr>
    </w:p>
    <w:p>
      <w:pPr>
        <w:ind w:right="460" w:firstLine="494"/>
        <w:spacing w:after="0" w:line="271" w:lineRule="auto"/>
        <w:rPr>
          <w:sz w:val="20"/>
          <w:szCs w:val="20"/>
          <w:color w:val="auto"/>
        </w:rPr>
      </w:pPr>
      <w:r>
        <w:rPr>
          <w:rFonts w:ascii="Arial" w:cs="Arial" w:eastAsia="Arial" w:hAnsi="Arial"/>
          <w:sz w:val="18"/>
          <w:szCs w:val="18"/>
          <w:color w:val="auto"/>
        </w:rPr>
        <w:t>A reconciliation of the provision for income tax expense compared with the amounts at the U.S. federal statutory rate is as follows (dollars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6620" w:type="dxa"/>
            <w:vAlign w:val="bottom"/>
          </w:tcPr>
          <w:p>
            <w:pPr>
              <w:spacing w:after="0"/>
              <w:rPr>
                <w:sz w:val="15"/>
                <w:szCs w:val="15"/>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 at U.S. statutory income tax rate</w:t>
            </w:r>
          </w:p>
        </w:tc>
        <w:tc>
          <w:tcPr>
            <w:tcW w:w="940" w:type="dxa"/>
            <w:vAlign w:val="bottom"/>
            <w:shd w:val="clear" w:color="auto" w:fill="CFF0FC"/>
          </w:tcPr>
          <w:p>
            <w:pPr>
              <w:jc w:val="right"/>
              <w:ind w:right="736"/>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Tax credits</w:t>
            </w:r>
          </w:p>
        </w:tc>
        <w:tc>
          <w:tcPr>
            <w:tcW w:w="940" w:type="dxa"/>
            <w:vAlign w:val="bottom"/>
          </w:tcPr>
          <w:p>
            <w:pPr>
              <w:spacing w:after="0"/>
              <w:rPr>
                <w:sz w:val="19"/>
                <w:szCs w:val="19"/>
                <w:color w:val="auto"/>
              </w:rPr>
            </w:pPr>
          </w:p>
        </w:tc>
        <w:tc>
          <w:tcPr>
            <w:tcW w:w="68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rPr>
              <w:t>(15 )</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(9 )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(4 )</w:t>
            </w: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State tax expense (excluding tax rate changes)</w:t>
            </w:r>
          </w:p>
        </w:tc>
        <w:tc>
          <w:tcPr>
            <w:tcW w:w="9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Non-deductible expenses</w:t>
            </w:r>
          </w:p>
        </w:tc>
        <w:tc>
          <w:tcPr>
            <w:tcW w:w="940" w:type="dxa"/>
            <w:vAlign w:val="bottom"/>
          </w:tcPr>
          <w:p>
            <w:pPr>
              <w:spacing w:after="0"/>
              <w:rPr>
                <w:sz w:val="19"/>
                <w:szCs w:val="19"/>
                <w:color w:val="auto"/>
              </w:rPr>
            </w:pPr>
          </w:p>
        </w:tc>
        <w:tc>
          <w:tcPr>
            <w:tcW w:w="68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rPr>
              <w:t>(13 )</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 of tax rate changes</w:t>
            </w:r>
          </w:p>
        </w:tc>
        <w:tc>
          <w:tcPr>
            <w:tcW w:w="9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b w:val="1"/>
                <w:bCs w:val="1"/>
                <w:color w:val="auto"/>
              </w:rPr>
              <w:t>(4 )</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(15 )</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9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adjustments</w:t>
            </w:r>
          </w:p>
        </w:tc>
        <w:tc>
          <w:tcPr>
            <w:tcW w:w="9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b w:val="1"/>
                <w:bCs w:val="1"/>
                <w:color w:val="auto"/>
              </w:rPr>
              <w:t>(3 )</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(6 )</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3"/>
        </w:trPr>
        <w:tc>
          <w:tcPr>
            <w:tcW w:w="662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Total income tax expense</w:t>
            </w: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p>
        </w:tc>
        <w:tc>
          <w:tcPr>
            <w:tcW w:w="28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CFF0FC"/>
            </w:tcBorders>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-179070</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-179070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effective tax rate for the years ended December 31, 2023 and 2022 was 19% and 18%, respectively.</w:t>
      </w:r>
    </w:p>
    <w:p>
      <w:pPr>
        <w:spacing w:after="0" w:line="157" w:lineRule="exact"/>
        <w:rPr>
          <w:sz w:val="20"/>
          <w:szCs w:val="20"/>
          <w:color w:val="auto"/>
        </w:rPr>
      </w:pPr>
    </w:p>
    <w:p>
      <w:pPr>
        <w:ind w:right="160" w:firstLine="494"/>
        <w:spacing w:after="0" w:line="243" w:lineRule="auto"/>
        <w:rPr>
          <w:sz w:val="20"/>
          <w:szCs w:val="20"/>
          <w:color w:val="auto"/>
        </w:rPr>
      </w:pPr>
      <w:r>
        <w:rPr>
          <w:rFonts w:ascii="Arial" w:cs="Arial" w:eastAsia="Arial" w:hAnsi="Arial"/>
          <w:sz w:val="18"/>
          <w:szCs w:val="18"/>
          <w:color w:val="auto"/>
        </w:rPr>
        <w:t>Deferred income tax assets and liabilities as of December 31, 2023 and 2022 reflect the effect of temporary differences between amounts of assets, liabilities and equity for financial reporting purposes and the bases of such assets, liabilities and equity as measured by tax laws, as well as tax loss and tax credit carry forwards. Net deferred tax assets and liabilities are classified as non-current in the Consolidated Balance Sheets. As described above, the deferred tax assets and liabilities are measured based on the enacted tax rates that will apply in the years in which the temporary differences are expected to be recovered or paid.</w:t>
      </w:r>
    </w:p>
    <w:p>
      <w:pPr>
        <w:spacing w:after="0" w:line="125" w:lineRule="exact"/>
        <w:rPr>
          <w:sz w:val="20"/>
          <w:szCs w:val="20"/>
          <w:color w:val="auto"/>
        </w:rPr>
      </w:pPr>
    </w:p>
    <w:p>
      <w:pPr>
        <w:ind w:firstLine="494"/>
        <w:spacing w:after="0" w:line="246" w:lineRule="auto"/>
        <w:rPr>
          <w:sz w:val="20"/>
          <w:szCs w:val="20"/>
          <w:color w:val="auto"/>
        </w:rPr>
      </w:pPr>
      <w:r>
        <w:rPr>
          <w:rFonts w:ascii="Arial" w:cs="Arial" w:eastAsia="Arial" w:hAnsi="Arial"/>
          <w:sz w:val="18"/>
          <w:szCs w:val="18"/>
          <w:color w:val="auto"/>
        </w:rPr>
        <w:t>The Company has not recognized any deferred tax liabilities associated with earnings in foreign subsidiaries, except for its subsidiary located in China, as they are intended to be permanently reinvested and used to support foreign operations or have no associated tax requirements. As of December 31, 2023, the Company has recorded a deferred tax liability of $3 million for the tax liability associated with the remittance of previously taxed income and unremitted earnings for its subsidiary located in China.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Temporary differences and carryforwards that gave rise to deferred tax assets and liabilities included the following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ind w:right="472"/>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120" w:type="dxa"/>
            <w:vAlign w:val="bottom"/>
          </w:tcPr>
          <w:p>
            <w:pPr>
              <w:spacing w:after="0"/>
              <w:rPr>
                <w:sz w:val="16"/>
                <w:szCs w:val="16"/>
                <w:color w:val="auto"/>
              </w:rPr>
            </w:pPr>
          </w:p>
        </w:tc>
        <w:tc>
          <w:tcPr>
            <w:tcW w:w="14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2022</w:t>
            </w:r>
          </w:p>
        </w:tc>
      </w:tr>
      <w:tr>
        <w:trPr>
          <w:trHeight w:val="223"/>
        </w:trPr>
        <w:tc>
          <w:tcPr>
            <w:tcW w:w="7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14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r>
      <w:tr>
        <w:trPr>
          <w:trHeight w:val="229"/>
        </w:trPr>
        <w:tc>
          <w:tcPr>
            <w:tcW w:w="7120" w:type="dxa"/>
            <w:vAlign w:val="bottom"/>
          </w:tcPr>
          <w:p>
            <w:pPr>
              <w:ind w:left="280"/>
              <w:spacing w:after="0"/>
              <w:rPr>
                <w:sz w:val="20"/>
                <w:szCs w:val="20"/>
                <w:color w:val="auto"/>
              </w:rPr>
            </w:pPr>
            <w:r>
              <w:rPr>
                <w:rFonts w:ascii="Arial" w:cs="Arial" w:eastAsia="Arial" w:hAnsi="Arial"/>
                <w:sz w:val="18"/>
                <w:szCs w:val="18"/>
                <w:color w:val="auto"/>
              </w:rPr>
              <w:t>Capitalized research</w:t>
            </w:r>
          </w:p>
        </w:tc>
        <w:tc>
          <w:tcPr>
            <w:tcW w:w="1460" w:type="dxa"/>
            <w:vAlign w:val="bottom"/>
          </w:tcPr>
          <w:p>
            <w:pPr>
              <w:jc w:val="right"/>
              <w:ind w:right="1259"/>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rPr>
              <w:t>43</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29</w:t>
            </w:r>
          </w:p>
        </w:tc>
      </w:tr>
      <w:tr>
        <w:trPr>
          <w:trHeight w:val="229"/>
        </w:trPr>
        <w:tc>
          <w:tcPr>
            <w:tcW w:w="7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accrued liabilities</w:t>
            </w:r>
          </w:p>
        </w:tc>
        <w:tc>
          <w:tcPr>
            <w:tcW w:w="14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35</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w:t>
            </w:r>
          </w:p>
        </w:tc>
      </w:tr>
      <w:tr>
        <w:trPr>
          <w:trHeight w:val="229"/>
        </w:trPr>
        <w:tc>
          <w:tcPr>
            <w:tcW w:w="712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14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rPr>
              <w:t>28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29</w:t>
            </w:r>
          </w:p>
        </w:tc>
      </w:tr>
      <w:tr>
        <w:trPr>
          <w:trHeight w:val="229"/>
        </w:trPr>
        <w:tc>
          <w:tcPr>
            <w:tcW w:w="7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Warranty accrual</w:t>
            </w:r>
          </w:p>
        </w:tc>
        <w:tc>
          <w:tcPr>
            <w:tcW w:w="14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14</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w:t>
            </w:r>
          </w:p>
        </w:tc>
      </w:tr>
      <w:tr>
        <w:trPr>
          <w:trHeight w:val="229"/>
        </w:trPr>
        <w:tc>
          <w:tcPr>
            <w:tcW w:w="712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4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rPr>
              <w:t>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10</w:t>
            </w:r>
          </w:p>
        </w:tc>
      </w:tr>
      <w:tr>
        <w:trPr>
          <w:trHeight w:val="229"/>
        </w:trPr>
        <w:tc>
          <w:tcPr>
            <w:tcW w:w="7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Tax credits</w:t>
            </w:r>
          </w:p>
        </w:tc>
        <w:tc>
          <w:tcPr>
            <w:tcW w:w="14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8</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w:t>
            </w:r>
          </w:p>
        </w:tc>
      </w:tr>
      <w:tr>
        <w:trPr>
          <w:trHeight w:val="229"/>
        </w:trPr>
        <w:tc>
          <w:tcPr>
            <w:tcW w:w="712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4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rPr>
              <w:t>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7</w:t>
            </w:r>
          </w:p>
        </w:tc>
      </w:tr>
      <w:tr>
        <w:trPr>
          <w:trHeight w:val="229"/>
        </w:trPr>
        <w:tc>
          <w:tcPr>
            <w:tcW w:w="7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Sales incentives</w:t>
            </w:r>
          </w:p>
        </w:tc>
        <w:tc>
          <w:tcPr>
            <w:tcW w:w="14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7</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w:t>
            </w:r>
          </w:p>
        </w:tc>
      </w:tr>
      <w:tr>
        <w:trPr>
          <w:trHeight w:val="229"/>
        </w:trPr>
        <w:tc>
          <w:tcPr>
            <w:tcW w:w="7120" w:type="dxa"/>
            <w:vAlign w:val="bottom"/>
          </w:tcPr>
          <w:p>
            <w:pPr>
              <w:ind w:left="28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w:t>
            </w:r>
          </w:p>
        </w:tc>
      </w:tr>
      <w:tr>
        <w:trPr>
          <w:trHeight w:val="223"/>
        </w:trPr>
        <w:tc>
          <w:tcPr>
            <w:tcW w:w="7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deferred tax assets</w:t>
            </w:r>
          </w:p>
        </w:tc>
        <w:tc>
          <w:tcPr>
            <w:tcW w:w="14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166</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148</w:t>
            </w:r>
          </w:p>
        </w:tc>
      </w:tr>
      <w:tr>
        <w:trPr>
          <w:trHeight w:val="223"/>
        </w:trPr>
        <w:tc>
          <w:tcPr>
            <w:tcW w:w="7120" w:type="dxa"/>
            <w:vAlign w:val="bottom"/>
          </w:tcPr>
          <w:p>
            <w:pPr>
              <w:ind w:left="20"/>
              <w:spacing w:after="0"/>
              <w:rPr>
                <w:sz w:val="20"/>
                <w:szCs w:val="20"/>
                <w:color w:val="auto"/>
              </w:rPr>
            </w:pPr>
            <w:r>
              <w:rPr>
                <w:rFonts w:ascii="Arial" w:cs="Arial" w:eastAsia="Arial" w:hAnsi="Arial"/>
                <w:sz w:val="18"/>
                <w:szCs w:val="18"/>
                <w:color w:val="auto"/>
              </w:rPr>
              <w:t>Valuation allowances</w:t>
            </w:r>
          </w:p>
        </w:tc>
        <w:tc>
          <w:tcPr>
            <w:tcW w:w="14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(9 )</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r>
      <w:tr>
        <w:trPr>
          <w:trHeight w:val="223"/>
        </w:trPr>
        <w:tc>
          <w:tcPr>
            <w:tcW w:w="7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14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r>
      <w:tr>
        <w:trPr>
          <w:trHeight w:val="229"/>
        </w:trPr>
        <w:tc>
          <w:tcPr>
            <w:tcW w:w="7120" w:type="dxa"/>
            <w:vAlign w:val="bottom"/>
          </w:tcPr>
          <w:p>
            <w:pPr>
              <w:ind w:left="280"/>
              <w:spacing w:after="0"/>
              <w:rPr>
                <w:sz w:val="20"/>
                <w:szCs w:val="20"/>
                <w:color w:val="auto"/>
              </w:rPr>
            </w:pPr>
            <w:r>
              <w:rPr>
                <w:rFonts w:ascii="Arial" w:cs="Arial" w:eastAsia="Arial" w:hAnsi="Arial"/>
                <w:sz w:val="18"/>
                <w:szCs w:val="18"/>
                <w:color w:val="auto"/>
              </w:rPr>
              <w:t>Goodwill</w:t>
            </w:r>
          </w:p>
        </w:tc>
        <w:tc>
          <w:tcPr>
            <w:tcW w:w="1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(414 )</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(413 )</w:t>
            </w:r>
          </w:p>
        </w:tc>
      </w:tr>
      <w:tr>
        <w:trPr>
          <w:trHeight w:val="229"/>
        </w:trPr>
        <w:tc>
          <w:tcPr>
            <w:tcW w:w="7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Trade name</w:t>
            </w:r>
          </w:p>
        </w:tc>
        <w:tc>
          <w:tcPr>
            <w:tcW w:w="14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(178 )</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(179 )</w:t>
            </w:r>
          </w:p>
        </w:tc>
      </w:tr>
      <w:tr>
        <w:trPr>
          <w:trHeight w:val="229"/>
        </w:trPr>
        <w:tc>
          <w:tcPr>
            <w:tcW w:w="7120" w:type="dxa"/>
            <w:vAlign w:val="bottom"/>
          </w:tcPr>
          <w:p>
            <w:pPr>
              <w:ind w:left="280"/>
              <w:spacing w:after="0"/>
              <w:rPr>
                <w:sz w:val="20"/>
                <w:szCs w:val="20"/>
                <w:color w:val="auto"/>
              </w:rPr>
            </w:pPr>
            <w:r>
              <w:rPr>
                <w:rFonts w:ascii="Arial" w:cs="Arial" w:eastAsia="Arial" w:hAnsi="Arial"/>
                <w:sz w:val="18"/>
                <w:szCs w:val="18"/>
                <w:color w:val="auto"/>
              </w:rPr>
              <w:t>Property, plant and equipment</w:t>
            </w:r>
          </w:p>
        </w:tc>
        <w:tc>
          <w:tcPr>
            <w:tcW w:w="1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(61 )</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(53 )</w:t>
            </w:r>
          </w:p>
        </w:tc>
      </w:tr>
      <w:tr>
        <w:trPr>
          <w:trHeight w:val="229"/>
        </w:trPr>
        <w:tc>
          <w:tcPr>
            <w:tcW w:w="7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Post-retirement</w:t>
            </w:r>
          </w:p>
        </w:tc>
        <w:tc>
          <w:tcPr>
            <w:tcW w:w="14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(6 )</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7120" w:type="dxa"/>
            <w:vAlign w:val="bottom"/>
          </w:tcPr>
          <w:p>
            <w:pPr>
              <w:ind w:left="280"/>
              <w:spacing w:after="0"/>
              <w:rPr>
                <w:sz w:val="20"/>
                <w:szCs w:val="20"/>
                <w:color w:val="auto"/>
              </w:rPr>
            </w:pPr>
            <w:r>
              <w:rPr>
                <w:rFonts w:ascii="Arial" w:cs="Arial" w:eastAsia="Arial" w:hAnsi="Arial"/>
                <w:sz w:val="18"/>
                <w:szCs w:val="18"/>
                <w:color w:val="auto"/>
              </w:rPr>
              <w:t>Intangibles</w:t>
            </w:r>
          </w:p>
        </w:tc>
        <w:tc>
          <w:tcPr>
            <w:tcW w:w="1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71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(5 )</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(6 )</w:t>
            </w:r>
          </w:p>
        </w:tc>
      </w:tr>
      <w:tr>
        <w:trPr>
          <w:trHeight w:val="223"/>
        </w:trPr>
        <w:tc>
          <w:tcPr>
            <w:tcW w:w="7120" w:type="dxa"/>
            <w:vAlign w:val="bottom"/>
          </w:tcPr>
          <w:p>
            <w:pPr>
              <w:ind w:left="20"/>
              <w:spacing w:after="0"/>
              <w:rPr>
                <w:sz w:val="20"/>
                <w:szCs w:val="20"/>
                <w:color w:val="auto"/>
              </w:rPr>
            </w:pPr>
            <w:r>
              <w:rPr>
                <w:rFonts w:ascii="Arial" w:cs="Arial" w:eastAsia="Arial" w:hAnsi="Arial"/>
                <w:sz w:val="18"/>
                <w:szCs w:val="18"/>
                <w:color w:val="auto"/>
              </w:rPr>
              <w:t>Total deferred tax liabilities</w:t>
            </w:r>
          </w:p>
        </w:tc>
        <w:tc>
          <w:tcPr>
            <w:tcW w:w="14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(667 )</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(669 )</w:t>
            </w:r>
          </w:p>
        </w:tc>
      </w:tr>
      <w:tr>
        <w:trPr>
          <w:trHeight w:val="263"/>
        </w:trPr>
        <w:tc>
          <w:tcPr>
            <w:tcW w:w="7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deferred tax liability</w:t>
            </w:r>
          </w:p>
        </w:tc>
        <w:tc>
          <w:tcPr>
            <w:tcW w:w="1460" w:type="dxa"/>
            <w:vAlign w:val="bottom"/>
            <w:tcBorders>
              <w:bottom w:val="single" w:sz="8" w:color="auto"/>
            </w:tcBorders>
            <w:shd w:val="clear" w:color="auto" w:fill="CFF0FC"/>
          </w:tcPr>
          <w:p>
            <w:pPr>
              <w:jc w:val="right"/>
              <w:ind w:right="1259"/>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(510 )</w:t>
            </w:r>
          </w:p>
        </w:tc>
        <w:tc>
          <w:tcPr>
            <w:tcW w:w="1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-1515110</wp:posOffset>
            </wp:positionV>
            <wp:extent cx="1111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-333375</wp:posOffset>
            </wp:positionV>
            <wp:extent cx="1111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-24765</wp:posOffset>
            </wp:positionV>
            <wp:extent cx="1111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-7620</wp:posOffset>
            </wp:positionV>
            <wp:extent cx="1111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12" w:lineRule="exact"/>
        <w:rPr>
          <w:sz w:val="20"/>
          <w:szCs w:val="20"/>
          <w:color w:val="auto"/>
        </w:rPr>
      </w:pPr>
    </w:p>
    <w:p>
      <w:pPr>
        <w:jc w:val="both"/>
        <w:ind w:right="80" w:firstLine="494"/>
        <w:spacing w:after="0" w:line="252" w:lineRule="auto"/>
        <w:rPr>
          <w:sz w:val="20"/>
          <w:szCs w:val="20"/>
          <w:color w:val="auto"/>
        </w:rPr>
      </w:pPr>
      <w:r>
        <w:rPr>
          <w:rFonts w:ascii="Arial" w:cs="Arial" w:eastAsia="Arial" w:hAnsi="Arial"/>
          <w:sz w:val="18"/>
          <w:szCs w:val="18"/>
          <w:color w:val="auto"/>
        </w:rPr>
        <w:t>Management has determined, based on an evaluation of available objective and subjective evidence, that it is more likely than not that certain federal and state deferred tax assets will not be realized; therefore, these deferred tax assets are offset with a valuation allowance of $9 million as of December 31, 2023 and $7 million as of December 31, 2022.</w:t>
      </w:r>
    </w:p>
    <w:p>
      <w:pPr>
        <w:spacing w:after="0" w:line="117" w:lineRule="exact"/>
        <w:rPr>
          <w:sz w:val="20"/>
          <w:szCs w:val="20"/>
          <w:color w:val="auto"/>
        </w:rPr>
      </w:pPr>
    </w:p>
    <w:p>
      <w:pPr>
        <w:jc w:val="both"/>
        <w:ind w:right="100" w:firstLine="494"/>
        <w:spacing w:after="0" w:line="252" w:lineRule="auto"/>
        <w:rPr>
          <w:sz w:val="20"/>
          <w:szCs w:val="20"/>
          <w:color w:val="auto"/>
        </w:rPr>
      </w:pPr>
      <w:r>
        <w:rPr>
          <w:rFonts w:ascii="Arial" w:cs="Arial" w:eastAsia="Arial" w:hAnsi="Arial"/>
          <w:sz w:val="18"/>
          <w:szCs w:val="18"/>
          <w:color w:val="auto"/>
        </w:rPr>
        <w:t>The 2017 U.S. Tax Cuts and Jobs Act requires taxpayers to capitalize and amortize specified research and development expenditures over a period of five years for domestic or 15 years for foreign research, beginning with the tax years ending after December 31, 2021. As a result, the Company recognized a deferred tax asset of $43 million as of December 31, 2023.</w:t>
      </w:r>
    </w:p>
    <w:p>
      <w:pPr>
        <w:spacing w:after="0" w:line="117" w:lineRule="exact"/>
        <w:rPr>
          <w:sz w:val="20"/>
          <w:szCs w:val="20"/>
          <w:color w:val="auto"/>
        </w:rPr>
      </w:pPr>
    </w:p>
    <w:p>
      <w:pPr>
        <w:ind w:right="200" w:firstLine="494"/>
        <w:spacing w:after="0" w:line="271" w:lineRule="auto"/>
        <w:rPr>
          <w:sz w:val="20"/>
          <w:szCs w:val="20"/>
          <w:color w:val="auto"/>
        </w:rPr>
      </w:pPr>
      <w:r>
        <w:rPr>
          <w:rFonts w:ascii="Arial" w:cs="Arial" w:eastAsia="Arial" w:hAnsi="Arial"/>
          <w:sz w:val="18"/>
          <w:szCs w:val="18"/>
          <w:color w:val="auto"/>
        </w:rPr>
        <w:t>All of the Company's tax returns, once filed, will remain subject to examination by the various taxing authorities for the duration of the applicable statute of limitations (generally three years from the earlier of the date of filing or the due date of the return).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ACCUMULATED OTHER COMPREHENSIVE LOSS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changes in components of AOCL consisted of the following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214"/>
              <w:spacing w:after="0"/>
              <w:rPr>
                <w:sz w:val="20"/>
                <w:szCs w:val="20"/>
                <w:color w:val="auto"/>
              </w:rPr>
            </w:pPr>
            <w:r>
              <w:rPr>
                <w:rFonts w:ascii="Arial" w:cs="Arial" w:eastAsia="Arial" w:hAnsi="Arial"/>
                <w:sz w:val="14"/>
                <w:szCs w:val="14"/>
                <w:b w:val="1"/>
                <w:bCs w:val="1"/>
                <w:color w:val="auto"/>
              </w:rPr>
              <w:t>Pension</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194"/>
              <w:spacing w:after="0"/>
              <w:rPr>
                <w:sz w:val="20"/>
                <w:szCs w:val="20"/>
                <w:color w:val="auto"/>
              </w:rPr>
            </w:pPr>
            <w:r>
              <w:rPr>
                <w:rFonts w:ascii="Arial" w:cs="Arial" w:eastAsia="Arial" w:hAnsi="Arial"/>
                <w:sz w:val="14"/>
                <w:szCs w:val="14"/>
                <w:b w:val="1"/>
                <w:bCs w:val="1"/>
                <w:color w:val="auto"/>
              </w:rPr>
              <w:t>and OPEB</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253"/>
              <w:spacing w:after="0"/>
              <w:rPr>
                <w:sz w:val="20"/>
                <w:szCs w:val="20"/>
                <w:color w:val="auto"/>
              </w:rPr>
            </w:pPr>
            <w:r>
              <w:rPr>
                <w:rFonts w:ascii="Arial" w:cs="Arial" w:eastAsia="Arial" w:hAnsi="Arial"/>
                <w:sz w:val="14"/>
                <w:szCs w:val="14"/>
                <w:b w:val="1"/>
                <w:bCs w:val="1"/>
                <w:color w:val="auto"/>
              </w:rPr>
              <w:t>Foreign</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234"/>
              <w:spacing w:after="0"/>
              <w:rPr>
                <w:sz w:val="20"/>
                <w:szCs w:val="20"/>
                <w:color w:val="auto"/>
              </w:rPr>
            </w:pPr>
            <w:r>
              <w:rPr>
                <w:rFonts w:ascii="Arial" w:cs="Arial" w:eastAsia="Arial" w:hAnsi="Arial"/>
                <w:sz w:val="14"/>
                <w:szCs w:val="14"/>
                <w:b w:val="1"/>
                <w:bCs w:val="1"/>
                <w:color w:val="auto"/>
              </w:rPr>
              <w:t>liability</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412"/>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253"/>
              <w:spacing w:after="0"/>
              <w:rPr>
                <w:sz w:val="20"/>
                <w:szCs w:val="20"/>
                <w:color w:val="auto"/>
              </w:rPr>
            </w:pPr>
            <w:r>
              <w:rPr>
                <w:rFonts w:ascii="Arial" w:cs="Arial" w:eastAsia="Arial" w:hAnsi="Arial"/>
                <w:sz w:val="14"/>
                <w:szCs w:val="14"/>
                <w:b w:val="1"/>
                <w:bCs w:val="1"/>
                <w:color w:val="auto"/>
              </w:rPr>
              <w:t>currency</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AOCL as of December 31, 2020</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rate swaps</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rPr>
              <w:t>items</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(19 )</w:t>
            </w: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(46 )</w:t>
            </w:r>
          </w:p>
        </w:tc>
        <w:tc>
          <w:tcPr>
            <w:tcW w:w="1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(24 )</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5180" w:type="dxa"/>
            <w:vAlign w:val="bottom"/>
          </w:tcPr>
          <w:p>
            <w:pPr>
              <w:ind w:left="280"/>
              <w:spacing w:after="0"/>
              <w:rPr>
                <w:sz w:val="20"/>
                <w:szCs w:val="20"/>
                <w:color w:val="auto"/>
              </w:rPr>
            </w:pPr>
            <w:r>
              <w:rPr>
                <w:rFonts w:ascii="Arial" w:cs="Arial" w:eastAsia="Arial" w:hAnsi="Arial"/>
                <w:sz w:val="18"/>
                <w:szCs w:val="18"/>
                <w:color w:val="auto"/>
              </w:rPr>
              <w:t>Amounts reclassified from AOCL</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AOCL as of December 31, 2021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(17 )</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(24 )</w:t>
            </w: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(32 )</w:t>
            </w:r>
          </w:p>
        </w:tc>
        <w:tc>
          <w:tcPr>
            <w:tcW w:w="4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29"/>
        </w:trPr>
        <w:tc>
          <w:tcPr>
            <w:tcW w:w="518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19"/>
                <w:szCs w:val="19"/>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(10 )</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reclassified from AOCL</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518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39</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AOCL as of December 31, 2022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(42 )</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3</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7</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29"/>
        </w:trPr>
        <w:tc>
          <w:tcPr>
            <w:tcW w:w="5180" w:type="dxa"/>
            <w:vAlign w:val="bottom"/>
          </w:tcPr>
          <w:p>
            <w:pPr>
              <w:ind w:left="280"/>
              <w:spacing w:after="0"/>
              <w:rPr>
                <w:sz w:val="20"/>
                <w:szCs w:val="20"/>
                <w:color w:val="auto"/>
              </w:rPr>
            </w:pPr>
            <w:r>
              <w:rPr>
                <w:rFonts w:ascii="Arial" w:cs="Arial" w:eastAsia="Arial" w:hAnsi="Arial"/>
                <w:sz w:val="18"/>
                <w:szCs w:val="18"/>
                <w:color w:val="auto"/>
              </w:rPr>
              <w:t>Amounts reclassified from AOCL</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(24 )</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Income tax benefit</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2</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(7 )</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(4 )</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(9 )</w:t>
            </w:r>
          </w:p>
        </w:tc>
        <w:tc>
          <w:tcPr>
            <w:tcW w:w="0" w:type="dxa"/>
            <w:vAlign w:val="bottom"/>
          </w:tcPr>
          <w:p>
            <w:pPr>
              <w:spacing w:after="0"/>
              <w:rPr>
                <w:sz w:val="1"/>
                <w:szCs w:val="1"/>
                <w:color w:val="auto"/>
              </w:rPr>
            </w:pPr>
          </w:p>
        </w:tc>
      </w:tr>
      <w:tr>
        <w:trPr>
          <w:trHeight w:val="263"/>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AOCL as of December 31, 2023</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c>
          <w:tcPr>
            <w:tcW w:w="1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11</w:t>
            </w:r>
          </w:p>
        </w:tc>
        <w:tc>
          <w:tcPr>
            <w:tcW w:w="1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(40 )</w:t>
            </w:r>
          </w:p>
        </w:tc>
        <w:tc>
          <w:tcPr>
            <w:tcW w:w="1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4192270</wp:posOffset>
            </wp:positionH>
            <wp:positionV relativeFrom="paragraph">
              <wp:posOffset>-1823085</wp:posOffset>
            </wp:positionV>
            <wp:extent cx="1028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-1823085</wp:posOffset>
            </wp:positionV>
            <wp:extent cx="939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-1823085</wp:posOffset>
            </wp:positionV>
            <wp:extent cx="939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-923925</wp:posOffset>
            </wp:positionV>
            <wp:extent cx="1028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-923925</wp:posOffset>
            </wp:positionV>
            <wp:extent cx="939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-923925</wp:posOffset>
            </wp:positionV>
            <wp:extent cx="939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-333375</wp:posOffset>
            </wp:positionV>
            <wp:extent cx="10287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-333375</wp:posOffset>
            </wp:positionV>
            <wp:extent cx="939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-333375</wp:posOffset>
            </wp:positionV>
            <wp:extent cx="939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-24765</wp:posOffset>
            </wp:positionV>
            <wp:extent cx="10287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-7620</wp:posOffset>
            </wp:positionV>
            <wp:extent cx="10287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-24765</wp:posOffset>
            </wp:positionV>
            <wp:extent cx="939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-7620</wp:posOffset>
            </wp:positionV>
            <wp:extent cx="939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-24765</wp:posOffset>
            </wp:positionV>
            <wp:extent cx="939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-7620</wp:posOffset>
            </wp:positionV>
            <wp:extent cx="939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the location in the Consolidated Statements of Comprehensive Income affected by reclassifications from</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AOCL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gridSpan w:val="7"/>
          </w:tcPr>
          <w:p>
            <w:pPr>
              <w:jc w:val="right"/>
              <w:ind w:right="1136"/>
              <w:spacing w:after="0"/>
              <w:rPr>
                <w:sz w:val="20"/>
                <w:szCs w:val="20"/>
                <w:color w:val="auto"/>
              </w:rPr>
            </w:pPr>
            <w:r>
              <w:rPr>
                <w:rFonts w:ascii="Arial" w:cs="Arial" w:eastAsia="Arial" w:hAnsi="Arial"/>
                <w:sz w:val="14"/>
                <w:szCs w:val="14"/>
                <w:b w:val="1"/>
                <w:bCs w:val="1"/>
                <w:color w:val="auto"/>
              </w:rPr>
              <w:t>Amounts reclassified from AOCL</w:t>
            </w:r>
          </w:p>
        </w:tc>
        <w:tc>
          <w:tcPr>
            <w:tcW w:w="140" w:type="dxa"/>
            <w:vAlign w:val="bottom"/>
          </w:tcPr>
          <w:p>
            <w:pPr>
              <w:spacing w:after="0"/>
              <w:rPr>
                <w:sz w:val="16"/>
                <w:szCs w:val="16"/>
                <w:color w:val="auto"/>
              </w:rPr>
            </w:pPr>
          </w:p>
        </w:tc>
        <w:tc>
          <w:tcPr>
            <w:tcW w:w="2780" w:type="dxa"/>
            <w:vAlign w:val="bottom"/>
          </w:tcPr>
          <w:p>
            <w:pPr>
              <w:spacing w:after="0"/>
              <w:rPr>
                <w:sz w:val="16"/>
                <w:szCs w:val="16"/>
                <w:color w:val="auto"/>
              </w:rPr>
            </w:pPr>
          </w:p>
        </w:tc>
      </w:tr>
      <w:tr>
        <w:trPr>
          <w:trHeight w:val="160"/>
        </w:trPr>
        <w:tc>
          <w:tcPr>
            <w:tcW w:w="3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center"/>
              <w:ind w:right="196"/>
              <w:spacing w:after="0" w:line="159"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3"/>
                <w:szCs w:val="13"/>
                <w:color w:val="auto"/>
              </w:rPr>
            </w:pPr>
          </w:p>
        </w:tc>
        <w:tc>
          <w:tcPr>
            <w:tcW w:w="27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Affected line item in the</w:t>
            </w:r>
          </w:p>
        </w:tc>
      </w:tr>
      <w:tr>
        <w:trPr>
          <w:trHeight w:val="162"/>
        </w:trPr>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335"/>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313"/>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196"/>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rPr>
              <w:t>Consolidated Statements of</w:t>
            </w:r>
          </w:p>
        </w:tc>
      </w:tr>
      <w:tr>
        <w:trPr>
          <w:trHeight w:val="185"/>
        </w:trPr>
        <w:tc>
          <w:tcPr>
            <w:tcW w:w="3720" w:type="dxa"/>
            <w:vAlign w:val="bottom"/>
          </w:tcPr>
          <w:p>
            <w:pPr>
              <w:ind w:left="1120"/>
              <w:spacing w:after="0"/>
              <w:rPr>
                <w:sz w:val="20"/>
                <w:szCs w:val="20"/>
                <w:color w:val="auto"/>
              </w:rPr>
            </w:pPr>
            <w:r>
              <w:rPr>
                <w:rFonts w:ascii="Arial" w:cs="Arial" w:eastAsia="Arial" w:hAnsi="Arial"/>
                <w:sz w:val="14"/>
                <w:szCs w:val="14"/>
                <w:b w:val="1"/>
                <w:bCs w:val="1"/>
                <w:color w:val="auto"/>
              </w:rPr>
              <w:t>AOCL Components</w:t>
            </w: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2023</w:t>
            </w:r>
          </w:p>
        </w:tc>
        <w:tc>
          <w:tcPr>
            <w:tcW w:w="160" w:type="dxa"/>
            <w:vAlign w:val="bottom"/>
          </w:tcPr>
          <w:p>
            <w:pPr>
              <w:spacing w:after="0"/>
              <w:rPr>
                <w:sz w:val="16"/>
                <w:szCs w:val="16"/>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Comprehensive Income</w:t>
            </w:r>
          </w:p>
        </w:tc>
      </w:tr>
      <w:tr>
        <w:trPr>
          <w:trHeight w:val="223"/>
        </w:trPr>
        <w:tc>
          <w:tcPr>
            <w:tcW w:w="3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12</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(15 )</w:t>
            </w:r>
          </w:p>
        </w:tc>
        <w:tc>
          <w:tcPr>
            <w:tcW w:w="140" w:type="dxa"/>
            <w:vAlign w:val="bottom"/>
            <w:shd w:val="clear" w:color="auto" w:fill="CFF0FC"/>
          </w:tcPr>
          <w:p>
            <w:pPr>
              <w:spacing w:after="0"/>
              <w:rPr>
                <w:sz w:val="19"/>
                <w:szCs w:val="19"/>
                <w:color w:val="auto"/>
              </w:rPr>
            </w:pPr>
          </w:p>
        </w:tc>
        <w:tc>
          <w:tcPr>
            <w:tcW w:w="2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r>
      <w:tr>
        <w:trPr>
          <w:trHeight w:val="229"/>
        </w:trPr>
        <w:tc>
          <w:tcPr>
            <w:tcW w:w="3720" w:type="dxa"/>
            <w:vAlign w:val="bottom"/>
          </w:tcPr>
          <w:p>
            <w:pPr>
              <w:ind w:left="280"/>
              <w:spacing w:after="0"/>
              <w:rPr>
                <w:sz w:val="20"/>
                <w:szCs w:val="20"/>
                <w:color w:val="auto"/>
              </w:rPr>
            </w:pPr>
            <w:r>
              <w:rPr>
                <w:rFonts w:ascii="Arial" w:cs="Arial" w:eastAsia="Arial" w:hAnsi="Arial"/>
                <w:sz w:val="18"/>
                <w:szCs w:val="18"/>
                <w:color w:val="auto"/>
              </w:rPr>
              <w:t>Prior service credit</w:t>
            </w:r>
          </w:p>
        </w:tc>
        <w:tc>
          <w:tcPr>
            <w:tcW w:w="200" w:type="dxa"/>
            <w:vAlign w:val="bottom"/>
          </w:tcPr>
          <w:p>
            <w:pPr>
              <w:spacing w:after="0"/>
              <w:rPr>
                <w:sz w:val="19"/>
                <w:szCs w:val="19"/>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b w:val="1"/>
                <w:bCs w:val="1"/>
                <w:color w:val="auto"/>
              </w:rPr>
              <w:t>10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r>
      <w:tr>
        <w:trPr>
          <w:trHeight w:val="229"/>
        </w:trPr>
        <w:tc>
          <w:tcPr>
            <w:tcW w:w="37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Recognized actuarial gain (loss)</w:t>
            </w: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2</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tcBorders>
              <w:bottom w:val="single" w:sz="8" w:color="CFF0FC"/>
            </w:tcBorders>
            <w:shd w:val="clear" w:color="auto" w:fill="CFF0FC"/>
          </w:tcPr>
          <w:p>
            <w:pPr>
              <w:spacing w:after="0"/>
              <w:rPr>
                <w:sz w:val="19"/>
                <w:szCs w:val="19"/>
                <w:color w:val="auto"/>
              </w:rPr>
            </w:pPr>
          </w:p>
        </w:tc>
        <w:tc>
          <w:tcPr>
            <w:tcW w:w="2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rPr>
              <w:t>Total reclassifications, before tax</w:t>
            </w:r>
          </w:p>
        </w:tc>
        <w:tc>
          <w:tcPr>
            <w:tcW w:w="200" w:type="dxa"/>
            <w:vAlign w:val="bottom"/>
          </w:tcPr>
          <w:p>
            <w:pPr>
              <w:spacing w:after="0"/>
              <w:rPr>
                <w:sz w:val="19"/>
                <w:szCs w:val="19"/>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b w:val="1"/>
                <w:bCs w:val="1"/>
                <w:color w:val="auto"/>
              </w:rPr>
              <w:t>24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(6 )</w:t>
            </w:r>
          </w:p>
        </w:tc>
        <w:tc>
          <w:tcPr>
            <w:tcW w:w="14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r>
      <w:tr>
        <w:trPr>
          <w:trHeight w:val="229"/>
        </w:trPr>
        <w:tc>
          <w:tcPr>
            <w:tcW w:w="3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(5 )</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19"/>
                <w:szCs w:val="19"/>
                <w:color w:val="auto"/>
              </w:rPr>
            </w:pPr>
          </w:p>
        </w:tc>
        <w:tc>
          <w:tcPr>
            <w:tcW w:w="2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rPr>
              <w:t>Total reclassifications</w:t>
            </w:r>
          </w:p>
        </w:tc>
        <w:tc>
          <w:tcPr>
            <w:tcW w:w="2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55"/>
              <w:spacing w:after="0"/>
              <w:rPr>
                <w:sz w:val="20"/>
                <w:szCs w:val="20"/>
                <w:color w:val="auto"/>
              </w:rPr>
            </w:pPr>
            <w:r>
              <w:rPr>
                <w:rFonts w:ascii="Arial" w:cs="Arial" w:eastAsia="Arial" w:hAnsi="Arial"/>
                <w:sz w:val="18"/>
                <w:szCs w:val="18"/>
                <w:b w:val="1"/>
                <w:bCs w:val="1"/>
                <w:color w:val="auto"/>
              </w:rPr>
              <w:t>19</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(5 )</w:t>
            </w:r>
          </w:p>
        </w:tc>
        <w:tc>
          <w:tcPr>
            <w:tcW w:w="14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3284220</wp:posOffset>
            </wp:positionH>
            <wp:positionV relativeFrom="paragraph">
              <wp:posOffset>-478790</wp:posOffset>
            </wp:positionV>
            <wp:extent cx="10287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-478790</wp:posOffset>
            </wp:positionV>
            <wp:extent cx="939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-478790</wp:posOffset>
            </wp:positionV>
            <wp:extent cx="939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-179070</wp:posOffset>
            </wp:positionV>
            <wp:extent cx="10287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-179070</wp:posOffset>
            </wp:positionV>
            <wp:extent cx="939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-179070</wp:posOffset>
            </wp:positionV>
            <wp:extent cx="939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50" w:lineRule="exact"/>
        <w:rPr>
          <w:sz w:val="20"/>
          <w:szCs w:val="20"/>
          <w:color w:val="auto"/>
        </w:rPr>
      </w:pPr>
    </w:p>
    <w:p>
      <w:pPr>
        <w:ind w:right="40" w:firstLine="494"/>
        <w:spacing w:after="0" w:line="246" w:lineRule="auto"/>
        <w:rPr>
          <w:sz w:val="20"/>
          <w:szCs w:val="20"/>
          <w:color w:val="auto"/>
        </w:rPr>
      </w:pPr>
      <w:r>
        <w:rPr>
          <w:rFonts w:ascii="Arial" w:cs="Arial" w:eastAsia="Arial" w:hAnsi="Arial"/>
          <w:sz w:val="18"/>
          <w:szCs w:val="18"/>
          <w:color w:val="auto"/>
        </w:rPr>
        <w:t>The Company revised its disclosure of amounts reclassified from AOCL related to its interest rate swaps and the income tax (expense) benefit attributed to those reclassifications for the period ended December 31, 2021, which resulted in a decrease to the previously disclosed total reclassifications from AOCL. The Company believes these revisions to the disclosures are immaterial to the consolidated financial statements.</w:t>
      </w:r>
    </w:p>
    <w:p>
      <w:pPr>
        <w:spacing w:after="0" w:line="163" w:lineRule="exact"/>
        <w:rPr>
          <w:sz w:val="20"/>
          <w:szCs w:val="20"/>
          <w:color w:val="auto"/>
        </w:rPr>
      </w:pPr>
    </w:p>
    <w:p>
      <w:pPr>
        <w:ind w:right="360" w:firstLine="494"/>
        <w:spacing w:after="0" w:line="271" w:lineRule="auto"/>
        <w:rPr>
          <w:sz w:val="20"/>
          <w:szCs w:val="20"/>
          <w:color w:val="auto"/>
        </w:rPr>
      </w:pPr>
      <w:r>
        <w:rPr>
          <w:rFonts w:ascii="Arial" w:cs="Arial" w:eastAsia="Arial" w:hAnsi="Arial"/>
          <w:sz w:val="18"/>
          <w:szCs w:val="18"/>
          <w:color w:val="auto"/>
        </w:rPr>
        <w:t>Prior service credit and actuarial gain (loss) are included in the computation of the Company’s net periodic benefit cost. Please see "Note 15. Employee Benefit Plans” for additional details.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157" w:lineRule="exact"/>
        <w:rPr>
          <w:sz w:val="20"/>
          <w:szCs w:val="20"/>
          <w:color w:val="auto"/>
        </w:rPr>
      </w:pPr>
    </w:p>
    <w:p>
      <w:pPr>
        <w:ind w:right="280" w:firstLine="494"/>
        <w:spacing w:after="0" w:line="243" w:lineRule="auto"/>
        <w:rPr>
          <w:sz w:val="20"/>
          <w:szCs w:val="20"/>
          <w:color w:val="auto"/>
        </w:rPr>
      </w:pPr>
      <w:r>
        <w:rPr>
          <w:rFonts w:ascii="Arial" w:cs="Arial" w:eastAsia="Arial" w:hAnsi="Arial"/>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consolidated financial statements or covered by insurance on the disposition of these matters will not have a material adverse effect on the financial position, results of operations or cash flows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CONCENTRATION OF RISK</w:t>
      </w:r>
    </w:p>
    <w:p>
      <w:pPr>
        <w:spacing w:after="0" w:line="157" w:lineRule="exact"/>
        <w:rPr>
          <w:sz w:val="20"/>
          <w:szCs w:val="20"/>
          <w:color w:val="auto"/>
        </w:rPr>
      </w:pPr>
    </w:p>
    <w:p>
      <w:pPr>
        <w:ind w:right="280" w:firstLine="494"/>
        <w:spacing w:after="0" w:line="243" w:lineRule="auto"/>
        <w:rPr>
          <w:sz w:val="20"/>
          <w:szCs w:val="20"/>
          <w:color w:val="auto"/>
        </w:rPr>
      </w:pPr>
      <w:r>
        <w:rPr>
          <w:rFonts w:ascii="Arial" w:cs="Arial" w:eastAsia="Arial" w:hAnsi="Arial"/>
          <w:sz w:val="18"/>
          <w:szCs w:val="18"/>
          <w:color w:val="auto"/>
        </w:rPr>
        <w:t>As of December 31, 2023 and 2022, the Company employed approximately 3,700 and 3,500 employees, respectively, with 89% of those employees in the U.S. Approximately 48% and 46% of the Company’s U.S. employees were represented by unions and subject to a collective bargaining agreement as of December 31, 2023 and 2022, respectively. The Company is currently operating under a collective bargaining agreement with the International Union, United Automobile, Aerospace and Agricultural Implement Workers of America (“UAW”) Local 933 that expires in November 2027.</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Three customers accounted for 10% or more of the Company's net sales within the last three years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32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Years ended December 31,</w:t>
            </w:r>
          </w:p>
        </w:tc>
        <w:tc>
          <w:tcPr>
            <w:tcW w:w="14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2"/>
        </w:trPr>
        <w:tc>
          <w:tcPr>
            <w:tcW w:w="6520" w:type="dxa"/>
            <w:vAlign w:val="bottom"/>
          </w:tcPr>
          <w:p>
            <w:pPr>
              <w:ind w:left="20"/>
              <w:spacing w:after="0"/>
              <w:rPr>
                <w:sz w:val="20"/>
                <w:szCs w:val="20"/>
                <w:color w:val="auto"/>
              </w:rPr>
            </w:pPr>
            <w:r>
              <w:rPr>
                <w:rFonts w:ascii="Arial" w:cs="Arial" w:eastAsia="Arial" w:hAnsi="Arial"/>
                <w:sz w:val="14"/>
                <w:szCs w:val="14"/>
                <w:i w:val="1"/>
                <w:iCs w:val="1"/>
                <w:color w:val="auto"/>
              </w:rPr>
              <w:t>% of net sales</w:t>
            </w:r>
          </w:p>
        </w:tc>
        <w:tc>
          <w:tcPr>
            <w:tcW w:w="15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4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5"/>
                <w:szCs w:val="15"/>
                <w:color w:val="auto"/>
              </w:rPr>
            </w:pP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color w:val="auto"/>
              </w:rPr>
              <w:t>Daimler AG</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18 %</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20 %</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Traton SE</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11 %</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10 %</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PACCAR Inc.</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11 %</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9 %</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454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Two customers accounted for 10% or more of the Company's outstanding accounts receivable within the last two years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40" w:type="dxa"/>
            <w:vAlign w:val="bottom"/>
          </w:tcPr>
          <w:p>
            <w:pPr>
              <w:spacing w:after="0"/>
              <w:rPr>
                <w:sz w:val="14"/>
                <w:szCs w:val="14"/>
                <w:color w:val="auto"/>
              </w:rPr>
            </w:pPr>
          </w:p>
        </w:tc>
        <w:tc>
          <w:tcPr>
            <w:tcW w:w="1580" w:type="dxa"/>
            <w:vAlign w:val="bottom"/>
          </w:tcPr>
          <w:p>
            <w:pPr>
              <w:jc w:val="center"/>
              <w:ind w:left="288"/>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040" w:type="dxa"/>
            <w:vAlign w:val="bottom"/>
          </w:tcPr>
          <w:p>
            <w:pPr>
              <w:ind w:left="20"/>
              <w:spacing w:after="0"/>
              <w:rPr>
                <w:sz w:val="20"/>
                <w:szCs w:val="20"/>
                <w:color w:val="auto"/>
              </w:rPr>
            </w:pPr>
            <w:r>
              <w:rPr>
                <w:rFonts w:ascii="Arial" w:cs="Arial" w:eastAsia="Arial" w:hAnsi="Arial"/>
                <w:sz w:val="14"/>
                <w:szCs w:val="14"/>
                <w:i w:val="1"/>
                <w:iCs w:val="1"/>
                <w:color w:val="auto"/>
              </w:rPr>
              <w:t>% of accounts receivable</w:t>
            </w:r>
          </w:p>
        </w:tc>
        <w:tc>
          <w:tcPr>
            <w:tcW w:w="15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right"/>
              <w:ind w:right="81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color w:val="auto"/>
              </w:rPr>
              <w:t>Daimler AG</w:t>
            </w:r>
          </w:p>
        </w:tc>
        <w:tc>
          <w:tcPr>
            <w:tcW w:w="15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16 %</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247"/>
        </w:trPr>
        <w:tc>
          <w:tcPr>
            <w:tcW w:w="7040" w:type="dxa"/>
            <w:vAlign w:val="bottom"/>
          </w:tcPr>
          <w:p>
            <w:pPr>
              <w:ind w:left="20"/>
              <w:spacing w:after="0"/>
              <w:rPr>
                <w:sz w:val="20"/>
                <w:szCs w:val="20"/>
                <w:color w:val="auto"/>
              </w:rPr>
            </w:pPr>
            <w:r>
              <w:rPr>
                <w:rFonts w:ascii="Arial" w:cs="Arial" w:eastAsia="Arial" w:hAnsi="Arial"/>
                <w:sz w:val="18"/>
                <w:szCs w:val="18"/>
                <w:color w:val="auto"/>
              </w:rPr>
              <w:t>Traton SE</w:t>
            </w:r>
          </w:p>
        </w:tc>
        <w:tc>
          <w:tcPr>
            <w:tcW w:w="158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14 %</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1454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supplier accounted for 10% or more of materials purchased during any of the years ended December 31, 2023, 2022 or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COMMON STOCK</w:t>
      </w:r>
    </w:p>
    <w:p>
      <w:pPr>
        <w:spacing w:after="0" w:line="157" w:lineRule="exact"/>
        <w:rPr>
          <w:sz w:val="20"/>
          <w:szCs w:val="20"/>
          <w:color w:val="auto"/>
        </w:rPr>
      </w:pPr>
    </w:p>
    <w:p>
      <w:pPr>
        <w:ind w:right="120" w:firstLine="494"/>
        <w:spacing w:after="0" w:line="241" w:lineRule="auto"/>
        <w:rPr>
          <w:sz w:val="20"/>
          <w:szCs w:val="20"/>
          <w:color w:val="auto"/>
        </w:rPr>
      </w:pPr>
      <w:r>
        <w:rPr>
          <w:rFonts w:ascii="Arial" w:cs="Arial" w:eastAsia="Arial" w:hAnsi="Arial"/>
          <w:sz w:val="18"/>
          <w:szCs w:val="18"/>
          <w:color w:val="auto"/>
        </w:rPr>
        <w:t>The Company's Board of Directors has authorized the Company to repurchase up to $4,000 million of its common stock pursuant to a stock repurchase program (the "Repurchase Program"). During 2023, the Company repurchased approximately $263 million of its common stock under the Repurchase Program, leaving $773 million of authorized repurchases remaining under the Repurchase Program as of December 31, 2023. The Repurchase Program has no termination date, and the timing and amount of stock purchases are subject to market conditions and corporate needs. The Repurchase Program may be modified, suspended or discontinued at any time at the Company’s discretion.</w:t>
      </w:r>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EARNINGS PER SHARE</w:t>
      </w:r>
    </w:p>
    <w:p>
      <w:pPr>
        <w:spacing w:after="0" w:line="157" w:lineRule="exact"/>
        <w:rPr>
          <w:sz w:val="20"/>
          <w:szCs w:val="20"/>
          <w:color w:val="auto"/>
        </w:rPr>
      </w:pPr>
    </w:p>
    <w:p>
      <w:pPr>
        <w:ind w:right="180" w:firstLine="494"/>
        <w:spacing w:after="0" w:line="271" w:lineRule="auto"/>
        <w:rPr>
          <w:sz w:val="20"/>
          <w:szCs w:val="20"/>
          <w:color w:val="auto"/>
        </w:rPr>
      </w:pPr>
      <w:r>
        <w:rPr>
          <w:rFonts w:ascii="Arial" w:cs="Arial" w:eastAsia="Arial" w:hAnsi="Arial"/>
          <w:sz w:val="18"/>
          <w:szCs w:val="18"/>
          <w:color w:val="auto"/>
        </w:rPr>
        <w:t>The following table reconciles the numerators and denominators used to calculate basic EPS and diluted EPS (in millions, except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6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FF0FC"/>
          </w:tcPr>
          <w:p>
            <w:pPr>
              <w:jc w:val="right"/>
              <w:ind w:right="695"/>
              <w:spacing w:after="0"/>
              <w:rPr>
                <w:sz w:val="20"/>
                <w:szCs w:val="20"/>
                <w:color w:val="auto"/>
              </w:rPr>
            </w:pPr>
            <w:r>
              <w:rPr>
                <w:rFonts w:ascii="Arial" w:cs="Arial" w:eastAsia="Arial" w:hAnsi="Arial"/>
                <w:sz w:val="18"/>
                <w:szCs w:val="18"/>
                <w:b w:val="1"/>
                <w:bCs w:val="1"/>
                <w:color w:val="auto"/>
                <w:w w:val="9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673</w:t>
            </w:r>
          </w:p>
        </w:tc>
        <w:tc>
          <w:tcPr>
            <w:tcW w:w="60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531</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0"/>
        </w:trPr>
        <w:tc>
          <w:tcPr>
            <w:tcW w:w="66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 average shares of common stock outstanding</w:t>
            </w:r>
          </w:p>
        </w:tc>
        <w:tc>
          <w:tcPr>
            <w:tcW w:w="9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96</w:t>
            </w:r>
          </w:p>
        </w:tc>
        <w:tc>
          <w:tcPr>
            <w:tcW w:w="1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Dilutive effect of stock-based awards</w:t>
            </w: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2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Diluted weighted average shares of common stock outstanding</w:t>
            </w:r>
          </w:p>
        </w:tc>
        <w:tc>
          <w:tcPr>
            <w:tcW w:w="9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96</w:t>
            </w:r>
          </w:p>
        </w:tc>
        <w:tc>
          <w:tcPr>
            <w:tcW w:w="14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Basic earnings per share attributable to common stockholders</w:t>
            </w:r>
          </w:p>
        </w:tc>
        <w:tc>
          <w:tcPr>
            <w:tcW w:w="900" w:type="dxa"/>
            <w:vAlign w:val="bottom"/>
            <w:tcBorders>
              <w:bottom w:val="single" w:sz="8" w:color="auto"/>
            </w:tcBorders>
            <w:shd w:val="clear" w:color="auto" w:fill="CFF0FC"/>
          </w:tcPr>
          <w:p>
            <w:pPr>
              <w:jc w:val="right"/>
              <w:ind w:right="695"/>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7.48</w:t>
            </w:r>
          </w:p>
        </w:tc>
        <w:tc>
          <w:tcPr>
            <w:tcW w:w="1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5.53</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177"/>
        </w:trPr>
        <w:tc>
          <w:tcPr>
            <w:tcW w:w="6620" w:type="dxa"/>
            <w:vAlign w:val="bottom"/>
          </w:tcPr>
          <w:p>
            <w:pPr>
              <w:ind w:left="280"/>
              <w:spacing w:after="0" w:line="177" w:lineRule="exact"/>
              <w:rPr>
                <w:sz w:val="20"/>
                <w:szCs w:val="20"/>
                <w:color w:val="auto"/>
              </w:rPr>
            </w:pPr>
            <w:r>
              <w:rPr>
                <w:rFonts w:ascii="Arial" w:cs="Arial" w:eastAsia="Arial" w:hAnsi="Arial"/>
                <w:sz w:val="18"/>
                <w:szCs w:val="18"/>
                <w:color w:val="auto"/>
              </w:rPr>
              <w:t>Diluted earnings per share attributable to common</w:t>
            </w:r>
          </w:p>
        </w:tc>
        <w:tc>
          <w:tcPr>
            <w:tcW w:w="900" w:type="dxa"/>
            <w:vAlign w:val="bottom"/>
            <w:vMerge w:val="restart"/>
          </w:tcPr>
          <w:p>
            <w:pPr>
              <w:jc w:val="right"/>
              <w:ind w:right="695"/>
              <w:spacing w:after="0"/>
              <w:rPr>
                <w:sz w:val="20"/>
                <w:szCs w:val="20"/>
                <w:color w:val="auto"/>
              </w:rPr>
            </w:pPr>
            <w:r>
              <w:rPr>
                <w:rFonts w:ascii="Arial" w:cs="Arial" w:eastAsia="Arial" w:hAnsi="Arial"/>
                <w:sz w:val="18"/>
                <w:szCs w:val="18"/>
                <w:b w:val="1"/>
                <w:bCs w:val="1"/>
                <w:color w:val="auto"/>
                <w:w w:val="99"/>
              </w:rPr>
              <w:t>$</w:t>
            </w:r>
          </w:p>
        </w:tc>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7.40</w:t>
            </w:r>
          </w:p>
        </w:tc>
        <w:tc>
          <w:tcPr>
            <w:tcW w:w="600" w:type="dxa"/>
            <w:vAlign w:val="bottom"/>
            <w:gridSpan w:val="3"/>
            <w:vMerge w:val="restart"/>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33"/>
              <w:spacing w:after="0"/>
              <w:rPr>
                <w:sz w:val="20"/>
                <w:szCs w:val="20"/>
                <w:color w:val="auto"/>
              </w:rPr>
            </w:pPr>
            <w:r>
              <w:rPr>
                <w:rFonts w:ascii="Arial" w:cs="Arial" w:eastAsia="Arial" w:hAnsi="Arial"/>
                <w:sz w:val="18"/>
                <w:szCs w:val="18"/>
                <w:color w:val="auto"/>
              </w:rPr>
              <w:t>5.53</w:t>
            </w:r>
          </w:p>
        </w:tc>
        <w:tc>
          <w:tcPr>
            <w:tcW w:w="14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33"/>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194"/>
        </w:trPr>
        <w:tc>
          <w:tcPr>
            <w:tcW w:w="6620" w:type="dxa"/>
            <w:vAlign w:val="bottom"/>
          </w:tcPr>
          <w:p>
            <w:pPr>
              <w:ind w:left="420"/>
              <w:spacing w:after="0" w:line="195" w:lineRule="exact"/>
              <w:rPr>
                <w:sz w:val="20"/>
                <w:szCs w:val="20"/>
                <w:color w:val="auto"/>
              </w:rPr>
            </w:pPr>
            <w:r>
              <w:rPr>
                <w:rFonts w:ascii="Arial" w:cs="Arial" w:eastAsia="Arial" w:hAnsi="Arial"/>
                <w:sz w:val="18"/>
                <w:szCs w:val="18"/>
                <w:color w:val="auto"/>
              </w:rPr>
              <w:t>stockholders</w:t>
            </w:r>
          </w:p>
        </w:tc>
        <w:tc>
          <w:tcPr>
            <w:tcW w:w="90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-941070</wp:posOffset>
            </wp:positionV>
            <wp:extent cx="10287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-923925</wp:posOffset>
            </wp:positionV>
            <wp:extent cx="10287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-941070</wp:posOffset>
            </wp:positionV>
            <wp:extent cx="939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-923925</wp:posOffset>
            </wp:positionV>
            <wp:extent cx="939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-624205</wp:posOffset>
            </wp:positionV>
            <wp:extent cx="10287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-624205</wp:posOffset>
            </wp:positionV>
            <wp:extent cx="939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-299085</wp:posOffset>
            </wp:positionV>
            <wp:extent cx="10287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-281940</wp:posOffset>
            </wp:positionV>
            <wp:extent cx="10287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-299085</wp:posOffset>
            </wp:positionV>
            <wp:extent cx="939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-281940</wp:posOffset>
            </wp:positionV>
            <wp:extent cx="939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23"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The dilutive impact of stock-based compensation is calculated using the treasury stock method. The treasury stock method assumes that the Company uses the proceeds from the exercise of awards to repurchase common stock at the average market price during the period. During the year ended December 31, 2023, there were no outstanding stock options excluded from the diluted EPS calculation because they were anti-dilutive. During the years ended December 31, 2022 and 2021, there were 2 million and 1 million, respectively, of outstanding stock options excluded from the diluted EPS calculation because they were anti-dilutive. Basic and diluted EPS for the full-year is calculated using the weighted average shares of common stock outstanding during the year while quarterly basic and diluted EPS is calculated using the weighted average shares of common stock outstanding during the quarter; therefore, the sum of the four quarters’ EPS may not equal full-year EPS.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GEOGRAPHIC INFORMATION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had the following net sales by country, based on the location of the customer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2"/>
        </w:trPr>
        <w:tc>
          <w:tcPr>
            <w:tcW w:w="33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223"/>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4160" w:type="dxa"/>
            <w:vAlign w:val="bottom"/>
            <w:gridSpan w:val="2"/>
            <w:shd w:val="clear" w:color="auto" w:fill="CFF0FC"/>
          </w:tcPr>
          <w:p>
            <w:pPr>
              <w:jc w:val="right"/>
              <w:ind w:right="668"/>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2,171</w:t>
            </w:r>
          </w:p>
        </w:tc>
        <w:tc>
          <w:tcPr>
            <w:tcW w:w="60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1,944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1,706</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China</w:t>
            </w:r>
          </w:p>
        </w:tc>
        <w:tc>
          <w:tcPr>
            <w:tcW w:w="3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122</w:t>
            </w:r>
          </w:p>
        </w:tc>
      </w:tr>
      <w:tr>
        <w:trPr>
          <w:trHeight w:val="229"/>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Japan</w:t>
            </w:r>
          </w:p>
        </w:tc>
        <w:tc>
          <w:tcPr>
            <w:tcW w:w="3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109</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Canada</w:t>
            </w:r>
          </w:p>
        </w:tc>
        <w:tc>
          <w:tcPr>
            <w:tcW w:w="3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62</w:t>
            </w:r>
          </w:p>
        </w:tc>
      </w:tr>
      <w:tr>
        <w:trPr>
          <w:trHeight w:val="229"/>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Mexico</w:t>
            </w:r>
          </w:p>
        </w:tc>
        <w:tc>
          <w:tcPr>
            <w:tcW w:w="3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50</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Germany</w:t>
            </w:r>
          </w:p>
        </w:tc>
        <w:tc>
          <w:tcPr>
            <w:tcW w:w="3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34</w:t>
            </w:r>
          </w:p>
        </w:tc>
      </w:tr>
      <w:tr>
        <w:trPr>
          <w:trHeight w:val="229"/>
        </w:trPr>
        <w:tc>
          <w:tcPr>
            <w:tcW w:w="3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3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433</w:t>
            </w: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384</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319</w:t>
            </w:r>
          </w:p>
        </w:tc>
      </w:tr>
      <w:tr>
        <w:trPr>
          <w:trHeight w:val="223"/>
        </w:trPr>
        <w:tc>
          <w:tcPr>
            <w:tcW w:w="3320" w:type="dxa"/>
            <w:vAlign w:val="bottom"/>
          </w:tcPr>
          <w:p>
            <w:pPr>
              <w:ind w:left="280"/>
              <w:spacing w:after="0"/>
              <w:rPr>
                <w:sz w:val="20"/>
                <w:szCs w:val="20"/>
                <w:color w:val="auto"/>
              </w:rPr>
            </w:pPr>
            <w:r>
              <w:rPr>
                <w:rFonts w:ascii="Arial" w:cs="Arial" w:eastAsia="Arial" w:hAnsi="Arial"/>
                <w:sz w:val="18"/>
                <w:szCs w:val="18"/>
                <w:color w:val="auto"/>
              </w:rPr>
              <w:t>Total</w:t>
            </w:r>
          </w:p>
        </w:tc>
        <w:tc>
          <w:tcPr>
            <w:tcW w:w="4160" w:type="dxa"/>
            <w:vAlign w:val="bottom"/>
            <w:gridSpan w:val="2"/>
          </w:tcPr>
          <w:p>
            <w:pPr>
              <w:jc w:val="right"/>
              <w:ind w:right="668"/>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3,035</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2,769</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2,402</w:t>
            </w:r>
          </w:p>
        </w:tc>
      </w:tr>
      <w:tr>
        <w:trPr>
          <w:trHeight w:val="20"/>
        </w:trPr>
        <w:tc>
          <w:tcPr>
            <w:tcW w:w="662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89"/>
        </w:trPr>
        <w:tc>
          <w:tcPr>
            <w:tcW w:w="7480" w:type="dxa"/>
            <w:vAlign w:val="bottom"/>
            <w:gridSpan w:val="3"/>
          </w:tcPr>
          <w:p>
            <w:pPr>
              <w:ind w:left="500"/>
              <w:spacing w:after="0"/>
              <w:rPr>
                <w:sz w:val="20"/>
                <w:szCs w:val="20"/>
                <w:color w:val="auto"/>
              </w:rPr>
            </w:pPr>
            <w:r>
              <w:rPr>
                <w:rFonts w:ascii="Arial" w:cs="Arial" w:eastAsia="Arial" w:hAnsi="Arial"/>
                <w:sz w:val="18"/>
                <w:szCs w:val="18"/>
                <w:color w:val="auto"/>
              </w:rPr>
              <w:t>The Company had the following net long-lived assets by country (dollars in millions):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0"/>
        </w:trPr>
        <w:tc>
          <w:tcPr>
            <w:tcW w:w="33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82"/>
        </w:trPr>
        <w:tc>
          <w:tcPr>
            <w:tcW w:w="33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223"/>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4160" w:type="dxa"/>
            <w:vAlign w:val="bottom"/>
            <w:gridSpan w:val="2"/>
            <w:shd w:val="clear" w:color="auto" w:fill="CFF0FC"/>
          </w:tcPr>
          <w:p>
            <w:pPr>
              <w:jc w:val="right"/>
              <w:ind w:right="688"/>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738</w:t>
            </w:r>
          </w:p>
        </w:tc>
        <w:tc>
          <w:tcPr>
            <w:tcW w:w="6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730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680</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India</w:t>
            </w:r>
          </w:p>
        </w:tc>
        <w:tc>
          <w:tcPr>
            <w:tcW w:w="3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w:t>
            </w:r>
          </w:p>
        </w:tc>
      </w:tr>
      <w:tr>
        <w:trPr>
          <w:trHeight w:val="229"/>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Hungary</w:t>
            </w:r>
          </w:p>
        </w:tc>
        <w:tc>
          <w:tcPr>
            <w:tcW w:w="3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Other</w:t>
            </w:r>
          </w:p>
        </w:tc>
        <w:tc>
          <w:tcPr>
            <w:tcW w:w="33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w:t>
            </w:r>
          </w:p>
        </w:tc>
      </w:tr>
      <w:tr>
        <w:trPr>
          <w:trHeight w:val="263"/>
        </w:trPr>
        <w:tc>
          <w:tcPr>
            <w:tcW w:w="33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4160" w:type="dxa"/>
            <w:vAlign w:val="bottom"/>
            <w:gridSpan w:val="2"/>
            <w:shd w:val="clear" w:color="auto" w:fill="CFF0FC"/>
          </w:tcPr>
          <w:p>
            <w:pPr>
              <w:jc w:val="right"/>
              <w:ind w:right="688"/>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774</w:t>
            </w:r>
          </w:p>
        </w:tc>
        <w:tc>
          <w:tcPr>
            <w:tcW w:w="6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763</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706</w:t>
            </w:r>
          </w:p>
        </w:tc>
      </w:tr>
      <w:tr>
        <w:trPr>
          <w:trHeight w:val="632"/>
        </w:trPr>
        <w:tc>
          <w:tcPr>
            <w:tcW w:w="3320" w:type="dxa"/>
            <w:vAlign w:val="bottom"/>
            <w:tcBorders>
              <w:top w:val="single" w:sz="8" w:color="CFF0FC"/>
            </w:tcBorders>
          </w:tcPr>
          <w:p>
            <w:pPr>
              <w:spacing w:after="0"/>
              <w:rPr>
                <w:sz w:val="24"/>
                <w:szCs w:val="24"/>
                <w:color w:val="auto"/>
              </w:rPr>
            </w:pPr>
          </w:p>
        </w:tc>
        <w:tc>
          <w:tcPr>
            <w:tcW w:w="3300" w:type="dxa"/>
            <w:vAlign w:val="bottom"/>
            <w:tcBorders>
              <w:top w:val="single" w:sz="8" w:color="CFF0FC"/>
            </w:tcBorders>
          </w:tcPr>
          <w:p>
            <w:pPr>
              <w:jc w:val="right"/>
              <w:ind w:right="810"/>
              <w:spacing w:after="0"/>
              <w:rPr>
                <w:sz w:val="20"/>
                <w:szCs w:val="20"/>
                <w:color w:val="auto"/>
              </w:rPr>
            </w:pPr>
            <w:r>
              <w:rPr>
                <w:rFonts w:ascii="Arial" w:cs="Arial" w:eastAsia="Arial" w:hAnsi="Arial"/>
                <w:sz w:val="18"/>
                <w:szCs w:val="18"/>
                <w:color w:val="auto"/>
              </w:rPr>
              <w:t>87</w:t>
            </w:r>
          </w:p>
        </w:tc>
        <w:tc>
          <w:tcPr>
            <w:tcW w:w="8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745"/>
        </w:trPr>
        <w:tc>
          <w:tcPr>
            <w:tcW w:w="332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-2465070</wp:posOffset>
            </wp:positionV>
            <wp:extent cx="10287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-2465070</wp:posOffset>
            </wp:positionV>
            <wp:extent cx="939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-923925</wp:posOffset>
            </wp:positionV>
            <wp:extent cx="939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-906780</wp:posOffset>
            </wp:positionV>
            <wp:extent cx="939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-923925</wp:posOffset>
            </wp:positionV>
            <wp:extent cx="857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-906780</wp:posOffset>
            </wp:positionV>
            <wp:extent cx="857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SUBSEQUENT EVENTS</w:t>
      </w:r>
    </w:p>
    <w:p>
      <w:pPr>
        <w:spacing w:after="0" w:line="171" w:lineRule="exact"/>
        <w:rPr>
          <w:sz w:val="20"/>
          <w:szCs w:val="20"/>
          <w:color w:val="auto"/>
        </w:rPr>
      </w:pPr>
    </w:p>
    <w:p>
      <w:pPr>
        <w:ind w:firstLine="569"/>
        <w:spacing w:after="0" w:line="252" w:lineRule="auto"/>
        <w:rPr>
          <w:sz w:val="20"/>
          <w:szCs w:val="20"/>
          <w:color w:val="auto"/>
        </w:rPr>
      </w:pPr>
      <w:r>
        <w:rPr>
          <w:rFonts w:ascii="Arial" w:cs="Arial" w:eastAsia="Arial" w:hAnsi="Arial"/>
          <w:sz w:val="18"/>
          <w:szCs w:val="18"/>
          <w:color w:val="auto"/>
        </w:rPr>
        <w:t>In January 2024, the UAW Local 933 ratified a new four-year collective bargaining agreement with the Company that expires in November 2027. The entry into the new collective bargaining agreement did not have a material impact on the Company's consolidated financial statements for the year ended December 31, 2023.</w:t>
      </w:r>
    </w:p>
    <w:p>
      <w:pPr>
        <w:spacing w:after="0" w:line="38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768" w:right="81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Balance Sheets</w:t>
      </w: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December 31, 2023</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December 31, 2022</w:t>
            </w: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23"/>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Investments in and advances to subsidiaries</w:t>
            </w:r>
          </w:p>
        </w:tc>
        <w:tc>
          <w:tcPr>
            <w:tcW w:w="1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1,233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874</w:t>
            </w: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Pr>
          <w:p>
            <w:pPr>
              <w:jc w:val="right"/>
              <w:ind w:right="32"/>
              <w:spacing w:after="0"/>
              <w:rPr>
                <w:sz w:val="20"/>
                <w:szCs w:val="20"/>
                <w:color w:val="auto"/>
              </w:rPr>
            </w:pPr>
            <w:r>
              <w:rPr>
                <w:rFonts w:ascii="Arial" w:cs="Arial" w:eastAsia="Arial" w:hAnsi="Arial"/>
                <w:sz w:val="18"/>
                <w:szCs w:val="18"/>
                <w:b w:val="1"/>
                <w:bCs w:val="1"/>
                <w:color w:val="auto"/>
              </w:rPr>
              <w:t>1,233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874</w:t>
            </w:r>
          </w:p>
        </w:tc>
      </w:tr>
      <w:tr>
        <w:trPr>
          <w:trHeight w:val="20"/>
        </w:trPr>
        <w:tc>
          <w:tcPr>
            <w:tcW w:w="7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23"/>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Capital stock</w:t>
            </w: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Paid in capital</w:t>
            </w:r>
          </w:p>
        </w:tc>
        <w:tc>
          <w:tcPr>
            <w:tcW w:w="120" w:type="dxa"/>
            <w:vAlign w:val="bottom"/>
          </w:tcPr>
          <w:p>
            <w:pPr>
              <w:spacing w:after="0"/>
              <w:rPr>
                <w:sz w:val="19"/>
                <w:szCs w:val="19"/>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b w:val="1"/>
                <w:bCs w:val="1"/>
                <w:color w:val="auto"/>
              </w:rPr>
              <w:t>1,891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1,848</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(628 )</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(953 )</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(31 )</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r>
      <w:tr>
        <w:trPr>
          <w:trHeight w:val="26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1,233</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-1831975</wp:posOffset>
            </wp:positionV>
            <wp:extent cx="1111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-1532255</wp:posOffset>
            </wp:positionV>
            <wp:extent cx="1111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-915670</wp:posOffset>
            </wp:positionV>
            <wp:extent cx="1111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-24765</wp:posOffset>
            </wp:positionV>
            <wp:extent cx="1111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1112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Parent Company only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Statements of Comprehensive Income</w:t>
      </w: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2"/>
        </w:trPr>
        <w:tc>
          <w:tcPr>
            <w:tcW w:w="6620" w:type="dxa"/>
            <w:vAlign w:val="bottom"/>
          </w:tcPr>
          <w:p>
            <w:pPr>
              <w:spacing w:after="0"/>
              <w:rPr>
                <w:sz w:val="15"/>
                <w:szCs w:val="15"/>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920" w:type="dxa"/>
            <w:vAlign w:val="bottom"/>
            <w:shd w:val="clear" w:color="auto" w:fill="CFF0FC"/>
          </w:tcPr>
          <w:p>
            <w:pPr>
              <w:jc w:val="right"/>
              <w:ind w:right="735"/>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General and administrative fees</w:t>
            </w: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223"/>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operating income</w:t>
            </w: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23"/>
        </w:trPr>
        <w:tc>
          <w:tcPr>
            <w:tcW w:w="66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income:</w:t>
            </w:r>
          </w:p>
        </w:tc>
        <w:tc>
          <w:tcPr>
            <w:tcW w:w="9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29"/>
        </w:trPr>
        <w:tc>
          <w:tcPr>
            <w:tcW w:w="6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Equity earnings of consolidated subsidiary</w:t>
            </w:r>
          </w:p>
        </w:tc>
        <w:tc>
          <w:tcPr>
            <w:tcW w:w="9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673</w:t>
            </w: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531</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442</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531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442</w:t>
            </w:r>
          </w:p>
        </w:tc>
      </w:tr>
      <w:tr>
        <w:trPr>
          <w:trHeight w:val="229"/>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9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ind w:right="735"/>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673</w:t>
            </w:r>
          </w:p>
        </w:tc>
        <w:tc>
          <w:tcPr>
            <w:tcW w:w="5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531</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442</w:t>
            </w:r>
          </w:p>
        </w:tc>
      </w:tr>
      <w:tr>
        <w:trPr>
          <w:trHeight w:val="20"/>
        </w:trPr>
        <w:tc>
          <w:tcPr>
            <w:tcW w:w="6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income</w:t>
            </w:r>
          </w:p>
        </w:tc>
        <w:tc>
          <w:tcPr>
            <w:tcW w:w="920" w:type="dxa"/>
            <w:vAlign w:val="bottom"/>
            <w:tcBorders>
              <w:bottom w:val="single" w:sz="8" w:color="auto"/>
            </w:tcBorders>
            <w:shd w:val="clear" w:color="auto" w:fill="CFF0FC"/>
          </w:tcPr>
          <w:p>
            <w:pPr>
              <w:jc w:val="right"/>
              <w:ind w:right="735"/>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664</w:t>
            </w:r>
          </w:p>
        </w:tc>
        <w:tc>
          <w:tcPr>
            <w:tcW w:w="1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582</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-949960</wp:posOffset>
            </wp:positionV>
            <wp:extent cx="939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-949960</wp:posOffset>
            </wp:positionV>
            <wp:extent cx="857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-650240</wp:posOffset>
            </wp:positionV>
            <wp:extent cx="939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-650240</wp:posOffset>
            </wp:positionV>
            <wp:extent cx="8572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-350520</wp:posOffset>
            </wp:positionV>
            <wp:extent cx="939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-350520</wp:posOffset>
            </wp:positionV>
            <wp:extent cx="8572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-24765</wp:posOffset>
            </wp:positionV>
            <wp:extent cx="939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939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8572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8572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Parent Company only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Statements of Cash Flows</w:t>
      </w: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2"/>
        </w:trPr>
        <w:tc>
          <w:tcPr>
            <w:tcW w:w="66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ind w:right="32"/>
              <w:spacing w:after="0"/>
              <w:rPr>
                <w:sz w:val="20"/>
                <w:szCs w:val="20"/>
                <w:color w:val="auto"/>
              </w:rPr>
            </w:pPr>
            <w:r>
              <w:rPr>
                <w:rFonts w:ascii="Arial" w:cs="Arial" w:eastAsia="Arial" w:hAnsi="Arial"/>
                <w:sz w:val="18"/>
                <w:szCs w:val="18"/>
                <w:b w:val="1"/>
                <w:bCs w:val="1"/>
                <w:color w:val="auto"/>
              </w:rPr>
              <w:t>673</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531</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442</w:t>
            </w: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Deduct items included in net income not providing cash:</w:t>
            </w:r>
          </w:p>
        </w:tc>
        <w:tc>
          <w:tcPr>
            <w:tcW w:w="9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Equity in earnings in consolidated subsidiary</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(673 )</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(531 )</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(442 )</w:t>
            </w:r>
          </w:p>
        </w:tc>
      </w:tr>
      <w:tr>
        <w:trPr>
          <w:trHeight w:val="223"/>
        </w:trPr>
        <w:tc>
          <w:tcPr>
            <w:tcW w:w="66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23"/>
        </w:trPr>
        <w:tc>
          <w:tcPr>
            <w:tcW w:w="662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Investments in subsidiaries</w:t>
            </w:r>
          </w:p>
        </w:tc>
        <w:tc>
          <w:tcPr>
            <w:tcW w:w="9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(28 )</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Dividends</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83</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81</w:t>
            </w:r>
          </w:p>
        </w:tc>
      </w:tr>
      <w:tr>
        <w:trPr>
          <w:trHeight w:val="223"/>
        </w:trPr>
        <w:tc>
          <w:tcPr>
            <w:tcW w:w="66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Net cash provided by investing activities</w:t>
            </w:r>
          </w:p>
        </w:tc>
        <w:tc>
          <w:tcPr>
            <w:tcW w:w="9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55</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78</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Capital contributions</w:t>
            </w:r>
          </w:p>
        </w:tc>
        <w:tc>
          <w:tcPr>
            <w:tcW w:w="9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28</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w:t>
            </w: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Dividends</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(83 )</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(80 )</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(81 )</w:t>
            </w:r>
          </w:p>
        </w:tc>
      </w:tr>
      <w:tr>
        <w:trPr>
          <w:trHeight w:val="223"/>
        </w:trPr>
        <w:tc>
          <w:tcPr>
            <w:tcW w:w="66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Net cash used in financing activities</w:t>
            </w:r>
          </w:p>
        </w:tc>
        <w:tc>
          <w:tcPr>
            <w:tcW w:w="9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(55 )</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(78 )</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(78 )</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Net increase (decrease) during period</w:t>
            </w:r>
          </w:p>
        </w:tc>
        <w:tc>
          <w:tcPr>
            <w:tcW w:w="900" w:type="dxa"/>
            <w:vAlign w:val="bottom"/>
          </w:tcPr>
          <w:p>
            <w:pPr>
              <w:spacing w:after="0"/>
              <w:rPr>
                <w:sz w:val="19"/>
                <w:szCs w:val="19"/>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9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900" w:type="dxa"/>
            <w:vAlign w:val="bottom"/>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0"/>
        </w:trPr>
        <w:tc>
          <w:tcPr>
            <w:tcW w:w="6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-1677670</wp:posOffset>
            </wp:positionV>
            <wp:extent cx="1028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-1677670</wp:posOffset>
            </wp:positionV>
            <wp:extent cx="939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-1078230</wp:posOffset>
            </wp:positionV>
            <wp:extent cx="10287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-1078230</wp:posOffset>
            </wp:positionV>
            <wp:extent cx="939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-478790</wp:posOffset>
            </wp:positionV>
            <wp:extent cx="10287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-478790</wp:posOffset>
            </wp:positionV>
            <wp:extent cx="939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-179070</wp:posOffset>
            </wp:positionV>
            <wp:extent cx="10287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-179070</wp:posOffset>
            </wp:positionV>
            <wp:extent cx="939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Parent Company only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Allison Transmission Holdings, Inc.</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Schedule I—Parent Company only Footnote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1—BASIS OF PRESENTATION</w:t>
      </w:r>
    </w:p>
    <w:p>
      <w:pPr>
        <w:spacing w:after="0" w:line="157" w:lineRule="exact"/>
        <w:rPr>
          <w:sz w:val="20"/>
          <w:szCs w:val="20"/>
          <w:color w:val="auto"/>
        </w:rPr>
      </w:pPr>
    </w:p>
    <w:p>
      <w:pPr>
        <w:ind w:right="100" w:firstLine="494"/>
        <w:spacing w:after="0" w:line="259" w:lineRule="auto"/>
        <w:rPr>
          <w:sz w:val="20"/>
          <w:szCs w:val="20"/>
          <w:color w:val="auto"/>
        </w:rPr>
      </w:pPr>
      <w:r>
        <w:rPr>
          <w:rFonts w:ascii="Arial" w:cs="Arial" w:eastAsia="Arial" w:hAnsi="Arial"/>
          <w:sz w:val="17"/>
          <w:szCs w:val="17"/>
          <w:color w:val="auto"/>
        </w:rPr>
        <w:t>Allison Transmission Holdings, Inc. (the “Parent Company”) is a holding company that conducts all of its business operations through its subsidiaries. There are restrictions on the Parent Company’s ability to obtain funds from its subsidiaries through dividends (refer to "Note</w:t>
      </w:r>
    </w:p>
    <w:p>
      <w:pPr>
        <w:spacing w:after="0" w:line="1" w:lineRule="exact"/>
        <w:rPr>
          <w:sz w:val="20"/>
          <w:szCs w:val="20"/>
          <w:color w:val="auto"/>
        </w:rPr>
      </w:pPr>
    </w:p>
    <w:p>
      <w:pPr>
        <w:ind w:firstLine="8"/>
        <w:spacing w:after="0" w:line="238" w:lineRule="auto"/>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Debt” of Notes to Consolidated Financial Statements). The entire amount of the Parent Company’s consolidated net assets was subject to restrictions on payment of dividends as of December 31, 2023, 2022 and 2021. Accordingly, these financial statements have been presented on a “parent-only” basis. Under a parent-only presentation, the Parent Company’s investments in its consolidated subsidiaries are presented under the equity method of accounting. These parent-only financial statements should be read in conjunction with Allison Transmission Holdings, Inc.’s audited Consolidated Financial Statements included elsewhere herein.</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57" w:lineRule="exact"/>
        <w:rPr>
          <w:sz w:val="20"/>
          <w:szCs w:val="20"/>
          <w:color w:val="auto"/>
        </w:rPr>
      </w:pPr>
    </w:p>
    <w:p>
      <w:pPr>
        <w:ind w:right="120" w:firstLine="494"/>
        <w:spacing w:after="0" w:line="241"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Exchange Act), as of December 31, 2023.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28" w:lineRule="exact"/>
        <w:rPr>
          <w:sz w:val="20"/>
          <w:szCs w:val="20"/>
          <w:color w:val="auto"/>
        </w:rPr>
      </w:pPr>
    </w:p>
    <w:p>
      <w:pPr>
        <w:ind w:right="40" w:firstLine="494"/>
        <w:spacing w:after="0" w:line="241" w:lineRule="auto"/>
        <w:rPr>
          <w:sz w:val="20"/>
          <w:szCs w:val="20"/>
          <w:color w:val="auto"/>
        </w:rPr>
      </w:pPr>
      <w:r>
        <w:rPr>
          <w:rFonts w:ascii="Arial" w:cs="Arial" w:eastAsia="Arial" w:hAnsi="Arial"/>
          <w:sz w:val="18"/>
          <w:szCs w:val="18"/>
          <w:color w:val="auto"/>
        </w:rPr>
        <w:t>Based on the evaluation, our Chief Executive Officer and Chief Financial Officer concluded that our disclosure controls and procedures as of December 31, 2023, the end of the period covered by this Annual Report on Form 10-K, were effective to provide reasonable assurance that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57" w:lineRule="exact"/>
        <w:rPr>
          <w:sz w:val="20"/>
          <w:szCs w:val="20"/>
          <w:color w:val="auto"/>
        </w:rPr>
      </w:pPr>
    </w:p>
    <w:p>
      <w:pPr>
        <w:ind w:right="80" w:firstLine="494"/>
        <w:spacing w:after="0" w:line="24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22" w:lineRule="exact"/>
        <w:rPr>
          <w:sz w:val="20"/>
          <w:szCs w:val="20"/>
          <w:color w:val="auto"/>
        </w:rPr>
      </w:pPr>
    </w:p>
    <w:p>
      <w:pPr>
        <w:ind w:firstLine="494"/>
        <w:spacing w:after="0" w:line="25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7" w:lineRule="exact"/>
        <w:rPr>
          <w:sz w:val="20"/>
          <w:szCs w:val="20"/>
          <w:color w:val="auto"/>
        </w:rPr>
      </w:pPr>
    </w:p>
    <w:p>
      <w:pPr>
        <w:ind w:right="140" w:firstLine="494"/>
        <w:spacing w:after="0"/>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conducted an assessment of the effectiveness of our internal control over financial reporting as of December 31, 2023. In making this assessment, our management used the criteria set forth by the Committee of Sponsoring Organizations of the Treadway Commission in Internal Control—Integrated Framework (2013). Based on this assessment, management concluded that our internal control over financial reporting was effective as of December 31, 2023. PricewaterhouseCoopers LLP, our independent registered public accounting firm, has audited the effectiveness of our internal control over financial reporting as of December 31, 2023. Their report is included in Part II, Item 8., “Financial Statements and Supplementary Data” in this Annual Report on Form 10-K.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57" w:lineRule="exact"/>
        <w:rPr>
          <w:sz w:val="20"/>
          <w:szCs w:val="20"/>
          <w:color w:val="auto"/>
        </w:rPr>
      </w:pPr>
    </w:p>
    <w:p>
      <w:pPr>
        <w:ind w:right="40" w:firstLine="494"/>
        <w:spacing w:after="0" w:line="252"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December 31, 2023 that have materially affected, or are reasonably likely to materially affect, our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Insider Trading Arrangements</w:t>
      </w:r>
    </w:p>
    <w:p>
      <w:pPr>
        <w:spacing w:after="0" w:line="103" w:lineRule="exact"/>
        <w:rPr>
          <w:sz w:val="20"/>
          <w:szCs w:val="20"/>
          <w:color w:val="auto"/>
        </w:rPr>
      </w:pPr>
    </w:p>
    <w:p>
      <w:pPr>
        <w:ind w:right="180" w:firstLine="499"/>
        <w:spacing w:after="0" w:line="246" w:lineRule="auto"/>
        <w:rPr>
          <w:sz w:val="20"/>
          <w:szCs w:val="20"/>
          <w:color w:val="auto"/>
        </w:rPr>
      </w:pPr>
      <w:r>
        <w:rPr>
          <w:rFonts w:ascii="Arial" w:cs="Arial" w:eastAsia="Arial" w:hAnsi="Arial"/>
          <w:sz w:val="18"/>
          <w:szCs w:val="18"/>
          <w:color w:val="auto"/>
        </w:rPr>
        <w:t>The following table sets forth information related to the Company's directors and officers who adopted, modified or terminated any contract, instruction or written plan for the purchase or sale of Company securities that was intended to satisfy the affirmative defense conditions of Rule 10b5-1(c) ("Rule 10b5-1 trading arrangement") or any “non-Rule 10b5-1 trading arrangement,” as such term is defined in Item 408(c) of Regulation S-K, during the three months ended December 31, 2023:</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Trading Arrangement</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60"/>
        </w:trPr>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Rule</w:t>
            </w:r>
          </w:p>
        </w:tc>
        <w:tc>
          <w:tcPr>
            <w:tcW w:w="140" w:type="dxa"/>
            <w:vAlign w:val="bottom"/>
          </w:tcPr>
          <w:p>
            <w:pPr>
              <w:spacing w:after="0"/>
              <w:rPr>
                <w:sz w:val="13"/>
                <w:szCs w:val="13"/>
                <w:color w:val="auto"/>
              </w:rPr>
            </w:pPr>
          </w:p>
        </w:tc>
        <w:tc>
          <w:tcPr>
            <w:tcW w:w="8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Non-Rule</w:t>
            </w:r>
          </w:p>
        </w:tc>
        <w:tc>
          <w:tcPr>
            <w:tcW w:w="120" w:type="dxa"/>
            <w:vAlign w:val="bottom"/>
          </w:tcPr>
          <w:p>
            <w:pPr>
              <w:spacing w:after="0"/>
              <w:rPr>
                <w:sz w:val="13"/>
                <w:szCs w:val="13"/>
                <w:color w:val="auto"/>
              </w:rPr>
            </w:pPr>
          </w:p>
        </w:tc>
        <w:tc>
          <w:tcPr>
            <w:tcW w:w="106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Total Shares to</w:t>
            </w:r>
          </w:p>
        </w:tc>
        <w:tc>
          <w:tcPr>
            <w:tcW w:w="26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Expiration</w:t>
            </w:r>
          </w:p>
        </w:tc>
      </w:tr>
      <w:tr>
        <w:trPr>
          <w:trHeight w:val="185"/>
        </w:trPr>
        <w:tc>
          <w:tcPr>
            <w:tcW w:w="1920" w:type="dxa"/>
            <w:vAlign w:val="bottom"/>
          </w:tcPr>
          <w:p>
            <w:pPr>
              <w:ind w:left="76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6"/>
                <w:szCs w:val="16"/>
                <w:color w:val="auto"/>
              </w:rPr>
            </w:pPr>
          </w:p>
        </w:tc>
        <w:tc>
          <w:tcPr>
            <w:tcW w:w="2700" w:type="dxa"/>
            <w:vAlign w:val="bottom"/>
          </w:tcPr>
          <w:p>
            <w:pPr>
              <w:ind w:left="120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Action</w:t>
            </w:r>
          </w:p>
        </w:tc>
        <w:tc>
          <w:tcPr>
            <w:tcW w:w="160" w:type="dxa"/>
            <w:vAlign w:val="bottom"/>
          </w:tcPr>
          <w:p>
            <w:pPr>
              <w:spacing w:after="0"/>
              <w:rPr>
                <w:sz w:val="16"/>
                <w:szCs w:val="16"/>
                <w:color w:val="auto"/>
              </w:rPr>
            </w:pPr>
          </w:p>
        </w:tc>
        <w:tc>
          <w:tcPr>
            <w:tcW w:w="1140" w:type="dxa"/>
            <w:vAlign w:val="bottom"/>
            <w:gridSpan w:val="2"/>
          </w:tcPr>
          <w:p>
            <w:pPr>
              <w:ind w:left="340"/>
              <w:spacing w:after="0"/>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10b5-1*</w:t>
            </w:r>
          </w:p>
        </w:tc>
        <w:tc>
          <w:tcPr>
            <w:tcW w:w="14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10b5-1**</w:t>
            </w:r>
          </w:p>
        </w:tc>
        <w:tc>
          <w:tcPr>
            <w:tcW w:w="120" w:type="dxa"/>
            <w:vAlign w:val="bottom"/>
          </w:tcPr>
          <w:p>
            <w:pPr>
              <w:spacing w:after="0"/>
              <w:rPr>
                <w:sz w:val="16"/>
                <w:szCs w:val="16"/>
                <w:color w:val="auto"/>
              </w:rPr>
            </w:pPr>
          </w:p>
        </w:tc>
        <w:tc>
          <w:tcPr>
            <w:tcW w:w="1060" w:type="dxa"/>
            <w:vAlign w:val="bottom"/>
          </w:tcPr>
          <w:p>
            <w:pPr>
              <w:jc w:val="right"/>
              <w:ind w:right="208"/>
              <w:spacing w:after="0"/>
              <w:rPr>
                <w:sz w:val="20"/>
                <w:szCs w:val="20"/>
                <w:color w:val="auto"/>
              </w:rPr>
            </w:pPr>
            <w:r>
              <w:rPr>
                <w:rFonts w:ascii="Arial" w:cs="Arial" w:eastAsia="Arial" w:hAnsi="Arial"/>
                <w:sz w:val="14"/>
                <w:szCs w:val="14"/>
                <w:b w:val="1"/>
                <w:bCs w:val="1"/>
                <w:color w:val="auto"/>
              </w:rPr>
              <w:t>be Sold</w:t>
            </w:r>
          </w:p>
        </w:tc>
        <w:tc>
          <w:tcPr>
            <w:tcW w:w="2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190"/>
        </w:trPr>
        <w:tc>
          <w:tcPr>
            <w:tcW w:w="192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700" w:type="dxa"/>
            <w:vAlign w:val="bottom"/>
            <w:tcBorders>
              <w:top w:val="single" w:sz="8" w:color="auto"/>
            </w:tcBorders>
            <w:shd w:val="clear" w:color="auto" w:fill="CFF0FC"/>
          </w:tcPr>
          <w:p>
            <w:pPr>
              <w:ind w:left="20"/>
              <w:spacing w:after="0" w:line="190" w:lineRule="exact"/>
              <w:rPr>
                <w:sz w:val="20"/>
                <w:szCs w:val="20"/>
                <w:color w:val="auto"/>
              </w:rPr>
            </w:pPr>
            <w:r>
              <w:rPr>
                <w:rFonts w:ascii="Arial" w:cs="Arial" w:eastAsia="Arial" w:hAnsi="Arial"/>
                <w:sz w:val="18"/>
                <w:szCs w:val="18"/>
                <w:color w:val="auto"/>
              </w:rPr>
              <w:t>Vice President, Defense</w:t>
            </w:r>
          </w:p>
        </w:tc>
        <w:tc>
          <w:tcPr>
            <w:tcW w:w="160" w:type="dxa"/>
            <w:vAlign w:val="bottom"/>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r>
      <w:tr>
        <w:trPr>
          <w:trHeight w:val="235"/>
        </w:trPr>
        <w:tc>
          <w:tcPr>
            <w:tcW w:w="1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Dana J.H. Pittard</w:t>
            </w:r>
          </w:p>
        </w:tc>
        <w:tc>
          <w:tcPr>
            <w:tcW w:w="160" w:type="dxa"/>
            <w:vAlign w:val="bottom"/>
            <w:shd w:val="clear" w:color="auto" w:fill="CFF0FC"/>
          </w:tcPr>
          <w:p>
            <w:pPr>
              <w:spacing w:after="0"/>
              <w:rPr>
                <w:sz w:val="20"/>
                <w:szCs w:val="20"/>
                <w:color w:val="auto"/>
              </w:rPr>
            </w:pPr>
          </w:p>
        </w:tc>
        <w:tc>
          <w:tcPr>
            <w:tcW w:w="2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Programs</w:t>
            </w: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Adopted</w:t>
            </w:r>
          </w:p>
        </w:tc>
        <w:tc>
          <w:tcPr>
            <w:tcW w:w="11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11/1/2023</w:t>
            </w: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43,978</w:t>
            </w:r>
          </w:p>
        </w:tc>
        <w:tc>
          <w:tcPr>
            <w:tcW w:w="116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9"/>
              </w:rPr>
              <w:t>1/31/2025</w:t>
            </w:r>
          </w:p>
        </w:tc>
      </w:tr>
      <w:tr>
        <w:trPr>
          <w:trHeight w:val="197"/>
        </w:trPr>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00" w:type="dxa"/>
            <w:vAlign w:val="bottom"/>
          </w:tcPr>
          <w:p>
            <w:pPr>
              <w:ind w:left="20"/>
              <w:spacing w:after="0" w:line="197" w:lineRule="exact"/>
              <w:rPr>
                <w:sz w:val="20"/>
                <w:szCs w:val="20"/>
                <w:color w:val="auto"/>
              </w:rPr>
            </w:pPr>
            <w:r>
              <w:rPr>
                <w:rFonts w:ascii="Arial" w:cs="Arial" w:eastAsia="Arial" w:hAnsi="Arial"/>
                <w:sz w:val="18"/>
                <w:szCs w:val="18"/>
                <w:color w:val="auto"/>
              </w:rPr>
              <w:t>Senior Vice President, Global</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9"/>
        </w:trPr>
        <w:tc>
          <w:tcPr>
            <w:tcW w:w="1920" w:type="dxa"/>
            <w:vAlign w:val="bottom"/>
          </w:tcPr>
          <w:p>
            <w:pPr>
              <w:ind w:left="20"/>
              <w:spacing w:after="0"/>
              <w:rPr>
                <w:sz w:val="20"/>
                <w:szCs w:val="20"/>
                <w:color w:val="auto"/>
              </w:rPr>
            </w:pPr>
            <w:r>
              <w:rPr>
                <w:rFonts w:ascii="Arial" w:cs="Arial" w:eastAsia="Arial" w:hAnsi="Arial"/>
                <w:sz w:val="18"/>
                <w:szCs w:val="18"/>
                <w:color w:val="auto"/>
              </w:rPr>
              <w:t>John M. Coll</w:t>
            </w:r>
          </w:p>
        </w:tc>
        <w:tc>
          <w:tcPr>
            <w:tcW w:w="160" w:type="dxa"/>
            <w:vAlign w:val="bottom"/>
          </w:tcPr>
          <w:p>
            <w:pPr>
              <w:spacing w:after="0"/>
              <w:rPr>
                <w:sz w:val="20"/>
                <w:szCs w:val="20"/>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Marketing, Sales &amp; Services</w:t>
            </w:r>
          </w:p>
        </w:tc>
        <w:tc>
          <w:tcPr>
            <w:tcW w:w="1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8"/>
              </w:rPr>
              <w:t>Adopted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11/30/2023</w:t>
            </w:r>
          </w:p>
        </w:tc>
        <w:tc>
          <w:tcPr>
            <w:tcW w:w="1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3/28/2025</w:t>
            </w:r>
          </w:p>
        </w:tc>
      </w:tr>
    </w:tbl>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Intended to satisfy the affirmative defense of Rule 10b5-1(c)</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Not intended to satisfy the affirmative defense of Rule 10b5-1(c)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57" w:lineRule="exact"/>
        <w:rPr>
          <w:sz w:val="20"/>
          <w:szCs w:val="20"/>
          <w:color w:val="auto"/>
        </w:rPr>
      </w:pPr>
    </w:p>
    <w:p>
      <w:pPr>
        <w:ind w:right="540" w:firstLine="494"/>
        <w:spacing w:after="0" w:line="246" w:lineRule="auto"/>
        <w:rPr>
          <w:sz w:val="20"/>
          <w:szCs w:val="20"/>
          <w:color w:val="auto"/>
        </w:rPr>
      </w:pPr>
      <w:r>
        <w:rPr>
          <w:rFonts w:ascii="Arial" w:cs="Arial" w:eastAsia="Arial" w:hAnsi="Arial"/>
          <w:sz w:val="18"/>
          <w:szCs w:val="18"/>
          <w:color w:val="auto"/>
        </w:rPr>
        <w:t>The information required by this Item concerning our executive officers, directors and nominees for director and Audit Committee members and financial expert(s) and disclosure of delinquent filers under Section 16(a) of the Exchange Act is incorporated herein by reference from our definitive Proxy Statement for our 2024 annual meeting of stockholders which will be filed with the SEC pursuant to Regulation 14A within 120 days after the end of our last fiscal year.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157" w:lineRule="exact"/>
        <w:rPr>
          <w:sz w:val="20"/>
          <w:szCs w:val="20"/>
          <w:color w:val="auto"/>
        </w:rPr>
      </w:pPr>
    </w:p>
    <w:p>
      <w:pPr>
        <w:ind w:right="120" w:firstLine="494"/>
        <w:spacing w:after="0" w:line="266" w:lineRule="auto"/>
        <w:rPr>
          <w:sz w:val="20"/>
          <w:szCs w:val="20"/>
          <w:color w:val="auto"/>
        </w:rPr>
      </w:pPr>
      <w:r>
        <w:rPr>
          <w:rFonts w:ascii="Arial" w:cs="Arial" w:eastAsia="Arial" w:hAnsi="Arial"/>
          <w:sz w:val="17"/>
          <w:szCs w:val="17"/>
          <w:color w:val="auto"/>
        </w:rPr>
        <w:t>We have adopted the Allison Code of Business Conduct that applies to all of our directors and officers and other employees, including our principal executive officer, principal financial officer and principal accounting officer. This code is publicly available through the Investor Relations section of our website at https://ir.allisontransmission.com. We will post on the Investor Relations section of our website any amendment to the Allison Code of Business Conduct, or any grant of a waiver from a provision of the Allison Code of Business Conduct.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57" w:lineRule="exact"/>
        <w:rPr>
          <w:sz w:val="20"/>
          <w:szCs w:val="20"/>
          <w:color w:val="auto"/>
        </w:rPr>
      </w:pPr>
    </w:p>
    <w:p>
      <w:pPr>
        <w:ind w:firstLine="494"/>
        <w:spacing w:after="0" w:line="246" w:lineRule="auto"/>
        <w:rPr>
          <w:sz w:val="20"/>
          <w:szCs w:val="20"/>
          <w:color w:val="auto"/>
        </w:rPr>
      </w:pPr>
      <w:r>
        <w:rPr>
          <w:rFonts w:ascii="Arial" w:cs="Arial" w:eastAsia="Arial" w:hAnsi="Arial"/>
          <w:sz w:val="18"/>
          <w:szCs w:val="18"/>
          <w:color w:val="auto"/>
        </w:rPr>
        <w:t>The information required by this Item concerning remuneration of our executive officers and directors, material transactions involving such executive officers and directors and Compensation Committee interlocks, as well as the Compensation Committee Report and CEO pay ratio disclosure, are incorporated herein by reference to our definitive Proxy Statement for our 2024 annual meeting of stockholders which will be filed with the SEC pursuant to Regulation 14A within 120 days after the end of our last fiscal year.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57" w:lineRule="exact"/>
        <w:rPr>
          <w:sz w:val="20"/>
          <w:szCs w:val="20"/>
          <w:color w:val="auto"/>
        </w:rPr>
      </w:pPr>
    </w:p>
    <w:p>
      <w:pPr>
        <w:ind w:right="20" w:firstLine="494"/>
        <w:spacing w:after="0" w:line="246" w:lineRule="auto"/>
        <w:rPr>
          <w:sz w:val="20"/>
          <w:szCs w:val="20"/>
          <w:color w:val="auto"/>
        </w:rPr>
      </w:pPr>
      <w:r>
        <w:rPr>
          <w:rFonts w:ascii="Arial" w:cs="Arial" w:eastAsia="Arial" w:hAnsi="Arial"/>
          <w:sz w:val="18"/>
          <w:szCs w:val="18"/>
          <w:color w:val="auto"/>
        </w:rPr>
        <w:t>The information required by this Item concerning the stock ownership of management and five percent beneficial owners and securities authorized for issuance under equity compensation plans is incorporated herein by reference to our definitive Proxy Statement for our 2024 annual meeting of stockholders which will be filed with the SEC pursuant to Regulation 14A within 120 days after the end of our last fiscal year.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57" w:lineRule="exact"/>
        <w:rPr>
          <w:sz w:val="20"/>
          <w:szCs w:val="20"/>
          <w:color w:val="auto"/>
        </w:rPr>
      </w:pPr>
    </w:p>
    <w:p>
      <w:pPr>
        <w:jc w:val="both"/>
        <w:ind w:right="260" w:firstLine="494"/>
        <w:spacing w:after="0" w:line="252" w:lineRule="auto"/>
        <w:rPr>
          <w:sz w:val="20"/>
          <w:szCs w:val="20"/>
          <w:color w:val="auto"/>
        </w:rPr>
      </w:pPr>
      <w:r>
        <w:rPr>
          <w:rFonts w:ascii="Arial" w:cs="Arial" w:eastAsia="Arial" w:hAnsi="Arial"/>
          <w:sz w:val="18"/>
          <w:szCs w:val="18"/>
          <w:color w:val="auto"/>
        </w:rPr>
        <w:t>The information required by this Item concerning certain relationships and related person transactions, and director independence is incorporated herein by reference to our definitive Proxy Statement for our 2024 annual meeting of stockholders which will be filed with the SEC pursuant to Regulation 14A within 120 days after the end of our last fiscal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57" w:lineRule="exact"/>
        <w:rPr>
          <w:sz w:val="20"/>
          <w:szCs w:val="20"/>
          <w:color w:val="auto"/>
        </w:rPr>
      </w:pPr>
    </w:p>
    <w:p>
      <w:pPr>
        <w:ind w:right="280" w:firstLine="494"/>
        <w:spacing w:after="0" w:line="252" w:lineRule="auto"/>
        <w:rPr>
          <w:sz w:val="20"/>
          <w:szCs w:val="20"/>
          <w:color w:val="auto"/>
        </w:rPr>
      </w:pPr>
      <w:r>
        <w:rPr>
          <w:rFonts w:ascii="Arial" w:cs="Arial" w:eastAsia="Arial" w:hAnsi="Arial"/>
          <w:sz w:val="18"/>
          <w:szCs w:val="18"/>
          <w:color w:val="auto"/>
        </w:rPr>
        <w:t>The information required by this Item concerning the fees and services of our independent registered public accounting firm and our Audit Committee actions with respect thereto is incorporated herein by reference to our definitive Proxy Statement for our 2024 annual meeting of stockholders which will be filed with the SEC pursuant to Regulation 14A within 120 days after the end of our last fiscal year.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response to this item is included in Part II, Item 8., of this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157" w:lineRule="exact"/>
        <w:rPr>
          <w:sz w:val="20"/>
          <w:szCs w:val="20"/>
          <w:color w:val="auto"/>
        </w:rPr>
      </w:pPr>
    </w:p>
    <w:p>
      <w:pPr>
        <w:ind w:right="240" w:firstLine="494"/>
        <w:spacing w:after="0" w:line="243" w:lineRule="auto"/>
        <w:rPr>
          <w:sz w:val="20"/>
          <w:szCs w:val="20"/>
          <w:color w:val="auto"/>
        </w:rPr>
      </w:pPr>
      <w:r>
        <w:rPr>
          <w:rFonts w:ascii="Arial" w:cs="Arial" w:eastAsia="Arial" w:hAnsi="Arial"/>
          <w:sz w:val="18"/>
          <w:szCs w:val="18"/>
          <w:color w:val="auto"/>
        </w:rPr>
        <w:t>Schedule I – Parent Company only Balance Sheets as of the years ended December 31, 2023 and 2022, Schedule I – Parent Company only Statements of Comprehensive Income for the years ended December 31, 2023, 2022 and 2021, Schedule I – Parent Company only Statements of Cash Flows for the years ended December 31, 2023, 2022 and 2021 and Schedule I – Parent Company only Footnote are included in Part II, Item 8., of this Annual Report on Form 10-K. All other schedules have been omitted because they are not required or because the information required is included in the consolidated financial statements and notes thereto.</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the response to Item 15.(b)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exhibits are filed as part of, or are incorporated by reference into, this Annual Report on Form 10-K:</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jc w:val="right"/>
              <w:ind w:right="73"/>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340" w:type="dxa"/>
            <w:vAlign w:val="bottom"/>
            <w:tcBorders>
              <w:bottom w:val="single" w:sz="8" w:color="auto"/>
            </w:tcBorders>
            <w:gridSpan w:val="15"/>
          </w:tcPr>
          <w:p>
            <w:pPr>
              <w:ind w:left="260"/>
              <w:spacing w:after="0"/>
              <w:rPr>
                <w:sz w:val="20"/>
                <w:szCs w:val="20"/>
                <w:color w:val="auto"/>
              </w:rPr>
            </w:pPr>
            <w:r>
              <w:rPr>
                <w:rFonts w:ascii="Arial" w:cs="Arial" w:eastAsia="Arial" w:hAnsi="Arial"/>
                <w:sz w:val="14"/>
                <w:szCs w:val="14"/>
                <w:b w:val="1"/>
                <w:bCs w:val="1"/>
                <w:color w:val="auto"/>
              </w:rPr>
              <w:t>DESCRIPTION OF EXHIBIT</w:t>
            </w:r>
          </w:p>
        </w:tc>
      </w:tr>
      <w:tr>
        <w:trPr>
          <w:trHeight w:val="331"/>
        </w:trPr>
        <w:tc>
          <w:tcPr>
            <w:tcW w:w="800" w:type="dxa"/>
            <w:vAlign w:val="bottom"/>
          </w:tcPr>
          <w:p>
            <w:pPr>
              <w:jc w:val="right"/>
              <w:ind w:right="23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24"/>
          </w:tcPr>
          <w:p>
            <w:pPr>
              <w:spacing w:after="0"/>
              <w:rPr>
                <w:rFonts w:ascii="Arial" w:cs="Arial" w:eastAsia="Arial" w:hAnsi="Arial"/>
                <w:sz w:val="18"/>
                <w:szCs w:val="18"/>
                <w:color w:val="0000FF"/>
              </w:rPr>
            </w:pPr>
            <w:hyperlink r:id="rId436">
              <w:r>
                <w:rPr>
                  <w:rFonts w:ascii="Arial" w:cs="Arial" w:eastAsia="Arial" w:hAnsi="Arial"/>
                  <w:sz w:val="18"/>
                  <w:szCs w:val="18"/>
                  <w:color w:val="0000FF"/>
                </w:rPr>
                <w:t>Second Amended and Restated Certificate of Incorporation of Allison Transmission Holdings, Inc. (incorporated by reference to</w:t>
              </w:r>
            </w:hyperlink>
          </w:p>
        </w:tc>
      </w:tr>
      <w:tr>
        <w:trPr>
          <w:trHeight w:val="182"/>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0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w w:val="99"/>
              </w:rPr>
            </w:pPr>
            <w:hyperlink r:id="rId436">
              <w:r>
                <w:rPr>
                  <w:rFonts w:ascii="Arial" w:cs="Arial" w:eastAsia="Arial" w:hAnsi="Arial"/>
                  <w:sz w:val="18"/>
                  <w:szCs w:val="18"/>
                  <w:color w:val="0000FF"/>
                  <w:w w:val="99"/>
                </w:rPr>
                <w:t>Exhibit 3.1 to the Registrant’s Quarterly Report on Form 10-Q for the quarter ended March 31, 2012 filed April 26, 2012)</w:t>
              </w:r>
            </w:hyperlink>
          </w:p>
        </w:tc>
        <w:tc>
          <w:tcPr>
            <w:tcW w:w="20" w:type="dxa"/>
            <w:vAlign w:val="bottom"/>
            <w:tcBorders>
              <w:top w:val="single" w:sz="8" w:color="0000FF"/>
              <w:bottom w:val="single" w:sz="8" w:color="0000EE"/>
            </w:tcBorders>
          </w:tcPr>
          <w:p>
            <w:pPr>
              <w:spacing w:after="0"/>
              <w:rPr>
                <w:sz w:val="15"/>
                <w:szCs w:val="15"/>
                <w:color w:val="auto"/>
              </w:rPr>
            </w:pPr>
          </w:p>
        </w:tc>
        <w:tc>
          <w:tcPr>
            <w:tcW w:w="60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800" w:type="dxa"/>
            <w:vAlign w:val="bottom"/>
          </w:tcPr>
          <w:p>
            <w:pPr>
              <w:jc w:val="right"/>
              <w:ind w:right="233"/>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24"/>
          </w:tcPr>
          <w:p>
            <w:pPr>
              <w:spacing w:after="0"/>
              <w:rPr>
                <w:rFonts w:ascii="Arial" w:cs="Arial" w:eastAsia="Arial" w:hAnsi="Arial"/>
                <w:sz w:val="18"/>
                <w:szCs w:val="18"/>
                <w:color w:val="0000FF"/>
              </w:rPr>
            </w:pPr>
            <w:hyperlink r:id="rId437">
              <w:r>
                <w:rPr>
                  <w:rFonts w:ascii="Arial" w:cs="Arial" w:eastAsia="Arial" w:hAnsi="Arial"/>
                  <w:sz w:val="18"/>
                  <w:szCs w:val="18"/>
                  <w:color w:val="0000FF"/>
                </w:rPr>
                <w:t>Amendment to Second Amended and Restated Certificate of Incorporation of Allison Transmission Holdings, Inc. (incorporated</w:t>
              </w:r>
            </w:hyperlink>
          </w:p>
        </w:tc>
      </w:tr>
      <w:tr>
        <w:trPr>
          <w:trHeight w:val="182"/>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4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9"/>
              </w:rPr>
            </w:pPr>
            <w:hyperlink r:id="rId437">
              <w:r>
                <w:rPr>
                  <w:rFonts w:ascii="Arial" w:cs="Arial" w:eastAsia="Arial" w:hAnsi="Arial"/>
                  <w:sz w:val="18"/>
                  <w:szCs w:val="18"/>
                  <w:color w:val="0000FF"/>
                  <w:w w:val="99"/>
                </w:rPr>
                <w:t>by reference to Exhibit 3.1 to the Registrant’s Current Report on Form 8-K filed May 18, 2016)</w:t>
              </w:r>
            </w:hyperlink>
          </w:p>
        </w:tc>
        <w:tc>
          <w:tcPr>
            <w:tcW w:w="20" w:type="dxa"/>
            <w:vAlign w:val="bottom"/>
            <w:tcBorders>
              <w:top w:val="single" w:sz="8" w:color="0000FF"/>
              <w:bottom w:val="single" w:sz="8" w:color="0000EE"/>
            </w:tcBorders>
          </w:tcPr>
          <w:p>
            <w:pPr>
              <w:spacing w:after="0"/>
              <w:rPr>
                <w:sz w:val="15"/>
                <w:szCs w:val="15"/>
                <w:color w:val="auto"/>
              </w:rPr>
            </w:pPr>
          </w:p>
        </w:tc>
        <w:tc>
          <w:tcPr>
            <w:tcW w:w="2640" w:type="dxa"/>
            <w:vAlign w:val="bottom"/>
            <w:tcBorders>
              <w:top w:val="single" w:sz="8" w:color="0000FF"/>
            </w:tcBorders>
            <w:gridSpan w:val="7"/>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800" w:type="dxa"/>
            <w:vAlign w:val="bottom"/>
          </w:tcPr>
          <w:p>
            <w:pPr>
              <w:jc w:val="right"/>
              <w:ind w:right="23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24"/>
          </w:tcPr>
          <w:p>
            <w:pPr>
              <w:spacing w:after="0"/>
              <w:rPr>
                <w:rFonts w:ascii="Arial" w:cs="Arial" w:eastAsia="Arial" w:hAnsi="Arial"/>
                <w:sz w:val="18"/>
                <w:szCs w:val="18"/>
                <w:color w:val="0000FF"/>
                <w:w w:val="99"/>
              </w:rPr>
            </w:pPr>
            <w:hyperlink r:id="rId438">
              <w:r>
                <w:rPr>
                  <w:rFonts w:ascii="Arial" w:cs="Arial" w:eastAsia="Arial" w:hAnsi="Arial"/>
                  <w:sz w:val="18"/>
                  <w:szCs w:val="18"/>
                  <w:color w:val="0000FF"/>
                  <w:w w:val="99"/>
                </w:rPr>
                <w:t>Amended and Restated Bylaws of Allison Transmission Holdings, Inc. (incorporated by reference to Exhibit 3.1 to the Registrant’s</w:t>
              </w:r>
            </w:hyperlink>
          </w:p>
        </w:tc>
      </w:tr>
      <w:tr>
        <w:trPr>
          <w:trHeight w:val="182"/>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8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438">
              <w:r>
                <w:rPr>
                  <w:rFonts w:ascii="Arial" w:cs="Arial" w:eastAsia="Arial" w:hAnsi="Arial"/>
                  <w:sz w:val="18"/>
                  <w:szCs w:val="18"/>
                  <w:color w:val="0000FF"/>
                </w:rPr>
                <w:t>Current Report on Form 8-K filed May 5, 2023)</w:t>
              </w:r>
            </w:hyperlink>
          </w:p>
        </w:tc>
        <w:tc>
          <w:tcPr>
            <w:tcW w:w="2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800" w:type="dxa"/>
            <w:vAlign w:val="bottom"/>
          </w:tcPr>
          <w:p>
            <w:pPr>
              <w:jc w:val="right"/>
              <w:ind w:right="23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24"/>
          </w:tcPr>
          <w:p>
            <w:pPr>
              <w:spacing w:after="0"/>
              <w:rPr>
                <w:rFonts w:ascii="Arial" w:cs="Arial" w:eastAsia="Arial" w:hAnsi="Arial"/>
                <w:sz w:val="18"/>
                <w:szCs w:val="18"/>
                <w:color w:val="0000FF"/>
                <w:w w:val="99"/>
              </w:rPr>
            </w:pPr>
            <w:hyperlink r:id="rId439">
              <w:r>
                <w:rPr>
                  <w:rFonts w:ascii="Arial" w:cs="Arial" w:eastAsia="Arial" w:hAnsi="Arial"/>
                  <w:sz w:val="18"/>
                  <w:szCs w:val="18"/>
                  <w:color w:val="0000FF"/>
                  <w:w w:val="99"/>
                </w:rPr>
                <w:t>Form of Stock Certificate (incorporated by reference to Exhibit 4.1 to Amendment No. 3 to the Registrant’s Registration Statement</w:t>
              </w:r>
            </w:hyperlink>
          </w:p>
        </w:tc>
      </w:tr>
      <w:tr>
        <w:trPr>
          <w:trHeight w:val="182"/>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8"/>
              </w:rPr>
            </w:pPr>
            <w:hyperlink r:id="rId439">
              <w:r>
                <w:rPr>
                  <w:rFonts w:ascii="Arial" w:cs="Arial" w:eastAsia="Arial" w:hAnsi="Arial"/>
                  <w:sz w:val="18"/>
                  <w:szCs w:val="18"/>
                  <w:color w:val="0000FF"/>
                  <w:w w:val="98"/>
                </w:rPr>
                <w:t>on Form S-1 filed June 17, 2011)</w:t>
              </w:r>
            </w:hyperlink>
          </w:p>
        </w:tc>
        <w:tc>
          <w:tcPr>
            <w:tcW w:w="20" w:type="dxa"/>
            <w:vAlign w:val="bottom"/>
            <w:tcBorders>
              <w:top w:val="single" w:sz="8" w:color="0000FF"/>
              <w:bottom w:val="single" w:sz="8" w:color="0000EE"/>
            </w:tcBorders>
          </w:tcPr>
          <w:p>
            <w:pPr>
              <w:spacing w:after="0"/>
              <w:rPr>
                <w:sz w:val="15"/>
                <w:szCs w:val="15"/>
                <w:color w:val="auto"/>
              </w:rPr>
            </w:pPr>
          </w:p>
        </w:tc>
        <w:tc>
          <w:tcPr>
            <w:tcW w:w="7660" w:type="dxa"/>
            <w:vAlign w:val="bottom"/>
            <w:tcBorders>
              <w:top w:val="single" w:sz="8" w:color="0000FF"/>
            </w:tcBorders>
            <w:gridSpan w:val="17"/>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800" w:type="dxa"/>
            <w:vAlign w:val="bottom"/>
          </w:tcPr>
          <w:p>
            <w:pPr>
              <w:jc w:val="right"/>
              <w:ind w:right="23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24"/>
          </w:tcPr>
          <w:p>
            <w:pPr>
              <w:spacing w:after="0"/>
              <w:rPr>
                <w:rFonts w:ascii="Arial" w:cs="Arial" w:eastAsia="Arial" w:hAnsi="Arial"/>
                <w:sz w:val="18"/>
                <w:szCs w:val="18"/>
                <w:color w:val="0000FF"/>
                <w:w w:val="99"/>
              </w:rPr>
            </w:pPr>
            <w:hyperlink r:id="rId440">
              <w:r>
                <w:rPr>
                  <w:rFonts w:ascii="Arial" w:cs="Arial" w:eastAsia="Arial" w:hAnsi="Arial"/>
                  <w:sz w:val="18"/>
                  <w:szCs w:val="18"/>
                  <w:color w:val="0000FF"/>
                  <w:w w:val="99"/>
                </w:rPr>
                <w:t>Indenture, dated as of September 26, 2017, between the Issuer and Wilmington Trust, National Association, as Trustee (including</w:t>
              </w:r>
            </w:hyperlink>
          </w:p>
        </w:tc>
      </w:tr>
      <w:tr>
        <w:trPr>
          <w:trHeight w:val="182"/>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8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440">
              <w:r>
                <w:rPr>
                  <w:rFonts w:ascii="Arial" w:cs="Arial" w:eastAsia="Arial" w:hAnsi="Arial"/>
                  <w:sz w:val="18"/>
                  <w:szCs w:val="18"/>
                  <w:color w:val="0000FF"/>
                </w:rPr>
                <w:t>form of 4.75% Senior Notes due 2027) (incorporated by reference to Exhibit 4.1 to the Registrant’s Current Report on Form 8-K</w:t>
              </w:r>
            </w:hyperlink>
          </w:p>
        </w:tc>
        <w:tc>
          <w:tcPr>
            <w:tcW w:w="20" w:type="dxa"/>
            <w:vAlign w:val="bottom"/>
          </w:tcPr>
          <w:p>
            <w:pPr>
              <w:spacing w:after="0"/>
              <w:rPr>
                <w:sz w:val="15"/>
                <w:szCs w:val="15"/>
                <w:color w:val="auto"/>
              </w:rPr>
            </w:pPr>
          </w:p>
        </w:tc>
      </w:tr>
      <w:tr>
        <w:trPr>
          <w:trHeight w:val="182"/>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8"/>
              </w:rPr>
            </w:pPr>
            <w:hyperlink r:id="rId440">
              <w:r>
                <w:rPr>
                  <w:rFonts w:ascii="Arial" w:cs="Arial" w:eastAsia="Arial" w:hAnsi="Arial"/>
                  <w:sz w:val="18"/>
                  <w:szCs w:val="18"/>
                  <w:color w:val="0000FF"/>
                  <w:w w:val="98"/>
                </w:rPr>
                <w:t>filed September 26, 2017)</w:t>
              </w:r>
            </w:hyperlink>
          </w:p>
        </w:tc>
        <w:tc>
          <w:tcPr>
            <w:tcW w:w="20" w:type="dxa"/>
            <w:vAlign w:val="bottom"/>
            <w:tcBorders>
              <w:top w:val="single" w:sz="8" w:color="0000FF"/>
              <w:bottom w:val="single" w:sz="8" w:color="0000EE"/>
            </w:tcBorders>
          </w:tcPr>
          <w:p>
            <w:pPr>
              <w:spacing w:after="0"/>
              <w:rPr>
                <w:sz w:val="15"/>
                <w:szCs w:val="15"/>
                <w:color w:val="auto"/>
              </w:rPr>
            </w:pPr>
          </w:p>
        </w:tc>
        <w:tc>
          <w:tcPr>
            <w:tcW w:w="8060" w:type="dxa"/>
            <w:vAlign w:val="bottom"/>
            <w:tcBorders>
              <w:top w:val="single" w:sz="8" w:color="0000FF"/>
            </w:tcBorders>
            <w:gridSpan w:val="16"/>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58"/>
        </w:trPr>
        <w:tc>
          <w:tcPr>
            <w:tcW w:w="800" w:type="dxa"/>
            <w:vAlign w:val="bottom"/>
          </w:tcPr>
          <w:p>
            <w:pPr>
              <w:jc w:val="right"/>
              <w:ind w:right="233"/>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17"/>
          </w:tcPr>
          <w:p>
            <w:pPr>
              <w:spacing w:after="0"/>
              <w:rPr>
                <w:rFonts w:ascii="Arial" w:cs="Arial" w:eastAsia="Arial" w:hAnsi="Arial"/>
                <w:sz w:val="18"/>
                <w:szCs w:val="18"/>
                <w:color w:val="0000FF"/>
                <w:w w:val="99"/>
              </w:rPr>
            </w:pPr>
            <w:hyperlink r:id="rId441">
              <w:r>
                <w:rPr>
                  <w:rFonts w:ascii="Arial" w:cs="Arial" w:eastAsia="Arial" w:hAnsi="Arial"/>
                  <w:sz w:val="18"/>
                  <w:szCs w:val="18"/>
                  <w:color w:val="0000FF"/>
                  <w:w w:val="99"/>
                </w:rPr>
                <w:t>Indenture, dated as of March 29, 2019, between the Issuer and Wilmington Trust, National Association, as Trustee (including</w:t>
              </w:r>
            </w:hyperlink>
          </w:p>
        </w:tc>
        <w:tc>
          <w:tcPr>
            <w:tcW w:w="360" w:type="dxa"/>
            <w:vAlign w:val="bottom"/>
            <w:gridSpan w:val="7"/>
          </w:tcPr>
          <w:p>
            <w:pPr>
              <w:spacing w:after="0"/>
              <w:rPr>
                <w:sz w:val="24"/>
                <w:szCs w:val="24"/>
                <w:color w:val="auto"/>
              </w:rPr>
            </w:pPr>
          </w:p>
        </w:tc>
      </w:tr>
      <w:tr>
        <w:trPr>
          <w:trHeight w:val="182"/>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00" w:type="dxa"/>
            <w:vAlign w:val="bottom"/>
            <w:gridSpan w:val="24"/>
          </w:tcPr>
          <w:p>
            <w:pPr>
              <w:spacing w:after="0" w:line="182" w:lineRule="exact"/>
              <w:rPr>
                <w:rFonts w:ascii="Arial" w:cs="Arial" w:eastAsia="Arial" w:hAnsi="Arial"/>
                <w:sz w:val="18"/>
                <w:szCs w:val="18"/>
                <w:color w:val="0000FF"/>
              </w:rPr>
            </w:pPr>
            <w:hyperlink r:id="rId441">
              <w:r>
                <w:rPr>
                  <w:rFonts w:ascii="Arial" w:cs="Arial" w:eastAsia="Arial" w:hAnsi="Arial"/>
                  <w:sz w:val="18"/>
                  <w:szCs w:val="18"/>
                  <w:color w:val="0000FF"/>
                </w:rPr>
                <w:t>form of 5.875% Senior Notes due 2029) (incorporated by reference to Exhibit 4.1 to the Registrant’s Current Report on Form 8-K</w:t>
              </w:r>
            </w:hyperlink>
          </w:p>
        </w:tc>
      </w:tr>
      <w:tr>
        <w:trPr>
          <w:trHeight w:val="182"/>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8"/>
              </w:rPr>
            </w:pPr>
            <w:hyperlink r:id="rId441">
              <w:r>
                <w:rPr>
                  <w:rFonts w:ascii="Arial" w:cs="Arial" w:eastAsia="Arial" w:hAnsi="Arial"/>
                  <w:sz w:val="18"/>
                  <w:szCs w:val="18"/>
                  <w:color w:val="0000FF"/>
                  <w:w w:val="98"/>
                </w:rPr>
                <w:t>filed March 29, 2019)</w:t>
              </w:r>
            </w:hyperlink>
          </w:p>
        </w:tc>
        <w:tc>
          <w:tcPr>
            <w:tcW w:w="8560" w:type="dxa"/>
            <w:vAlign w:val="bottom"/>
            <w:tcBorders>
              <w:top w:val="single" w:sz="8" w:color="0000FF"/>
            </w:tcBorders>
            <w:gridSpan w:val="20"/>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58"/>
        </w:trPr>
        <w:tc>
          <w:tcPr>
            <w:tcW w:w="800" w:type="dxa"/>
            <w:vAlign w:val="bottom"/>
          </w:tcPr>
          <w:p>
            <w:pPr>
              <w:jc w:val="right"/>
              <w:ind w:right="23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24"/>
          </w:tcPr>
          <w:p>
            <w:pPr>
              <w:spacing w:after="0"/>
              <w:rPr>
                <w:rFonts w:ascii="Arial" w:cs="Arial" w:eastAsia="Arial" w:hAnsi="Arial"/>
                <w:sz w:val="18"/>
                <w:szCs w:val="18"/>
                <w:color w:val="0000FF"/>
              </w:rPr>
            </w:pPr>
            <w:hyperlink r:id="rId442">
              <w:r>
                <w:rPr>
                  <w:rFonts w:ascii="Arial" w:cs="Arial" w:eastAsia="Arial" w:hAnsi="Arial"/>
                  <w:sz w:val="18"/>
                  <w:szCs w:val="18"/>
                  <w:color w:val="0000FF"/>
                </w:rPr>
                <w:t>Indenture, dated as of November 19, 2020, between the Issuer and Wilmington Trust, National Association, as Trustee (including</w:t>
              </w:r>
            </w:hyperlink>
          </w:p>
        </w:tc>
      </w:tr>
      <w:tr>
        <w:trPr>
          <w:trHeight w:val="182"/>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6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442">
              <w:r>
                <w:rPr>
                  <w:rFonts w:ascii="Arial" w:cs="Arial" w:eastAsia="Arial" w:hAnsi="Arial"/>
                  <w:sz w:val="18"/>
                  <w:szCs w:val="18"/>
                  <w:color w:val="0000FF"/>
                </w:rPr>
                <w:t>form of 3.75% Senior Notes due 2031) (incorporated by reference to Exhibit 4.1 to the Registrant’s Current Report on Form 8-K</w:t>
              </w:r>
            </w:hyperlink>
          </w:p>
        </w:tc>
        <w:tc>
          <w:tcPr>
            <w:tcW w:w="40" w:type="dxa"/>
            <w:vAlign w:val="bottom"/>
            <w:gridSpan w:val="2"/>
          </w:tcPr>
          <w:p>
            <w:pPr>
              <w:spacing w:after="0"/>
              <w:rPr>
                <w:sz w:val="15"/>
                <w:szCs w:val="15"/>
                <w:color w:val="auto"/>
              </w:rPr>
            </w:pPr>
          </w:p>
        </w:tc>
      </w:tr>
      <w:tr>
        <w:trPr>
          <w:trHeight w:val="182"/>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442">
              <w:r>
                <w:rPr>
                  <w:rFonts w:ascii="Arial" w:cs="Arial" w:eastAsia="Arial" w:hAnsi="Arial"/>
                  <w:sz w:val="18"/>
                  <w:szCs w:val="18"/>
                  <w:color w:val="0000FF"/>
                </w:rPr>
                <w:t>filed November 19, 2020)</w:t>
              </w:r>
            </w:hyperlink>
          </w:p>
        </w:tc>
        <w:tc>
          <w:tcPr>
            <w:tcW w:w="160" w:type="dxa"/>
            <w:vAlign w:val="bottom"/>
            <w:gridSpan w:val="4"/>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right w:val="single" w:sz="8" w:color="0000EE"/>
            </w:tcBorders>
            <w:gridSpan w:val="2"/>
            <w:shd w:val="clear" w:color="auto" w:fill="0000FF"/>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8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r>
      <w:tr>
        <w:trPr>
          <w:trHeight w:val="358"/>
        </w:trPr>
        <w:tc>
          <w:tcPr>
            <w:tcW w:w="800" w:type="dxa"/>
            <w:vAlign w:val="bottom"/>
          </w:tcPr>
          <w:p>
            <w:pPr>
              <w:jc w:val="right"/>
              <w:ind w:right="233"/>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Description of Securities (filed herewith)</w:t>
            </w:r>
          </w:p>
        </w:tc>
        <w:tc>
          <w:tcPr>
            <w:tcW w:w="7140" w:type="dxa"/>
            <w:vAlign w:val="bottom"/>
            <w:gridSpan w:val="17"/>
          </w:tcPr>
          <w:p>
            <w:pPr>
              <w:spacing w:after="0"/>
              <w:rPr>
                <w:sz w:val="24"/>
                <w:szCs w:val="24"/>
                <w:color w:val="auto"/>
              </w:rPr>
            </w:pPr>
          </w:p>
        </w:tc>
      </w:tr>
      <w:tr>
        <w:trPr>
          <w:trHeight w:val="452"/>
        </w:trPr>
        <w:tc>
          <w:tcPr>
            <w:tcW w:w="800" w:type="dxa"/>
            <w:vAlign w:val="bottom"/>
          </w:tcPr>
          <w:p>
            <w:pPr>
              <w:jc w:val="right"/>
              <w:ind w:right="23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24"/>
          </w:tcPr>
          <w:p>
            <w:pPr>
              <w:spacing w:after="0"/>
              <w:rPr>
                <w:rFonts w:ascii="Arial" w:cs="Arial" w:eastAsia="Arial" w:hAnsi="Arial"/>
                <w:sz w:val="18"/>
                <w:szCs w:val="18"/>
                <w:color w:val="0000FF"/>
              </w:rPr>
            </w:pPr>
            <w:hyperlink r:id="rId443">
              <w:r>
                <w:rPr>
                  <w:rFonts w:ascii="Arial" w:cs="Arial" w:eastAsia="Arial" w:hAnsi="Arial"/>
                  <w:sz w:val="18"/>
                  <w:szCs w:val="18"/>
                  <w:color w:val="0000FF"/>
                </w:rPr>
                <w:t>Second Amended and Restated Credit Agreement, dated as of March 29, 2019, among Allison Transmission Holdings, Inc.,</w:t>
              </w:r>
            </w:hyperlink>
          </w:p>
        </w:tc>
      </w:tr>
      <w:tr>
        <w:trPr>
          <w:trHeight w:val="182"/>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443">
              <w:r>
                <w:rPr>
                  <w:rFonts w:ascii="Arial" w:cs="Arial" w:eastAsia="Arial" w:hAnsi="Arial"/>
                  <w:sz w:val="18"/>
                  <w:szCs w:val="18"/>
                  <w:color w:val="0000FF"/>
                </w:rPr>
                <w:t>Allison Transmission, Inc., as Borrower, the several banks and other financial institutions or entities from time to time parties</w:t>
              </w:r>
            </w:hyperlink>
          </w:p>
        </w:tc>
        <w:tc>
          <w:tcPr>
            <w:tcW w:w="420" w:type="dxa"/>
            <w:vAlign w:val="bottom"/>
            <w:gridSpan w:val="8"/>
          </w:tcPr>
          <w:p>
            <w:pPr>
              <w:spacing w:after="0"/>
              <w:rPr>
                <w:sz w:val="15"/>
                <w:szCs w:val="15"/>
                <w:color w:val="auto"/>
              </w:rPr>
            </w:pPr>
          </w:p>
        </w:tc>
      </w:tr>
      <w:tr>
        <w:trPr>
          <w:trHeight w:val="182"/>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6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443">
              <w:r>
                <w:rPr>
                  <w:rFonts w:ascii="Arial" w:cs="Arial" w:eastAsia="Arial" w:hAnsi="Arial"/>
                  <w:sz w:val="18"/>
                  <w:szCs w:val="18"/>
                  <w:color w:val="0000FF"/>
                </w:rPr>
                <w:t>thereto as lenders and Citibank, N.A., as Administrative Agent (incorporated by reference to Exhibit 10.1 to the Registrant’s</w:t>
              </w:r>
            </w:hyperlink>
          </w:p>
        </w:tc>
        <w:tc>
          <w:tcPr>
            <w:tcW w:w="440" w:type="dxa"/>
            <w:vAlign w:val="bottom"/>
            <w:gridSpan w:val="9"/>
          </w:tcPr>
          <w:p>
            <w:pPr>
              <w:spacing w:after="0"/>
              <w:rPr>
                <w:sz w:val="15"/>
                <w:szCs w:val="15"/>
                <w:color w:val="auto"/>
              </w:rPr>
            </w:pPr>
          </w:p>
        </w:tc>
      </w:tr>
      <w:tr>
        <w:trPr>
          <w:trHeight w:val="182"/>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443">
              <w:r>
                <w:rPr>
                  <w:rFonts w:ascii="Arial" w:cs="Arial" w:eastAsia="Arial" w:hAnsi="Arial"/>
                  <w:sz w:val="18"/>
                  <w:szCs w:val="18"/>
                  <w:color w:val="0000FF"/>
                </w:rPr>
                <w:t>Current Report on Form 8-K filed March 29, 2019)</w:t>
              </w:r>
            </w:hyperlink>
          </w:p>
        </w:tc>
        <w:tc>
          <w:tcPr>
            <w:tcW w:w="500" w:type="dxa"/>
            <w:vAlign w:val="bottom"/>
            <w:gridSpan w:val="10"/>
          </w:tcPr>
          <w:p>
            <w:pPr>
              <w:spacing w:after="0"/>
              <w:rPr>
                <w:sz w:val="15"/>
                <w:szCs w:val="15"/>
                <w:color w:val="auto"/>
              </w:rPr>
            </w:pPr>
          </w:p>
        </w:tc>
      </w:tr>
      <w:tr>
        <w:trPr>
          <w:trHeight w:val="604"/>
        </w:trPr>
        <w:tc>
          <w:tcPr>
            <w:tcW w:w="80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3960" w:type="dxa"/>
            <w:vAlign w:val="bottom"/>
            <w:tcBorders>
              <w:top w:val="single" w:sz="8" w:color="0000FF"/>
            </w:tcBorders>
            <w:gridSpan w:val="9"/>
          </w:tcPr>
          <w:p>
            <w:pPr>
              <w:spacing w:after="0"/>
              <w:rPr>
                <w:sz w:val="24"/>
                <w:szCs w:val="24"/>
                <w:color w:val="auto"/>
              </w:rPr>
            </w:pPr>
          </w:p>
        </w:tc>
        <w:tc>
          <w:tcPr>
            <w:tcW w:w="3480" w:type="dxa"/>
            <w:vAlign w:val="bottom"/>
          </w:tcPr>
          <w:p>
            <w:pPr>
              <w:jc w:val="right"/>
              <w:ind w:right="2579"/>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45"/>
        </w:trPr>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1" w:lineRule="exact"/>
        <w:rPr>
          <w:sz w:val="20"/>
          <w:szCs w:val="20"/>
          <w:color w:val="auto"/>
        </w:rPr>
      </w:pPr>
    </w:p>
    <w:p>
      <w:pPr>
        <w:ind w:left="920" w:right="200" w:hanging="803"/>
        <w:spacing w:after="0" w:line="243"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447">
        <w:r>
          <w:rPr>
            <w:rFonts w:ascii="Arial" w:cs="Arial" w:eastAsia="Arial" w:hAnsi="Arial"/>
            <w:sz w:val="18"/>
            <w:szCs w:val="18"/>
            <w:u w:val="single" w:color="auto"/>
            <w:color w:val="0000FF"/>
          </w:rPr>
          <w:t>Amendment No. 1 dated October 11, 2019, to the Second Amended and Restated Credit Agreement, dated as of March 29,</w:t>
        </w:r>
      </w:hyperlink>
      <w:r>
        <w:rPr>
          <w:rFonts w:ascii="Arial" w:cs="Arial" w:eastAsia="Arial" w:hAnsi="Arial"/>
          <w:sz w:val="18"/>
          <w:szCs w:val="18"/>
          <w:u w:val="single" w:color="auto"/>
          <w:color w:val="0000FF"/>
        </w:rPr>
        <w:t xml:space="preserve"> </w:t>
      </w:r>
      <w:hyperlink r:id="rId447">
        <w:r>
          <w:rPr>
            <w:rFonts w:ascii="Arial" w:cs="Arial" w:eastAsia="Arial" w:hAnsi="Arial"/>
            <w:sz w:val="18"/>
            <w:szCs w:val="18"/>
            <w:u w:val="single" w:color="auto"/>
            <w:color w:val="0000FF"/>
          </w:rPr>
          <w:t>2019, among Allison Transmission Holdings, Inc., Allison Transmission, Inc., as Borrower, the several banks and other financial</w:t>
        </w:r>
      </w:hyperlink>
      <w:r>
        <w:rPr>
          <w:rFonts w:ascii="Arial" w:cs="Arial" w:eastAsia="Arial" w:hAnsi="Arial"/>
          <w:sz w:val="18"/>
          <w:szCs w:val="18"/>
          <w:u w:val="single" w:color="auto"/>
          <w:color w:val="0000FF"/>
        </w:rPr>
        <w:t xml:space="preserve"> </w:t>
      </w:r>
      <w:hyperlink r:id="rId447">
        <w:r>
          <w:rPr>
            <w:rFonts w:ascii="Arial" w:cs="Arial" w:eastAsia="Arial" w:hAnsi="Arial"/>
            <w:sz w:val="18"/>
            <w:szCs w:val="18"/>
            <w:u w:val="single" w:color="auto"/>
            <w:color w:val="0000FF"/>
          </w:rPr>
          <w:t>institutions or entities from time to time parties thereto as lenders, Citibank, N.A as Administrative Agent and as the 2019</w:t>
        </w:r>
      </w:hyperlink>
      <w:r>
        <w:rPr>
          <w:rFonts w:ascii="Arial" w:cs="Arial" w:eastAsia="Arial" w:hAnsi="Arial"/>
          <w:sz w:val="18"/>
          <w:szCs w:val="18"/>
          <w:u w:val="single" w:color="auto"/>
          <w:color w:val="0000FF"/>
        </w:rPr>
        <w:t xml:space="preserve"> </w:t>
      </w:r>
      <w:hyperlink r:id="rId447">
        <w:r>
          <w:rPr>
            <w:rFonts w:ascii="Arial" w:cs="Arial" w:eastAsia="Arial" w:hAnsi="Arial"/>
            <w:sz w:val="18"/>
            <w:szCs w:val="18"/>
            <w:u w:val="single" w:color="auto"/>
            <w:color w:val="0000FF"/>
          </w:rPr>
          <w:t>refinancing term lender and the other agents and arrangers party thereto (incorporated by reference to Exhibit 10.1 to the</w:t>
        </w:r>
      </w:hyperlink>
      <w:r>
        <w:rPr>
          <w:rFonts w:ascii="Arial" w:cs="Arial" w:eastAsia="Arial" w:hAnsi="Arial"/>
          <w:sz w:val="18"/>
          <w:szCs w:val="18"/>
          <w:u w:val="single" w:color="auto"/>
          <w:color w:val="0000FF"/>
        </w:rPr>
        <w:t xml:space="preserve"> </w:t>
      </w:r>
      <w:hyperlink r:id="rId447">
        <w:r>
          <w:rPr>
            <w:rFonts w:ascii="Arial" w:cs="Arial" w:eastAsia="Arial" w:hAnsi="Arial"/>
            <w:sz w:val="18"/>
            <w:szCs w:val="18"/>
            <w:u w:val="single" w:color="auto"/>
            <w:color w:val="0000FF"/>
          </w:rPr>
          <w:t>Registrant’s Current Report on Form 8-K filed October 15,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587375</wp:posOffset>
            </wp:positionH>
            <wp:positionV relativeFrom="paragraph">
              <wp:posOffset>-541655</wp:posOffset>
            </wp:positionV>
            <wp:extent cx="626554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8">
                      <a:extLst>
                        <a:ext uri="{28A0092B-C50C-407E-A947-70E740481C1C}"/>
                      </a:extLst>
                    </a:blip>
                    <a:srcRect/>
                    <a:stretch>
                      <a:fillRect/>
                    </a:stretch>
                  </pic:blipFill>
                  <pic:spPr bwMode="auto">
                    <a:xfrm>
                      <a:off x="0" y="0"/>
                      <a:ext cx="626554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-412750</wp:posOffset>
            </wp:positionV>
            <wp:extent cx="644207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9">
                      <a:extLst>
                        <a:ext uri="{28A0092B-C50C-407E-A947-70E740481C1C}"/>
                      </a:extLst>
                    </a:blip>
                    <a:srcRect/>
                    <a:stretch>
                      <a:fillRect/>
                    </a:stretch>
                  </pic:blipFill>
                  <pic:spPr bwMode="auto">
                    <a:xfrm>
                      <a:off x="0" y="0"/>
                      <a:ext cx="644207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-284480</wp:posOffset>
            </wp:positionV>
            <wp:extent cx="610806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0">
                      <a:extLst>
                        <a:ext uri="{28A0092B-C50C-407E-A947-70E740481C1C}"/>
                      </a:extLst>
                    </a:blip>
                    <a:srcRect/>
                    <a:stretch>
                      <a:fillRect/>
                    </a:stretch>
                  </pic:blipFill>
                  <pic:spPr bwMode="auto">
                    <a:xfrm>
                      <a:off x="0" y="0"/>
                      <a:ext cx="610806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-156210</wp:posOffset>
            </wp:positionV>
            <wp:extent cx="613410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1">
                      <a:extLst>
                        <a:ext uri="{28A0092B-C50C-407E-A947-70E740481C1C}"/>
                      </a:extLst>
                    </a:blip>
                    <a:srcRect/>
                    <a:stretch>
                      <a:fillRect/>
                    </a:stretch>
                  </pic:blipFill>
                  <pic:spPr bwMode="auto">
                    <a:xfrm>
                      <a:off x="0" y="0"/>
                      <a:ext cx="613410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-27940</wp:posOffset>
            </wp:positionV>
            <wp:extent cx="324548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2">
                      <a:extLst>
                        <a:ext uri="{28A0092B-C50C-407E-A947-70E740481C1C}"/>
                      </a:extLst>
                    </a:blip>
                    <a:srcRect/>
                    <a:stretch>
                      <a:fillRect/>
                    </a:stretch>
                  </pic:blipFill>
                  <pic:spPr bwMode="auto">
                    <a:xfrm>
                      <a:off x="0" y="0"/>
                      <a:ext cx="3245485" cy="8255"/>
                    </a:xfrm>
                    <a:prstGeom prst="rect">
                      <a:avLst/>
                    </a:prstGeom>
                    <a:noFill/>
                  </pic:spPr>
                </pic:pic>
              </a:graphicData>
            </a:graphic>
          </wp:anchor>
        </w:drawing>
      </w:r>
    </w:p>
    <w:p>
      <w:pPr>
        <w:spacing w:after="0" w:line="119" w:lineRule="exact"/>
        <w:rPr>
          <w:rFonts w:ascii="Arial" w:cs="Arial" w:eastAsia="Arial" w:hAnsi="Arial"/>
          <w:sz w:val="18"/>
          <w:szCs w:val="18"/>
          <w:u w:val="single" w:color="auto"/>
          <w:color w:val="0000FF"/>
        </w:rPr>
      </w:pPr>
    </w:p>
    <w:p>
      <w:pPr>
        <w:jc w:val="right"/>
        <w:ind w:left="120"/>
        <w:spacing w:after="0" w:line="24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     </w:t>
      </w:r>
      <w:hyperlink r:id="rId453">
        <w:r>
          <w:rPr>
            <w:rFonts w:ascii="Arial" w:cs="Arial" w:eastAsia="Arial" w:hAnsi="Arial"/>
            <w:sz w:val="18"/>
            <w:szCs w:val="18"/>
            <w:u w:val="single" w:color="auto"/>
            <w:color w:val="0000FF"/>
          </w:rPr>
          <w:t>Amendment No. 2 dated as of November 19, 2020, by and among Allison Transmission Holdings, Inc., Allison Transmission, Inc.,</w:t>
        </w:r>
      </w:hyperlink>
      <w:r>
        <w:rPr>
          <w:rFonts w:ascii="Arial" w:cs="Arial" w:eastAsia="Arial" w:hAnsi="Arial"/>
          <w:sz w:val="18"/>
          <w:szCs w:val="18"/>
          <w:color w:val="auto"/>
        </w:rPr>
        <w:t xml:space="preserve"> </w:t>
      </w:r>
      <w:hyperlink r:id="rId453">
        <w:r>
          <w:rPr>
            <w:rFonts w:ascii="Arial" w:cs="Arial" w:eastAsia="Arial" w:hAnsi="Arial"/>
            <w:sz w:val="18"/>
            <w:szCs w:val="18"/>
            <w:u w:val="single" w:color="auto"/>
            <w:color w:val="0000FF"/>
          </w:rPr>
          <w:t>as Borrower, the several banks and other financial institutions party thereto, as 2020 Revolving Credit Lenders and Citibank, N.A.,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-143510</wp:posOffset>
            </wp:positionV>
            <wp:extent cx="654177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4">
                      <a:extLst>
                        <a:ext uri="{28A0092B-C50C-407E-A947-70E740481C1C}"/>
                      </a:extLst>
                    </a:blip>
                    <a:srcRect/>
                    <a:stretch>
                      <a:fillRect/>
                    </a:stretch>
                  </pic:blipFill>
                  <pic:spPr bwMode="auto">
                    <a:xfrm>
                      <a:off x="0" y="0"/>
                      <a:ext cx="654177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-14605</wp:posOffset>
            </wp:positionV>
            <wp:extent cx="654177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5">
                      <a:extLst>
                        <a:ext uri="{28A0092B-C50C-407E-A947-70E740481C1C}"/>
                      </a:extLst>
                    </a:blip>
                    <a:srcRect/>
                    <a:stretch>
                      <a:fillRect/>
                    </a:stretch>
                  </pic:blipFill>
                  <pic:spPr bwMode="auto">
                    <a:xfrm>
                      <a:off x="0" y="0"/>
                      <a:ext cx="6541770" cy="8255"/>
                    </a:xfrm>
                    <a:prstGeom prst="rect">
                      <a:avLst/>
                    </a:prstGeom>
                    <a:noFill/>
                  </pic:spPr>
                </pic:pic>
              </a:graphicData>
            </a:graphic>
          </wp:anchor>
        </w:drawing>
      </w:r>
    </w:p>
    <w:p>
      <w:pPr>
        <w:ind w:left="920" w:right="220"/>
        <w:spacing w:after="0" w:line="258" w:lineRule="auto"/>
        <w:rPr>
          <w:rFonts w:ascii="Arial" w:cs="Arial" w:eastAsia="Arial" w:hAnsi="Arial"/>
          <w:sz w:val="17"/>
          <w:szCs w:val="17"/>
          <w:u w:val="single" w:color="auto"/>
          <w:color w:val="0000FF"/>
        </w:rPr>
      </w:pPr>
      <w:hyperlink r:id="rId453">
        <w:r>
          <w:rPr>
            <w:rFonts w:ascii="Arial" w:cs="Arial" w:eastAsia="Arial" w:hAnsi="Arial"/>
            <w:sz w:val="17"/>
            <w:szCs w:val="17"/>
            <w:u w:val="single" w:color="auto"/>
            <w:color w:val="0000FF"/>
          </w:rPr>
          <w:t>as Administrative Agent amending the Second Amended and Restated Credit Agreement, dated as of March 29, 2019, among</w:t>
        </w:r>
      </w:hyperlink>
      <w:r>
        <w:rPr>
          <w:rFonts w:ascii="Arial" w:cs="Arial" w:eastAsia="Arial" w:hAnsi="Arial"/>
          <w:sz w:val="17"/>
          <w:szCs w:val="17"/>
          <w:u w:val="single" w:color="auto"/>
          <w:color w:val="0000FF"/>
        </w:rPr>
        <w:t xml:space="preserve"> </w:t>
      </w:r>
      <w:hyperlink r:id="rId453">
        <w:r>
          <w:rPr>
            <w:rFonts w:ascii="Arial" w:cs="Arial" w:eastAsia="Arial" w:hAnsi="Arial"/>
            <w:sz w:val="17"/>
            <w:szCs w:val="17"/>
            <w:u w:val="single" w:color="auto"/>
            <w:color w:val="0000FF"/>
          </w:rPr>
          <w:t>Allison Transmission Holdings, Inc., Allison Transmission, Inc., the several banks and other financial institutions or entities from</w:t>
        </w:r>
      </w:hyperlink>
      <w:r>
        <w:rPr>
          <w:rFonts w:ascii="Arial" w:cs="Arial" w:eastAsia="Arial" w:hAnsi="Arial"/>
          <w:sz w:val="17"/>
          <w:szCs w:val="17"/>
          <w:u w:val="single" w:color="auto"/>
          <w:color w:val="0000FF"/>
        </w:rPr>
        <w:t xml:space="preserve"> </w:t>
      </w:r>
      <w:hyperlink r:id="rId453">
        <w:r>
          <w:rPr>
            <w:rFonts w:ascii="Arial" w:cs="Arial" w:eastAsia="Arial" w:hAnsi="Arial"/>
            <w:sz w:val="17"/>
            <w:szCs w:val="17"/>
            <w:u w:val="single" w:color="auto"/>
            <w:color w:val="0000FF"/>
          </w:rPr>
          <w:t>time to time parties thereto as lenders, Citibank, N.A., as Administrative Agent and Citicorp North America, Inc., as Collateral</w:t>
        </w:r>
      </w:hyperlink>
      <w:r>
        <w:rPr>
          <w:rFonts w:ascii="Arial" w:cs="Arial" w:eastAsia="Arial" w:hAnsi="Arial"/>
          <w:sz w:val="17"/>
          <w:szCs w:val="17"/>
          <w:u w:val="single" w:color="auto"/>
          <w:color w:val="0000FF"/>
        </w:rPr>
        <w:t xml:space="preserve"> </w:t>
      </w:r>
      <w:hyperlink r:id="rId453">
        <w:r>
          <w:rPr>
            <w:rFonts w:ascii="Arial" w:cs="Arial" w:eastAsia="Arial" w:hAnsi="Arial"/>
            <w:sz w:val="17"/>
            <w:szCs w:val="17"/>
            <w:u w:val="single" w:color="auto"/>
            <w:color w:val="0000FF"/>
          </w:rPr>
          <w:t>Agent (incorporated by reference to Exhibit 10.1 to the Registrant’s Current Report on Form 8-K filed November 19, 2020)</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587375</wp:posOffset>
            </wp:positionH>
            <wp:positionV relativeFrom="paragraph">
              <wp:posOffset>-421005</wp:posOffset>
            </wp:positionV>
            <wp:extent cx="639445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6">
                      <a:extLst>
                        <a:ext uri="{28A0092B-C50C-407E-A947-70E740481C1C}"/>
                      </a:extLst>
                    </a:blip>
                    <a:srcRect/>
                    <a:stretch>
                      <a:fillRect/>
                    </a:stretch>
                  </pic:blipFill>
                  <pic:spPr bwMode="auto">
                    <a:xfrm>
                      <a:off x="0" y="0"/>
                      <a:ext cx="639445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-292735</wp:posOffset>
            </wp:positionV>
            <wp:extent cx="642937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7">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-164465</wp:posOffset>
            </wp:positionV>
            <wp:extent cx="631063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8">
                      <a:extLst>
                        <a:ext uri="{28A0092B-C50C-407E-A947-70E740481C1C}"/>
                      </a:extLst>
                    </a:blip>
                    <a:srcRect/>
                    <a:stretch>
                      <a:fillRect/>
                    </a:stretch>
                  </pic:blipFill>
                  <pic:spPr bwMode="auto">
                    <a:xfrm>
                      <a:off x="0" y="0"/>
                      <a:ext cx="631063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-36195</wp:posOffset>
            </wp:positionV>
            <wp:extent cx="613791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9">
                      <a:extLst>
                        <a:ext uri="{28A0092B-C50C-407E-A947-70E740481C1C}"/>
                      </a:extLst>
                    </a:blip>
                    <a:srcRect/>
                    <a:stretch>
                      <a:fillRect/>
                    </a:stretch>
                  </pic:blipFill>
                  <pic:spPr bwMode="auto">
                    <a:xfrm>
                      <a:off x="0" y="0"/>
                      <a:ext cx="6137910" cy="8255"/>
                    </a:xfrm>
                    <a:prstGeom prst="rect">
                      <a:avLst/>
                    </a:prstGeom>
                    <a:noFill/>
                  </pic:spPr>
                </pic:pic>
              </a:graphicData>
            </a:graphic>
          </wp:anchor>
        </w:drawing>
      </w:r>
    </w:p>
    <w:p>
      <w:pPr>
        <w:spacing w:after="0" w:line="106" w:lineRule="exact"/>
        <w:rPr>
          <w:rFonts w:ascii="Arial" w:cs="Arial" w:eastAsia="Arial" w:hAnsi="Arial"/>
          <w:sz w:val="17"/>
          <w:szCs w:val="17"/>
          <w:u w:val="single" w:color="auto"/>
          <w:color w:val="0000FF"/>
        </w:rPr>
      </w:pPr>
    </w:p>
    <w:p>
      <w:pPr>
        <w:ind w:left="920" w:right="80" w:hanging="803"/>
        <w:spacing w:after="0" w:line="243"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460">
        <w:r>
          <w:rPr>
            <w:rFonts w:ascii="Arial" w:cs="Arial" w:eastAsia="Arial" w:hAnsi="Arial"/>
            <w:sz w:val="18"/>
            <w:szCs w:val="18"/>
            <w:u w:val="single" w:color="auto"/>
            <w:color w:val="0000FF"/>
          </w:rPr>
          <w:t>Amendment No. 3 to Credit Agreement, dated February 28, 2023, by and among Allison Transmission Inc., Allison Transmission</w:t>
        </w:r>
      </w:hyperlink>
      <w:r>
        <w:rPr>
          <w:rFonts w:ascii="Arial" w:cs="Arial" w:eastAsia="Arial" w:hAnsi="Arial"/>
          <w:sz w:val="18"/>
          <w:szCs w:val="18"/>
          <w:u w:val="single" w:color="auto"/>
          <w:color w:val="0000FF"/>
        </w:rPr>
        <w:t xml:space="preserve"> </w:t>
      </w:r>
      <w:hyperlink r:id="rId460">
        <w:r>
          <w:rPr>
            <w:rFonts w:ascii="Arial" w:cs="Arial" w:eastAsia="Arial" w:hAnsi="Arial"/>
            <w:sz w:val="18"/>
            <w:szCs w:val="18"/>
            <w:u w:val="single" w:color="auto"/>
            <w:color w:val="0000FF"/>
          </w:rPr>
          <w:t>Holdings, Inc., and Citibank N.A., as administrative agent, to the Second Amended and Restated Credit Agreement, dated as of</w:t>
        </w:r>
      </w:hyperlink>
      <w:r>
        <w:rPr>
          <w:rFonts w:ascii="Arial" w:cs="Arial" w:eastAsia="Arial" w:hAnsi="Arial"/>
          <w:sz w:val="18"/>
          <w:szCs w:val="18"/>
          <w:u w:val="single" w:color="auto"/>
          <w:color w:val="0000FF"/>
        </w:rPr>
        <w:t xml:space="preserve"> </w:t>
      </w:r>
      <w:hyperlink r:id="rId460">
        <w:r>
          <w:rPr>
            <w:rFonts w:ascii="Arial" w:cs="Arial" w:eastAsia="Arial" w:hAnsi="Arial"/>
            <w:sz w:val="18"/>
            <w:szCs w:val="18"/>
            <w:u w:val="single" w:color="auto"/>
            <w:color w:val="0000FF"/>
          </w:rPr>
          <w:t>March 29, 2019, among Allison Transmission Holdings, Inc., Allison Transmission, Inc., as borrower, the several banks and other</w:t>
        </w:r>
      </w:hyperlink>
      <w:r>
        <w:rPr>
          <w:rFonts w:ascii="Arial" w:cs="Arial" w:eastAsia="Arial" w:hAnsi="Arial"/>
          <w:sz w:val="18"/>
          <w:szCs w:val="18"/>
          <w:u w:val="single" w:color="auto"/>
          <w:color w:val="0000FF"/>
        </w:rPr>
        <w:t xml:space="preserve"> </w:t>
      </w:r>
      <w:hyperlink r:id="rId460">
        <w:r>
          <w:rPr>
            <w:rFonts w:ascii="Arial" w:cs="Arial" w:eastAsia="Arial" w:hAnsi="Arial"/>
            <w:sz w:val="18"/>
            <w:szCs w:val="18"/>
            <w:u w:val="single" w:color="auto"/>
            <w:color w:val="0000FF"/>
          </w:rPr>
          <w:t>financial institutions or entities from time to time parties thereto as lenders and Citibank, N.A., as administrative agent</w:t>
        </w:r>
      </w:hyperlink>
      <w:r>
        <w:rPr>
          <w:rFonts w:ascii="Arial" w:cs="Arial" w:eastAsia="Arial" w:hAnsi="Arial"/>
          <w:sz w:val="18"/>
          <w:szCs w:val="18"/>
          <w:u w:val="single" w:color="auto"/>
          <w:color w:val="0000FF"/>
        </w:rPr>
        <w:t xml:space="preserve"> </w:t>
      </w:r>
      <w:hyperlink r:id="rId460">
        <w:r>
          <w:rPr>
            <w:rFonts w:ascii="Arial" w:cs="Arial" w:eastAsia="Arial" w:hAnsi="Arial"/>
            <w:sz w:val="18"/>
            <w:szCs w:val="18"/>
            <w:u w:val="single" w:color="auto"/>
            <w:color w:val="0000FF"/>
          </w:rPr>
          <w:t>(incorporated by reference to Exhibit 10.1 to the Registrant’s Current Report on Form 8-K filed March 6, 2023)</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587375</wp:posOffset>
            </wp:positionH>
            <wp:positionV relativeFrom="paragraph">
              <wp:posOffset>-541655</wp:posOffset>
            </wp:positionV>
            <wp:extent cx="649922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1">
                      <a:extLst>
                        <a:ext uri="{28A0092B-C50C-407E-A947-70E740481C1C}"/>
                      </a:extLst>
                    </a:blip>
                    <a:srcRect/>
                    <a:stretch>
                      <a:fillRect/>
                    </a:stretch>
                  </pic:blipFill>
                  <pic:spPr bwMode="auto">
                    <a:xfrm>
                      <a:off x="0" y="0"/>
                      <a:ext cx="649922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-412750</wp:posOffset>
            </wp:positionV>
            <wp:extent cx="646430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2">
                      <a:extLst>
                        <a:ext uri="{28A0092B-C50C-407E-A947-70E740481C1C}"/>
                      </a:extLst>
                    </a:blip>
                    <a:srcRect/>
                    <a:stretch>
                      <a:fillRect/>
                    </a:stretch>
                  </pic:blipFill>
                  <pic:spPr bwMode="auto">
                    <a:xfrm>
                      <a:off x="0" y="0"/>
                      <a:ext cx="646430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-284480</wp:posOffset>
            </wp:positionV>
            <wp:extent cx="651827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3">
                      <a:extLst>
                        <a:ext uri="{28A0092B-C50C-407E-A947-70E740481C1C}"/>
                      </a:extLst>
                    </a:blip>
                    <a:srcRect/>
                    <a:stretch>
                      <a:fillRect/>
                    </a:stretch>
                  </pic:blipFill>
                  <pic:spPr bwMode="auto">
                    <a:xfrm>
                      <a:off x="0" y="0"/>
                      <a:ext cx="651827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-156210</wp:posOffset>
            </wp:positionV>
            <wp:extent cx="593661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4">
                      <a:extLst>
                        <a:ext uri="{28A0092B-C50C-407E-A947-70E740481C1C}"/>
                      </a:extLst>
                    </a:blip>
                    <a:srcRect/>
                    <a:stretch>
                      <a:fillRect/>
                    </a:stretch>
                  </pic:blipFill>
                  <pic:spPr bwMode="auto">
                    <a:xfrm>
                      <a:off x="0" y="0"/>
                      <a:ext cx="593661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-27940</wp:posOffset>
            </wp:positionV>
            <wp:extent cx="553529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5">
                      <a:extLst>
                        <a:ext uri="{28A0092B-C50C-407E-A947-70E740481C1C}"/>
                      </a:extLst>
                    </a:blip>
                    <a:srcRect/>
                    <a:stretch>
                      <a:fillRect/>
                    </a:stretch>
                  </pic:blipFill>
                  <pic:spPr bwMode="auto">
                    <a:xfrm>
                      <a:off x="0" y="0"/>
                      <a:ext cx="5535295" cy="8255"/>
                    </a:xfrm>
                    <a:prstGeom prst="rect">
                      <a:avLst/>
                    </a:prstGeom>
                    <a:noFill/>
                  </pic:spPr>
                </pic:pic>
              </a:graphicData>
            </a:graphic>
          </wp:anchor>
        </w:drawing>
      </w:r>
    </w:p>
    <w:p>
      <w:pPr>
        <w:spacing w:after="0" w:line="119" w:lineRule="exact"/>
        <w:rPr>
          <w:rFonts w:ascii="Arial" w:cs="Arial" w:eastAsia="Arial" w:hAnsi="Arial"/>
          <w:sz w:val="18"/>
          <w:szCs w:val="18"/>
          <w:u w:val="single" w:color="auto"/>
          <w:color w:val="0000FF"/>
        </w:rPr>
      </w:pPr>
    </w:p>
    <w:p>
      <w:pPr>
        <w:ind w:left="920" w:right="180" w:hanging="803"/>
        <w:spacing w:after="0" w:line="274"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10.5</w:t>
      </w:r>
      <w:r>
        <w:rPr>
          <w:sz w:val="20"/>
          <w:szCs w:val="20"/>
          <w:color w:val="auto"/>
        </w:rPr>
        <w:tab/>
      </w:r>
      <w:hyperlink r:id="rId466">
        <w:r>
          <w:rPr>
            <w:rFonts w:ascii="Arial" w:cs="Arial" w:eastAsia="Arial" w:hAnsi="Arial"/>
            <w:sz w:val="17"/>
            <w:szCs w:val="17"/>
            <w:u w:val="single" w:color="auto"/>
            <w:color w:val="0000FF"/>
          </w:rPr>
          <w:t>Guarantee And Collateral Agreement made by Allison Transmission Holdings, Inc., Allison Transmission, Inc., as Borrower, and</w:t>
        </w:r>
      </w:hyperlink>
      <w:r>
        <w:rPr>
          <w:rFonts w:ascii="Arial" w:cs="Arial" w:eastAsia="Arial" w:hAnsi="Arial"/>
          <w:sz w:val="17"/>
          <w:szCs w:val="17"/>
          <w:u w:val="single" w:color="auto"/>
          <w:color w:val="0000FF"/>
        </w:rPr>
        <w:t xml:space="preserve"> </w:t>
      </w:r>
      <w:hyperlink r:id="rId466">
        <w:r>
          <w:rPr>
            <w:rFonts w:ascii="Arial" w:cs="Arial" w:eastAsia="Arial" w:hAnsi="Arial"/>
            <w:sz w:val="17"/>
            <w:szCs w:val="17"/>
            <w:u w:val="single" w:color="auto"/>
            <w:color w:val="0000FF"/>
          </w:rPr>
          <w:t>the Subsidiary Guarantors party thereto in favor of Citicorp North America, Inc., as Administrative Agent, dated as of August 7,</w:t>
        </w:r>
      </w:hyperlink>
      <w:r>
        <w:rPr>
          <w:rFonts w:ascii="Arial" w:cs="Arial" w:eastAsia="Arial" w:hAnsi="Arial"/>
          <w:sz w:val="17"/>
          <w:szCs w:val="17"/>
          <w:u w:val="single" w:color="auto"/>
          <w:color w:val="0000FF"/>
        </w:rPr>
        <w:t xml:space="preserve"> </w:t>
      </w:r>
      <w:hyperlink r:id="rId466">
        <w:r>
          <w:rPr>
            <w:rFonts w:ascii="Arial" w:cs="Arial" w:eastAsia="Arial" w:hAnsi="Arial"/>
            <w:sz w:val="17"/>
            <w:szCs w:val="17"/>
            <w:u w:val="single" w:color="auto"/>
            <w:color w:val="0000FF"/>
          </w:rPr>
          <w:t>2007 (incorporated by reference to Exhibit 10.3 to the Registrant’s Registration Statement on Form S-1 filed March 18, 2011)</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587375</wp:posOffset>
            </wp:positionH>
            <wp:positionV relativeFrom="paragraph">
              <wp:posOffset>-300990</wp:posOffset>
            </wp:positionV>
            <wp:extent cx="645477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7">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-172720</wp:posOffset>
            </wp:positionV>
            <wp:extent cx="639381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8">
                      <a:extLst>
                        <a:ext uri="{28A0092B-C50C-407E-A947-70E740481C1C}"/>
                      </a:extLst>
                    </a:blip>
                    <a:srcRect/>
                    <a:stretch>
                      <a:fillRect/>
                    </a:stretch>
                  </pic:blipFill>
                  <pic:spPr bwMode="auto">
                    <a:xfrm>
                      <a:off x="0" y="0"/>
                      <a:ext cx="639381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-44450</wp:posOffset>
            </wp:positionV>
            <wp:extent cx="62820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9">
                      <a:extLst>
                        <a:ext uri="{28A0092B-C50C-407E-A947-70E740481C1C}"/>
                      </a:extLst>
                    </a:blip>
                    <a:srcRect/>
                    <a:stretch>
                      <a:fillRect/>
                    </a:stretch>
                  </pic:blipFill>
                  <pic:spPr bwMode="auto">
                    <a:xfrm>
                      <a:off x="0" y="0"/>
                      <a:ext cx="6282055" cy="8255"/>
                    </a:xfrm>
                    <a:prstGeom prst="rect">
                      <a:avLst/>
                    </a:prstGeom>
                    <a:noFill/>
                  </pic:spPr>
                </pic:pic>
              </a:graphicData>
            </a:graphic>
          </wp:anchor>
        </w:drawing>
      </w:r>
    </w:p>
    <w:p>
      <w:pPr>
        <w:spacing w:after="0" w:line="93" w:lineRule="exact"/>
        <w:rPr>
          <w:rFonts w:ascii="Arial" w:cs="Arial" w:eastAsia="Arial" w:hAnsi="Arial"/>
          <w:sz w:val="17"/>
          <w:szCs w:val="17"/>
          <w:u w:val="single" w:color="auto"/>
          <w:color w:val="0000FF"/>
        </w:rPr>
      </w:pPr>
    </w:p>
    <w:p>
      <w:pPr>
        <w:ind w:left="920" w:right="140" w:hanging="803"/>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470">
        <w:r>
          <w:rPr>
            <w:rFonts w:ascii="Arial" w:cs="Arial" w:eastAsia="Arial" w:hAnsi="Arial"/>
            <w:sz w:val="18"/>
            <w:szCs w:val="18"/>
            <w:u w:val="single" w:color="auto"/>
            <w:color w:val="0000FF"/>
          </w:rPr>
          <w:t>Trademark Security Agreement made by Allison Transmission, Inc. in favor of Citicorp North America, Inc., as Administrative</w:t>
        </w:r>
      </w:hyperlink>
      <w:r>
        <w:rPr>
          <w:rFonts w:ascii="Arial" w:cs="Arial" w:eastAsia="Arial" w:hAnsi="Arial"/>
          <w:sz w:val="18"/>
          <w:szCs w:val="18"/>
          <w:u w:val="single" w:color="auto"/>
          <w:color w:val="0000FF"/>
        </w:rPr>
        <w:t xml:space="preserve"> </w:t>
      </w:r>
      <w:hyperlink r:id="rId470">
        <w:r>
          <w:rPr>
            <w:rFonts w:ascii="Arial" w:cs="Arial" w:eastAsia="Arial" w:hAnsi="Arial"/>
            <w:sz w:val="18"/>
            <w:szCs w:val="18"/>
            <w:u w:val="single" w:color="auto"/>
            <w:color w:val="0000FF"/>
          </w:rPr>
          <w:t>Agent, dated as of August 7, 2007 (incorporated by reference to Exhibit 10.4 to the Registrant’s Registration Statement on Form</w:t>
        </w:r>
      </w:hyperlink>
      <w:r>
        <w:rPr>
          <w:rFonts w:ascii="Arial" w:cs="Arial" w:eastAsia="Arial" w:hAnsi="Arial"/>
          <w:sz w:val="18"/>
          <w:szCs w:val="18"/>
          <w:u w:val="single" w:color="auto"/>
          <w:color w:val="0000FF"/>
        </w:rPr>
        <w:t xml:space="preserve"> </w:t>
      </w:r>
      <w:hyperlink r:id="rId470">
        <w:r>
          <w:rPr>
            <w:rFonts w:ascii="Arial" w:cs="Arial" w:eastAsia="Arial" w:hAnsi="Arial"/>
            <w:sz w:val="18"/>
            <w:szCs w:val="18"/>
            <w:u w:val="single" w:color="auto"/>
            <w:color w:val="0000FF"/>
          </w:rPr>
          <w:t>S-1 filed March 18, 2011)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587375</wp:posOffset>
            </wp:positionH>
            <wp:positionV relativeFrom="paragraph">
              <wp:posOffset>-290195</wp:posOffset>
            </wp:positionV>
            <wp:extent cx="62953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1">
                      <a:extLst>
                        <a:ext uri="{28A0092B-C50C-407E-A947-70E740481C1C}"/>
                      </a:extLst>
                    </a:blip>
                    <a:srcRect/>
                    <a:stretch>
                      <a:fillRect/>
                    </a:stretch>
                  </pic:blipFill>
                  <pic:spPr bwMode="auto">
                    <a:xfrm>
                      <a:off x="0" y="0"/>
                      <a:ext cx="629539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-161925</wp:posOffset>
            </wp:positionV>
            <wp:extent cx="648081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2">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-33020</wp:posOffset>
            </wp:positionV>
            <wp:extent cx="127254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3">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10" w:lineRule="exact"/>
        <w:rPr>
          <w:rFonts w:ascii="Arial" w:cs="Arial" w:eastAsia="Arial" w:hAnsi="Arial"/>
          <w:sz w:val="18"/>
          <w:szCs w:val="18"/>
          <w:u w:val="single" w:color="auto"/>
          <w:color w:val="0000FF"/>
        </w:rPr>
      </w:pPr>
    </w:p>
    <w:p>
      <w:pPr>
        <w:ind w:left="920" w:right="20" w:hanging="803"/>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10.7</w:t>
      </w:r>
      <w:r>
        <w:rPr>
          <w:sz w:val="20"/>
          <w:szCs w:val="20"/>
          <w:color w:val="auto"/>
        </w:rPr>
        <w:tab/>
      </w:r>
      <w:hyperlink r:id="rId474">
        <w:r>
          <w:rPr>
            <w:rFonts w:ascii="Arial" w:cs="Arial" w:eastAsia="Arial" w:hAnsi="Arial"/>
            <w:sz w:val="18"/>
            <w:szCs w:val="18"/>
            <w:u w:val="single" w:color="auto"/>
            <w:color w:val="0000FF"/>
          </w:rPr>
          <w:t>Copyright Security Agreement made by Allison Transmission, Inc. in favor of Citicorp North America, Inc., as Administrative</w:t>
        </w:r>
      </w:hyperlink>
      <w:r>
        <w:rPr>
          <w:rFonts w:ascii="Arial" w:cs="Arial" w:eastAsia="Arial" w:hAnsi="Arial"/>
          <w:sz w:val="18"/>
          <w:szCs w:val="18"/>
          <w:u w:val="single" w:color="auto"/>
          <w:color w:val="0000FF"/>
        </w:rPr>
        <w:t xml:space="preserve"> </w:t>
      </w:r>
      <w:hyperlink r:id="rId474">
        <w:r>
          <w:rPr>
            <w:rFonts w:ascii="Arial" w:cs="Arial" w:eastAsia="Arial" w:hAnsi="Arial"/>
            <w:sz w:val="18"/>
            <w:szCs w:val="18"/>
            <w:u w:val="single" w:color="auto"/>
            <w:color w:val="0000FF"/>
          </w:rPr>
          <w:t>Agent, dated as of August 7, 2007 (incorporated by reference to Exhibit 10.5 to Amendment No. 2 to the Registrant’s Registration</w:t>
        </w:r>
      </w:hyperlink>
      <w:r>
        <w:rPr>
          <w:rFonts w:ascii="Arial" w:cs="Arial" w:eastAsia="Arial" w:hAnsi="Arial"/>
          <w:sz w:val="18"/>
          <w:szCs w:val="18"/>
          <w:u w:val="single" w:color="auto"/>
          <w:color w:val="0000FF"/>
        </w:rPr>
        <w:t xml:space="preserve"> </w:t>
      </w:r>
      <w:hyperlink r:id="rId474">
        <w:r>
          <w:rPr>
            <w:rFonts w:ascii="Arial" w:cs="Arial" w:eastAsia="Arial" w:hAnsi="Arial"/>
            <w:sz w:val="18"/>
            <w:szCs w:val="18"/>
            <w:u w:val="single" w:color="auto"/>
            <w:color w:val="0000FF"/>
          </w:rPr>
          <w:t>Statement on Form S-1 filed May 16, 2011)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587375</wp:posOffset>
            </wp:positionH>
            <wp:positionV relativeFrom="paragraph">
              <wp:posOffset>-290195</wp:posOffset>
            </wp:positionV>
            <wp:extent cx="623633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5">
                      <a:extLst>
                        <a:ext uri="{28A0092B-C50C-407E-A947-70E740481C1C}"/>
                      </a:extLst>
                    </a:blip>
                    <a:srcRect/>
                    <a:stretch>
                      <a:fillRect/>
                    </a:stretch>
                  </pic:blipFill>
                  <pic:spPr bwMode="auto">
                    <a:xfrm>
                      <a:off x="0" y="0"/>
                      <a:ext cx="623633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-161925</wp:posOffset>
            </wp:positionV>
            <wp:extent cx="654177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6">
                      <a:extLst>
                        <a:ext uri="{28A0092B-C50C-407E-A947-70E740481C1C}"/>
                      </a:extLst>
                    </a:blip>
                    <a:srcRect/>
                    <a:stretch>
                      <a:fillRect/>
                    </a:stretch>
                  </pic:blipFill>
                  <pic:spPr bwMode="auto">
                    <a:xfrm>
                      <a:off x="0" y="0"/>
                      <a:ext cx="654177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-33020</wp:posOffset>
            </wp:positionV>
            <wp:extent cx="21799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7">
                      <a:extLst>
                        <a:ext uri="{28A0092B-C50C-407E-A947-70E740481C1C}"/>
                      </a:extLst>
                    </a:blip>
                    <a:srcRect/>
                    <a:stretch>
                      <a:fillRect/>
                    </a:stretch>
                  </pic:blipFill>
                  <pic:spPr bwMode="auto">
                    <a:xfrm>
                      <a:off x="0" y="0"/>
                      <a:ext cx="2179955" cy="8255"/>
                    </a:xfrm>
                    <a:prstGeom prst="rect">
                      <a:avLst/>
                    </a:prstGeom>
                    <a:noFill/>
                  </pic:spPr>
                </pic:pic>
              </a:graphicData>
            </a:graphic>
          </wp:anchor>
        </w:drawing>
      </w:r>
    </w:p>
    <w:p>
      <w:pPr>
        <w:spacing w:after="0" w:line="110" w:lineRule="exact"/>
        <w:rPr>
          <w:rFonts w:ascii="Arial" w:cs="Arial" w:eastAsia="Arial" w:hAnsi="Arial"/>
          <w:sz w:val="18"/>
          <w:szCs w:val="18"/>
          <w:u w:val="single" w:color="auto"/>
          <w:color w:val="0000FF"/>
        </w:rPr>
      </w:pPr>
    </w:p>
    <w:p>
      <w:pPr>
        <w:ind w:left="920" w:right="960" w:hanging="803"/>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478">
        <w:r>
          <w:rPr>
            <w:rFonts w:ascii="Arial" w:cs="Arial" w:eastAsia="Arial" w:hAnsi="Arial"/>
            <w:sz w:val="18"/>
            <w:szCs w:val="18"/>
            <w:u w:val="single" w:color="auto"/>
            <w:color w:val="0000FF"/>
          </w:rPr>
          <w:t>Allison Transmission Holdings, Inc. 2015 Equity Incentive Award Plan (incorporated by reference to Appendix A to the</w:t>
        </w:r>
      </w:hyperlink>
      <w:r>
        <w:rPr>
          <w:rFonts w:ascii="Arial" w:cs="Arial" w:eastAsia="Arial" w:hAnsi="Arial"/>
          <w:sz w:val="18"/>
          <w:szCs w:val="18"/>
          <w:u w:val="single" w:color="auto"/>
          <w:color w:val="0000FF"/>
        </w:rPr>
        <w:t xml:space="preserve"> </w:t>
      </w:r>
      <w:hyperlink r:id="rId478">
        <w:r>
          <w:rPr>
            <w:rFonts w:ascii="Arial" w:cs="Arial" w:eastAsia="Arial" w:hAnsi="Arial"/>
            <w:sz w:val="18"/>
            <w:szCs w:val="18"/>
            <w:u w:val="single" w:color="auto"/>
            <w:color w:val="0000FF"/>
          </w:rPr>
          <w:t>Registrant’s Definitive Proxy Statement on Schedule 14A filed April 2,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-172720</wp:posOffset>
            </wp:positionV>
            <wp:extent cx="596265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9">
                      <a:extLst>
                        <a:ext uri="{28A0092B-C50C-407E-A947-70E740481C1C}"/>
                      </a:extLst>
                    </a:blip>
                    <a:srcRect/>
                    <a:stretch>
                      <a:fillRect/>
                    </a:stretch>
                  </pic:blipFill>
                  <pic:spPr bwMode="auto">
                    <a:xfrm>
                      <a:off x="0" y="0"/>
                      <a:ext cx="596265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-44450</wp:posOffset>
            </wp:positionV>
            <wp:extent cx="382905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0">
                      <a:extLst>
                        <a:ext uri="{28A0092B-C50C-407E-A947-70E740481C1C}"/>
                      </a:extLst>
                    </a:blip>
                    <a:srcRect/>
                    <a:stretch>
                      <a:fillRect/>
                    </a:stretch>
                  </pic:blipFill>
                  <pic:spPr bwMode="auto">
                    <a:xfrm>
                      <a:off x="0" y="0"/>
                      <a:ext cx="3829050" cy="8255"/>
                    </a:xfrm>
                    <a:prstGeom prst="rect">
                      <a:avLst/>
                    </a:prstGeom>
                    <a:noFill/>
                  </pic:spPr>
                </pic:pic>
              </a:graphicData>
            </a:graphic>
          </wp:anchor>
        </w:drawing>
      </w:r>
    </w:p>
    <w:p>
      <w:pPr>
        <w:spacing w:after="0" w:line="92" w:lineRule="exact"/>
        <w:rPr>
          <w:sz w:val="20"/>
          <w:szCs w:val="20"/>
          <w:color w:val="auto"/>
        </w:rPr>
      </w:pPr>
    </w:p>
    <w:p>
      <w:pPr>
        <w:ind w:left="920" w:right="280" w:hanging="803"/>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478">
        <w:r>
          <w:rPr>
            <w:rFonts w:ascii="Arial" w:cs="Arial" w:eastAsia="Arial" w:hAnsi="Arial"/>
            <w:sz w:val="18"/>
            <w:szCs w:val="18"/>
            <w:u w:val="single" w:color="auto"/>
            <w:color w:val="0000FF"/>
          </w:rPr>
          <w:t>Allison Transmission Holdings, Inc. 2016 Incentive Plan (incorporated by reference to Appendix B to the Registrant’s Definitive</w:t>
        </w:r>
      </w:hyperlink>
      <w:r>
        <w:rPr>
          <w:rFonts w:ascii="Arial" w:cs="Arial" w:eastAsia="Arial" w:hAnsi="Arial"/>
          <w:sz w:val="18"/>
          <w:szCs w:val="18"/>
          <w:u w:val="single" w:color="auto"/>
          <w:color w:val="0000FF"/>
        </w:rPr>
        <w:t xml:space="preserve"> </w:t>
      </w:r>
      <w:hyperlink r:id="rId478">
        <w:r>
          <w:rPr>
            <w:rFonts w:ascii="Arial" w:cs="Arial" w:eastAsia="Arial" w:hAnsi="Arial"/>
            <w:sz w:val="18"/>
            <w:szCs w:val="18"/>
            <w:u w:val="single" w:color="auto"/>
            <w:color w:val="0000FF"/>
          </w:rPr>
          <w:t>Proxy Statement on Schedule 14A filed April 2,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-172720</wp:posOffset>
            </wp:positionV>
            <wp:extent cx="639381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1">
                      <a:extLst>
                        <a:ext uri="{28A0092B-C50C-407E-A947-70E740481C1C}"/>
                      </a:extLst>
                    </a:blip>
                    <a:srcRect/>
                    <a:stretch>
                      <a:fillRect/>
                    </a:stretch>
                  </pic:blipFill>
                  <pic:spPr bwMode="auto">
                    <a:xfrm>
                      <a:off x="0" y="0"/>
                      <a:ext cx="639381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-44450</wp:posOffset>
            </wp:positionV>
            <wp:extent cx="269621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2">
                      <a:extLst>
                        <a:ext uri="{28A0092B-C50C-407E-A947-70E740481C1C}"/>
                      </a:extLst>
                    </a:blip>
                    <a:srcRect/>
                    <a:stretch>
                      <a:fillRect/>
                    </a:stretch>
                  </pic:blipFill>
                  <pic:spPr bwMode="auto">
                    <a:xfrm>
                      <a:off x="0" y="0"/>
                      <a:ext cx="2696210" cy="8255"/>
                    </a:xfrm>
                    <a:prstGeom prst="rect">
                      <a:avLst/>
                    </a:prstGeom>
                    <a:noFill/>
                  </pic:spPr>
                </pic:pic>
              </a:graphicData>
            </a:graphic>
          </wp:anchor>
        </w:drawing>
      </w:r>
    </w:p>
    <w:p>
      <w:pPr>
        <w:spacing w:after="0" w:line="92" w:lineRule="exact"/>
        <w:rPr>
          <w:sz w:val="20"/>
          <w:szCs w:val="20"/>
          <w:color w:val="auto"/>
        </w:rPr>
      </w:pPr>
    </w:p>
    <w:p>
      <w:pPr>
        <w:ind w:left="920" w:right="700" w:hanging="803"/>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483">
        <w:r>
          <w:rPr>
            <w:rFonts w:ascii="Arial" w:cs="Arial" w:eastAsia="Arial" w:hAnsi="Arial"/>
            <w:sz w:val="18"/>
            <w:szCs w:val="18"/>
            <w:u w:val="single" w:color="auto"/>
            <w:color w:val="0000FF"/>
          </w:rPr>
          <w:t>Form of 2015 Equity Incentive Award Plan Restricted Stock Agreement (incorporated by reference to Exhibit 10.41 to the</w:t>
        </w:r>
      </w:hyperlink>
      <w:r>
        <w:rPr>
          <w:rFonts w:ascii="Arial" w:cs="Arial" w:eastAsia="Arial" w:hAnsi="Arial"/>
          <w:sz w:val="18"/>
          <w:szCs w:val="18"/>
          <w:u w:val="single" w:color="auto"/>
          <w:color w:val="0000FF"/>
        </w:rPr>
        <w:t xml:space="preserve"> </w:t>
      </w:r>
      <w:hyperlink r:id="rId483">
        <w:r>
          <w:rPr>
            <w:rFonts w:ascii="Arial" w:cs="Arial" w:eastAsia="Arial" w:hAnsi="Arial"/>
            <w:sz w:val="18"/>
            <w:szCs w:val="18"/>
            <w:u w:val="single" w:color="auto"/>
            <w:color w:val="0000FF"/>
          </w:rPr>
          <w:t>Registrant’s Annual Report on Form 10-K for the year ended December 31, 2015 filed February 19,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-172720</wp:posOffset>
            </wp:positionV>
            <wp:extent cx="611886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4">
                      <a:extLst>
                        <a:ext uri="{28A0092B-C50C-407E-A947-70E740481C1C}"/>
                      </a:extLst>
                    </a:blip>
                    <a:srcRect/>
                    <a:stretch>
                      <a:fillRect/>
                    </a:stretch>
                  </pic:blipFill>
                  <pic:spPr bwMode="auto">
                    <a:xfrm>
                      <a:off x="0" y="0"/>
                      <a:ext cx="611886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-44450</wp:posOffset>
            </wp:positionV>
            <wp:extent cx="53263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5">
                      <a:extLst>
                        <a:ext uri="{28A0092B-C50C-407E-A947-70E740481C1C}"/>
                      </a:extLst>
                    </a:blip>
                    <a:srcRect/>
                    <a:stretch>
                      <a:fillRect/>
                    </a:stretch>
                  </pic:blipFill>
                  <pic:spPr bwMode="auto">
                    <a:xfrm>
                      <a:off x="0" y="0"/>
                      <a:ext cx="5326380" cy="8255"/>
                    </a:xfrm>
                    <a:prstGeom prst="rect">
                      <a:avLst/>
                    </a:prstGeom>
                    <a:noFill/>
                  </pic:spPr>
                </pic:pic>
              </a:graphicData>
            </a:graphic>
          </wp:anchor>
        </w:drawing>
      </w:r>
    </w:p>
    <w:p>
      <w:pPr>
        <w:spacing w:after="0" w:line="92" w:lineRule="exact"/>
        <w:rPr>
          <w:sz w:val="20"/>
          <w:szCs w:val="20"/>
          <w:color w:val="auto"/>
        </w:rPr>
      </w:pPr>
    </w:p>
    <w:p>
      <w:pPr>
        <w:ind w:left="920" w:right="340" w:hanging="803"/>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486">
        <w:r>
          <w:rPr>
            <w:rFonts w:ascii="Arial" w:cs="Arial" w:eastAsia="Arial" w:hAnsi="Arial"/>
            <w:sz w:val="18"/>
            <w:szCs w:val="18"/>
            <w:u w:val="single" w:color="auto"/>
            <w:color w:val="0000FF"/>
          </w:rPr>
          <w:t>Form of 2015 Equity Incentive Award Plan Restricted Stock Unit Agreement (incorporated by reference to Exhibit 10.42 to the</w:t>
        </w:r>
      </w:hyperlink>
      <w:r>
        <w:rPr>
          <w:rFonts w:ascii="Arial" w:cs="Arial" w:eastAsia="Arial" w:hAnsi="Arial"/>
          <w:sz w:val="18"/>
          <w:szCs w:val="18"/>
          <w:u w:val="single" w:color="auto"/>
          <w:color w:val="0000FF"/>
        </w:rPr>
        <w:t xml:space="preserve"> </w:t>
      </w:r>
      <w:hyperlink r:id="rId486">
        <w:r>
          <w:rPr>
            <w:rFonts w:ascii="Arial" w:cs="Arial" w:eastAsia="Arial" w:hAnsi="Arial"/>
            <w:sz w:val="18"/>
            <w:szCs w:val="18"/>
            <w:u w:val="single" w:color="auto"/>
            <w:color w:val="0000FF"/>
          </w:rPr>
          <w:t>Registrant’s Annual Report on Form 10-K for the year ended December 31, 2015 filed February 19,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-172720</wp:posOffset>
            </wp:positionV>
            <wp:extent cx="635381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7">
                      <a:extLst>
                        <a:ext uri="{28A0092B-C50C-407E-A947-70E740481C1C}"/>
                      </a:extLst>
                    </a:blip>
                    <a:srcRect/>
                    <a:stretch>
                      <a:fillRect/>
                    </a:stretch>
                  </pic:blipFill>
                  <pic:spPr bwMode="auto">
                    <a:xfrm>
                      <a:off x="0" y="0"/>
                      <a:ext cx="635381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-44450</wp:posOffset>
            </wp:positionV>
            <wp:extent cx="53263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8">
                      <a:extLst>
                        <a:ext uri="{28A0092B-C50C-407E-A947-70E740481C1C}"/>
                      </a:extLst>
                    </a:blip>
                    <a:srcRect/>
                    <a:stretch>
                      <a:fillRect/>
                    </a:stretch>
                  </pic:blipFill>
                  <pic:spPr bwMode="auto">
                    <a:xfrm>
                      <a:off x="0" y="0"/>
                      <a:ext cx="5326380" cy="8255"/>
                    </a:xfrm>
                    <a:prstGeom prst="rect">
                      <a:avLst/>
                    </a:prstGeom>
                    <a:noFill/>
                  </pic:spPr>
                </pic:pic>
              </a:graphicData>
            </a:graphic>
          </wp:anchor>
        </w:drawing>
      </w:r>
    </w:p>
    <w:p>
      <w:pPr>
        <w:spacing w:after="0" w:line="92" w:lineRule="exact"/>
        <w:rPr>
          <w:sz w:val="20"/>
          <w:szCs w:val="20"/>
          <w:color w:val="auto"/>
        </w:rPr>
      </w:pPr>
    </w:p>
    <w:p>
      <w:pPr>
        <w:ind w:left="920" w:right="980" w:hanging="803"/>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489">
        <w:r>
          <w:rPr>
            <w:rFonts w:ascii="Arial" w:cs="Arial" w:eastAsia="Arial" w:hAnsi="Arial"/>
            <w:sz w:val="18"/>
            <w:szCs w:val="18"/>
            <w:u w:val="single" w:color="auto"/>
            <w:color w:val="0000FF"/>
          </w:rPr>
          <w:t>Form of 2015 Equity Incentive Award Plan Stock Option Agreement (incorporated by reference to Exhibit 10.43 to the</w:t>
        </w:r>
      </w:hyperlink>
      <w:r>
        <w:rPr>
          <w:rFonts w:ascii="Arial" w:cs="Arial" w:eastAsia="Arial" w:hAnsi="Arial"/>
          <w:sz w:val="18"/>
          <w:szCs w:val="18"/>
          <w:u w:val="single" w:color="auto"/>
          <w:color w:val="0000FF"/>
        </w:rPr>
        <w:t xml:space="preserve"> </w:t>
      </w:r>
      <w:hyperlink r:id="rId489">
        <w:r>
          <w:rPr>
            <w:rFonts w:ascii="Arial" w:cs="Arial" w:eastAsia="Arial" w:hAnsi="Arial"/>
            <w:sz w:val="18"/>
            <w:szCs w:val="18"/>
            <w:u w:val="single" w:color="auto"/>
            <w:color w:val="0000FF"/>
          </w:rPr>
          <w:t>Registrant’s Annual Report on Form 10-K for the year ended December 31, 2015 filed February 19,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-172720</wp:posOffset>
            </wp:positionV>
            <wp:extent cx="594169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0">
                      <a:extLst>
                        <a:ext uri="{28A0092B-C50C-407E-A947-70E740481C1C}"/>
                      </a:extLst>
                    </a:blip>
                    <a:srcRect/>
                    <a:stretch>
                      <a:fillRect/>
                    </a:stretch>
                  </pic:blipFill>
                  <pic:spPr bwMode="auto">
                    <a:xfrm>
                      <a:off x="0" y="0"/>
                      <a:ext cx="594169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-44450</wp:posOffset>
            </wp:positionV>
            <wp:extent cx="53263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1">
                      <a:extLst>
                        <a:ext uri="{28A0092B-C50C-407E-A947-70E740481C1C}"/>
                      </a:extLst>
                    </a:blip>
                    <a:srcRect/>
                    <a:stretch>
                      <a:fillRect/>
                    </a:stretch>
                  </pic:blipFill>
                  <pic:spPr bwMode="auto">
                    <a:xfrm>
                      <a:off x="0" y="0"/>
                      <a:ext cx="5326380" cy="8255"/>
                    </a:xfrm>
                    <a:prstGeom prst="rect">
                      <a:avLst/>
                    </a:prstGeom>
                    <a:noFill/>
                  </pic:spPr>
                </pic:pic>
              </a:graphicData>
            </a:graphic>
          </wp:anchor>
        </w:drawing>
      </w:r>
    </w:p>
    <w:p>
      <w:pPr>
        <w:spacing w:after="0" w:line="92" w:lineRule="exact"/>
        <w:rPr>
          <w:sz w:val="20"/>
          <w:szCs w:val="20"/>
          <w:color w:val="auto"/>
        </w:rPr>
      </w:pPr>
    </w:p>
    <w:p>
      <w:pPr>
        <w:ind w:left="920" w:right="120" w:hanging="803"/>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492">
        <w:r>
          <w:rPr>
            <w:rFonts w:ascii="Arial" w:cs="Arial" w:eastAsia="Arial" w:hAnsi="Arial"/>
            <w:sz w:val="18"/>
            <w:szCs w:val="18"/>
            <w:u w:val="single" w:color="auto"/>
            <w:color w:val="0000FF"/>
          </w:rPr>
          <w:t>Form of 2015 Equity Incentive Award Plan Performance Stock Unit Agreement (incorporated by reference to Exhibit 10.25 to the</w:t>
        </w:r>
      </w:hyperlink>
      <w:r>
        <w:rPr>
          <w:rFonts w:ascii="Arial" w:cs="Arial" w:eastAsia="Arial" w:hAnsi="Arial"/>
          <w:sz w:val="18"/>
          <w:szCs w:val="18"/>
          <w:u w:val="single" w:color="auto"/>
          <w:color w:val="0000FF"/>
        </w:rPr>
        <w:t xml:space="preserve"> </w:t>
      </w:r>
      <w:hyperlink r:id="rId492">
        <w:r>
          <w:rPr>
            <w:rFonts w:ascii="Arial" w:cs="Arial" w:eastAsia="Arial" w:hAnsi="Arial"/>
            <w:sz w:val="18"/>
            <w:szCs w:val="18"/>
            <w:u w:val="single" w:color="auto"/>
            <w:color w:val="0000FF"/>
          </w:rPr>
          <w:t>Registrant’s Annual Report on Form 10-K for the year ended December 31, 2016 filed February 24,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-172720</wp:posOffset>
            </wp:positionV>
            <wp:extent cx="649351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3">
                      <a:extLst>
                        <a:ext uri="{28A0092B-C50C-407E-A947-70E740481C1C}"/>
                      </a:extLst>
                    </a:blip>
                    <a:srcRect/>
                    <a:stretch>
                      <a:fillRect/>
                    </a:stretch>
                  </pic:blipFill>
                  <pic:spPr bwMode="auto">
                    <a:xfrm>
                      <a:off x="0" y="0"/>
                      <a:ext cx="649351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-44450</wp:posOffset>
            </wp:positionV>
            <wp:extent cx="53263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4">
                      <a:extLst>
                        <a:ext uri="{28A0092B-C50C-407E-A947-70E740481C1C}"/>
                      </a:extLst>
                    </a:blip>
                    <a:srcRect/>
                    <a:stretch>
                      <a:fillRect/>
                    </a:stretch>
                  </pic:blipFill>
                  <pic:spPr bwMode="auto">
                    <a:xfrm>
                      <a:off x="0" y="0"/>
                      <a:ext cx="5326380" cy="8255"/>
                    </a:xfrm>
                    <a:prstGeom prst="rect">
                      <a:avLst/>
                    </a:prstGeom>
                    <a:noFill/>
                  </pic:spPr>
                </pic:pic>
              </a:graphicData>
            </a:graphic>
          </wp:anchor>
        </w:drawing>
      </w:r>
    </w:p>
    <w:p>
      <w:pPr>
        <w:spacing w:after="0" w:line="173"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7"/>
          <w:szCs w:val="17"/>
          <w:u w:val="single" w:color="auto"/>
          <w:color w:val="0000FF"/>
        </w:rPr>
        <w:t>Form of 2015 Equity Incentive Award Plan Performance Stock Unit Agreement (revised 2023)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-7620</wp:posOffset>
            </wp:positionV>
            <wp:extent cx="549719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5">
                      <a:extLst>
                        <a:ext uri="{28A0092B-C50C-407E-A947-70E740481C1C}"/>
                      </a:extLst>
                    </a:blip>
                    <a:srcRect/>
                    <a:stretch>
                      <a:fillRect/>
                    </a:stretch>
                  </pic:blipFill>
                  <pic:spPr bwMode="auto">
                    <a:xfrm>
                      <a:off x="0" y="0"/>
                      <a:ext cx="5497195" cy="8255"/>
                    </a:xfrm>
                    <a:prstGeom prst="rect">
                      <a:avLst/>
                    </a:prstGeom>
                    <a:noFill/>
                  </pic:spPr>
                </pic:pic>
              </a:graphicData>
            </a:graphic>
          </wp:anchor>
        </w:drawing>
      </w:r>
    </w:p>
    <w:p>
      <w:pPr>
        <w:spacing w:after="0" w:line="151" w:lineRule="exact"/>
        <w:rPr>
          <w:sz w:val="20"/>
          <w:szCs w:val="20"/>
          <w:color w:val="auto"/>
        </w:rPr>
      </w:pPr>
    </w:p>
    <w:p>
      <w:pPr>
        <w:ind w:left="920" w:right="120" w:hanging="803"/>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496">
        <w:r>
          <w:rPr>
            <w:rFonts w:ascii="Arial" w:cs="Arial" w:eastAsia="Arial" w:hAnsi="Arial"/>
            <w:sz w:val="18"/>
            <w:szCs w:val="18"/>
            <w:u w:val="single" w:color="auto"/>
            <w:color w:val="0000FF"/>
          </w:rPr>
          <w:t>Allison Transmission Holdings, Inc. 2011 Equity Incentive Award Plan (incorporated by reference to Exhibit 10.10 to Amendment</w:t>
        </w:r>
      </w:hyperlink>
      <w:r>
        <w:rPr>
          <w:rFonts w:ascii="Arial" w:cs="Arial" w:eastAsia="Arial" w:hAnsi="Arial"/>
          <w:sz w:val="18"/>
          <w:szCs w:val="18"/>
          <w:u w:val="single" w:color="auto"/>
          <w:color w:val="0000FF"/>
        </w:rPr>
        <w:t xml:space="preserve"> </w:t>
      </w:r>
      <w:hyperlink r:id="rId496">
        <w:r>
          <w:rPr>
            <w:rFonts w:ascii="Arial" w:cs="Arial" w:eastAsia="Arial" w:hAnsi="Arial"/>
            <w:sz w:val="18"/>
            <w:szCs w:val="18"/>
            <w:u w:val="single" w:color="auto"/>
            <w:color w:val="0000FF"/>
          </w:rPr>
          <w:t>No. 3 to the Registrant’s Registration Statement on Form S-1 filed June 17,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-172720</wp:posOffset>
            </wp:positionV>
            <wp:extent cx="648716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7">
                      <a:extLst>
                        <a:ext uri="{28A0092B-C50C-407E-A947-70E740481C1C}"/>
                      </a:extLst>
                    </a:blip>
                    <a:srcRect/>
                    <a:stretch>
                      <a:fillRect/>
                    </a:stretch>
                  </pic:blipFill>
                  <pic:spPr bwMode="auto">
                    <a:xfrm>
                      <a:off x="0" y="0"/>
                      <a:ext cx="648716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-44450</wp:posOffset>
            </wp:positionV>
            <wp:extent cx="410591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8">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1" w:lineRule="exact"/>
        <w:rPr>
          <w:sz w:val="20"/>
          <w:szCs w:val="20"/>
          <w:color w:val="auto"/>
        </w:rPr>
      </w:pPr>
    </w:p>
    <w:p>
      <w:pPr>
        <w:ind w:left="920" w:right="640" w:hanging="803"/>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501">
        <w:r>
          <w:rPr>
            <w:rFonts w:ascii="Arial" w:cs="Arial" w:eastAsia="Arial" w:hAnsi="Arial"/>
            <w:sz w:val="18"/>
            <w:szCs w:val="18"/>
            <w:u w:val="single" w:color="auto"/>
            <w:color w:val="0000FF"/>
          </w:rPr>
          <w:t>Form of 2011 Equity Incentive Award Plan Restricted Stock Unit Agreement (incorporated by reference to Exhibit 10.12 to</w:t>
        </w:r>
      </w:hyperlink>
      <w:r>
        <w:rPr>
          <w:rFonts w:ascii="Arial" w:cs="Arial" w:eastAsia="Arial" w:hAnsi="Arial"/>
          <w:sz w:val="18"/>
          <w:szCs w:val="18"/>
          <w:u w:val="single" w:color="auto"/>
          <w:color w:val="0000FF"/>
        </w:rPr>
        <w:t xml:space="preserve"> </w:t>
      </w:r>
      <w:hyperlink r:id="rId501">
        <w:r>
          <w:rPr>
            <w:rFonts w:ascii="Arial" w:cs="Arial" w:eastAsia="Arial" w:hAnsi="Arial"/>
            <w:sz w:val="18"/>
            <w:szCs w:val="18"/>
            <w:u w:val="single" w:color="auto"/>
            <w:color w:val="0000FF"/>
          </w:rPr>
          <w:t>Amendment No. 3 to the Registrant’s Registration Statement on Form S-1 filed June 17,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-172720</wp:posOffset>
            </wp:positionV>
            <wp:extent cx="61550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2">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-44450</wp:posOffset>
            </wp:positionV>
            <wp:extent cx="475297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3">
                      <a:extLst>
                        <a:ext uri="{28A0092B-C50C-407E-A947-70E740481C1C}"/>
                      </a:extLst>
                    </a:blip>
                    <a:srcRect/>
                    <a:stretch>
                      <a:fillRect/>
                    </a:stretch>
                  </pic:blipFill>
                  <pic:spPr bwMode="auto">
                    <a:xfrm>
                      <a:off x="0" y="0"/>
                      <a:ext cx="4752975" cy="8255"/>
                    </a:xfrm>
                    <a:prstGeom prst="rect">
                      <a:avLst/>
                    </a:prstGeom>
                    <a:noFill/>
                  </pic:spPr>
                </pic:pic>
              </a:graphicData>
            </a:graphic>
          </wp:anchor>
        </w:drawing>
      </w:r>
    </w:p>
    <w:p>
      <w:pPr>
        <w:spacing w:after="0" w:line="92" w:lineRule="exact"/>
        <w:rPr>
          <w:sz w:val="20"/>
          <w:szCs w:val="20"/>
          <w:color w:val="auto"/>
        </w:rPr>
      </w:pPr>
    </w:p>
    <w:p>
      <w:pPr>
        <w:ind w:left="920" w:hanging="803"/>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504">
        <w:r>
          <w:rPr>
            <w:rFonts w:ascii="Arial" w:cs="Arial" w:eastAsia="Arial" w:hAnsi="Arial"/>
            <w:sz w:val="18"/>
            <w:szCs w:val="18"/>
            <w:u w:val="single" w:color="auto"/>
            <w:color w:val="0000FF"/>
          </w:rPr>
          <w:t>Deferred Compensation Plan of Allison Transmission Inc. (incorporated by reference to Exhibit 10.21 to the Registrant’s Quarterly</w:t>
        </w:r>
      </w:hyperlink>
      <w:r>
        <w:rPr>
          <w:rFonts w:ascii="Arial" w:cs="Arial" w:eastAsia="Arial" w:hAnsi="Arial"/>
          <w:sz w:val="18"/>
          <w:szCs w:val="18"/>
          <w:u w:val="single" w:color="auto"/>
          <w:color w:val="0000FF"/>
        </w:rPr>
        <w:t xml:space="preserve"> </w:t>
      </w:r>
      <w:hyperlink r:id="rId504">
        <w:r>
          <w:rPr>
            <w:rFonts w:ascii="Arial" w:cs="Arial" w:eastAsia="Arial" w:hAnsi="Arial"/>
            <w:sz w:val="18"/>
            <w:szCs w:val="18"/>
            <w:u w:val="single" w:color="auto"/>
            <w:color w:val="0000FF"/>
          </w:rPr>
          <w:t>Report on Form 10-Q for the quarter ended June 30, 2012 filed July 31,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-172720</wp:posOffset>
            </wp:positionV>
            <wp:extent cx="654177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5">
                      <a:extLst>
                        <a:ext uri="{28A0092B-C50C-407E-A947-70E740481C1C}"/>
                      </a:extLst>
                    </a:blip>
                    <a:srcRect/>
                    <a:stretch>
                      <a:fillRect/>
                    </a:stretch>
                  </pic:blipFill>
                  <pic:spPr bwMode="auto">
                    <a:xfrm>
                      <a:off x="0" y="0"/>
                      <a:ext cx="654177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-44450</wp:posOffset>
            </wp:positionV>
            <wp:extent cx="392684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6">
                      <a:extLst>
                        <a:ext uri="{28A0092B-C50C-407E-A947-70E740481C1C}"/>
                      </a:extLst>
                    </a:blip>
                    <a:srcRect/>
                    <a:stretch>
                      <a:fillRect/>
                    </a:stretch>
                  </pic:blipFill>
                  <pic:spPr bwMode="auto">
                    <a:xfrm>
                      <a:off x="0" y="0"/>
                      <a:ext cx="3926840" cy="8255"/>
                    </a:xfrm>
                    <a:prstGeom prst="rect">
                      <a:avLst/>
                    </a:prstGeom>
                    <a:noFill/>
                  </pic:spPr>
                </pic:pic>
              </a:graphicData>
            </a:graphic>
          </wp:anchor>
        </w:drawing>
      </w:r>
    </w:p>
    <w:p>
      <w:pPr>
        <w:spacing w:after="0" w:line="92"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7"/>
          <w:szCs w:val="17"/>
          <w:u w:val="single" w:color="auto"/>
          <w:color w:val="0000FF"/>
        </w:rPr>
        <w:t>Seventh Amended and Restated Non-Employee Director Compensation Policy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-7620</wp:posOffset>
            </wp:positionV>
            <wp:extent cx="475107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7">
                      <a:extLst>
                        <a:ext uri="{28A0092B-C50C-407E-A947-70E740481C1C}"/>
                      </a:extLst>
                    </a:blip>
                    <a:srcRect/>
                    <a:stretch>
                      <a:fillRect/>
                    </a:stretch>
                  </pic:blipFill>
                  <pic:spPr bwMode="auto">
                    <a:xfrm>
                      <a:off x="0" y="0"/>
                      <a:ext cx="4751070" cy="8255"/>
                    </a:xfrm>
                    <a:prstGeom prst="rect">
                      <a:avLst/>
                    </a:prstGeom>
                    <a:noFill/>
                  </pic:spPr>
                </pic:pic>
              </a:graphicData>
            </a:graphic>
          </wp:anchor>
        </w:drawing>
      </w:r>
    </w:p>
    <w:p>
      <w:pPr>
        <w:spacing w:after="0" w:line="151" w:lineRule="exact"/>
        <w:rPr>
          <w:sz w:val="20"/>
          <w:szCs w:val="20"/>
          <w:color w:val="auto"/>
        </w:rPr>
      </w:pPr>
    </w:p>
    <w:p>
      <w:pPr>
        <w:ind w:left="920" w:right="260" w:hanging="803"/>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508">
        <w:r>
          <w:rPr>
            <w:rFonts w:ascii="Arial" w:cs="Arial" w:eastAsia="Arial" w:hAnsi="Arial"/>
            <w:sz w:val="18"/>
            <w:szCs w:val="18"/>
            <w:u w:val="single" w:color="auto"/>
            <w:color w:val="0000FF"/>
          </w:rPr>
          <w:t>Amended and Restated Non-Employee Director Deferred Compensation Plan of Allison Transmission Holdings, Inc.</w:t>
        </w:r>
      </w:hyperlink>
      <w:r>
        <w:rPr>
          <w:rFonts w:ascii="Arial" w:cs="Arial" w:eastAsia="Arial" w:hAnsi="Arial"/>
          <w:sz w:val="18"/>
          <w:szCs w:val="18"/>
          <w:u w:val="single" w:color="auto"/>
          <w:color w:val="0000FF"/>
        </w:rPr>
        <w:t xml:space="preserve"> </w:t>
      </w:r>
      <w:hyperlink r:id="rId508">
        <w:r>
          <w:rPr>
            <w:rFonts w:ascii="Arial" w:cs="Arial" w:eastAsia="Arial" w:hAnsi="Arial"/>
            <w:sz w:val="18"/>
            <w:szCs w:val="18"/>
            <w:u w:val="single" w:color="auto"/>
            <w:color w:val="0000FF"/>
          </w:rPr>
          <w:t>(incorporated by reference to Exhibit 10.38 to the Registrant’s Quarterly Report on Form 10-Q for the quarter ended March 31,</w:t>
        </w:r>
      </w:hyperlink>
      <w:r>
        <w:rPr>
          <w:rFonts w:ascii="Arial" w:cs="Arial" w:eastAsia="Arial" w:hAnsi="Arial"/>
          <w:sz w:val="18"/>
          <w:szCs w:val="18"/>
          <w:u w:val="single" w:color="auto"/>
          <w:color w:val="0000FF"/>
        </w:rPr>
        <w:t xml:space="preserve"> </w:t>
      </w:r>
      <w:hyperlink r:id="rId508">
        <w:r>
          <w:rPr>
            <w:rFonts w:ascii="Arial" w:cs="Arial" w:eastAsia="Arial" w:hAnsi="Arial"/>
            <w:sz w:val="18"/>
            <w:szCs w:val="18"/>
            <w:u w:val="single" w:color="auto"/>
            <w:color w:val="0000FF"/>
          </w:rPr>
          <w:t>2015 filed April 28,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587375</wp:posOffset>
            </wp:positionH>
            <wp:positionV relativeFrom="paragraph">
              <wp:posOffset>-290195</wp:posOffset>
            </wp:positionV>
            <wp:extent cx="58756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9">
                      <a:extLst>
                        <a:ext uri="{28A0092B-C50C-407E-A947-70E740481C1C}"/>
                      </a:extLst>
                    </a:blip>
                    <a:srcRect/>
                    <a:stretch>
                      <a:fillRect/>
                    </a:stretch>
                  </pic:blipFill>
                  <pic:spPr bwMode="auto">
                    <a:xfrm>
                      <a:off x="0" y="0"/>
                      <a:ext cx="587565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-161925</wp:posOffset>
            </wp:positionV>
            <wp:extent cx="639191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0">
                      <a:extLst>
                        <a:ext uri="{28A0092B-C50C-407E-A947-70E740481C1C}"/>
                      </a:extLst>
                    </a:blip>
                    <a:srcRect/>
                    <a:stretch>
                      <a:fillRect/>
                    </a:stretch>
                  </pic:blipFill>
                  <pic:spPr bwMode="auto">
                    <a:xfrm>
                      <a:off x="0" y="0"/>
                      <a:ext cx="639191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-33020</wp:posOffset>
            </wp:positionV>
            <wp:extent cx="126873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1">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110" w:lineRule="exact"/>
        <w:rPr>
          <w:rFonts w:ascii="Arial" w:cs="Arial" w:eastAsia="Arial" w:hAnsi="Arial"/>
          <w:sz w:val="18"/>
          <w:szCs w:val="18"/>
          <w:u w:val="single" w:color="auto"/>
          <w:color w:val="0000FF"/>
        </w:rPr>
      </w:pPr>
    </w:p>
    <w:p>
      <w:pPr>
        <w:ind w:left="920" w:right="80" w:hanging="803"/>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512">
        <w:r>
          <w:rPr>
            <w:rFonts w:ascii="Arial" w:cs="Arial" w:eastAsia="Arial" w:hAnsi="Arial"/>
            <w:sz w:val="18"/>
            <w:szCs w:val="18"/>
            <w:u w:val="single" w:color="auto"/>
            <w:color w:val="0000FF"/>
          </w:rPr>
          <w:t>Form of Allison Transmission Holdings, Inc. Indemnification Agreement (incorporated by reference to Exhibit 10.9 to Amendment</w:t>
        </w:r>
      </w:hyperlink>
      <w:r>
        <w:rPr>
          <w:rFonts w:ascii="Arial" w:cs="Arial" w:eastAsia="Arial" w:hAnsi="Arial"/>
          <w:sz w:val="18"/>
          <w:szCs w:val="18"/>
          <w:u w:val="single" w:color="auto"/>
          <w:color w:val="0000FF"/>
        </w:rPr>
        <w:t xml:space="preserve"> </w:t>
      </w:r>
      <w:hyperlink r:id="rId512">
        <w:r>
          <w:rPr>
            <w:rFonts w:ascii="Arial" w:cs="Arial" w:eastAsia="Arial" w:hAnsi="Arial"/>
            <w:sz w:val="18"/>
            <w:szCs w:val="18"/>
            <w:u w:val="single" w:color="auto"/>
            <w:color w:val="0000FF"/>
          </w:rPr>
          <w:t>No. 2 to the Registrant’s Registration Statement on Form S-1 filed May 16, 2011 )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-172720</wp:posOffset>
            </wp:positionV>
            <wp:extent cx="651002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3">
                      <a:extLst>
                        <a:ext uri="{28A0092B-C50C-407E-A947-70E740481C1C}"/>
                      </a:extLst>
                    </a:blip>
                    <a:srcRect/>
                    <a:stretch>
                      <a:fillRect/>
                    </a:stretch>
                  </pic:blipFill>
                  <pic:spPr bwMode="auto">
                    <a:xfrm>
                      <a:off x="0" y="0"/>
                      <a:ext cx="651002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-44450</wp:posOffset>
            </wp:positionV>
            <wp:extent cx="410591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4">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92" w:lineRule="exact"/>
        <w:rPr>
          <w:sz w:val="20"/>
          <w:szCs w:val="20"/>
          <w:color w:val="auto"/>
        </w:rPr>
      </w:pPr>
    </w:p>
    <w:p>
      <w:pPr>
        <w:ind w:left="920" w:right="400" w:hanging="803"/>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515">
        <w:r>
          <w:rPr>
            <w:rFonts w:ascii="Arial" w:cs="Arial" w:eastAsia="Arial" w:hAnsi="Arial"/>
            <w:sz w:val="18"/>
            <w:szCs w:val="18"/>
            <w:u w:val="single" w:color="auto"/>
            <w:color w:val="0000FF"/>
          </w:rPr>
          <w:t>Allison Transmission, Inc. Executive Change in Control and Severance Plan (incorporated by reference to Exhibit 10.1 to the</w:t>
        </w:r>
      </w:hyperlink>
      <w:r>
        <w:rPr>
          <w:rFonts w:ascii="Arial" w:cs="Arial" w:eastAsia="Arial" w:hAnsi="Arial"/>
          <w:sz w:val="18"/>
          <w:szCs w:val="18"/>
          <w:u w:val="single" w:color="auto"/>
          <w:color w:val="0000FF"/>
        </w:rPr>
        <w:t xml:space="preserve"> </w:t>
      </w:r>
      <w:hyperlink r:id="rId515">
        <w:r>
          <w:rPr>
            <w:rFonts w:ascii="Arial" w:cs="Arial" w:eastAsia="Arial" w:hAnsi="Arial"/>
            <w:sz w:val="18"/>
            <w:szCs w:val="18"/>
            <w:u w:val="single" w:color="auto"/>
            <w:color w:val="0000FF"/>
          </w:rPr>
          <w:t>Registrant’s Current Report on Form 8-K filed July 19,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-172720</wp:posOffset>
            </wp:positionV>
            <wp:extent cx="630110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6">
                      <a:extLst>
                        <a:ext uri="{28A0092B-C50C-407E-A947-70E740481C1C}"/>
                      </a:extLst>
                    </a:blip>
                    <a:srcRect/>
                    <a:stretch>
                      <a:fillRect/>
                    </a:stretch>
                  </pic:blipFill>
                  <pic:spPr bwMode="auto">
                    <a:xfrm>
                      <a:off x="0" y="0"/>
                      <a:ext cx="630110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-44450</wp:posOffset>
            </wp:positionV>
            <wp:extent cx="304228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7">
                      <a:extLst>
                        <a:ext uri="{28A0092B-C50C-407E-A947-70E740481C1C}"/>
                      </a:extLst>
                    </a:blip>
                    <a:srcRect/>
                    <a:stretch>
                      <a:fillRect/>
                    </a:stretch>
                  </pic:blipFill>
                  <pic:spPr bwMode="auto">
                    <a:xfrm>
                      <a:off x="0" y="0"/>
                      <a:ext cx="3042285" cy="8255"/>
                    </a:xfrm>
                    <a:prstGeom prst="rect">
                      <a:avLst/>
                    </a:prstGeom>
                    <a:noFill/>
                  </pic:spPr>
                </pic:pic>
              </a:graphicData>
            </a:graphic>
          </wp:anchor>
        </w:drawing>
      </w:r>
    </w:p>
    <w:p>
      <w:pPr>
        <w:spacing w:after="0" w:line="92" w:lineRule="exact"/>
        <w:rPr>
          <w:sz w:val="20"/>
          <w:szCs w:val="20"/>
          <w:color w:val="auto"/>
        </w:rPr>
      </w:pPr>
    </w:p>
    <w:p>
      <w:pPr>
        <w:jc w:val="center"/>
        <w:ind w:right="40"/>
        <w:spacing w:after="0"/>
        <w:tabs>
          <w:tab w:leader="none" w:pos="260" w:val="left"/>
        </w:tabs>
        <w:rPr>
          <w:rFonts w:ascii="Arial" w:cs="Arial" w:eastAsia="Arial" w:hAnsi="Arial"/>
          <w:sz w:val="17"/>
          <w:szCs w:val="17"/>
          <w:u w:val="single" w:color="auto"/>
          <w:color w:val="0000FF"/>
        </w:rPr>
      </w:pPr>
      <w:r>
        <w:rPr>
          <w:rFonts w:ascii="Arial" w:cs="Arial" w:eastAsia="Arial" w:hAnsi="Arial"/>
          <w:sz w:val="18"/>
          <w:szCs w:val="18"/>
          <w:color w:val="auto"/>
        </w:rPr>
        <w:t>10.22*</w:t>
      </w:r>
      <w:r>
        <w:rPr>
          <w:sz w:val="20"/>
          <w:szCs w:val="20"/>
          <w:color w:val="auto"/>
        </w:rPr>
        <w:tab/>
      </w:r>
      <w:hyperlink r:id="rId518">
        <w:r>
          <w:rPr>
            <w:rFonts w:ascii="Arial" w:cs="Arial" w:eastAsia="Arial" w:hAnsi="Arial"/>
            <w:sz w:val="17"/>
            <w:szCs w:val="17"/>
            <w:u w:val="single" w:color="auto"/>
            <w:color w:val="0000FF"/>
          </w:rPr>
          <w:t>Severance and Change in Control Agreement, between Allison Transmission, Inc. and David S. Graziosi, dated as of March 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-7620</wp:posOffset>
            </wp:positionV>
            <wp:extent cx="645922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9">
                      <a:extLst>
                        <a:ext uri="{28A0092B-C50C-407E-A947-70E740481C1C}"/>
                      </a:extLst>
                    </a:blip>
                    <a:srcRect/>
                    <a:stretch>
                      <a:fillRect/>
                    </a:stretch>
                  </pic:blipFill>
                  <pic:spPr bwMode="auto">
                    <a:xfrm>
                      <a:off x="0" y="0"/>
                      <a:ext cx="6459220" cy="8255"/>
                    </a:xfrm>
                    <a:prstGeom prst="rect">
                      <a:avLst/>
                    </a:prstGeom>
                    <a:noFill/>
                  </pic:spPr>
                </pic:pic>
              </a:graphicData>
            </a:graphic>
          </wp:anchor>
        </w:drawing>
      </w:r>
    </w:p>
    <w:p>
      <w:pPr>
        <w:jc w:val="center"/>
        <w:ind w:right="100"/>
        <w:spacing w:after="0"/>
        <w:rPr>
          <w:rFonts w:ascii="Arial" w:cs="Arial" w:eastAsia="Arial" w:hAnsi="Arial"/>
          <w:sz w:val="18"/>
          <w:szCs w:val="18"/>
          <w:u w:val="single" w:color="auto"/>
          <w:color w:val="0000FF"/>
        </w:rPr>
      </w:pPr>
      <w:hyperlink r:id="rId518">
        <w:r>
          <w:rPr>
            <w:rFonts w:ascii="Arial" w:cs="Arial" w:eastAsia="Arial" w:hAnsi="Arial"/>
            <w:sz w:val="18"/>
            <w:szCs w:val="18"/>
            <w:u w:val="single" w:color="auto"/>
            <w:color w:val="0000FF"/>
          </w:rPr>
          <w:t>2018 (incorporated by reference to Exhibit 10.1 to the Registrant’s Current Report on Form 8-K filed March 23,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-19050</wp:posOffset>
            </wp:positionV>
            <wp:extent cx="588454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0">
                      <a:extLst>
                        <a:ext uri="{28A0092B-C50C-407E-A947-70E740481C1C}"/>
                      </a:extLst>
                    </a:blip>
                    <a:srcRect/>
                    <a:stretch>
                      <a:fillRect/>
                    </a:stretch>
                  </pic:blipFill>
                  <pic:spPr bwMode="auto">
                    <a:xfrm>
                      <a:off x="0" y="0"/>
                      <a:ext cx="5884545" cy="8255"/>
                    </a:xfrm>
                    <a:prstGeom prst="rect">
                      <a:avLst/>
                    </a:prstGeom>
                    <a:noFill/>
                  </pic:spPr>
                </pic:pic>
              </a:graphicData>
            </a:graphic>
          </wp:anchor>
        </w:drawing>
      </w:r>
    </w:p>
    <w:p>
      <w:pPr>
        <w:spacing w:after="0" w:line="133"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u w:val="single" w:color="auto"/>
          <w:color w:val="0000FF"/>
        </w:rPr>
        <w:t>List of Subsidiaries of Allison Transmission Holdings, Inc.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-7620</wp:posOffset>
            </wp:positionV>
            <wp:extent cx="366204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1">
                      <a:extLst>
                        <a:ext uri="{28A0092B-C50C-407E-A947-70E740481C1C}"/>
                      </a:extLst>
                    </a:blip>
                    <a:srcRect/>
                    <a:stretch>
                      <a:fillRect/>
                    </a:stretch>
                  </pic:blipFill>
                  <pic:spPr bwMode="auto">
                    <a:xfrm>
                      <a:off x="0" y="0"/>
                      <a:ext cx="3662045" cy="8255"/>
                    </a:xfrm>
                    <a:prstGeom prst="rect">
                      <a:avLst/>
                    </a:prstGeom>
                    <a:noFill/>
                  </pic:spPr>
                </pic:pic>
              </a:graphicData>
            </a:graphic>
          </wp:anchor>
        </w:drawing>
      </w:r>
    </w:p>
    <w:p>
      <w:pPr>
        <w:spacing w:after="0" w:line="151"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u w:val="single" w:color="auto"/>
          <w:color w:val="0000FF"/>
        </w:rPr>
        <w:t>Consent of PricewaterhouseCoopers LLP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-7620</wp:posOffset>
            </wp:positionV>
            <wp:extent cx="287972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2">
                      <a:extLst>
                        <a:ext uri="{28A0092B-C50C-407E-A947-70E740481C1C}"/>
                      </a:extLst>
                    </a:blip>
                    <a:srcRect/>
                    <a:stretch>
                      <a:fillRect/>
                    </a:stretch>
                  </pic:blipFill>
                  <pic:spPr bwMode="auto">
                    <a:xfrm>
                      <a:off x="0" y="0"/>
                      <a:ext cx="2879725" cy="8255"/>
                    </a:xfrm>
                    <a:prstGeom prst="rect">
                      <a:avLst/>
                    </a:prstGeom>
                    <a:noFill/>
                  </pic:spPr>
                </pic:pic>
              </a:graphicData>
            </a:graphic>
          </wp:anchor>
        </w:drawing>
      </w:r>
    </w:p>
    <w:p>
      <w:pPr>
        <w:spacing w:after="0" w:line="151" w:lineRule="exact"/>
        <w:rPr>
          <w:sz w:val="20"/>
          <w:szCs w:val="20"/>
          <w:color w:val="auto"/>
        </w:rPr>
      </w:pPr>
    </w:p>
    <w:p>
      <w:pPr>
        <w:ind w:left="920" w:right="500" w:hanging="803"/>
        <w:spacing w:after="0" w:line="271" w:lineRule="auto"/>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FF"/>
        </w:rPr>
        <w:t>Certification pursuant to Rule 13a-14(a)/15d-14(a) of the Securities Exchange Act of 1934 of the Chief Executive Officer, as adopted pursuant to Section 302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-172720</wp:posOffset>
            </wp:positionV>
            <wp:extent cx="623951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3">
                      <a:extLst>
                        <a:ext uri="{28A0092B-C50C-407E-A947-70E740481C1C}"/>
                      </a:extLst>
                    </a:blip>
                    <a:srcRect/>
                    <a:stretch>
                      <a:fillRect/>
                    </a:stretch>
                  </pic:blipFill>
                  <pic:spPr bwMode="auto">
                    <a:xfrm>
                      <a:off x="0" y="0"/>
                      <a:ext cx="623951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-44450</wp:posOffset>
            </wp:positionV>
            <wp:extent cx="420624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4">
                      <a:extLst>
                        <a:ext uri="{28A0092B-C50C-407E-A947-70E740481C1C}"/>
                      </a:extLst>
                    </a:blip>
                    <a:srcRect/>
                    <a:stretch>
                      <a:fillRect/>
                    </a:stretch>
                  </pic:blipFill>
                  <pic:spPr bwMode="auto">
                    <a:xfrm>
                      <a:off x="0" y="0"/>
                      <a:ext cx="4206240" cy="8255"/>
                    </a:xfrm>
                    <a:prstGeom prst="rect">
                      <a:avLst/>
                    </a:prstGeom>
                    <a:noFill/>
                  </pic:spPr>
                </pic:pic>
              </a:graphicData>
            </a:graphic>
          </wp:anchor>
        </w:drawing>
      </w:r>
    </w:p>
    <w:p>
      <w:pPr>
        <w:spacing w:after="0" w:line="92" w:lineRule="exact"/>
        <w:rPr>
          <w:sz w:val="20"/>
          <w:szCs w:val="20"/>
          <w:color w:val="auto"/>
        </w:rPr>
      </w:pPr>
    </w:p>
    <w:p>
      <w:pPr>
        <w:ind w:left="920" w:right="560" w:hanging="803"/>
        <w:spacing w:after="0" w:line="271" w:lineRule="auto"/>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0000FF"/>
        </w:rPr>
        <w:t>Certification pursuant to Rule 13a-14(a)/15d-14(a) of the Securities Exchange Act of 1934 of the Chief Financial Officer, as adopted pursuant to Section 302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-172720</wp:posOffset>
            </wp:positionV>
            <wp:extent cx="620141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5">
                      <a:extLst>
                        <a:ext uri="{28A0092B-C50C-407E-A947-70E740481C1C}"/>
                      </a:extLst>
                    </a:blip>
                    <a:srcRect/>
                    <a:stretch>
                      <a:fillRect/>
                    </a:stretch>
                  </pic:blipFill>
                  <pic:spPr bwMode="auto">
                    <a:xfrm>
                      <a:off x="0" y="0"/>
                      <a:ext cx="620141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-44450</wp:posOffset>
            </wp:positionV>
            <wp:extent cx="420624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6">
                      <a:extLst>
                        <a:ext uri="{28A0092B-C50C-407E-A947-70E740481C1C}"/>
                      </a:extLst>
                    </a:blip>
                    <a:srcRect/>
                    <a:stretch>
                      <a:fillRect/>
                    </a:stretch>
                  </pic:blipFill>
                  <pic:spPr bwMode="auto">
                    <a:xfrm>
                      <a:off x="0" y="0"/>
                      <a:ext cx="4206240" cy="8255"/>
                    </a:xfrm>
                    <a:prstGeom prst="rect">
                      <a:avLst/>
                    </a:prstGeom>
                    <a:noFill/>
                  </pic:spPr>
                </pic:pic>
              </a:graphicData>
            </a:graphic>
          </wp:anchor>
        </w:drawing>
      </w:r>
    </w:p>
    <w:p>
      <w:pPr>
        <w:spacing w:after="0" w:line="92" w:lineRule="exact"/>
        <w:rPr>
          <w:sz w:val="20"/>
          <w:szCs w:val="20"/>
          <w:color w:val="auto"/>
        </w:rPr>
      </w:pPr>
    </w:p>
    <w:p>
      <w:pPr>
        <w:ind w:left="920" w:right="280" w:hanging="803"/>
        <w:spacing w:after="0" w:line="271" w:lineRule="auto"/>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FF"/>
        </w:rPr>
        <w:t>Certification pursuant to 18 U.S.C. Section 1350, as adopted pursuant to Section 906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-172720</wp:posOffset>
            </wp:positionV>
            <wp:extent cx="638175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7">
                      <a:extLst>
                        <a:ext uri="{28A0092B-C50C-407E-A947-70E740481C1C}"/>
                      </a:extLst>
                    </a:blip>
                    <a:srcRect/>
                    <a:stretch>
                      <a:fillRect/>
                    </a:stretch>
                  </pic:blipFill>
                  <pic:spPr bwMode="auto">
                    <a:xfrm>
                      <a:off x="0" y="0"/>
                      <a:ext cx="638175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-44450</wp:posOffset>
            </wp:positionV>
            <wp:extent cx="46926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8">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92" w:lineRule="exact"/>
        <w:rPr>
          <w:sz w:val="20"/>
          <w:szCs w:val="20"/>
          <w:color w:val="auto"/>
        </w:rPr>
      </w:pPr>
    </w:p>
    <w:p>
      <w:pPr>
        <w:ind w:left="920" w:hanging="799"/>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0000FF"/>
        </w:rPr>
        <w:t>Allison Transmission Holdings, Inc. Policy for Recovery of Erroneously Awarded Compensation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-7620</wp:posOffset>
            </wp:positionV>
            <wp:extent cx="557530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9">
                      <a:extLst>
                        <a:ext uri="{28A0092B-C50C-407E-A947-70E740481C1C}"/>
                      </a:extLst>
                    </a:blip>
                    <a:srcRect/>
                    <a:stretch>
                      <a:fillRect/>
                    </a:stretch>
                  </pic:blipFill>
                  <pic:spPr bwMode="auto">
                    <a:xfrm>
                      <a:off x="0" y="0"/>
                      <a:ext cx="5575300" cy="8255"/>
                    </a:xfrm>
                    <a:prstGeom prst="rect">
                      <a:avLst/>
                    </a:prstGeom>
                    <a:noFill/>
                  </pic:spPr>
                </pic:pic>
              </a:graphicData>
            </a:graphic>
          </wp:anchor>
        </w:drawing>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6660" w:type="dxa"/>
            <w:vAlign w:val="bottom"/>
          </w:tcPr>
          <w:p>
            <w:pPr>
              <w:ind w:left="80"/>
              <w:spacing w:after="0"/>
              <w:rPr>
                <w:sz w:val="20"/>
                <w:szCs w:val="20"/>
                <w:color w:val="auto"/>
              </w:rPr>
            </w:pPr>
            <w:r>
              <w:rPr>
                <w:rFonts w:ascii="Arial" w:cs="Arial" w:eastAsia="Arial" w:hAnsi="Arial"/>
                <w:sz w:val="18"/>
                <w:szCs w:val="18"/>
                <w:color w:val="auto"/>
              </w:rPr>
              <w:t>Inline XBRL Instance Document (filed herewith)</w:t>
            </w:r>
          </w:p>
        </w:tc>
      </w:tr>
      <w:tr>
        <w:trPr>
          <w:trHeight w:val="378"/>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6660" w:type="dxa"/>
            <w:vAlign w:val="bottom"/>
          </w:tcPr>
          <w:p>
            <w:pPr>
              <w:ind w:left="80"/>
              <w:spacing w:after="0"/>
              <w:rPr>
                <w:sz w:val="20"/>
                <w:szCs w:val="20"/>
                <w:color w:val="auto"/>
              </w:rPr>
            </w:pPr>
            <w:r>
              <w:rPr>
                <w:rFonts w:ascii="Arial" w:cs="Arial" w:eastAsia="Arial" w:hAnsi="Arial"/>
                <w:sz w:val="18"/>
                <w:szCs w:val="18"/>
                <w:color w:val="auto"/>
              </w:rPr>
              <w:t>Inline XBRL Taxonomy Extension Schema Document (filed herewith)</w:t>
            </w:r>
          </w:p>
        </w:tc>
      </w:tr>
      <w:tr>
        <w:trPr>
          <w:trHeight w:val="378"/>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6660" w:type="dxa"/>
            <w:vAlign w:val="bottom"/>
          </w:tcPr>
          <w:p>
            <w:pPr>
              <w:ind w:left="80"/>
              <w:spacing w:after="0"/>
              <w:rPr>
                <w:sz w:val="20"/>
                <w:szCs w:val="20"/>
                <w:color w:val="auto"/>
              </w:rPr>
            </w:pPr>
            <w:r>
              <w:rPr>
                <w:rFonts w:ascii="Arial" w:cs="Arial" w:eastAsia="Arial" w:hAnsi="Arial"/>
                <w:sz w:val="18"/>
                <w:szCs w:val="18"/>
                <w:color w:val="auto"/>
              </w:rPr>
              <w:t>Inline XBRL Taxonomy Extension Calculation Linkbase Document (filed herewith)</w:t>
            </w:r>
          </w:p>
        </w:tc>
      </w:tr>
      <w:tr>
        <w:trPr>
          <w:trHeight w:val="378"/>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6660" w:type="dxa"/>
            <w:vAlign w:val="bottom"/>
          </w:tcPr>
          <w:p>
            <w:pPr>
              <w:ind w:left="80"/>
              <w:spacing w:after="0"/>
              <w:rPr>
                <w:sz w:val="20"/>
                <w:szCs w:val="20"/>
                <w:color w:val="auto"/>
              </w:rPr>
            </w:pPr>
            <w:r>
              <w:rPr>
                <w:rFonts w:ascii="Arial" w:cs="Arial" w:eastAsia="Arial" w:hAnsi="Arial"/>
                <w:sz w:val="18"/>
                <w:szCs w:val="18"/>
                <w:color w:val="auto"/>
              </w:rPr>
              <w:t>Inline XBRL Taxonomy Extension Definition Linkbase Document (filed herewith)</w:t>
            </w:r>
          </w:p>
        </w:tc>
      </w:tr>
      <w:tr>
        <w:trPr>
          <w:trHeight w:val="378"/>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6660" w:type="dxa"/>
            <w:vAlign w:val="bottom"/>
          </w:tcPr>
          <w:p>
            <w:pPr>
              <w:ind w:left="80"/>
              <w:spacing w:after="0"/>
              <w:rPr>
                <w:sz w:val="20"/>
                <w:szCs w:val="20"/>
                <w:color w:val="auto"/>
              </w:rPr>
            </w:pPr>
            <w:r>
              <w:rPr>
                <w:rFonts w:ascii="Arial" w:cs="Arial" w:eastAsia="Arial" w:hAnsi="Arial"/>
                <w:sz w:val="18"/>
                <w:szCs w:val="18"/>
                <w:color w:val="auto"/>
              </w:rPr>
              <w:t>Inline XBRL Taxonomy Extension Label Linkbase Document (filed herewith)</w:t>
            </w:r>
          </w:p>
        </w:tc>
      </w:tr>
      <w:tr>
        <w:trPr>
          <w:trHeight w:val="378"/>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6660" w:type="dxa"/>
            <w:vAlign w:val="bottom"/>
          </w:tcPr>
          <w:p>
            <w:pPr>
              <w:ind w:left="80"/>
              <w:spacing w:after="0"/>
              <w:rPr>
                <w:sz w:val="20"/>
                <w:szCs w:val="20"/>
                <w:color w:val="auto"/>
              </w:rPr>
            </w:pPr>
            <w:r>
              <w:rPr>
                <w:rFonts w:ascii="Arial" w:cs="Arial" w:eastAsia="Arial" w:hAnsi="Arial"/>
                <w:sz w:val="18"/>
                <w:szCs w:val="18"/>
                <w:color w:val="auto"/>
                <w:w w:val="99"/>
              </w:rPr>
              <w:t>Inline XBRL Taxonomy Extension Presentation Linkbase Document (filed herewith)</w:t>
            </w:r>
          </w:p>
        </w:tc>
      </w:tr>
    </w:tbl>
    <w:p>
      <w:pPr>
        <w:spacing w:after="0" w:line="139" w:lineRule="exact"/>
        <w:rPr>
          <w:sz w:val="20"/>
          <w:szCs w:val="20"/>
          <w:color w:val="auto"/>
        </w:rPr>
      </w:pPr>
    </w:p>
    <w:p>
      <w:pPr>
        <w:ind w:left="920" w:right="200" w:hanging="899"/>
        <w:spacing w:after="0" w:line="271" w:lineRule="auto"/>
        <w:tabs>
          <w:tab w:leader="none" w:pos="9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Cover Page Interactive Data File – The cover page from the Registrant’s Annual Report on Form 10-K for the fiscal year ended December 31, 2023, formatted in Inline XBRL and contained in Exhibit 101</w:t>
      </w:r>
    </w:p>
    <w:p>
      <w:pPr>
        <w:spacing w:after="0" w:line="13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158432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0">
                      <a:extLst>
                        <a:ext uri="{28A0092B-C50C-407E-A947-70E740481C1C}"/>
                      </a:extLst>
                    </a:blip>
                    <a:srcRect/>
                    <a:stretch>
                      <a:fillRect/>
                    </a:stretch>
                  </pic:blipFill>
                  <pic:spPr bwMode="auto">
                    <a:xfrm>
                      <a:off x="0" y="0"/>
                      <a:ext cx="1584325" cy="8255"/>
                    </a:xfrm>
                    <a:prstGeom prst="rect">
                      <a:avLst/>
                    </a:prstGeom>
                    <a:noFill/>
                  </pic:spPr>
                </pic:pic>
              </a:graphicData>
            </a:graphic>
          </wp:anchor>
        </w:drawing>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Intentionally left blank.</w:t>
      </w:r>
    </w:p>
    <w:p>
      <w:pPr>
        <w:spacing w:after="0" w:line="2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8" w:right="1440"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69"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Allison Transmission Holdings, Inc.</w:t>
      </w:r>
    </w:p>
    <w:p>
      <w:pPr>
        <w:spacing w:after="0" w:line="4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6480" w:val="left"/>
          <w:tab w:leader="none" w:pos="7180" w:val="left"/>
        </w:tabs>
        <w:rPr>
          <w:sz w:val="20"/>
          <w:szCs w:val="20"/>
          <w:color w:val="auto"/>
        </w:rPr>
      </w:pPr>
      <w:r>
        <w:rPr>
          <w:rFonts w:ascii="Arial" w:cs="Arial" w:eastAsia="Arial" w:hAnsi="Arial"/>
          <w:sz w:val="18"/>
          <w:szCs w:val="18"/>
          <w:color w:val="auto"/>
        </w:rPr>
        <w:t>Date: February 14,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17780</wp:posOffset>
            </wp:positionV>
            <wp:extent cx="256857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5">
                      <a:extLst>
                        <a:ext uri="{28A0092B-C50C-407E-A947-70E740481C1C}"/>
                      </a:extLst>
                    </a:blip>
                    <a:srcRect/>
                    <a:stretch>
                      <a:fillRect/>
                    </a:stretch>
                  </pic:blipFill>
                  <pic:spPr bwMode="auto">
                    <a:xfrm>
                      <a:off x="0" y="0"/>
                      <a:ext cx="2568575" cy="8255"/>
                    </a:xfrm>
                    <a:prstGeom prst="rect">
                      <a:avLst/>
                    </a:prstGeom>
                    <a:noFill/>
                  </pic:spPr>
                </pic:pic>
              </a:graphicData>
            </a:graphic>
          </wp:anchor>
        </w:drawing>
      </w:r>
    </w:p>
    <w:p>
      <w:pPr>
        <w:spacing w:after="0" w:line="2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David S. Graziosi</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Chairman, President and Chief Executive Officer</w:t>
      </w:r>
    </w:p>
    <w:p>
      <w:pPr>
        <w:spacing w:after="0" w:line="4"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8" w:right="47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right="180" w:firstLine="494"/>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9" w:lineRule="exact"/>
        <w:rPr>
          <w:sz w:val="20"/>
          <w:szCs w:val="20"/>
          <w:color w:val="auto"/>
        </w:rPr>
      </w:pPr>
    </w:p>
    <w:p>
      <w:pPr>
        <w:ind w:left="960"/>
        <w:spacing w:after="0"/>
        <w:tabs>
          <w:tab w:leader="none" w:pos="5640" w:val="left"/>
          <w:tab w:leader="none" w:pos="994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CAPACITY</w:t>
      </w:r>
      <w:r>
        <w:rPr>
          <w:sz w:val="20"/>
          <w:szCs w:val="20"/>
          <w:color w:val="auto"/>
        </w:rPr>
        <w:tab/>
      </w:r>
      <w:r>
        <w:rPr>
          <w:rFonts w:ascii="Arial" w:cs="Arial" w:eastAsia="Arial" w:hAnsi="Arial"/>
          <w:sz w:val="13"/>
          <w:szCs w:val="13"/>
          <w:b w:val="1"/>
          <w:bCs w:val="1"/>
          <w:u w:val="single" w:color="auto"/>
          <w:color w:val="auto"/>
        </w:rPr>
        <w:t>DATE</w:t>
      </w:r>
    </w:p>
    <w:p>
      <w:pPr>
        <w:sectPr>
          <w:pgSz w:w="11900" w:h="16838" w:orient="portrait"/>
          <w:cols w:equalWidth="0" w:num="1">
            <w:col w:w="11160"/>
          </w:cols>
          <w:pgMar w:left="320" w:top="768" w:right="419" w:bottom="1440" w:gutter="0" w:footer="0" w:header="0"/>
        </w:sectPr>
      </w:pPr>
    </w:p>
    <w:p>
      <w:pPr>
        <w:spacing w:after="0" w:line="342"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color w:val="auto"/>
        </w:rPr>
        <w:t>/s/ David S. Graziosi David S. Graziosi</w:t>
      </w:r>
    </w:p>
    <w:p>
      <w:pPr>
        <w:spacing w:after="0" w:line="234"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color w:val="auto"/>
        </w:rPr>
        <w:t>/s/ G. Frederick Bohley G. Frederick Bohley</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Judy Altmaier</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Judy Altmaier</w:t>
      </w:r>
    </w:p>
    <w:p>
      <w:pPr>
        <w:spacing w:after="0" w:line="274"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color w:val="auto"/>
        </w:rPr>
        <w:t>/s/ D. Scott Barbour D. Scott Barbour</w:t>
      </w:r>
    </w:p>
    <w:p>
      <w:pPr>
        <w:spacing w:after="0" w:line="234" w:lineRule="exact"/>
        <w:rPr>
          <w:sz w:val="20"/>
          <w:szCs w:val="20"/>
          <w:color w:val="auto"/>
        </w:rPr>
      </w:pPr>
    </w:p>
    <w:p>
      <w:pPr>
        <w:ind w:left="120" w:right="380"/>
        <w:spacing w:after="0" w:line="301" w:lineRule="auto"/>
        <w:rPr>
          <w:sz w:val="20"/>
          <w:szCs w:val="20"/>
          <w:color w:val="auto"/>
        </w:rPr>
      </w:pPr>
      <w:r>
        <w:rPr>
          <w:rFonts w:ascii="Arial" w:cs="Arial" w:eastAsia="Arial" w:hAnsi="Arial"/>
          <w:sz w:val="17"/>
          <w:szCs w:val="17"/>
          <w:color w:val="auto"/>
        </w:rPr>
        <w:t>/s/ Philip J. Christman Philip J. Christman</w:t>
      </w:r>
    </w:p>
    <w:p>
      <w:pPr>
        <w:spacing w:after="0" w:line="211" w:lineRule="exact"/>
        <w:rPr>
          <w:sz w:val="20"/>
          <w:szCs w:val="20"/>
          <w:color w:val="auto"/>
        </w:rPr>
      </w:pPr>
    </w:p>
    <w:p>
      <w:pPr>
        <w:ind w:left="120" w:right="620"/>
        <w:spacing w:after="0" w:line="271" w:lineRule="auto"/>
        <w:rPr>
          <w:sz w:val="20"/>
          <w:szCs w:val="20"/>
          <w:color w:val="auto"/>
        </w:rPr>
      </w:pPr>
      <w:r>
        <w:rPr>
          <w:rFonts w:ascii="Arial" w:cs="Arial" w:eastAsia="Arial" w:hAnsi="Arial"/>
          <w:sz w:val="18"/>
          <w:szCs w:val="18"/>
          <w:color w:val="auto"/>
        </w:rPr>
        <w:t>/s/ David C. Everitt David C. Everitt</w:t>
      </w:r>
    </w:p>
    <w:p>
      <w:pPr>
        <w:spacing w:after="0" w:line="234"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auto"/>
        </w:rPr>
        <w:t>/s/ Carolann I. Haznedar Carolann I. Haznedar</w:t>
      </w:r>
    </w:p>
    <w:p>
      <w:pPr>
        <w:spacing w:after="0" w:line="234" w:lineRule="exact"/>
        <w:rPr>
          <w:sz w:val="20"/>
          <w:szCs w:val="20"/>
          <w:color w:val="auto"/>
        </w:rPr>
      </w:pPr>
    </w:p>
    <w:p>
      <w:pPr>
        <w:ind w:left="120" w:right="580"/>
        <w:spacing w:after="0" w:line="301" w:lineRule="auto"/>
        <w:rPr>
          <w:sz w:val="20"/>
          <w:szCs w:val="20"/>
          <w:color w:val="auto"/>
        </w:rPr>
      </w:pPr>
      <w:r>
        <w:rPr>
          <w:rFonts w:ascii="Arial" w:cs="Arial" w:eastAsia="Arial" w:hAnsi="Arial"/>
          <w:sz w:val="17"/>
          <w:szCs w:val="17"/>
          <w:color w:val="auto"/>
        </w:rPr>
        <w:t>/s/ Richard P. Lavin Richard P. Lavin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Sasha Ostojic</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Sasha Ostojic</w:t>
      </w:r>
    </w:p>
    <w:p>
      <w:pPr>
        <w:spacing w:after="0" w:line="247" w:lineRule="exact"/>
        <w:rPr>
          <w:sz w:val="20"/>
          <w:szCs w:val="20"/>
          <w:color w:val="auto"/>
        </w:rPr>
      </w:pPr>
    </w:p>
    <w:p>
      <w:pPr>
        <w:ind w:left="120" w:right="480"/>
        <w:spacing w:after="0" w:line="301" w:lineRule="auto"/>
        <w:rPr>
          <w:sz w:val="20"/>
          <w:szCs w:val="20"/>
          <w:color w:val="auto"/>
        </w:rPr>
      </w:pPr>
      <w:r>
        <w:rPr>
          <w:rFonts w:ascii="Arial" w:cs="Arial" w:eastAsia="Arial" w:hAnsi="Arial"/>
          <w:sz w:val="17"/>
          <w:szCs w:val="17"/>
          <w:color w:val="auto"/>
        </w:rPr>
        <w:t>/s/ Gustave F. Perna Gustave F. Perna</w:t>
      </w:r>
    </w:p>
    <w:p>
      <w:pPr>
        <w:spacing w:after="0" w:line="184" w:lineRule="exact"/>
        <w:rPr>
          <w:sz w:val="20"/>
          <w:szCs w:val="20"/>
          <w:color w:val="auto"/>
        </w:rPr>
      </w:pPr>
    </w:p>
    <w:p>
      <w:pPr>
        <w:ind w:left="120" w:right="560"/>
        <w:spacing w:after="0" w:line="301" w:lineRule="auto"/>
        <w:rPr>
          <w:sz w:val="20"/>
          <w:szCs w:val="20"/>
          <w:color w:val="auto"/>
        </w:rPr>
      </w:pPr>
      <w:r>
        <w:rPr>
          <w:rFonts w:ascii="Arial" w:cs="Arial" w:eastAsia="Arial" w:hAnsi="Arial"/>
          <w:sz w:val="17"/>
          <w:szCs w:val="17"/>
          <w:color w:val="auto"/>
        </w:rPr>
        <w:t>/s/ Krishna Shivram Krishna Shivram</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400" w:type="dxa"/>
            <w:vAlign w:val="bottom"/>
          </w:tcPr>
          <w:p>
            <w:pPr>
              <w:spacing w:after="0"/>
              <w:rPr>
                <w:sz w:val="20"/>
                <w:szCs w:val="20"/>
                <w:color w:val="auto"/>
              </w:rPr>
            </w:pPr>
            <w:r>
              <w:rPr>
                <w:rFonts w:ascii="Arial" w:cs="Arial" w:eastAsia="Arial" w:hAnsi="Arial"/>
                <w:sz w:val="18"/>
                <w:szCs w:val="18"/>
                <w:color w:val="auto"/>
              </w:rPr>
              <w:t>Chairman, President and Chief Executive Officer (Principal Executive Officer)</w:t>
            </w:r>
          </w:p>
        </w:tc>
        <w:tc>
          <w:tcPr>
            <w:tcW w:w="1800" w:type="dxa"/>
            <w:vAlign w:val="bottom"/>
          </w:tcPr>
          <w:p>
            <w:pPr>
              <w:ind w:left="300"/>
              <w:spacing w:after="0"/>
              <w:rPr>
                <w:sz w:val="20"/>
                <w:szCs w:val="20"/>
                <w:color w:val="auto"/>
              </w:rPr>
            </w:pPr>
            <w:r>
              <w:rPr>
                <w:rFonts w:ascii="Arial" w:cs="Arial" w:eastAsia="Arial" w:hAnsi="Arial"/>
                <w:sz w:val="18"/>
                <w:szCs w:val="18"/>
                <w:color w:val="auto"/>
              </w:rPr>
              <w:t>February 14, 2024</w:t>
            </w:r>
          </w:p>
        </w:tc>
      </w:tr>
      <w:tr>
        <w:trPr>
          <w:trHeight w:val="665"/>
        </w:trPr>
        <w:tc>
          <w:tcPr>
            <w:tcW w:w="6400" w:type="dxa"/>
            <w:vAlign w:val="bottom"/>
          </w:tcPr>
          <w:p>
            <w:pPr>
              <w:spacing w:after="0"/>
              <w:rPr>
                <w:sz w:val="20"/>
                <w:szCs w:val="20"/>
                <w:color w:val="auto"/>
              </w:rPr>
            </w:pPr>
            <w:r>
              <w:rPr>
                <w:rFonts w:ascii="Arial" w:cs="Arial" w:eastAsia="Arial" w:hAnsi="Arial"/>
                <w:sz w:val="18"/>
                <w:szCs w:val="18"/>
                <w:color w:val="auto"/>
              </w:rPr>
              <w:t>Senior Vice President, Chief Financial Officer and Treasurer (Principal</w:t>
            </w:r>
          </w:p>
        </w:tc>
        <w:tc>
          <w:tcPr>
            <w:tcW w:w="1800" w:type="dxa"/>
            <w:vAlign w:val="bottom"/>
          </w:tcPr>
          <w:p>
            <w:pPr>
              <w:ind w:left="300"/>
              <w:spacing w:after="0"/>
              <w:rPr>
                <w:sz w:val="20"/>
                <w:szCs w:val="20"/>
                <w:color w:val="auto"/>
              </w:rPr>
            </w:pPr>
            <w:r>
              <w:rPr>
                <w:rFonts w:ascii="Arial" w:cs="Arial" w:eastAsia="Arial" w:hAnsi="Arial"/>
                <w:sz w:val="18"/>
                <w:szCs w:val="18"/>
                <w:color w:val="auto"/>
              </w:rPr>
              <w:t>February 14, 2024</w:t>
            </w:r>
          </w:p>
        </w:tc>
      </w:tr>
      <w:tr>
        <w:trPr>
          <w:trHeight w:val="239"/>
        </w:trPr>
        <w:tc>
          <w:tcPr>
            <w:tcW w:w="6400" w:type="dxa"/>
            <w:vAlign w:val="bottom"/>
          </w:tcPr>
          <w:p>
            <w:pPr>
              <w:spacing w:after="0"/>
              <w:rPr>
                <w:sz w:val="20"/>
                <w:szCs w:val="20"/>
                <w:color w:val="auto"/>
              </w:rPr>
            </w:pPr>
            <w:r>
              <w:rPr>
                <w:rFonts w:ascii="Arial" w:cs="Arial" w:eastAsia="Arial" w:hAnsi="Arial"/>
                <w:sz w:val="18"/>
                <w:szCs w:val="18"/>
                <w:color w:val="auto"/>
              </w:rPr>
              <w:t>Financial Officer and Principal Accounting Officer)</w:t>
            </w:r>
          </w:p>
        </w:tc>
        <w:tc>
          <w:tcPr>
            <w:tcW w:w="1800" w:type="dxa"/>
            <w:vAlign w:val="bottom"/>
          </w:tcPr>
          <w:p>
            <w:pPr>
              <w:spacing w:after="0"/>
              <w:rPr>
                <w:sz w:val="20"/>
                <w:szCs w:val="20"/>
                <w:color w:val="auto"/>
              </w:rPr>
            </w:pPr>
          </w:p>
        </w:tc>
      </w:tr>
      <w:tr>
        <w:trPr>
          <w:trHeight w:val="499"/>
        </w:trPr>
        <w:tc>
          <w:tcPr>
            <w:tcW w:w="6400" w:type="dxa"/>
            <w:vAlign w:val="bottom"/>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ind w:left="300"/>
              <w:spacing w:after="0"/>
              <w:rPr>
                <w:sz w:val="20"/>
                <w:szCs w:val="20"/>
                <w:color w:val="auto"/>
              </w:rPr>
            </w:pPr>
            <w:r>
              <w:rPr>
                <w:rFonts w:ascii="Arial" w:cs="Arial" w:eastAsia="Arial" w:hAnsi="Arial"/>
                <w:sz w:val="18"/>
                <w:szCs w:val="18"/>
                <w:color w:val="auto"/>
              </w:rPr>
              <w:t>February 14, 2024</w:t>
            </w:r>
          </w:p>
        </w:tc>
      </w:tr>
      <w:tr>
        <w:trPr>
          <w:trHeight w:val="701"/>
        </w:trPr>
        <w:tc>
          <w:tcPr>
            <w:tcW w:w="6400" w:type="dxa"/>
            <w:vAlign w:val="bottom"/>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ind w:left="300"/>
              <w:spacing w:after="0"/>
              <w:rPr>
                <w:sz w:val="20"/>
                <w:szCs w:val="20"/>
                <w:color w:val="auto"/>
              </w:rPr>
            </w:pPr>
            <w:r>
              <w:rPr>
                <w:rFonts w:ascii="Arial" w:cs="Arial" w:eastAsia="Arial" w:hAnsi="Arial"/>
                <w:sz w:val="18"/>
                <w:szCs w:val="18"/>
                <w:color w:val="auto"/>
              </w:rPr>
              <w:t>February 14, 2024</w:t>
            </w:r>
          </w:p>
        </w:tc>
      </w:tr>
      <w:tr>
        <w:trPr>
          <w:trHeight w:val="701"/>
        </w:trPr>
        <w:tc>
          <w:tcPr>
            <w:tcW w:w="6400" w:type="dxa"/>
            <w:vAlign w:val="bottom"/>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ind w:left="300"/>
              <w:spacing w:after="0"/>
              <w:rPr>
                <w:sz w:val="20"/>
                <w:szCs w:val="20"/>
                <w:color w:val="auto"/>
              </w:rPr>
            </w:pPr>
            <w:r>
              <w:rPr>
                <w:rFonts w:ascii="Arial" w:cs="Arial" w:eastAsia="Arial" w:hAnsi="Arial"/>
                <w:sz w:val="18"/>
                <w:szCs w:val="18"/>
                <w:color w:val="auto"/>
              </w:rPr>
              <w:t>February 14, 2024</w:t>
            </w:r>
          </w:p>
        </w:tc>
      </w:tr>
      <w:tr>
        <w:trPr>
          <w:trHeight w:val="701"/>
        </w:trPr>
        <w:tc>
          <w:tcPr>
            <w:tcW w:w="6400" w:type="dxa"/>
            <w:vAlign w:val="bottom"/>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ind w:left="300"/>
              <w:spacing w:after="0"/>
              <w:rPr>
                <w:sz w:val="20"/>
                <w:szCs w:val="20"/>
                <w:color w:val="auto"/>
              </w:rPr>
            </w:pPr>
            <w:r>
              <w:rPr>
                <w:rFonts w:ascii="Arial" w:cs="Arial" w:eastAsia="Arial" w:hAnsi="Arial"/>
                <w:sz w:val="18"/>
                <w:szCs w:val="18"/>
                <w:color w:val="auto"/>
              </w:rPr>
              <w:t>February 14, 2024</w:t>
            </w:r>
          </w:p>
        </w:tc>
      </w:tr>
      <w:tr>
        <w:trPr>
          <w:trHeight w:val="701"/>
        </w:trPr>
        <w:tc>
          <w:tcPr>
            <w:tcW w:w="6400" w:type="dxa"/>
            <w:vAlign w:val="bottom"/>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ind w:left="300"/>
              <w:spacing w:after="0"/>
              <w:rPr>
                <w:sz w:val="20"/>
                <w:szCs w:val="20"/>
                <w:color w:val="auto"/>
              </w:rPr>
            </w:pPr>
            <w:r>
              <w:rPr>
                <w:rFonts w:ascii="Arial" w:cs="Arial" w:eastAsia="Arial" w:hAnsi="Arial"/>
                <w:sz w:val="18"/>
                <w:szCs w:val="18"/>
                <w:color w:val="auto"/>
              </w:rPr>
              <w:t>February 14, 2024</w:t>
            </w:r>
          </w:p>
        </w:tc>
      </w:tr>
      <w:tr>
        <w:trPr>
          <w:trHeight w:val="701"/>
        </w:trPr>
        <w:tc>
          <w:tcPr>
            <w:tcW w:w="6400" w:type="dxa"/>
            <w:vAlign w:val="bottom"/>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ind w:left="300"/>
              <w:spacing w:after="0"/>
              <w:rPr>
                <w:sz w:val="20"/>
                <w:szCs w:val="20"/>
                <w:color w:val="auto"/>
              </w:rPr>
            </w:pPr>
            <w:r>
              <w:rPr>
                <w:rFonts w:ascii="Arial" w:cs="Arial" w:eastAsia="Arial" w:hAnsi="Arial"/>
                <w:sz w:val="18"/>
                <w:szCs w:val="18"/>
                <w:color w:val="auto"/>
              </w:rPr>
              <w:t>February 14, 2024</w:t>
            </w:r>
          </w:p>
        </w:tc>
      </w:tr>
      <w:tr>
        <w:trPr>
          <w:trHeight w:val="701"/>
        </w:trPr>
        <w:tc>
          <w:tcPr>
            <w:tcW w:w="6400" w:type="dxa"/>
            <w:vAlign w:val="bottom"/>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ind w:left="340"/>
              <w:spacing w:after="0"/>
              <w:rPr>
                <w:sz w:val="20"/>
                <w:szCs w:val="20"/>
                <w:color w:val="auto"/>
              </w:rPr>
            </w:pPr>
            <w:r>
              <w:rPr>
                <w:rFonts w:ascii="Arial" w:cs="Arial" w:eastAsia="Arial" w:hAnsi="Arial"/>
                <w:sz w:val="18"/>
                <w:szCs w:val="18"/>
                <w:color w:val="auto"/>
                <w:w w:val="97"/>
              </w:rPr>
              <w:t>February 14, 2024</w:t>
            </w:r>
          </w:p>
        </w:tc>
      </w:tr>
      <w:tr>
        <w:trPr>
          <w:trHeight w:val="674"/>
        </w:trPr>
        <w:tc>
          <w:tcPr>
            <w:tcW w:w="6400" w:type="dxa"/>
            <w:vAlign w:val="bottom"/>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ind w:left="340"/>
              <w:spacing w:after="0"/>
              <w:rPr>
                <w:sz w:val="20"/>
                <w:szCs w:val="20"/>
                <w:color w:val="auto"/>
              </w:rPr>
            </w:pPr>
            <w:r>
              <w:rPr>
                <w:rFonts w:ascii="Arial" w:cs="Arial" w:eastAsia="Arial" w:hAnsi="Arial"/>
                <w:sz w:val="18"/>
                <w:szCs w:val="18"/>
                <w:color w:val="auto"/>
                <w:w w:val="97"/>
              </w:rPr>
              <w:t>February 14, 2024</w:t>
            </w:r>
          </w:p>
        </w:tc>
      </w:tr>
      <w:tr>
        <w:trPr>
          <w:trHeight w:val="674"/>
        </w:trPr>
        <w:tc>
          <w:tcPr>
            <w:tcW w:w="6400" w:type="dxa"/>
            <w:vAlign w:val="bottom"/>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ind w:left="340"/>
              <w:spacing w:after="0"/>
              <w:rPr>
                <w:sz w:val="20"/>
                <w:szCs w:val="20"/>
                <w:color w:val="auto"/>
              </w:rPr>
            </w:pPr>
            <w:r>
              <w:rPr>
                <w:rFonts w:ascii="Arial" w:cs="Arial" w:eastAsia="Arial" w:hAnsi="Arial"/>
                <w:sz w:val="18"/>
                <w:szCs w:val="18"/>
                <w:color w:val="auto"/>
                <w:w w:val="97"/>
              </w:rPr>
              <w:t>February 14, 2024</w:t>
            </w:r>
          </w:p>
        </w:tc>
      </w:tr>
    </w:tbl>
    <w:p>
      <w:pPr>
        <w:spacing w:after="0" w:line="451" w:lineRule="exact"/>
        <w:rPr>
          <w:sz w:val="20"/>
          <w:szCs w:val="20"/>
          <w:color w:val="auto"/>
        </w:rPr>
      </w:pPr>
    </w:p>
    <w:p>
      <w:pPr>
        <w:sectPr>
          <w:pgSz w:w="11900" w:h="16838" w:orient="portrait"/>
          <w:cols w:equalWidth="0" w:num="2">
            <w:col w:w="2240" w:space="720"/>
            <w:col w:w="8200"/>
          </w:cols>
          <w:pgMar w:left="320" w:top="768"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8" w:right="419" w:bottom="1440" w:gutter="0" w:footer="0" w:header="0"/>
          <w:type w:val="continuous"/>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UNDER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8" w:lineRule="exact"/>
        <w:rPr>
          <w:sz w:val="20"/>
          <w:szCs w:val="20"/>
          <w:color w:val="auto"/>
        </w:rPr>
      </w:pPr>
    </w:p>
    <w:p>
      <w:pPr>
        <w:jc w:val="both"/>
        <w:ind w:firstLine="666"/>
        <w:spacing w:after="0" w:line="265" w:lineRule="auto"/>
        <w:rPr>
          <w:sz w:val="20"/>
          <w:szCs w:val="20"/>
          <w:color w:val="auto"/>
        </w:rPr>
      </w:pPr>
      <w:r>
        <w:rPr>
          <w:rFonts w:ascii="Times New Roman" w:cs="Times New Roman" w:eastAsia="Times New Roman" w:hAnsi="Times New Roman"/>
          <w:sz w:val="18"/>
          <w:szCs w:val="18"/>
          <w:color w:val="auto"/>
        </w:rPr>
        <w:t>As of December 31, 2023, Allison Transmission Holdings, Inc. (“Allison,” “Company,” “we,” “us” and “our”) had one class of securities registered under Section 12 of the Securities Exchange Act of 1934, as amended (the “Exchange Act”): its common stock, par value $0.01 per share (the “common stock”).</w:t>
      </w:r>
    </w:p>
    <w:p>
      <w:pPr>
        <w:spacing w:after="0" w:line="69" w:lineRule="exact"/>
        <w:rPr>
          <w:sz w:val="20"/>
          <w:szCs w:val="20"/>
          <w:color w:val="auto"/>
        </w:rPr>
      </w:pPr>
    </w:p>
    <w:p>
      <w:pPr>
        <w:jc w:val="both"/>
        <w:ind w:firstLine="666"/>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common stock is a summary and does not purport to be complete. It is subject to and is qualified in its entirety by reference to our Second Amended and Restated Certificate of Incorporation, as amended (the “Charter”), our Amended and Restated Bylaws (the “Bylaws”), and the applicable provisions of the General Corporation Law of the State of Delaware (the “DGCL”). Our Charter and our Bylaws are incorporated by reference as exhibits to the Annual Report on Form 10-K of which this Exhibit is a part, and each may be amended from time to time. We encourage you to read our Charter and Bylaws and the applicable provisions of the DGCL for additional information.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jc w:val="both"/>
        <w:ind w:right="20" w:firstLine="666"/>
        <w:spacing w:after="0" w:line="265" w:lineRule="auto"/>
        <w:rPr>
          <w:sz w:val="20"/>
          <w:szCs w:val="20"/>
          <w:color w:val="auto"/>
        </w:rPr>
      </w:pPr>
      <w:r>
        <w:rPr>
          <w:rFonts w:ascii="Times New Roman" w:cs="Times New Roman" w:eastAsia="Times New Roman" w:hAnsi="Times New Roman"/>
          <w:sz w:val="18"/>
          <w:szCs w:val="18"/>
          <w:color w:val="auto"/>
        </w:rPr>
        <w:t>Our authorized capital stock consists of 1,880,000,000 shares of common stock, par value $0.01 per share, 20,000,000 shares of non-voting common stock, par value $0.01 per share, and 100,000,000 shares of preferred stock, par value $0.01 per share. All outstanding shares of our common stock are fully paid and non-assessable.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jc w:val="both"/>
        <w:ind w:firstLine="666"/>
        <w:spacing w:after="0" w:line="255"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of record on all matters submitted to a vote of the stockholders, including the election of directors. Holders of our common stock do not have cumulative voting rights. A nominee for director is elected if the number of votes cast “for” his or her election exceeds the number of votes cast “against” such nominee’s election; provided, that if the number of nominees exceeds the number of directors to be elected as of the meeting date, directors will be elected by a plurality of the votes cast. On all other matters, unless a different or minimum vote is required by law, our Charter, our Bylaws, the rules and regulations of any stock exchange applicable to us or pursuant to any other rule or regulation applicable to us or our stockholders, an action is approved by the affirmative vote of the holders of a majority in voting power of the votes cast (excluding abstentions and broker non-votes) on the subject matter at a duly called or convened meeting of stockholders at which a quorum is present.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121" w:lineRule="exact"/>
        <w:rPr>
          <w:sz w:val="20"/>
          <w:szCs w:val="20"/>
          <w:color w:val="auto"/>
        </w:rPr>
      </w:pPr>
    </w:p>
    <w:p>
      <w:pPr>
        <w:jc w:val="both"/>
        <w:ind w:firstLine="666"/>
        <w:spacing w:after="0" w:line="258"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shares of preferred stock, holders of our common stock and non-voting common stock are entitled to receive ratably such dividends, if any, as may be declared from time to time by our Board of Directors out of funds legally available for dividend payments. The senior secured credit facility of Allison Transmission, Inc. (“ATI”), our wholly-owned subsidiary, and the indentures governing ATI’s 4.75% senior notes due October 2027, 5.875% senior notes due June 2029 and 3.75% senior notes due January 2031 impose restrictions on the ability of our Board of Directors to declare dividends on our common stock.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21" w:lineRule="exact"/>
        <w:rPr>
          <w:sz w:val="20"/>
          <w:szCs w:val="20"/>
          <w:color w:val="auto"/>
        </w:rPr>
      </w:pPr>
    </w:p>
    <w:p>
      <w:pPr>
        <w:jc w:val="both"/>
        <w:ind w:firstLine="666"/>
        <w:spacing w:after="0" w:line="265" w:lineRule="auto"/>
        <w:rPr>
          <w:sz w:val="20"/>
          <w:szCs w:val="20"/>
          <w:color w:val="auto"/>
        </w:rPr>
      </w:pPr>
      <w:r>
        <w:rPr>
          <w:rFonts w:ascii="Times New Roman" w:cs="Times New Roman" w:eastAsia="Times New Roman" w:hAnsi="Times New Roman"/>
          <w:sz w:val="18"/>
          <w:szCs w:val="18"/>
          <w:color w:val="auto"/>
        </w:rPr>
        <w:t>In the event of any liquidation, dissolution or winding-up of our affairs, whether voluntary or involuntary, holders of our common stock and non-voting common stock will be entitled to share ratably in our assets that are remaining after payment or provision for payment of all of our debts and obligations and after liquidation payments to holders of outstanding shares of preferred stock, if any.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Rights</w:t>
      </w:r>
    </w:p>
    <w:p>
      <w:pPr>
        <w:spacing w:after="0" w:line="121" w:lineRule="exact"/>
        <w:rPr>
          <w:sz w:val="20"/>
          <w:szCs w:val="20"/>
          <w:color w:val="auto"/>
        </w:rPr>
      </w:pPr>
    </w:p>
    <w:p>
      <w:pPr>
        <w:jc w:val="both"/>
        <w:ind w:firstLine="666"/>
        <w:spacing w:after="0" w:line="281" w:lineRule="auto"/>
        <w:rPr>
          <w:sz w:val="20"/>
          <w:szCs w:val="20"/>
          <w:color w:val="auto"/>
        </w:rPr>
      </w:pPr>
      <w:r>
        <w:rPr>
          <w:rFonts w:ascii="Times New Roman" w:cs="Times New Roman" w:eastAsia="Times New Roman" w:hAnsi="Times New Roman"/>
          <w:sz w:val="18"/>
          <w:szCs w:val="18"/>
          <w:color w:val="auto"/>
        </w:rPr>
        <w:t>The holders of our common stock have no preemptive, subscription, exchange or conversion rights, and there are no redemption, preference or sinking fund provisions applicable to our common stock. Holders of our common stock are not subject to further calls or assessments by 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02" w:name="page103"/>
    <w:bookmarkEnd w:id="102"/>
    <w:p>
      <w:pPr>
        <w:spacing w:after="0" w:line="84" w:lineRule="exact"/>
        <w:rPr>
          <w:sz w:val="20"/>
          <w:szCs w:val="20"/>
          <w:color w:val="auto"/>
        </w:rPr>
      </w:pPr>
    </w:p>
    <w:p>
      <w:pPr>
        <w:jc w:val="both"/>
        <w:ind w:firstLine="666"/>
        <w:spacing w:after="0" w:line="265" w:lineRule="auto"/>
        <w:rPr>
          <w:sz w:val="20"/>
          <w:szCs w:val="20"/>
          <w:color w:val="auto"/>
        </w:rPr>
      </w:pPr>
      <w:r>
        <w:rPr>
          <w:rFonts w:ascii="Times New Roman" w:cs="Times New Roman" w:eastAsia="Times New Roman" w:hAnsi="Times New Roman"/>
          <w:sz w:val="18"/>
          <w:szCs w:val="18"/>
          <w:color w:val="auto"/>
        </w:rPr>
        <w:t>Certain provisions in our Charter, our Bylaws and the DGCL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Among other things, our Charter and Bylaws:</w:t>
      </w:r>
    </w:p>
    <w:p>
      <w:pPr>
        <w:spacing w:after="0" w:line="117" w:lineRule="exact"/>
        <w:rPr>
          <w:sz w:val="20"/>
          <w:szCs w:val="20"/>
          <w:color w:val="auto"/>
        </w:rPr>
      </w:pPr>
    </w:p>
    <w:p>
      <w:pPr>
        <w:ind w:left="1440" w:hanging="384"/>
        <w:spacing w:after="0" w:line="281" w:lineRule="auto"/>
        <w:tabs>
          <w:tab w:leader="none" w:pos="14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authorize the issuance of blank check preferred stock that our Board of Directors could issue to increase the number of outstanding shares and to discourage a takeover attempt;</w:t>
      </w:r>
    </w:p>
    <w:p>
      <w:pPr>
        <w:spacing w:after="0" w:line="54" w:lineRule="exact"/>
        <w:rPr>
          <w:rFonts w:ascii="Times New Roman" w:cs="Times New Roman" w:eastAsia="Times New Roman" w:hAnsi="Times New Roman"/>
          <w:sz w:val="16"/>
          <w:szCs w:val="16"/>
          <w:color w:val="auto"/>
        </w:rPr>
      </w:pPr>
    </w:p>
    <w:p>
      <w:pPr>
        <w:ind w:left="1440" w:hanging="384"/>
        <w:spacing w:after="0" w:line="281" w:lineRule="auto"/>
        <w:tabs>
          <w:tab w:leader="none" w:pos="14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provide that the removal of a director, either for or without cause, would require the affirmative vote of the holders of a majority of the outstanding shares of our stock entitled to vote generally for the election of directors, voting together as a single class;</w:t>
      </w:r>
    </w:p>
    <w:p>
      <w:pPr>
        <w:spacing w:after="0" w:line="54" w:lineRule="exact"/>
        <w:rPr>
          <w:rFonts w:ascii="Times New Roman" w:cs="Times New Roman" w:eastAsia="Times New Roman" w:hAnsi="Times New Roman"/>
          <w:sz w:val="16"/>
          <w:szCs w:val="16"/>
          <w:color w:val="auto"/>
        </w:rPr>
      </w:pPr>
    </w:p>
    <w:p>
      <w:pPr>
        <w:jc w:val="both"/>
        <w:ind w:left="1440" w:right="20" w:hanging="384"/>
        <w:spacing w:after="0" w:line="265" w:lineRule="auto"/>
        <w:tabs>
          <w:tab w:leader="none" w:pos="14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provide that any newly-created directorship on our Board of Directors that results from an increase in the number of directors, or vacancy that results on our Board, shall be filled solely by the affirmative vote of a majority of the total number of directors then in office, even if less than a quorum;</w:t>
      </w:r>
    </w:p>
    <w:p>
      <w:pPr>
        <w:spacing w:after="0" w:line="69" w:lineRule="exact"/>
        <w:rPr>
          <w:rFonts w:ascii="Times New Roman" w:cs="Times New Roman" w:eastAsia="Times New Roman" w:hAnsi="Times New Roman"/>
          <w:sz w:val="16"/>
          <w:szCs w:val="16"/>
          <w:color w:val="auto"/>
        </w:rPr>
      </w:pPr>
    </w:p>
    <w:p>
      <w:pPr>
        <w:ind w:left="1440" w:hanging="384"/>
        <w:spacing w:after="0"/>
        <w:tabs>
          <w:tab w:leader="none" w:pos="14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prohibit our stockholders from calling a special meeting of stockholders;</w:t>
      </w:r>
    </w:p>
    <w:p>
      <w:pPr>
        <w:spacing w:after="0" w:line="116" w:lineRule="exact"/>
        <w:rPr>
          <w:rFonts w:ascii="Times New Roman" w:cs="Times New Roman" w:eastAsia="Times New Roman" w:hAnsi="Times New Roman"/>
          <w:sz w:val="16"/>
          <w:szCs w:val="16"/>
          <w:color w:val="auto"/>
        </w:rPr>
      </w:pPr>
    </w:p>
    <w:p>
      <w:pPr>
        <w:ind w:left="1440" w:hanging="384"/>
        <w:spacing w:after="0"/>
        <w:tabs>
          <w:tab w:leader="none" w:pos="14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6" w:lineRule="exact"/>
        <w:rPr>
          <w:rFonts w:ascii="Times New Roman" w:cs="Times New Roman" w:eastAsia="Times New Roman" w:hAnsi="Times New Roman"/>
          <w:sz w:val="16"/>
          <w:szCs w:val="16"/>
          <w:color w:val="auto"/>
        </w:rPr>
      </w:pPr>
    </w:p>
    <w:p>
      <w:pPr>
        <w:ind w:left="1440" w:hanging="384"/>
        <w:spacing w:after="0" w:line="281" w:lineRule="auto"/>
        <w:tabs>
          <w:tab w:leader="none" w:pos="14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stockholder meetings;</w:t>
      </w:r>
    </w:p>
    <w:p>
      <w:pPr>
        <w:spacing w:after="0" w:line="54" w:lineRule="exact"/>
        <w:rPr>
          <w:rFonts w:ascii="Times New Roman" w:cs="Times New Roman" w:eastAsia="Times New Roman" w:hAnsi="Times New Roman"/>
          <w:sz w:val="16"/>
          <w:szCs w:val="16"/>
          <w:color w:val="auto"/>
        </w:rPr>
      </w:pPr>
    </w:p>
    <w:p>
      <w:pPr>
        <w:ind w:left="1440" w:hanging="384"/>
        <w:spacing w:after="0"/>
        <w:tabs>
          <w:tab w:leader="none" w:pos="14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provide that the Board of Directors is expressly authorized to adopt, alter or repeal our Bylaws; and</w:t>
      </w:r>
    </w:p>
    <w:p>
      <w:pPr>
        <w:spacing w:after="0" w:line="116" w:lineRule="exact"/>
        <w:rPr>
          <w:rFonts w:ascii="Times New Roman" w:cs="Times New Roman" w:eastAsia="Times New Roman" w:hAnsi="Times New Roman"/>
          <w:sz w:val="16"/>
          <w:szCs w:val="16"/>
          <w:color w:val="auto"/>
        </w:rPr>
      </w:pPr>
    </w:p>
    <w:p>
      <w:pPr>
        <w:ind w:left="1440" w:hanging="384"/>
        <w:spacing w:after="0" w:line="281" w:lineRule="auto"/>
        <w:tabs>
          <w:tab w:leader="none" w:pos="14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require the approval of holders of at least two-thirds of the outstanding shares of our common stock to amend the Bylaws and certain provisions of the Charter.</w:t>
      </w:r>
    </w:p>
    <w:p>
      <w:pPr>
        <w:spacing w:after="0" w:line="55" w:lineRule="exact"/>
        <w:rPr>
          <w:sz w:val="20"/>
          <w:szCs w:val="20"/>
          <w:color w:val="auto"/>
        </w:rPr>
      </w:pPr>
    </w:p>
    <w:p>
      <w:pPr>
        <w:jc w:val="both"/>
        <w:ind w:firstLine="666"/>
        <w:spacing w:after="0" w:line="255" w:lineRule="auto"/>
        <w:rPr>
          <w:sz w:val="20"/>
          <w:szCs w:val="20"/>
          <w:color w:val="auto"/>
        </w:rPr>
      </w:pPr>
      <w:r>
        <w:rPr>
          <w:rFonts w:ascii="Times New Roman" w:cs="Times New Roman" w:eastAsia="Times New Roman" w:hAnsi="Times New Roman"/>
          <w:sz w:val="18"/>
          <w:szCs w:val="18"/>
          <w:color w:val="auto"/>
        </w:rPr>
        <w:t>The foregoing provisions of our Charter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w:t>
      </w:r>
    </w:p>
    <w:p>
      <w:pPr>
        <w:spacing w:after="0" w:line="79" w:lineRule="exact"/>
        <w:rPr>
          <w:sz w:val="20"/>
          <w:szCs w:val="20"/>
          <w:color w:val="auto"/>
        </w:rPr>
      </w:pPr>
    </w:p>
    <w:p>
      <w:pPr>
        <w:ind w:right="40" w:firstLine="666"/>
        <w:spacing w:after="0" w:line="252" w:lineRule="auto"/>
        <w:rPr>
          <w:sz w:val="20"/>
          <w:szCs w:val="20"/>
          <w:color w:val="auto"/>
        </w:rPr>
      </w:pPr>
      <w:r>
        <w:rPr>
          <w:rFonts w:ascii="Times New Roman" w:cs="Times New Roman" w:eastAsia="Times New Roman" w:hAnsi="Times New Roman"/>
          <w:sz w:val="18"/>
          <w:szCs w:val="18"/>
          <w:color w:val="auto"/>
        </w:rPr>
        <w:t>In addition, our Charter provides that, unless we consent in writing to an alternative forum, the Court of Chancery of the State of Delaware will be the sole and exclusive forum for (i) any derivative action or proceeding brought on our behalf, (ii) any action asserting a claim of breach of a fiduciary duty owed by any director, officer, employee or agent of ours to us or our stockholders, (iii) any action asserting a claim against us arising pursuant to any provision of our Charter, Bylaws or the DGCL, or (iv) any action asserting a claim against us governed by the internal affairs doctrine. Our Bylaws provide that if any action described above is filed in a court other than the courts in the State of Delaware (a “</w:t>
      </w:r>
      <w:r>
        <w:rPr>
          <w:rFonts w:ascii="Times New Roman" w:cs="Times New Roman" w:eastAsia="Times New Roman" w:hAnsi="Times New Roman"/>
          <w:sz w:val="18"/>
          <w:szCs w:val="18"/>
          <w:u w:val="single" w:color="auto"/>
          <w:color w:val="auto"/>
        </w:rPr>
        <w:t>Foreign Action</w:t>
      </w:r>
      <w:r>
        <w:rPr>
          <w:rFonts w:ascii="Times New Roman" w:cs="Times New Roman" w:eastAsia="Times New Roman" w:hAnsi="Times New Roman"/>
          <w:sz w:val="18"/>
          <w:szCs w:val="18"/>
          <w:color w:val="auto"/>
        </w:rPr>
        <w:t>”) in the name of any stockholder, such stockholder will be deemed to have consented to (a) the personal jurisdiction of the state and federal courts in the State of Delaware in connection with any action brought in any such court to enforce the above described provision of the Charter and (b) having service of process made upon such stockholder in any such action by service upon such stockholder’s counsel in the Foreign Action as agent for such stockholder. Our Bylaws also provide that, unless we consent in writing to the selection of an alternative forum, (1) in the event that the Court of Chancery of the State of Delaware does not have jurisdiction, the federal district court for the District of Delaware, or other state courts of the State of Delaware, will, to the fullest extent permitted by law, be the sole and exclusive forum for the actions specified above, and (2) the federal district courts of the United States of America will be the exclusive forum for the resolution of any complaint asserting a cause of action arising under the Securities Act of 1933, as amended, including all causes of action asserted against any defendant to such 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84" w:lineRule="exact"/>
        <w:rPr>
          <w:sz w:val="20"/>
          <w:szCs w:val="20"/>
          <w:color w:val="auto"/>
        </w:rPr>
      </w:pPr>
    </w:p>
    <w:p>
      <w:pPr>
        <w:ind w:right="120" w:firstLine="666"/>
        <w:spacing w:after="0" w:line="258" w:lineRule="auto"/>
        <w:rPr>
          <w:sz w:val="20"/>
          <w:szCs w:val="20"/>
          <w:color w:val="auto"/>
        </w:rPr>
      </w:pPr>
      <w:r>
        <w:rPr>
          <w:rFonts w:ascii="Times New Roman" w:cs="Times New Roman" w:eastAsia="Times New Roman" w:hAnsi="Times New Roman"/>
          <w:sz w:val="18"/>
          <w:szCs w:val="18"/>
          <w:color w:val="auto"/>
        </w:rPr>
        <w:t>Although we believe these provisions benefit us by providing increased consistency in the application of Delaware law in the types of lawsuits to which it applies, it may have the effect of discouraging lawsuits against us or our directors and officers. The enforceability of similar choice of forum provisions in other companies’ governing documents has been challenged in legal proceedings, and it is possible that, in connection with one or more actions or proceedings described above, a court could find the choice of forum provisions contained in our Charter and our Bylaws to be inapplicable or unenforceable.</w:t>
      </w:r>
    </w:p>
    <w:p>
      <w:pPr>
        <w:spacing w:after="0" w:line="11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21" w:lineRule="exact"/>
        <w:rPr>
          <w:sz w:val="20"/>
          <w:szCs w:val="20"/>
          <w:color w:val="auto"/>
        </w:rPr>
      </w:pPr>
    </w:p>
    <w:p>
      <w:pPr>
        <w:jc w:val="both"/>
        <w:ind w:firstLine="666"/>
        <w:spacing w:after="0" w:line="265" w:lineRule="auto"/>
        <w:rPr>
          <w:sz w:val="20"/>
          <w:szCs w:val="20"/>
          <w:color w:val="auto"/>
        </w:rPr>
      </w:pPr>
      <w:r>
        <w:rPr>
          <w:rFonts w:ascii="Times New Roman" w:cs="Times New Roman" w:eastAsia="Times New Roman" w:hAnsi="Times New Roman"/>
          <w:sz w:val="18"/>
          <w:szCs w:val="18"/>
          <w:color w:val="auto"/>
        </w:rPr>
        <w:t>Section 203 of the DGCL prohibits a public Delaware corporation from engaging in certain business combinations with an interested stockholder for specified time periods and unless certain conditions are met. The DGCL permits Delaware corporations to elect not to be governed by the provisions of Section 203. In our Charter, we have elected not to be governed by Section 203 of the DGCL.</w:t>
      </w:r>
    </w:p>
    <w:p>
      <w:pPr>
        <w:spacing w:after="0" w:line="1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Proxy Access</w:t>
      </w:r>
    </w:p>
    <w:p>
      <w:pPr>
        <w:spacing w:after="0" w:line="121" w:lineRule="exact"/>
        <w:rPr>
          <w:sz w:val="20"/>
          <w:szCs w:val="20"/>
          <w:color w:val="auto"/>
        </w:rPr>
      </w:pPr>
    </w:p>
    <w:p>
      <w:pPr>
        <w:jc w:val="both"/>
        <w:ind w:firstLine="666"/>
        <w:spacing w:after="0" w:line="253" w:lineRule="auto"/>
        <w:rPr>
          <w:sz w:val="20"/>
          <w:szCs w:val="20"/>
          <w:color w:val="auto"/>
        </w:rPr>
      </w:pPr>
      <w:r>
        <w:rPr>
          <w:rFonts w:ascii="Times New Roman" w:cs="Times New Roman" w:eastAsia="Times New Roman" w:hAnsi="Times New Roman"/>
          <w:sz w:val="18"/>
          <w:szCs w:val="18"/>
          <w:color w:val="auto"/>
        </w:rPr>
        <w:t>Our Bylaws contain “proxy access” provisions, which give a qualified stockholder or a group of up to 20 qualified stockholders the right to include up to a specified number of director nominees in our proxy materials for an annual meeting of stockholders, subject to various requirements and restrictions specified in our Bylaws. To be considered a qualified stockholder, the person must have either been a record holder of shares of our common stock continuously for at least three years as of the date the written notice of a nomination is delivered to or mailed and received by the Secretary of the Company or must provide to the Secretary of the Company evidence of continuous ownership of such shares for such three-year period from one or more securities intermediaries. To be able to submit a nomination in accordance with the proxy access provisions, the qualified stockholder (or group of up to twenty qualified stockholders) must have owned 3% or more of our outstanding shares of common stock continuously for at least three years as of the date the written notice of a nomination is delivered to or mailed and received by the Secretary of the Company and must continue to own such required shares through the date of the annual meeting of stockholders. The number of stockholder nominees permitted under the proxy access provisions of our Bylaws with respect to an annual meeting of stockholders may not exceed 25% of the total number of our directors in office as of the last day on which notice of a nomination may be delivered under our Bylaws (rounded down to the nearest whole number, but not less than two).</w:t>
      </w:r>
    </w:p>
    <w:p>
      <w:pPr>
        <w:spacing w:after="0" w:line="81" w:lineRule="exact"/>
        <w:rPr>
          <w:sz w:val="20"/>
          <w:szCs w:val="20"/>
          <w:color w:val="auto"/>
        </w:rPr>
      </w:pPr>
    </w:p>
    <w:p>
      <w:pPr>
        <w:jc w:val="both"/>
        <w:ind w:firstLine="666"/>
        <w:spacing w:after="0" w:line="260" w:lineRule="auto"/>
        <w:rPr>
          <w:sz w:val="20"/>
          <w:szCs w:val="20"/>
          <w:color w:val="auto"/>
        </w:rPr>
      </w:pPr>
      <w:r>
        <w:rPr>
          <w:rFonts w:ascii="Times New Roman" w:cs="Times New Roman" w:eastAsia="Times New Roman" w:hAnsi="Times New Roman"/>
          <w:sz w:val="18"/>
          <w:szCs w:val="18"/>
          <w:color w:val="auto"/>
        </w:rPr>
        <w:t>To be considered timely, notice of a nomination under our proxy access provisions, together with other required information, representations and agreements specified in our Bylaws, must be submitted to the Secretary of the Company at our principal executive offices within the timeframes specified in our Bylaws. The proxy access provisions may preclude our stockholders from bringing matters before our annual meeting of stockholders or from making nominations if the proper procedures are not followed.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Our common stock is listed on the NYSE under the symbol “ALSN.”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jc w:val="both"/>
        <w:ind w:firstLine="666"/>
        <w:spacing w:after="0" w:line="281" w:lineRule="auto"/>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 (formerly known as American Stock Transfer &amp; Trust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1420495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00" w:lineRule="exact"/>
        <w:rPr>
          <w:sz w:val="20"/>
          <w:szCs w:val="20"/>
          <w:color w:val="auto"/>
        </w:rPr>
      </w:pPr>
    </w:p>
    <w:p>
      <w:pPr>
        <w:spacing w:after="0" w:line="30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b w:val="1"/>
          <w:bCs w:val="1"/>
          <w:color w:val="auto"/>
        </w:rPr>
        <w:t>ALLISON TRANSMISSION HOLDINGS, INC.</w:t>
      </w:r>
    </w:p>
    <w:p>
      <w:pPr>
        <w:spacing w:after="0" w:line="6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b w:val="1"/>
          <w:bCs w:val="1"/>
          <w:color w:val="auto"/>
        </w:rPr>
        <w:t>2015 EQUITY INCENTIVE AWARD PLAN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STOCK UNIT GRANT NOTICE</w:t>
      </w:r>
    </w:p>
    <w:p>
      <w:pPr>
        <w:spacing w:after="0" w:line="246" w:lineRule="exact"/>
        <w:rPr>
          <w:sz w:val="20"/>
          <w:szCs w:val="20"/>
          <w:color w:val="auto"/>
        </w:rPr>
      </w:pPr>
    </w:p>
    <w:p>
      <w:pPr>
        <w:jc w:val="both"/>
        <w:ind w:left="180" w:right="180" w:firstLine="749"/>
        <w:spacing w:after="0" w:line="245" w:lineRule="auto"/>
        <w:rPr>
          <w:sz w:val="20"/>
          <w:szCs w:val="20"/>
          <w:color w:val="auto"/>
        </w:rPr>
      </w:pPr>
      <w:r>
        <w:rPr>
          <w:rFonts w:ascii="Times New Roman" w:cs="Times New Roman" w:eastAsia="Times New Roman" w:hAnsi="Times New Roman"/>
          <w:sz w:val="20"/>
          <w:szCs w:val="20"/>
          <w:color w:val="auto"/>
        </w:rPr>
        <w:t>Allison Transmission Holdings,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2015 Equity Incentive Award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holder listed below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the number of performance stock units (the “</w:t>
      </w:r>
      <w:r>
        <w:rPr>
          <w:rFonts w:ascii="Times New Roman" w:cs="Times New Roman" w:eastAsia="Times New Roman" w:hAnsi="Times New Roman"/>
          <w:sz w:val="20"/>
          <w:szCs w:val="20"/>
          <w:u w:val="single" w:color="auto"/>
          <w:color w:val="auto"/>
        </w:rPr>
        <w:t>PSUs</w:t>
      </w:r>
      <w:r>
        <w:rPr>
          <w:rFonts w:ascii="Times New Roman" w:cs="Times New Roman" w:eastAsia="Times New Roman" w:hAnsi="Times New Roman"/>
          <w:sz w:val="20"/>
          <w:szCs w:val="20"/>
          <w:color w:val="auto"/>
        </w:rPr>
        <w:t>”) set forth below. The PSUs are subject to the terms and conditions set forth in this Performance Stock Unit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xml:space="preserve">”) and the Performance Stock Unit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the Plan, which are incorporated herein by reference. Unless otherwise defined herein, the terms defined in the Plan shall have the same defined meanings in the Grant Notice and the Agreement.</w:t>
      </w:r>
    </w:p>
    <w:p>
      <w:pPr>
        <w:spacing w:after="0" w:line="2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Target Number of PSUs (the</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Target PSUs</w:t>
      </w:r>
      <w:r>
        <w:rPr>
          <w:rFonts w:ascii="Times New Roman" w:cs="Times New Roman" w:eastAsia="Times New Roman" w:hAnsi="Times New Roman"/>
          <w:sz w:val="20"/>
          <w:szCs w:val="20"/>
          <w:b w:val="1"/>
          <w:bCs w:val="1"/>
          <w:color w:val="auto"/>
        </w:rPr>
        <w:t>”):</w:t>
      </w:r>
    </w:p>
    <w:p>
      <w:pPr>
        <w:spacing w:after="0" w:line="81" w:lineRule="exact"/>
        <w:rPr>
          <w:sz w:val="20"/>
          <w:szCs w:val="20"/>
          <w:color w:val="auto"/>
        </w:rPr>
      </w:pPr>
    </w:p>
    <w:p>
      <w:pPr>
        <w:ind w:left="200"/>
        <w:spacing w:after="0"/>
        <w:tabs>
          <w:tab w:leader="none" w:pos="3420" w:val="left"/>
        </w:tabs>
        <w:rPr>
          <w:sz w:val="20"/>
          <w:szCs w:val="20"/>
          <w:color w:val="auto"/>
        </w:rPr>
      </w:pPr>
      <w:r>
        <w:rPr>
          <w:rFonts w:ascii="Times New Roman" w:cs="Times New Roman" w:eastAsia="Times New Roman" w:hAnsi="Times New Roman"/>
          <w:sz w:val="20"/>
          <w:szCs w:val="20"/>
          <w:b w:val="1"/>
          <w:bCs w:val="1"/>
          <w:color w:val="auto"/>
        </w:rPr>
        <w:t>Type of Shares Issuable:</w:t>
      </w:r>
      <w:r>
        <w:rPr>
          <w:sz w:val="20"/>
          <w:szCs w:val="20"/>
          <w:color w:val="auto"/>
        </w:rPr>
        <w:tab/>
      </w:r>
      <w:r>
        <w:rPr>
          <w:rFonts w:ascii="Times New Roman" w:cs="Times New Roman" w:eastAsia="Times New Roman" w:hAnsi="Times New Roman"/>
          <w:sz w:val="19"/>
          <w:szCs w:val="19"/>
          <w:color w:val="auto"/>
        </w:rPr>
        <w:t>Common Stock of Allison Transmission Holdings, Inc.</w:t>
      </w:r>
    </w:p>
    <w:p>
      <w:pPr>
        <w:spacing w:after="0" w:line="98" w:lineRule="exact"/>
        <w:rPr>
          <w:sz w:val="20"/>
          <w:szCs w:val="20"/>
          <w:color w:val="auto"/>
        </w:rPr>
      </w:pPr>
    </w:p>
    <w:p>
      <w:pPr>
        <w:ind w:left="200"/>
        <w:spacing w:after="0"/>
        <w:tabs>
          <w:tab w:leader="none" w:pos="3420" w:val="left"/>
        </w:tabs>
        <w:rPr>
          <w:sz w:val="20"/>
          <w:szCs w:val="20"/>
          <w:color w:val="auto"/>
        </w:rPr>
      </w:pPr>
      <w:r>
        <w:rPr>
          <w:rFonts w:ascii="Times New Roman" w:cs="Times New Roman" w:eastAsia="Times New Roman" w:hAnsi="Times New Roman"/>
          <w:sz w:val="20"/>
          <w:szCs w:val="20"/>
          <w:b w:val="1"/>
          <w:bCs w:val="1"/>
          <w:color w:val="auto"/>
        </w:rPr>
        <w:t>Vesting Schedule:</w:t>
      </w:r>
      <w:r>
        <w:rPr>
          <w:sz w:val="20"/>
          <w:szCs w:val="20"/>
          <w:color w:val="auto"/>
        </w:rPr>
        <w:tab/>
      </w:r>
      <w:r>
        <w:rPr>
          <w:rFonts w:ascii="Times New Roman" w:cs="Times New Roman" w:eastAsia="Times New Roman" w:hAnsi="Times New Roman"/>
          <w:sz w:val="19"/>
          <w:szCs w:val="19"/>
          <w:color w:val="auto"/>
        </w:rPr>
        <w:t xml:space="preserve">The award will vest in accordance with the vesting schedule set forth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58" w:lineRule="exact"/>
        <w:rPr>
          <w:sz w:val="20"/>
          <w:szCs w:val="20"/>
          <w:color w:val="auto"/>
        </w:rPr>
      </w:pPr>
    </w:p>
    <w:p>
      <w:pPr>
        <w:jc w:val="both"/>
        <w:ind w:left="180" w:right="180" w:firstLine="749"/>
        <w:spacing w:after="0" w:line="246" w:lineRule="auto"/>
        <w:rPr>
          <w:sz w:val="20"/>
          <w:szCs w:val="20"/>
          <w:color w:val="auto"/>
        </w:rPr>
      </w:pPr>
      <w:r>
        <w:rPr>
          <w:rFonts w:ascii="Times New Roman" w:cs="Times New Roman" w:eastAsia="Times New Roman" w:hAnsi="Times New Roman"/>
          <w:sz w:val="20"/>
          <w:szCs w:val="20"/>
          <w:color w:val="auto"/>
        </w:rPr>
        <w:t>By his or her signature, and the Company’s signature below, Participant agrees to be bound by the terms and conditions of the Plan, the Agreement and the Grant Notice. Participant has reviewed the Agreement, the Plan and the Grant Notice in their entirety, has had an opportunity to obtain the advice of counsel prior to executing the Grant Notice and fully understands all provisions of the Grant Notice, the Agreement and the Plan. Participant hereby agrees to accept as binding, conclusive and final all decisions or interpretations of the Administrator upon any questions arising under the Plan, the Grant Notice or the Agreement.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20"/>
                <w:szCs w:val="20"/>
                <w:b w:val="1"/>
                <w:bCs w:val="1"/>
                <w:color w:val="auto"/>
              </w:rPr>
              <w:t>ALLISON TRANSMISSION HOLDINGS, INC.</w:t>
            </w:r>
          </w:p>
        </w:tc>
        <w:tc>
          <w:tcPr>
            <w:tcW w:w="5840" w:type="dxa"/>
            <w:vAlign w:val="bottom"/>
            <w:gridSpan w:val="2"/>
          </w:tcPr>
          <w:p>
            <w:pPr>
              <w:ind w:left="580"/>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63"/>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By:</w:t>
            </w:r>
          </w:p>
        </w:tc>
        <w:tc>
          <w:tcPr>
            <w:tcW w:w="584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By:</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40" w:type="dxa"/>
            <w:vAlign w:val="bottom"/>
          </w:tcPr>
          <w:p>
            <w:pPr>
              <w:ind w:left="180"/>
              <w:spacing w:after="0" w:line="213" w:lineRule="exact"/>
              <w:rPr>
                <w:sz w:val="20"/>
                <w:szCs w:val="20"/>
                <w:color w:val="auto"/>
              </w:rPr>
            </w:pPr>
            <w:r>
              <w:rPr>
                <w:rFonts w:ascii="Times New Roman" w:cs="Times New Roman" w:eastAsia="Times New Roman" w:hAnsi="Times New Roman"/>
                <w:sz w:val="20"/>
                <w:szCs w:val="20"/>
                <w:color w:val="auto"/>
              </w:rPr>
              <w:t>Print</w:t>
            </w:r>
          </w:p>
        </w:tc>
        <w:tc>
          <w:tcPr>
            <w:tcW w:w="4040" w:type="dxa"/>
            <w:vAlign w:val="bottom"/>
            <w:tcBorders>
              <w:top w:val="single" w:sz="8" w:color="auto"/>
            </w:tcBorders>
          </w:tcPr>
          <w:p>
            <w:pPr>
              <w:spacing w:after="0"/>
              <w:rPr>
                <w:sz w:val="18"/>
                <w:szCs w:val="18"/>
                <w:color w:val="auto"/>
              </w:rPr>
            </w:pPr>
          </w:p>
        </w:tc>
        <w:tc>
          <w:tcPr>
            <w:tcW w:w="1480" w:type="dxa"/>
            <w:vAlign w:val="bottom"/>
          </w:tcPr>
          <w:p>
            <w:pPr>
              <w:ind w:left="580"/>
              <w:spacing w:after="0" w:line="213" w:lineRule="exact"/>
              <w:rPr>
                <w:sz w:val="20"/>
                <w:szCs w:val="20"/>
                <w:color w:val="auto"/>
              </w:rPr>
            </w:pPr>
            <w:r>
              <w:rPr>
                <w:rFonts w:ascii="Times New Roman" w:cs="Times New Roman" w:eastAsia="Times New Roman" w:hAnsi="Times New Roman"/>
                <w:sz w:val="20"/>
                <w:szCs w:val="20"/>
                <w:color w:val="auto"/>
              </w:rPr>
              <w:t>Print</w:t>
            </w:r>
          </w:p>
        </w:tc>
        <w:tc>
          <w:tcPr>
            <w:tcW w:w="4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1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Name:</w:t>
            </w:r>
          </w:p>
        </w:tc>
        <w:tc>
          <w:tcPr>
            <w:tcW w:w="4040" w:type="dxa"/>
            <w:vAlign w:val="bottom"/>
            <w:tcBorders>
              <w:bottom w:val="single" w:sz="8" w:color="auto"/>
            </w:tcBorders>
          </w:tcPr>
          <w:p>
            <w:pPr>
              <w:spacing w:after="0"/>
              <w:rPr>
                <w:sz w:val="21"/>
                <w:szCs w:val="21"/>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Name:</w:t>
            </w:r>
          </w:p>
        </w:tc>
        <w:tc>
          <w:tcPr>
            <w:tcW w:w="43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11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Title:</w:t>
            </w:r>
          </w:p>
        </w:tc>
        <w:tc>
          <w:tcPr>
            <w:tcW w:w="4040" w:type="dxa"/>
            <w:vAlign w:val="bottom"/>
            <w:tcBorders>
              <w:bottom w:val="single" w:sz="8" w:color="auto"/>
            </w:tcBorders>
          </w:tcPr>
          <w:p>
            <w:pPr>
              <w:spacing w:after="0"/>
              <w:rPr>
                <w:sz w:val="21"/>
                <w:szCs w:val="21"/>
                <w:color w:val="auto"/>
              </w:rPr>
            </w:pPr>
          </w:p>
        </w:tc>
        <w:tc>
          <w:tcPr>
            <w:tcW w:w="5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20"/>
                <w:szCs w:val="20"/>
                <w:color w:val="auto"/>
              </w:rPr>
              <w:t>Address:</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58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8"/>
        </w:trPr>
        <w:tc>
          <w:tcPr>
            <w:tcW w:w="114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4360" w:type="dxa"/>
            <w:vAlign w:val="bottom"/>
            <w:tcBorders>
              <w:top w:val="single" w:sz="8" w:color="auto"/>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05" w:name="page106"/>
    <w:bookmarkEnd w:id="105"/>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TO PERFORMANCE STOCK UNIT GRANT NOTICE PERFORMANCE</w:t>
      </w: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STOCK UNIT AGREEMENT</w:t>
      </w:r>
    </w:p>
    <w:p>
      <w:pPr>
        <w:ind w:left="180" w:right="200" w:firstLine="749"/>
        <w:spacing w:after="0" w:line="245" w:lineRule="auto"/>
        <w:rPr>
          <w:sz w:val="20"/>
          <w:szCs w:val="20"/>
          <w:color w:val="auto"/>
        </w:rPr>
      </w:pPr>
      <w:r>
        <w:rPr>
          <w:rFonts w:ascii="Times New Roman" w:cs="Times New Roman" w:eastAsia="Times New Roman" w:hAnsi="Times New Roman"/>
          <w:sz w:val="20"/>
          <w:szCs w:val="20"/>
          <w:color w:val="auto"/>
        </w:rPr>
        <w:t>Pursuant to the Grant Notice to which this Agreement is attached, the Company has granted to Participant the Target PSUs set forth in the Grant Notice.</w:t>
      </w:r>
    </w:p>
    <w:p>
      <w:pPr>
        <w:spacing w:after="0" w:line="19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color w:val="auto"/>
        </w:rPr>
        <w:t>GENERAL</w:t>
      </w:r>
    </w:p>
    <w:p>
      <w:pPr>
        <w:ind w:left="920"/>
        <w:spacing w:after="0"/>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not specifically defined herein shall have the meanings specified in the Plan or the Grant</w:t>
      </w:r>
    </w:p>
    <w:p>
      <w:pPr>
        <w:ind w:left="180"/>
        <w:spacing w:after="0"/>
        <w:rPr>
          <w:sz w:val="20"/>
          <w:szCs w:val="20"/>
          <w:color w:val="auto"/>
        </w:rPr>
      </w:pPr>
      <w:r>
        <w:rPr>
          <w:rFonts w:ascii="Times New Roman" w:cs="Times New Roman" w:eastAsia="Times New Roman" w:hAnsi="Times New Roman"/>
          <w:sz w:val="20"/>
          <w:szCs w:val="20"/>
          <w:color w:val="auto"/>
        </w:rPr>
        <w:t>Notice.</w:t>
      </w:r>
    </w:p>
    <w:p>
      <w:pPr>
        <w:spacing w:after="0" w:line="206" w:lineRule="exact"/>
        <w:rPr>
          <w:sz w:val="20"/>
          <w:szCs w:val="20"/>
          <w:color w:val="auto"/>
        </w:rPr>
      </w:pPr>
    </w:p>
    <w:p>
      <w:pPr>
        <w:jc w:val="both"/>
        <w:ind w:left="180" w:right="80" w:firstLine="749"/>
        <w:spacing w:after="0" w:line="253"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PSUs and the shares of Common Stock (“</w:t>
      </w:r>
      <w:r>
        <w:rPr>
          <w:rFonts w:ascii="Times New Roman" w:cs="Times New Roman" w:eastAsia="Times New Roman" w:hAnsi="Times New Roman"/>
          <w:sz w:val="20"/>
          <w:szCs w:val="20"/>
          <w:u w:val="single" w:color="auto"/>
          <w:color w:val="auto"/>
        </w:rPr>
        <w:t>Stock</w:t>
      </w:r>
      <w:r>
        <w:rPr>
          <w:rFonts w:ascii="Times New Roman" w:cs="Times New Roman" w:eastAsia="Times New Roman" w:hAnsi="Times New Roman"/>
          <w:sz w:val="20"/>
          <w:szCs w:val="20"/>
          <w:color w:val="auto"/>
        </w:rPr>
        <w:t>”) issued to Participant hereunder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are subject to the terms and conditions set forth in this Agreement and the Plan, which is incorporated herein by reference. In the event of any inconsistency between the Plan and this Agreement, the terms of the Plan shall control.</w:t>
      </w:r>
    </w:p>
    <w:p>
      <w:pPr>
        <w:spacing w:after="0" w:line="1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28" w:lineRule="exact"/>
        <w:rPr>
          <w:sz w:val="20"/>
          <w:szCs w:val="20"/>
          <w:color w:val="auto"/>
        </w:rPr>
      </w:pPr>
    </w:p>
    <w:p>
      <w:pPr>
        <w:ind w:left="920" w:right="1940" w:firstLine="1179"/>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AWARD OF PERFORMANCE STOCK UNITS AND DIVIDEND EQUIVALENTS </w:t>
      </w:r>
      <w:r>
        <w:rPr>
          <w:rFonts w:ascii="Times New Roman" w:cs="Times New Roman" w:eastAsia="Times New Roman" w:hAnsi="Times New Roman"/>
          <w:sz w:val="20"/>
          <w:szCs w:val="20"/>
          <w:u w:val="single" w:color="auto"/>
          <w:color w:val="auto"/>
        </w:rPr>
        <w:t>2.1 Award of PSUs and Dividend Equivalents</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jc w:val="both"/>
        <w:ind w:left="180" w:firstLine="1467"/>
        <w:spacing w:after="0" w:line="243" w:lineRule="auto"/>
        <w:tabs>
          <w:tab w:leader="none" w:pos="202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of Participant’s past and/or continued employment with or service to the Company or a Subsidiary and for other good and valuable consideration, effective as of the grant date set forth in the Grant Notice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the Company has granted to Participant the Target PSUs upon the terms and conditions set forth in the Grant Notice, the Plan and this Agreement, subject to adjustments as provided in Section 12.2 of the Plan. Each PSU represents the right to receive one Share or, at the option of the Company, an amount of cash as set forth in Section 2.3(b), in either case, at the times and subject to the conditions set forth herein. However, unless and until the PSUs have vested, Participant will have no right to the payment of any Shares subject thereto. Prior to the actual delivery of any Shares, the PSUs will represent an unsecured obligation of the Company, payable only from the general assets of the Company.</w:t>
      </w:r>
    </w:p>
    <w:p>
      <w:pPr>
        <w:spacing w:after="0" w:line="200" w:lineRule="exact"/>
        <w:rPr>
          <w:rFonts w:ascii="Times New Roman" w:cs="Times New Roman" w:eastAsia="Times New Roman" w:hAnsi="Times New Roman"/>
          <w:sz w:val="20"/>
          <w:szCs w:val="20"/>
          <w:color w:val="auto"/>
        </w:rPr>
      </w:pPr>
    </w:p>
    <w:p>
      <w:pPr>
        <w:jc w:val="both"/>
        <w:ind w:left="180" w:right="20" w:firstLine="1490"/>
        <w:spacing w:after="0" w:line="244" w:lineRule="auto"/>
        <w:tabs>
          <w:tab w:leader="none" w:pos="2046"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hereby grants to Participant an Award of Dividend Equivalents with respect to each PSU granted pursuant to the Grant Notice for all ordinary cash dividends which are paid to all or substantially all holders of the outstanding shares of Stock between the Grant Date and the date when the applicable PSU is distributed or paid to Participant or is forfeited or expires. The Dividend Equivalents for each PSU shall be equal to the amount of cash which is paid as a dividend on one share of Stock. All such Dividend Equivalents shall be credited to Participant and paid in cash at the same time as the distribution or payment is made on the PSUs to which such Dividend Equivalent relates in accordance with Section 2.3 below. Any Dividend Equivalents that relate to PSUs that are forfeited shall likewise be forfeited without consideration.</w:t>
      </w:r>
    </w:p>
    <w:p>
      <w:pPr>
        <w:spacing w:after="0" w:line="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u w:val="single" w:color="auto"/>
          <w:color w:val="auto"/>
        </w:rPr>
        <w:t>2.2 Vesting of PSUs</w:t>
      </w:r>
      <w:r>
        <w:rPr>
          <w:rFonts w:ascii="Times New Roman" w:cs="Times New Roman" w:eastAsia="Times New Roman" w:hAnsi="Times New Roman"/>
          <w:sz w:val="20"/>
          <w:szCs w:val="20"/>
          <w:color w:val="auto"/>
        </w:rPr>
        <w:t>.</w:t>
      </w:r>
    </w:p>
    <w:p>
      <w:pPr>
        <w:spacing w:after="0" w:line="224" w:lineRule="exact"/>
        <w:rPr>
          <w:sz w:val="20"/>
          <w:szCs w:val="20"/>
          <w:color w:val="auto"/>
        </w:rPr>
      </w:pPr>
    </w:p>
    <w:p>
      <w:pPr>
        <w:jc w:val="both"/>
        <w:ind w:left="180" w:right="20" w:firstLine="1490"/>
        <w:spacing w:after="0" w:line="255" w:lineRule="auto"/>
        <w:tabs>
          <w:tab w:leader="none" w:pos="204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TSR Vesting Schedule</w:t>
      </w:r>
      <w:r>
        <w:rPr>
          <w:rFonts w:ascii="Times New Roman" w:cs="Times New Roman" w:eastAsia="Times New Roman" w:hAnsi="Times New Roman"/>
          <w:sz w:val="20"/>
          <w:szCs w:val="20"/>
          <w:color w:val="auto"/>
        </w:rPr>
        <w:t>. Subject to Sections 2.2(b) and (c) below, the PSUs shall vest, if at all, in amounts up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200% of the Target PSUs (the “</w:t>
      </w:r>
      <w:r>
        <w:rPr>
          <w:rFonts w:ascii="Times New Roman" w:cs="Times New Roman" w:eastAsia="Times New Roman" w:hAnsi="Times New Roman"/>
          <w:sz w:val="20"/>
          <w:szCs w:val="20"/>
          <w:u w:val="single" w:color="auto"/>
          <w:color w:val="auto"/>
        </w:rPr>
        <w:t>Maximum PSUs</w:t>
      </w:r>
      <w:r>
        <w:rPr>
          <w:rFonts w:ascii="Times New Roman" w:cs="Times New Roman" w:eastAsia="Times New Roman" w:hAnsi="Times New Roman"/>
          <w:sz w:val="20"/>
          <w:szCs w:val="20"/>
          <w:color w:val="auto"/>
        </w:rPr>
        <w:t>”) on the Determination Date (or such earlier date specified in Section 2.2(b)(ii) or (c) below), as follows:</w:t>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2</w:t>
      </w:r>
    </w:p>
    <w:p>
      <w:pPr>
        <w:spacing w:after="0" w:line="7" w:lineRule="exact"/>
        <w:rPr>
          <w:sz w:val="20"/>
          <w:szCs w:val="20"/>
          <w:color w:val="auto"/>
        </w:rPr>
      </w:pPr>
    </w:p>
    <w:p>
      <w:pPr>
        <w:spacing w:after="0"/>
        <w:rPr>
          <w:sz w:val="20"/>
          <w:szCs w:val="20"/>
          <w:color w:val="auto"/>
        </w:rPr>
      </w:pPr>
      <w:r>
        <w:rPr>
          <w:rFonts w:ascii="Calibri" w:cs="Calibri" w:eastAsia="Calibri" w:hAnsi="Calibri"/>
          <w:sz w:val="14"/>
          <w:szCs w:val="14"/>
          <w:color w:val="auto"/>
        </w:rPr>
        <w:t>|US-DOCS\138634373.2||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94" w:right="499" w:bottom="1440" w:gutter="0" w:footer="0" w:header="0"/>
        </w:sectPr>
      </w:pPr>
    </w:p>
    <w:bookmarkStart w:id="106" w:name="page107"/>
    <w:bookmarkEnd w:id="106"/>
    <w:p>
      <w:pPr>
        <w:spacing w:after="0" w:line="120" w:lineRule="exact"/>
        <w:rPr>
          <w:sz w:val="20"/>
          <w:szCs w:val="20"/>
          <w:color w:val="auto"/>
        </w:rPr>
      </w:pPr>
    </w:p>
    <w:p>
      <w:pPr>
        <w:jc w:val="both"/>
        <w:ind w:left="180" w:right="60" w:firstLine="2246"/>
        <w:spacing w:after="0" w:line="268" w:lineRule="auto"/>
        <w:rPr>
          <w:sz w:val="20"/>
          <w:szCs w:val="20"/>
          <w:color w:val="auto"/>
        </w:rPr>
      </w:pPr>
      <w:r>
        <w:rPr>
          <w:rFonts w:ascii="Times New Roman" w:cs="Times New Roman" w:eastAsia="Times New Roman" w:hAnsi="Times New Roman"/>
          <w:sz w:val="20"/>
          <w:szCs w:val="20"/>
          <w:color w:val="auto"/>
        </w:rPr>
        <w:t>(i)If the Company achieves a TSR over the Performance Period that is below the 25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percentile of the TSRs of the component members of the Company’s Peer Group over the Performance Period, none of the PSUs shall vest;</w:t>
      </w:r>
    </w:p>
    <w:p>
      <w:pPr>
        <w:spacing w:after="0" w:line="174" w:lineRule="exact"/>
        <w:rPr>
          <w:sz w:val="20"/>
          <w:szCs w:val="20"/>
          <w:color w:val="auto"/>
        </w:rPr>
      </w:pPr>
    </w:p>
    <w:p>
      <w:pPr>
        <w:jc w:val="both"/>
        <w:ind w:left="180" w:right="60" w:firstLine="2246"/>
        <w:spacing w:after="0" w:line="253" w:lineRule="auto"/>
        <w:rPr>
          <w:sz w:val="20"/>
          <w:szCs w:val="20"/>
          <w:color w:val="auto"/>
        </w:rPr>
      </w:pPr>
      <w:r>
        <w:rPr>
          <w:rFonts w:ascii="Times New Roman" w:cs="Times New Roman" w:eastAsia="Times New Roman" w:hAnsi="Times New Roman"/>
          <w:sz w:val="20"/>
          <w:szCs w:val="20"/>
          <w:color w:val="auto"/>
        </w:rPr>
        <w:t>(ii)If the Company achieves a TSR over the Performance Period that is at the 25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percentile of the TSRs of the component members of the Company’s Peer Group over the Performance Period, a number of PSUs equal to 50% (rounded up to the nearest whole Share) of the Target PSUs shall vest;</w:t>
      </w:r>
    </w:p>
    <w:p>
      <w:pPr>
        <w:spacing w:after="0" w:line="190" w:lineRule="exact"/>
        <w:rPr>
          <w:sz w:val="20"/>
          <w:szCs w:val="20"/>
          <w:color w:val="auto"/>
        </w:rPr>
      </w:pPr>
    </w:p>
    <w:p>
      <w:pPr>
        <w:jc w:val="both"/>
        <w:ind w:left="180" w:right="60" w:firstLine="2246"/>
        <w:spacing w:after="0" w:line="253" w:lineRule="auto"/>
        <w:rPr>
          <w:sz w:val="20"/>
          <w:szCs w:val="20"/>
          <w:color w:val="auto"/>
        </w:rPr>
      </w:pPr>
      <w:r>
        <w:rPr>
          <w:rFonts w:ascii="Times New Roman" w:cs="Times New Roman" w:eastAsia="Times New Roman" w:hAnsi="Times New Roman"/>
          <w:sz w:val="20"/>
          <w:szCs w:val="20"/>
          <w:color w:val="auto"/>
        </w:rPr>
        <w:t>(iii)If the Company achieves a TSR over the Performance Period that is at the 50</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percentile of the TSRs of the component members of the Company’s Peer Group over the Performance Period, a number of PSUs equal to 100% (rounded up to the nearest whole Share) of the Target PSUs shall vest; or</w:t>
      </w:r>
    </w:p>
    <w:p>
      <w:pPr>
        <w:spacing w:after="0" w:line="190" w:lineRule="exact"/>
        <w:rPr>
          <w:sz w:val="20"/>
          <w:szCs w:val="20"/>
          <w:color w:val="auto"/>
        </w:rPr>
      </w:pPr>
    </w:p>
    <w:p>
      <w:pPr>
        <w:jc w:val="both"/>
        <w:ind w:left="180" w:right="60" w:firstLine="2246"/>
        <w:spacing w:after="0" w:line="253" w:lineRule="auto"/>
        <w:rPr>
          <w:sz w:val="20"/>
          <w:szCs w:val="20"/>
          <w:color w:val="auto"/>
        </w:rPr>
      </w:pPr>
      <w:r>
        <w:rPr>
          <w:rFonts w:ascii="Times New Roman" w:cs="Times New Roman" w:eastAsia="Times New Roman" w:hAnsi="Times New Roman"/>
          <w:sz w:val="20"/>
          <w:szCs w:val="20"/>
          <w:color w:val="auto"/>
        </w:rPr>
        <w:t>(iv)If the Company achieves a TSR over the Performance Period that is at or above the 75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percentile of the TSRs of the component members of the Company’s Peer Group over the Performance Period, a number of PSUs equal to the Maximum PSUs shall vest.</w:t>
      </w:r>
    </w:p>
    <w:p>
      <w:pPr>
        <w:spacing w:after="0" w:line="190" w:lineRule="exact"/>
        <w:rPr>
          <w:sz w:val="20"/>
          <w:szCs w:val="20"/>
          <w:color w:val="auto"/>
        </w:rPr>
      </w:pPr>
    </w:p>
    <w:p>
      <w:pPr>
        <w:jc w:val="both"/>
        <w:ind w:left="180" w:right="60" w:firstLine="2246"/>
        <w:spacing w:after="0" w:line="253" w:lineRule="auto"/>
        <w:rPr>
          <w:sz w:val="20"/>
          <w:szCs w:val="20"/>
          <w:color w:val="auto"/>
        </w:rPr>
      </w:pPr>
      <w:r>
        <w:rPr>
          <w:rFonts w:ascii="Times New Roman" w:cs="Times New Roman" w:eastAsia="Times New Roman" w:hAnsi="Times New Roman"/>
          <w:sz w:val="20"/>
          <w:szCs w:val="20"/>
          <w:color w:val="auto"/>
        </w:rPr>
        <w:t>(v)To the extent that the Company achieves a TSR over the Performance Period that is between two thresholds specified in this Section 2.2(a), the percentage of the PSUs that vest shall be determined by the use of straight-line interpolation and the remaining PSUs shall thereupon be forfeited.</w:t>
      </w:r>
    </w:p>
    <w:p>
      <w:pPr>
        <w:spacing w:after="0" w:line="186" w:lineRule="exact"/>
        <w:rPr>
          <w:sz w:val="20"/>
          <w:szCs w:val="20"/>
          <w:color w:val="auto"/>
        </w:rPr>
      </w:pPr>
    </w:p>
    <w:p>
      <w:pPr>
        <w:ind w:left="2040" w:hanging="370"/>
        <w:spacing w:after="0"/>
        <w:tabs>
          <w:tab w:leader="none" w:pos="20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Effect of Termination of Service</w:t>
      </w:r>
      <w:r>
        <w:rPr>
          <w:rFonts w:ascii="Times New Roman" w:cs="Times New Roman" w:eastAsia="Times New Roman" w:hAnsi="Times New Roman"/>
          <w:sz w:val="20"/>
          <w:szCs w:val="20"/>
          <w:color w:val="auto"/>
        </w:rPr>
        <w:t>.</w:t>
      </w:r>
    </w:p>
    <w:p>
      <w:pPr>
        <w:spacing w:after="0" w:line="246" w:lineRule="exact"/>
        <w:rPr>
          <w:sz w:val="20"/>
          <w:szCs w:val="20"/>
          <w:color w:val="auto"/>
        </w:rPr>
      </w:pPr>
    </w:p>
    <w:p>
      <w:pPr>
        <w:jc w:val="both"/>
        <w:ind w:left="180" w:right="60" w:firstLine="2246"/>
        <w:spacing w:after="0" w:line="249" w:lineRule="auto"/>
        <w:rPr>
          <w:sz w:val="20"/>
          <w:szCs w:val="20"/>
          <w:color w:val="auto"/>
        </w:rPr>
      </w:pPr>
      <w:r>
        <w:rPr>
          <w:rFonts w:ascii="Times New Roman" w:cs="Times New Roman" w:eastAsia="Times New Roman" w:hAnsi="Times New Roman"/>
          <w:sz w:val="20"/>
          <w:szCs w:val="20"/>
          <w:color w:val="auto"/>
        </w:rPr>
        <w:t>(i)Notwithstanding any contrary provision of this Agreement, upon Participant’s Termination of Service for any reason (other than due to Participant’s death or Disability) prior to the Determination Date or the Change in Control Determination Date, as applicable, any and all PSUs and Dividend Equivalents shall immediately be forfeited and Participant’s rights with respect thereto shall lapse and expire.</w:t>
      </w:r>
    </w:p>
    <w:p>
      <w:pPr>
        <w:spacing w:after="0" w:line="205" w:lineRule="exact"/>
        <w:rPr>
          <w:sz w:val="20"/>
          <w:szCs w:val="20"/>
          <w:color w:val="auto"/>
        </w:rPr>
      </w:pPr>
    </w:p>
    <w:p>
      <w:pPr>
        <w:jc w:val="both"/>
        <w:ind w:left="180" w:right="60" w:firstLine="2246"/>
        <w:spacing w:after="0" w:line="257" w:lineRule="auto"/>
        <w:rPr>
          <w:sz w:val="20"/>
          <w:szCs w:val="20"/>
          <w:color w:val="auto"/>
        </w:rPr>
      </w:pPr>
      <w:r>
        <w:rPr>
          <w:rFonts w:ascii="Times New Roman" w:cs="Times New Roman" w:eastAsia="Times New Roman" w:hAnsi="Times New Roman"/>
          <w:sz w:val="19"/>
          <w:szCs w:val="19"/>
          <w:color w:val="auto"/>
        </w:rPr>
        <w:t>(ii)In the event of Participant’s Termination of Service due to Participant’s death or Disability at any time prior to December 31, 20[XX] or a Change in Control, Participant shall vest in a pro rata portion of the number of PSUs determined to vest in accordance with Section 2.2(a), which pro rata portion will be calculated by multiplying the total number of PSUs that vest based on actual performance for the period beginning on January 1, 20[XX] and ending on the date of Participant’s Termination of Service, as determined by the Administrator, by a fraction, the numerator of which equals the number of days Participant was employed with or provided service to the Company or any Subsidiary during the Performance Period and the denominator of which is 1,096, effective as of the date of such Participant’s Termination of Service. In the event of Participant’s Termination of Service due to Participant’s death or Disability on or after December 31, 20[XX] and prior to the Determination Date, Participant shall vest in the total number of PSUs that vest based on actual performance for the Performance Period, as determined by the Administrator in accordance with Section 2.2(a).</w:t>
      </w:r>
    </w:p>
    <w:p>
      <w:pPr>
        <w:spacing w:after="0" w:line="183" w:lineRule="exact"/>
        <w:rPr>
          <w:sz w:val="20"/>
          <w:szCs w:val="20"/>
          <w:color w:val="auto"/>
        </w:rPr>
      </w:pPr>
    </w:p>
    <w:p>
      <w:pPr>
        <w:jc w:val="both"/>
        <w:ind w:left="180" w:firstLine="1490"/>
        <w:spacing w:after="0" w:line="245" w:lineRule="auto"/>
        <w:tabs>
          <w:tab w:leader="none" w:pos="20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Change in Control</w:t>
      </w:r>
      <w:r>
        <w:rPr>
          <w:rFonts w:ascii="Times New Roman" w:cs="Times New Roman" w:eastAsia="Times New Roman" w:hAnsi="Times New Roman"/>
          <w:sz w:val="20"/>
          <w:szCs w:val="20"/>
          <w:color w:val="auto"/>
        </w:rPr>
        <w:t>. Notwithstanding any contrary provision of this Agreement, in the event of a Change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Control at any time prior to December 31, 20[XX], the number of PSUs determined to vest pursuant to Section 2.2(a) hereof for the period beginning on January 1, 20[XX] and ending on the Change in Control Determination Date shall vest on December 31, 20[XX], subject to the Participant not incurring a Termination of Service prior to December 31, 20[XX]; provided, that, such unvested PSUs shall immediately vest and no longer represent unvested PSUs (i) on the date of Participant’s Termination of Service, in the event of Participant’s Termination of Service by the Company without Cause, by Participant</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3</w:t>
      </w:r>
    </w:p>
    <w:p>
      <w:pPr>
        <w:spacing w:after="0" w:line="7" w:lineRule="exact"/>
        <w:rPr>
          <w:sz w:val="20"/>
          <w:szCs w:val="20"/>
          <w:color w:val="auto"/>
        </w:rPr>
      </w:pPr>
    </w:p>
    <w:p>
      <w:pPr>
        <w:spacing w:after="0"/>
        <w:rPr>
          <w:sz w:val="20"/>
          <w:szCs w:val="20"/>
          <w:color w:val="auto"/>
        </w:rPr>
      </w:pPr>
      <w:r>
        <w:rPr>
          <w:rFonts w:ascii="Calibri" w:cs="Calibri" w:eastAsia="Calibri" w:hAnsi="Calibri"/>
          <w:sz w:val="14"/>
          <w:szCs w:val="14"/>
          <w:color w:val="auto"/>
        </w:rPr>
        <w:t>|US-DOCS\138634373.2||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07" w:name="page108"/>
    <w:bookmarkEnd w:id="107"/>
    <w:p>
      <w:pPr>
        <w:jc w:val="both"/>
        <w:ind w:left="180"/>
        <w:spacing w:after="0" w:line="253" w:lineRule="auto"/>
        <w:rPr>
          <w:sz w:val="20"/>
          <w:szCs w:val="20"/>
          <w:color w:val="auto"/>
        </w:rPr>
      </w:pPr>
      <w:r>
        <w:rPr>
          <w:rFonts w:ascii="Times New Roman" w:cs="Times New Roman" w:eastAsia="Times New Roman" w:hAnsi="Times New Roman"/>
          <w:sz w:val="20"/>
          <w:szCs w:val="20"/>
          <w:color w:val="auto"/>
        </w:rPr>
        <w:t>for Good Reason or due to Participant’s death or Disability, in each case, after the Change in Control and (ii) immediately prior to (and subject to the consummation of) the Change in Control in the event the successor corporation (or any of its parent entities) does not assume or substitute the PSUs for equivalent rights in connection with such Change in Control.</w:t>
      </w:r>
    </w:p>
    <w:p>
      <w:pPr>
        <w:spacing w:after="0" w:line="280" w:lineRule="exact"/>
        <w:rPr>
          <w:sz w:val="20"/>
          <w:szCs w:val="20"/>
          <w:color w:val="auto"/>
        </w:rPr>
      </w:pPr>
    </w:p>
    <w:p>
      <w:pPr>
        <w:ind w:left="2420" w:hanging="750"/>
        <w:spacing w:after="0"/>
        <w:tabs>
          <w:tab w:leader="none" w:pos="24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Definitions</w:t>
      </w:r>
      <w:r>
        <w:rPr>
          <w:rFonts w:ascii="Times New Roman" w:cs="Times New Roman" w:eastAsia="Times New Roman" w:hAnsi="Times New Roman"/>
          <w:sz w:val="20"/>
          <w:szCs w:val="20"/>
          <w:color w:val="auto"/>
        </w:rPr>
        <w:t>. For purposes of this Agreement, the following definitions shall</w:t>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apply:</w:t>
      </w:r>
    </w:p>
    <w:p>
      <w:pPr>
        <w:spacing w:after="0" w:line="206" w:lineRule="exact"/>
        <w:rPr>
          <w:sz w:val="20"/>
          <w:szCs w:val="20"/>
          <w:color w:val="auto"/>
        </w:rPr>
      </w:pPr>
    </w:p>
    <w:p>
      <w:pPr>
        <w:jc w:val="both"/>
        <w:ind w:left="180" w:right="60" w:firstLine="2213"/>
        <w:spacing w:after="0" w:line="249"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20"/>
          <w:szCs w:val="20"/>
          <w:u w:val="single" w:color="auto"/>
          <w:color w:val="auto"/>
        </w:rPr>
        <w:t>Average Market Value</w:t>
      </w:r>
      <w:r>
        <w:rPr>
          <w:rFonts w:ascii="Times New Roman" w:cs="Times New Roman" w:eastAsia="Times New Roman" w:hAnsi="Times New Roman"/>
          <w:sz w:val="20"/>
          <w:szCs w:val="20"/>
          <w:color w:val="auto"/>
        </w:rPr>
        <w:t>” of the Company or a member of the Peer Group, as applicable, means, as of any day, the average closing price per share of Common Stock (or per share of common stock of a member of the Peer Group, as applicable) over the 20-consecutive-trading days ending with and including that day (or, if there is no closing price on that day, the last trading day before that day).</w:t>
      </w:r>
    </w:p>
    <w:p>
      <w:pPr>
        <w:spacing w:after="0" w:line="19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20"/>
          <w:szCs w:val="20"/>
          <w:u w:val="single" w:color="auto"/>
          <w:color w:val="auto"/>
        </w:rPr>
        <w:t>Beginning Average Market Value</w:t>
      </w:r>
      <w:r>
        <w:rPr>
          <w:rFonts w:ascii="Times New Roman" w:cs="Times New Roman" w:eastAsia="Times New Roman" w:hAnsi="Times New Roman"/>
          <w:sz w:val="20"/>
          <w:szCs w:val="20"/>
          <w:color w:val="auto"/>
        </w:rPr>
        <w:t>” means the Average Market Value as of January 1, 20[XX].</w:t>
      </w:r>
    </w:p>
    <w:p>
      <w:pPr>
        <w:spacing w:after="0" w:line="228" w:lineRule="exact"/>
        <w:rPr>
          <w:sz w:val="20"/>
          <w:szCs w:val="20"/>
          <w:color w:val="auto"/>
        </w:rPr>
      </w:pPr>
    </w:p>
    <w:p>
      <w:pPr>
        <w:jc w:val="both"/>
        <w:ind w:left="180" w:right="60" w:firstLine="2246"/>
        <w:spacing w:after="0" w:line="242"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means (a) the Board’s determination that Participant failed to substantially perform his or her duties (other than any such failure resulting from Participant’s Disability); (b) the Board’s determination that Participant failed to carry out, or comply with any lawful and reasonable directive of the Board or Participant’s immediate supervisor; (c) Participant’s conviction, plea of no contest, plea of nolo contendere, or imposition of unadjudicated probation for any felony, indictable offense or crime involving moral turpitude; (d) Participant’s unlawful use (including being under the influence) or possession of illegal drugs on the Company’s (or any of its Subsidiaries’) premises or while performing Participant’s duties and responsibilities; or (e) Participant’s commission of an act of fraud, embezzlement, misappropriation, misconduct, or breach of fiduciary duty against the Company or any of its Subsidiaries. Notwithstanding the foregoing, if Participant is a party to a written employment or change in control severance agreement with the Company (or its Subsidiary) that contains a definition of Cause, then “Cause” shall be as such term is defined in the applicable written employment or change in control severance agreement.</w:t>
      </w:r>
    </w:p>
    <w:p>
      <w:pPr>
        <w:spacing w:after="0" w:line="203" w:lineRule="exact"/>
        <w:rPr>
          <w:sz w:val="20"/>
          <w:szCs w:val="20"/>
          <w:color w:val="auto"/>
        </w:rPr>
      </w:pPr>
    </w:p>
    <w:p>
      <w:pPr>
        <w:jc w:val="both"/>
        <w:ind w:left="180" w:right="60" w:firstLine="2246"/>
        <w:spacing w:after="0" w:line="268" w:lineRule="auto"/>
        <w:rPr>
          <w:sz w:val="20"/>
          <w:szCs w:val="20"/>
          <w:color w:val="auto"/>
        </w:rPr>
      </w:pPr>
      <w:r>
        <w:rPr>
          <w:rFonts w:ascii="Times New Roman" w:cs="Times New Roman" w:eastAsia="Times New Roman" w:hAnsi="Times New Roman"/>
          <w:sz w:val="20"/>
          <w:szCs w:val="20"/>
          <w:color w:val="auto"/>
        </w:rPr>
        <w:t>(iv)“</w:t>
      </w:r>
      <w:r>
        <w:rPr>
          <w:rFonts w:ascii="Times New Roman" w:cs="Times New Roman" w:eastAsia="Times New Roman" w:hAnsi="Times New Roman"/>
          <w:sz w:val="20"/>
          <w:szCs w:val="20"/>
          <w:u w:val="single" w:color="auto"/>
          <w:color w:val="auto"/>
        </w:rPr>
        <w:t>Change in Control Determination Date</w:t>
      </w:r>
      <w:r>
        <w:rPr>
          <w:rFonts w:ascii="Times New Roman" w:cs="Times New Roman" w:eastAsia="Times New Roman" w:hAnsi="Times New Roman"/>
          <w:sz w:val="20"/>
          <w:szCs w:val="20"/>
          <w:color w:val="auto"/>
        </w:rPr>
        <w:t>” means any date within thirty days prior to the date of a Change in Control, as determined by the Administrator.</w:t>
      </w:r>
    </w:p>
    <w:p>
      <w:pPr>
        <w:spacing w:after="0" w:line="174" w:lineRule="exact"/>
        <w:rPr>
          <w:sz w:val="20"/>
          <w:szCs w:val="20"/>
          <w:color w:val="auto"/>
        </w:rPr>
      </w:pPr>
    </w:p>
    <w:p>
      <w:pPr>
        <w:jc w:val="both"/>
        <w:ind w:left="180" w:firstLine="2246"/>
        <w:spacing w:after="0" w:line="295" w:lineRule="auto"/>
        <w:rPr>
          <w:sz w:val="20"/>
          <w:szCs w:val="20"/>
          <w:color w:val="auto"/>
        </w:rPr>
      </w:pPr>
      <w:r>
        <w:rPr>
          <w:rFonts w:ascii="Times New Roman" w:cs="Times New Roman" w:eastAsia="Times New Roman" w:hAnsi="Times New Roman"/>
          <w:sz w:val="19"/>
          <w:szCs w:val="19"/>
          <w:color w:val="auto"/>
        </w:rPr>
        <w:t>(v)“</w:t>
      </w:r>
      <w:r>
        <w:rPr>
          <w:rFonts w:ascii="Times New Roman" w:cs="Times New Roman" w:eastAsia="Times New Roman" w:hAnsi="Times New Roman"/>
          <w:sz w:val="19"/>
          <w:szCs w:val="19"/>
          <w:u w:val="single" w:color="auto"/>
          <w:color w:val="auto"/>
        </w:rPr>
        <w:t>Determination Date</w:t>
      </w:r>
      <w:r>
        <w:rPr>
          <w:rFonts w:ascii="Times New Roman" w:cs="Times New Roman" w:eastAsia="Times New Roman" w:hAnsi="Times New Roman"/>
          <w:sz w:val="19"/>
          <w:szCs w:val="19"/>
          <w:color w:val="auto"/>
        </w:rPr>
        <w:t>” means the date the Administrator determines the number of PSUs that shall vest pursuant to Section 2.2(a) based on the TSR of the Company and the Peer Group, which date shall be no later than February 28, 20[XX].</w:t>
      </w:r>
    </w:p>
    <w:p>
      <w:pPr>
        <w:spacing w:after="0" w:line="164" w:lineRule="exact"/>
        <w:rPr>
          <w:sz w:val="20"/>
          <w:szCs w:val="20"/>
          <w:color w:val="auto"/>
        </w:rPr>
      </w:pPr>
    </w:p>
    <w:p>
      <w:pPr>
        <w:jc w:val="both"/>
        <w:ind w:left="180" w:firstLine="2246"/>
        <w:spacing w:after="0" w:line="253" w:lineRule="auto"/>
        <w:rPr>
          <w:sz w:val="20"/>
          <w:szCs w:val="20"/>
          <w:color w:val="auto"/>
        </w:rPr>
      </w:pPr>
      <w:r>
        <w:rPr>
          <w:rFonts w:ascii="Times New Roman" w:cs="Times New Roman" w:eastAsia="Times New Roman" w:hAnsi="Times New Roman"/>
          <w:sz w:val="20"/>
          <w:szCs w:val="20"/>
          <w:color w:val="auto"/>
        </w:rPr>
        <w:t>(vi)“</w:t>
      </w:r>
      <w:r>
        <w:rPr>
          <w:rFonts w:ascii="Times New Roman" w:cs="Times New Roman" w:eastAsia="Times New Roman" w:hAnsi="Times New Roman"/>
          <w:sz w:val="20"/>
          <w:szCs w:val="20"/>
          <w:u w:val="single" w:color="auto"/>
          <w:color w:val="auto"/>
        </w:rPr>
        <w:t>Ending Average Market Value</w:t>
      </w:r>
      <w:r>
        <w:rPr>
          <w:rFonts w:ascii="Times New Roman" w:cs="Times New Roman" w:eastAsia="Times New Roman" w:hAnsi="Times New Roman"/>
          <w:sz w:val="20"/>
          <w:szCs w:val="20"/>
          <w:color w:val="auto"/>
        </w:rPr>
        <w:t>” means the Average Market Value as of December 31, 20[XX]; provided, that, in the event a Change in Control occurs after calendar year 20[XX] and prior to December 31, 20[XX], “Ending Average Market Value” means the Average Market Value as of the Change in Control Determination Date.</w:t>
      </w:r>
    </w:p>
    <w:p>
      <w:pPr>
        <w:spacing w:after="0" w:line="203" w:lineRule="exact"/>
        <w:rPr>
          <w:sz w:val="20"/>
          <w:szCs w:val="20"/>
          <w:color w:val="auto"/>
        </w:rPr>
      </w:pPr>
    </w:p>
    <w:p>
      <w:pPr>
        <w:jc w:val="both"/>
        <w:ind w:left="180" w:right="60" w:firstLine="2246"/>
        <w:spacing w:after="0" w:line="244" w:lineRule="auto"/>
        <w:rPr>
          <w:sz w:val="20"/>
          <w:szCs w:val="20"/>
          <w:color w:val="auto"/>
        </w:rPr>
      </w:pPr>
      <w:r>
        <w:rPr>
          <w:rFonts w:ascii="Times New Roman" w:cs="Times New Roman" w:eastAsia="Times New Roman" w:hAnsi="Times New Roman"/>
          <w:sz w:val="20"/>
          <w:szCs w:val="20"/>
          <w:color w:val="auto"/>
        </w:rPr>
        <w:t>(vii)“</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means the occurrence of any of the following events or conditions without Participant’s written consent (a) a material diminution in Participant’s authority, duties or responsibilities, other than as a result of a Change in Control where Participant remains in a position with the Company or its successor (or any other entity that owns substantially all of the Company’s business after such sale) that is substantially equivalent in duties, rank, reporting structure and authority with Participant’s position prior to such sale, solely as such duties, rank, reporting structure and authority relate to the Company’s business; (b) a material diminution in Participant’s base salary or target annual bonus level; or (c) a material change in the geographic location at which Participant must perform his or her duties,</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4</w:t>
      </w:r>
    </w:p>
    <w:p>
      <w:pPr>
        <w:spacing w:after="0" w:line="7" w:lineRule="exact"/>
        <w:rPr>
          <w:sz w:val="20"/>
          <w:szCs w:val="20"/>
          <w:color w:val="auto"/>
        </w:rPr>
      </w:pPr>
    </w:p>
    <w:p>
      <w:pPr>
        <w:spacing w:after="0"/>
        <w:rPr>
          <w:sz w:val="20"/>
          <w:szCs w:val="20"/>
          <w:color w:val="auto"/>
        </w:rPr>
      </w:pPr>
      <w:r>
        <w:rPr>
          <w:rFonts w:ascii="Calibri" w:cs="Calibri" w:eastAsia="Calibri" w:hAnsi="Calibri"/>
          <w:sz w:val="14"/>
          <w:szCs w:val="14"/>
          <w:color w:val="auto"/>
        </w:rPr>
        <w:t>|US-DOCS\138634373.2||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30" w:right="459" w:bottom="1440" w:gutter="0" w:footer="0" w:header="0"/>
        </w:sectPr>
      </w:pPr>
    </w:p>
    <w:bookmarkStart w:id="108" w:name="page109"/>
    <w:bookmarkEnd w:id="108"/>
    <w:p>
      <w:pPr>
        <w:jc w:val="both"/>
        <w:ind w:left="180" w:right="20"/>
        <w:spacing w:after="0" w:line="242" w:lineRule="auto"/>
        <w:rPr>
          <w:sz w:val="20"/>
          <w:szCs w:val="20"/>
          <w:color w:val="auto"/>
        </w:rPr>
      </w:pPr>
      <w:r>
        <w:rPr>
          <w:rFonts w:ascii="Times New Roman" w:cs="Times New Roman" w:eastAsia="Times New Roman" w:hAnsi="Times New Roman"/>
          <w:sz w:val="20"/>
          <w:szCs w:val="20"/>
          <w:color w:val="auto"/>
        </w:rPr>
        <w:t>which shall not include a relocation of Participant’s principal place of employment to any location within a fifty (50) mile radius of the location from which Participant served the Company immediately prior to the relocation. Participant must provide written notice to the Company of the occurrence of any of the foregoing events or conditions without Participant’s written consent within ninety (90) days of the occurrence of such event or the date upon which Participant reasonably became aware that such an event or condition had occurred. The Company or any successor or affiliate shall have a period of thirty (30) days to cure such event or condition after receipt of written notice of such event from Participant. Any voluntary termination for “Good Reason” following such thirty (30) day cure period must occur no later than the date that is six (6) months following the date notice was provided by Participant. Notwithstanding the foregoing, if Participant is a party to a written employment agreement or change in control severance agreement with the Company (or its Subsidiary) that contains a definition of Good Reason, then “Good Reason” shall be as such term is defined in the applicable written employment or change in control severance agreement.</w:t>
      </w:r>
    </w:p>
    <w:p>
      <w:pPr>
        <w:spacing w:after="0" w:line="199" w:lineRule="exact"/>
        <w:rPr>
          <w:sz w:val="20"/>
          <w:szCs w:val="20"/>
          <w:color w:val="auto"/>
        </w:rPr>
      </w:pPr>
    </w:p>
    <w:p>
      <w:pPr>
        <w:jc w:val="both"/>
        <w:ind w:left="180" w:firstLine="2213"/>
        <w:spacing w:after="0" w:line="247" w:lineRule="auto"/>
        <w:rPr>
          <w:sz w:val="20"/>
          <w:szCs w:val="20"/>
          <w:color w:val="auto"/>
        </w:rPr>
      </w:pPr>
      <w:r>
        <w:rPr>
          <w:rFonts w:ascii="Times New Roman" w:cs="Times New Roman" w:eastAsia="Times New Roman" w:hAnsi="Times New Roman"/>
          <w:sz w:val="20"/>
          <w:szCs w:val="20"/>
          <w:color w:val="auto"/>
        </w:rPr>
        <w:t>(viii)“</w:t>
      </w:r>
      <w:r>
        <w:rPr>
          <w:rFonts w:ascii="Times New Roman" w:cs="Times New Roman" w:eastAsia="Times New Roman" w:hAnsi="Times New Roman"/>
          <w:sz w:val="20"/>
          <w:szCs w:val="20"/>
          <w:u w:val="single" w:color="auto"/>
          <w:color w:val="auto"/>
        </w:rPr>
        <w:t>Peer Group</w:t>
      </w:r>
      <w:r>
        <w:rPr>
          <w:rFonts w:ascii="Times New Roman" w:cs="Times New Roman" w:eastAsia="Times New Roman" w:hAnsi="Times New Roman"/>
          <w:sz w:val="20"/>
          <w:szCs w:val="20"/>
          <w:color w:val="auto"/>
        </w:rPr>
        <w:t xml:space="preserve">” shall consist of the companies listed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if a member of the Peer Group ceases to be a Publicly Traded Company for any reason during the Performance Period or is acquired by another Publicly Traded Company (other than a transaction the principal purpose of which is to change the name, corporate form or jurisdiction of incorporation or formation of the Peer Group member), the member shall be automatically removed from and treated as never having been included in the Peer Group.</w:t>
      </w:r>
    </w:p>
    <w:p>
      <w:pPr>
        <w:spacing w:after="0" w:line="20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0"/>
          <w:szCs w:val="20"/>
          <w:color w:val="auto"/>
        </w:rPr>
        <w:t>(ix)“</w:t>
      </w:r>
      <w:r>
        <w:rPr>
          <w:rFonts w:ascii="Times New Roman" w:cs="Times New Roman" w:eastAsia="Times New Roman" w:hAnsi="Times New Roman"/>
          <w:sz w:val="20"/>
          <w:szCs w:val="20"/>
          <w:u w:val="single" w:color="auto"/>
          <w:color w:val="auto"/>
        </w:rPr>
        <w:t>Performance Period</w:t>
      </w:r>
      <w:r>
        <w:rPr>
          <w:rFonts w:ascii="Times New Roman" w:cs="Times New Roman" w:eastAsia="Times New Roman" w:hAnsi="Times New Roman"/>
          <w:sz w:val="20"/>
          <w:szCs w:val="20"/>
          <w:color w:val="auto"/>
        </w:rPr>
        <w:t>” means the period beginning on January 1, 20[XX] and ending on December</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31, 20[XX].</w:t>
      </w:r>
    </w:p>
    <w:p>
      <w:pPr>
        <w:spacing w:after="0" w:line="206" w:lineRule="exact"/>
        <w:rPr>
          <w:sz w:val="20"/>
          <w:szCs w:val="20"/>
          <w:color w:val="auto"/>
        </w:rPr>
      </w:pPr>
    </w:p>
    <w:p>
      <w:pPr>
        <w:jc w:val="both"/>
        <w:ind w:left="180" w:right="20" w:firstLine="2213"/>
        <w:spacing w:after="0" w:line="268" w:lineRule="auto"/>
        <w:rPr>
          <w:sz w:val="20"/>
          <w:szCs w:val="20"/>
          <w:color w:val="auto"/>
        </w:rPr>
      </w:pPr>
      <w:r>
        <w:rPr>
          <w:rFonts w:ascii="Times New Roman" w:cs="Times New Roman" w:eastAsia="Times New Roman" w:hAnsi="Times New Roman"/>
          <w:sz w:val="20"/>
          <w:szCs w:val="20"/>
          <w:color w:val="auto"/>
        </w:rPr>
        <w:t>(x)“</w:t>
      </w:r>
      <w:r>
        <w:rPr>
          <w:rFonts w:ascii="Times New Roman" w:cs="Times New Roman" w:eastAsia="Times New Roman" w:hAnsi="Times New Roman"/>
          <w:sz w:val="20"/>
          <w:szCs w:val="20"/>
          <w:u w:val="single" w:color="auto"/>
          <w:color w:val="auto"/>
        </w:rPr>
        <w:t>Publicly Traded Company</w:t>
      </w:r>
      <w:r>
        <w:rPr>
          <w:rFonts w:ascii="Times New Roman" w:cs="Times New Roman" w:eastAsia="Times New Roman" w:hAnsi="Times New Roman"/>
          <w:sz w:val="20"/>
          <w:szCs w:val="20"/>
          <w:color w:val="auto"/>
        </w:rPr>
        <w:t>” means a company whose shares are regularly quoted or traded on an active securities exchange, over-the-counter market or inter-dealer quotation system.</w:t>
      </w:r>
    </w:p>
    <w:p>
      <w:pPr>
        <w:spacing w:after="0" w:line="268" w:lineRule="exact"/>
        <w:rPr>
          <w:sz w:val="20"/>
          <w:szCs w:val="20"/>
          <w:color w:val="auto"/>
        </w:rPr>
      </w:pPr>
    </w:p>
    <w:p>
      <w:pPr>
        <w:jc w:val="both"/>
        <w:ind w:left="180" w:right="20" w:firstLine="2246"/>
        <w:spacing w:after="0" w:line="245" w:lineRule="auto"/>
        <w:rPr>
          <w:sz w:val="20"/>
          <w:szCs w:val="20"/>
          <w:color w:val="auto"/>
        </w:rPr>
      </w:pPr>
      <w:r>
        <w:rPr>
          <w:rFonts w:ascii="Times New Roman" w:cs="Times New Roman" w:eastAsia="Times New Roman" w:hAnsi="Times New Roman"/>
          <w:sz w:val="20"/>
          <w:szCs w:val="20"/>
          <w:color w:val="auto"/>
        </w:rPr>
        <w:t>(xi)“</w:t>
      </w:r>
      <w:r>
        <w:rPr>
          <w:rFonts w:ascii="Times New Roman" w:cs="Times New Roman" w:eastAsia="Times New Roman" w:hAnsi="Times New Roman"/>
          <w:sz w:val="20"/>
          <w:szCs w:val="20"/>
          <w:u w:val="single" w:color="auto"/>
          <w:color w:val="auto"/>
        </w:rPr>
        <w:t>TSR</w:t>
      </w:r>
      <w:r>
        <w:rPr>
          <w:rFonts w:ascii="Times New Roman" w:cs="Times New Roman" w:eastAsia="Times New Roman" w:hAnsi="Times New Roman"/>
          <w:sz w:val="20"/>
          <w:szCs w:val="20"/>
          <w:color w:val="auto"/>
        </w:rPr>
        <w:t>” means the percentage appreciation (positive or negative) in the Common Stock price (or common stock price of a member of the Peer Group, as applicable) over the Performance Period, determined by dividing (i) the difference obtained by subtracting (A) the Beginning Average Market Value, from (B) the Ending Average Market Value plus all cash dividends for the Performance Period, assuming same-day reinvestment into Common Stock (or common stock of the applicable member of the Peer Group) on the applicable ex-dividend date, by (ii) the Beginning Average Market Value. TSR shall be equitably adjusted to reflect stock dividends, stock-splits, spin-offs, and other corporate changes having similar effect.</w:t>
      </w:r>
    </w:p>
    <w:p>
      <w:pPr>
        <w:spacing w:after="0" w:line="192" w:lineRule="exact"/>
        <w:rPr>
          <w:sz w:val="20"/>
          <w:szCs w:val="20"/>
          <w:color w:val="auto"/>
        </w:rPr>
      </w:pPr>
    </w:p>
    <w:p>
      <w:pPr>
        <w:ind w:left="2420" w:hanging="750"/>
        <w:spacing w:after="0"/>
        <w:tabs>
          <w:tab w:leader="none" w:pos="24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Lapse of PSUs</w:t>
      </w:r>
      <w:r>
        <w:rPr>
          <w:rFonts w:ascii="Times New Roman" w:cs="Times New Roman" w:eastAsia="Times New Roman" w:hAnsi="Times New Roman"/>
          <w:sz w:val="20"/>
          <w:szCs w:val="20"/>
          <w:color w:val="auto"/>
        </w:rPr>
        <w:t>.</w:t>
      </w:r>
    </w:p>
    <w:p>
      <w:pPr>
        <w:spacing w:after="0" w:line="246" w:lineRule="exact"/>
        <w:rPr>
          <w:sz w:val="20"/>
          <w:szCs w:val="20"/>
          <w:color w:val="auto"/>
        </w:rPr>
      </w:pPr>
    </w:p>
    <w:p>
      <w:pPr>
        <w:jc w:val="both"/>
        <w:ind w:left="180" w:right="20" w:firstLine="2246"/>
        <w:spacing w:after="0" w:line="246" w:lineRule="auto"/>
        <w:rPr>
          <w:sz w:val="20"/>
          <w:szCs w:val="20"/>
          <w:color w:val="auto"/>
        </w:rPr>
      </w:pPr>
      <w:r>
        <w:rPr>
          <w:rFonts w:ascii="Times New Roman" w:cs="Times New Roman" w:eastAsia="Times New Roman" w:hAnsi="Times New Roman"/>
          <w:sz w:val="20"/>
          <w:szCs w:val="20"/>
          <w:color w:val="auto"/>
        </w:rPr>
        <w:t>(i)In the event of Participant’s Termination of Service, except as may be otherwise provided under Section 2.2(b)(ii) or (c) above, by the Administrator or as set forth in a written agreement between Participant and the Company, Participant shall immediately forfeit any and all PSUs and Dividend Equivalents granted under this Agreement which have not vested or do not vest on or prior to the date on which such Termination of Service occurs, and Participant’s rights in any such PSUs and Dividend Equivalents which are not so vested shall lapse and expire.</w:t>
      </w:r>
    </w:p>
    <w:p>
      <w:pPr>
        <w:spacing w:after="0" w:line="197" w:lineRule="exact"/>
        <w:rPr>
          <w:sz w:val="20"/>
          <w:szCs w:val="20"/>
          <w:color w:val="auto"/>
        </w:rPr>
      </w:pPr>
    </w:p>
    <w:p>
      <w:pPr>
        <w:jc w:val="both"/>
        <w:ind w:left="180" w:right="20" w:firstLine="2213"/>
        <w:spacing w:after="0" w:line="253" w:lineRule="auto"/>
        <w:rPr>
          <w:sz w:val="20"/>
          <w:szCs w:val="20"/>
          <w:color w:val="auto"/>
        </w:rPr>
      </w:pPr>
      <w:r>
        <w:rPr>
          <w:rFonts w:ascii="Times New Roman" w:cs="Times New Roman" w:eastAsia="Times New Roman" w:hAnsi="Times New Roman"/>
          <w:sz w:val="20"/>
          <w:szCs w:val="20"/>
          <w:color w:val="auto"/>
        </w:rPr>
        <w:t>(ii)Subject to Sections 2.2(b)(ii) and (c), in the event the PSUs do not vest at the maximum level in accordance with the provisions of Section 2.2(a), such PSUs that do not vest in accordance with the provisions of Section 2.2(a) shall be forfeited and Participant’s rights in any such PSUs and related Dividend Equivalents shall lapse and expire.</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u w:val="single" w:color="auto"/>
          <w:color w:val="auto"/>
        </w:rPr>
        <w:t>2.3 Distribution or Payment of PSUs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5</w:t>
      </w:r>
    </w:p>
    <w:p>
      <w:pPr>
        <w:spacing w:after="0" w:line="7" w:lineRule="exact"/>
        <w:rPr>
          <w:sz w:val="20"/>
          <w:szCs w:val="20"/>
          <w:color w:val="auto"/>
        </w:rPr>
      </w:pPr>
    </w:p>
    <w:p>
      <w:pPr>
        <w:spacing w:after="0"/>
        <w:rPr>
          <w:sz w:val="20"/>
          <w:szCs w:val="20"/>
          <w:color w:val="auto"/>
        </w:rPr>
      </w:pPr>
      <w:r>
        <w:rPr>
          <w:rFonts w:ascii="Calibri" w:cs="Calibri" w:eastAsia="Calibri" w:hAnsi="Calibri"/>
          <w:sz w:val="14"/>
          <w:szCs w:val="14"/>
          <w:color w:val="auto"/>
        </w:rPr>
        <w:t>|US-DOCS\138634373.2||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30" w:right="499" w:bottom="1440" w:gutter="0" w:footer="0" w:header="0"/>
        </w:sectPr>
      </w:pPr>
    </w:p>
    <w:bookmarkStart w:id="109" w:name="page110"/>
    <w:bookmarkEnd w:id="109"/>
    <w:p>
      <w:pPr>
        <w:jc w:val="both"/>
        <w:ind w:left="180" w:right="20" w:firstLine="1490"/>
        <w:spacing w:after="0" w:line="243" w:lineRule="auto"/>
        <w:tabs>
          <w:tab w:leader="none" w:pos="204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Participant’s PSUs shall be distributed in Shares (either in book-entry form or otherwise) or, at the option of the Company, paid in an amount of cash as set forth in Section 2.3(b), in either case, as soon as administratively practicable following the vesting of the applicable PSU pursuant to Section 2.2(a), and, in any event, within sixty (60) days following such vesting. Notwithstanding the foregoing, the Company may delay a distribution or payment in settlement of PSUs if it reasonably determines that such payment or distribution will violate Federal securities laws or any other Applicable Law,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distribution or payment shall be made at the earliest date at which the Company reasonably determines that the making of such distribution or payment will not cause such violation, as required by Treasury Regulation Section 1.409A-2(b)(7)(ii),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no payment or distribution shall be delayed under this Section 2.3(a) if such delay will result in a violation of Section 409A of the Code.</w:t>
      </w:r>
    </w:p>
    <w:p>
      <w:pPr>
        <w:spacing w:after="0" w:line="200" w:lineRule="exact"/>
        <w:rPr>
          <w:rFonts w:ascii="Times New Roman" w:cs="Times New Roman" w:eastAsia="Times New Roman" w:hAnsi="Times New Roman"/>
          <w:sz w:val="20"/>
          <w:szCs w:val="20"/>
          <w:color w:val="auto"/>
        </w:rPr>
      </w:pPr>
    </w:p>
    <w:p>
      <w:pPr>
        <w:jc w:val="both"/>
        <w:ind w:left="180" w:right="20" w:firstLine="1490"/>
        <w:spacing w:after="0" w:line="246" w:lineRule="auto"/>
        <w:tabs>
          <w:tab w:leader="none" w:pos="204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Company elects to make payment of Participant’s PSUs in cash, the amount of cash payable with respect to each PSU shall be equal to the Fair Market Value of a Share on the day immediately preceding the applicable distribution or payment date set forth in Section 2.3(a). All distributions made in Shares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210" w:lineRule="exact"/>
        <w:rPr>
          <w:sz w:val="20"/>
          <w:szCs w:val="20"/>
          <w:color w:val="auto"/>
        </w:rPr>
      </w:pPr>
    </w:p>
    <w:p>
      <w:pPr>
        <w:jc w:val="both"/>
        <w:ind w:left="180" w:right="20" w:firstLine="749"/>
        <w:spacing w:after="0" w:line="260" w:lineRule="auto"/>
        <w:rPr>
          <w:sz w:val="20"/>
          <w:szCs w:val="20"/>
          <w:color w:val="auto"/>
        </w:rPr>
      </w:pPr>
      <w:r>
        <w:rPr>
          <w:rFonts w:ascii="Times New Roman" w:cs="Times New Roman" w:eastAsia="Times New Roman" w:hAnsi="Times New Roman"/>
          <w:sz w:val="19"/>
          <w:szCs w:val="19"/>
          <w:u w:val="single" w:color="auto"/>
          <w:color w:val="auto"/>
        </w:rPr>
        <w:t>2.4 Conditions to Issuance of Certificates</w:t>
      </w:r>
      <w:r>
        <w:rPr>
          <w:rFonts w:ascii="Times New Roman" w:cs="Times New Roman" w:eastAsia="Times New Roman" w:hAnsi="Times New Roman"/>
          <w:sz w:val="19"/>
          <w:szCs w:val="19"/>
          <w:color w:val="auto"/>
        </w:rPr>
        <w:t>. The Company shall not be required to issue or deliver any certificate or certificates for any Shares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and (C) the obtaining of any approval or other clearance from any state or federal governmental agency that the Administrator shall, in its absolute discretion, determine to be necessary or advisable.</w:t>
      </w:r>
    </w:p>
    <w:p>
      <w:pPr>
        <w:spacing w:after="0" w:line="1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u w:val="single" w:color="auto"/>
          <w:color w:val="auto"/>
        </w:rPr>
        <w:t>2.5 Tax Withholding</w:t>
      </w:r>
      <w:r>
        <w:rPr>
          <w:rFonts w:ascii="Times New Roman" w:cs="Times New Roman" w:eastAsia="Times New Roman" w:hAnsi="Times New Roman"/>
          <w:sz w:val="20"/>
          <w:szCs w:val="20"/>
          <w:color w:val="auto"/>
        </w:rPr>
        <w:t>. Notwithstanding any other provision of this Agreement:</w:t>
      </w:r>
    </w:p>
    <w:p>
      <w:pPr>
        <w:spacing w:after="0" w:line="309" w:lineRule="exact"/>
        <w:rPr>
          <w:sz w:val="20"/>
          <w:szCs w:val="20"/>
          <w:color w:val="auto"/>
        </w:rPr>
      </w:pPr>
    </w:p>
    <w:p>
      <w:pPr>
        <w:jc w:val="both"/>
        <w:ind w:left="180" w:firstLine="1467"/>
        <w:spacing w:after="0" w:line="246" w:lineRule="auto"/>
        <w:tabs>
          <w:tab w:leader="none" w:pos="202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have the authority to deduct or withhold, or require Participant to remit to the Company or the applicable Subsidiary, an amount sufficient to satisfy applicable federal, state, local and foreign taxes (including the employee portion of any FICA obligation) required by law to be withheld with respect to any taxable event arising pursuant to this Agreement. The Company and its Subsidiaries may withhold or the Participant may make such payment in one or more of the forms specified below:</w:t>
      </w:r>
    </w:p>
    <w:p>
      <w:pPr>
        <w:spacing w:after="0" w:line="21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0"/>
          <w:szCs w:val="20"/>
          <w:color w:val="auto"/>
        </w:rPr>
        <w:t>(i)by cash or check made payable to the Company or the Subsidiary with respect to which the withholding</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obligation arises;</w:t>
      </w:r>
    </w:p>
    <w:p>
      <w:pPr>
        <w:spacing w:after="0" w:line="206" w:lineRule="exact"/>
        <w:rPr>
          <w:sz w:val="20"/>
          <w:szCs w:val="20"/>
          <w:color w:val="auto"/>
        </w:rPr>
      </w:pPr>
    </w:p>
    <w:p>
      <w:pPr>
        <w:ind w:left="3160" w:hanging="741"/>
        <w:spacing w:after="0"/>
        <w:tabs>
          <w:tab w:leader="none" w:pos="31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deduction of such amount from other compensation payable to</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Participant;</w:t>
      </w:r>
    </w:p>
    <w:p>
      <w:pPr>
        <w:spacing w:after="0" w:line="220" w:lineRule="exact"/>
        <w:rPr>
          <w:sz w:val="20"/>
          <w:szCs w:val="20"/>
          <w:color w:val="auto"/>
        </w:rPr>
      </w:pPr>
    </w:p>
    <w:p>
      <w:pPr>
        <w:jc w:val="both"/>
        <w:ind w:left="180" w:firstLine="2213"/>
        <w:spacing w:after="0" w:line="246" w:lineRule="auto"/>
        <w:rPr>
          <w:sz w:val="20"/>
          <w:szCs w:val="20"/>
          <w:color w:val="auto"/>
        </w:rPr>
      </w:pPr>
      <w:r>
        <w:rPr>
          <w:rFonts w:ascii="Times New Roman" w:cs="Times New Roman" w:eastAsia="Times New Roman" w:hAnsi="Times New Roman"/>
          <w:sz w:val="20"/>
          <w:szCs w:val="20"/>
          <w:color w:val="auto"/>
        </w:rPr>
        <w:t>(iii)with respect to any withholding taxes arising in connection with the distribution of the PSUs, with the consent of the Administrator, by requesting that the Company and its Subsidiaries withhold a net number of vested Shares otherwise issuable pursuant to the PSUs having a then current Fair Market Value not exceeding the amount necessary to satisfy the withholding obligation of the Company and its Subsidiaries based on the maximum applicable statutory withholding rates for federal, state, local and foreign income tax and payroll tax purposes (or such lesser amount as may be determined by the Participant or the Administrator);</w:t>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6</w:t>
      </w:r>
    </w:p>
    <w:p>
      <w:pPr>
        <w:spacing w:after="0" w:line="7" w:lineRule="exact"/>
        <w:rPr>
          <w:sz w:val="20"/>
          <w:szCs w:val="20"/>
          <w:color w:val="auto"/>
        </w:rPr>
      </w:pPr>
    </w:p>
    <w:p>
      <w:pPr>
        <w:spacing w:after="0"/>
        <w:rPr>
          <w:sz w:val="20"/>
          <w:szCs w:val="20"/>
          <w:color w:val="auto"/>
        </w:rPr>
      </w:pPr>
      <w:r>
        <w:rPr>
          <w:rFonts w:ascii="Calibri" w:cs="Calibri" w:eastAsia="Calibri" w:hAnsi="Calibri"/>
          <w:sz w:val="14"/>
          <w:szCs w:val="14"/>
          <w:color w:val="auto"/>
        </w:rPr>
        <w:t>|US-DOCS\138634373.2||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30" w:right="499" w:bottom="1440" w:gutter="0" w:footer="0" w:header="0"/>
        </w:sectPr>
      </w:pPr>
    </w:p>
    <w:bookmarkStart w:id="110" w:name="page111"/>
    <w:bookmarkEnd w:id="110"/>
    <w:p>
      <w:pPr>
        <w:jc w:val="both"/>
        <w:ind w:left="180" w:right="20" w:firstLine="2246"/>
        <w:spacing w:after="0" w:line="246" w:lineRule="auto"/>
        <w:rPr>
          <w:sz w:val="20"/>
          <w:szCs w:val="20"/>
          <w:color w:val="auto"/>
        </w:rPr>
      </w:pPr>
      <w:r>
        <w:rPr>
          <w:rFonts w:ascii="Times New Roman" w:cs="Times New Roman" w:eastAsia="Times New Roman" w:hAnsi="Times New Roman"/>
          <w:sz w:val="20"/>
          <w:szCs w:val="20"/>
          <w:color w:val="auto"/>
        </w:rPr>
        <w:t>(iv)with respect to any withholding taxes arising in connection with the distribution of the PSUs, with the consent of the Administrator, by tendering to the Company vested Shares having a then current Fair Market Value not exceeding the amount necessary to satisfy the withholding obligation of the Company and its Subsidiaries based on the maximum applicable statutory withholding rates for federal, state, local and foreign income tax and payroll tax purposes (or such lesser amount as may be determined by the Participant or the Administrator);</w:t>
      </w:r>
    </w:p>
    <w:p>
      <w:pPr>
        <w:spacing w:after="0" w:line="210" w:lineRule="exact"/>
        <w:rPr>
          <w:sz w:val="20"/>
          <w:szCs w:val="20"/>
          <w:color w:val="auto"/>
        </w:rPr>
      </w:pPr>
    </w:p>
    <w:p>
      <w:pPr>
        <w:jc w:val="both"/>
        <w:ind w:left="180" w:right="20" w:firstLine="2246"/>
        <w:spacing w:after="0" w:line="245" w:lineRule="auto"/>
        <w:rPr>
          <w:sz w:val="20"/>
          <w:szCs w:val="20"/>
          <w:color w:val="auto"/>
        </w:rPr>
      </w:pPr>
      <w:r>
        <w:rPr>
          <w:rFonts w:ascii="Times New Roman" w:cs="Times New Roman" w:eastAsia="Times New Roman" w:hAnsi="Times New Roman"/>
          <w:sz w:val="20"/>
          <w:szCs w:val="20"/>
          <w:color w:val="auto"/>
        </w:rPr>
        <w:t xml:space="preserve">(v)with respect to any withholding taxes arising in connection with the distribution of the PSUs, through the delivery of a notice that Participant has placed a market sell order with a broker acceptable to the Company with respect to Shares then issuable to Participant pursuant to the PSUs, and that the broker has been directed to pay a sufficient portion of the net proceeds of the sale to the Company or the Subsidiary with respect to which the withholding obligation arises in satisfaction of such withholding taxes;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payment of such proceeds is then made to the Company or the applicable Subsidiary at such time as may be required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Administrator, but in any event not later than the settlement of such sale; or</w:t>
      </w:r>
    </w:p>
    <w:p>
      <w:pPr>
        <w:spacing w:after="0" w:line="196" w:lineRule="exact"/>
        <w:rPr>
          <w:sz w:val="20"/>
          <w:szCs w:val="20"/>
          <w:color w:val="auto"/>
        </w:rPr>
      </w:pPr>
    </w:p>
    <w:p>
      <w:pPr>
        <w:ind w:left="3160" w:hanging="741"/>
        <w:spacing w:after="0"/>
        <w:tabs>
          <w:tab w:leader="none" w:pos="3160" w:val="left"/>
        </w:tabs>
        <w:numPr>
          <w:ilvl w:val="2"/>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combination of the foregoing.</w:t>
      </w:r>
    </w:p>
    <w:p>
      <w:pPr>
        <w:spacing w:after="0" w:line="241" w:lineRule="exact"/>
        <w:rPr>
          <w:rFonts w:ascii="Times New Roman" w:cs="Times New Roman" w:eastAsia="Times New Roman" w:hAnsi="Times New Roman"/>
          <w:sz w:val="20"/>
          <w:szCs w:val="20"/>
          <w:color w:val="auto"/>
        </w:rPr>
      </w:pPr>
    </w:p>
    <w:p>
      <w:pPr>
        <w:jc w:val="both"/>
        <w:ind w:left="180" w:firstLine="1467"/>
        <w:spacing w:after="0" w:line="243" w:lineRule="auto"/>
        <w:tabs>
          <w:tab w:leader="none" w:pos="202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withholding taxes arising in connection with the PSUs, in the event Participant fails to provide timely payment of all sums required pursuant to Section 2.5(a), the Company shall have the right and option, but not the obligation, to treat such failure as an election by Participant to satisfy all or any portion of Participant’s required payment obligation pursuant to Section 2.5(a)(ii) or Section 2.5(a)(iii) above, or any combination of the foregoing as the Company may determine to be appropriate. The Company shall not be obligated to deliver any certificate representing Shares issuable with respect to the PSUs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PSUs or any other taxable event related to the PSUs.</w:t>
      </w:r>
    </w:p>
    <w:p>
      <w:pPr>
        <w:spacing w:after="0" w:line="200" w:lineRule="exact"/>
        <w:rPr>
          <w:rFonts w:ascii="Times New Roman" w:cs="Times New Roman" w:eastAsia="Times New Roman" w:hAnsi="Times New Roman"/>
          <w:sz w:val="20"/>
          <w:szCs w:val="20"/>
          <w:color w:val="auto"/>
        </w:rPr>
      </w:pPr>
    </w:p>
    <w:p>
      <w:pPr>
        <w:jc w:val="both"/>
        <w:ind w:left="180" w:firstLine="1467"/>
        <w:spacing w:after="0" w:line="242" w:lineRule="auto"/>
        <w:tabs>
          <w:tab w:leader="none" w:pos="202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any tax withholding obligation arising in connection with the PSUs will be satisfied under Section 2.5(a)(iii), then the Company may elect to instruct any brokerage firm determined acceptable to the Company for such purpose to sell on Participant’s behalf a whole number of shares from those Shares then issuable to Participant pursuant to the PSUs as the Company determines to be appropriate to generate cash proceeds sufficient to satisfy the tax withholding obligation and to remit the proceeds of such sale to the Company or the Subsidiary with respect to which the withholding obligation arises. Participant’s acceptance of this Award constitutes Participant’s instruction and authorization to the Company and such brokerage firm to complete the transactions described in this Section 2.5(c), including the transactions described in the previous sentence, as applicable. The Company may refuse to issue any Shares in settlement of the PSUs to Participant until the foregoing tax withholding obligations are satisfied,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payment shall be delayed under this Section 2.5(c) if such delay will result in a violation of Section 409A of the Code.</w:t>
      </w:r>
    </w:p>
    <w:p>
      <w:pPr>
        <w:spacing w:after="0" w:line="205" w:lineRule="exact"/>
        <w:rPr>
          <w:rFonts w:ascii="Times New Roman" w:cs="Times New Roman" w:eastAsia="Times New Roman" w:hAnsi="Times New Roman"/>
          <w:sz w:val="20"/>
          <w:szCs w:val="20"/>
          <w:color w:val="auto"/>
        </w:rPr>
      </w:pPr>
    </w:p>
    <w:p>
      <w:pPr>
        <w:jc w:val="both"/>
        <w:ind w:left="180" w:right="20" w:firstLine="1490"/>
        <w:spacing w:after="0" w:line="246" w:lineRule="auto"/>
        <w:tabs>
          <w:tab w:leader="none" w:pos="2046"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ultimately liable and responsible for all taxes owed in connection with the PSUs, regardless of any action the Company or any Subsidiary takes with respect to any tax withholding obligations that arise in connection with the PSUs. Neither the Company nor any Subsidiary makes any representation or undertaking regarding the treatment of any tax withholding in connection with the awarding, vesting or payment of the PSUs or the subsequent sale of Shares. The Company and the Subsidiaries do not commit and are under no obligation to structure the PSUs to reduce or eliminate Participant’s tax liability.</w:t>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7</w:t>
      </w:r>
    </w:p>
    <w:p>
      <w:pPr>
        <w:spacing w:after="0" w:line="7" w:lineRule="exact"/>
        <w:rPr>
          <w:sz w:val="20"/>
          <w:szCs w:val="20"/>
          <w:color w:val="auto"/>
        </w:rPr>
      </w:pPr>
    </w:p>
    <w:p>
      <w:pPr>
        <w:spacing w:after="0"/>
        <w:rPr>
          <w:sz w:val="20"/>
          <w:szCs w:val="20"/>
          <w:color w:val="auto"/>
        </w:rPr>
      </w:pPr>
      <w:r>
        <w:rPr>
          <w:rFonts w:ascii="Calibri" w:cs="Calibri" w:eastAsia="Calibri" w:hAnsi="Calibri"/>
          <w:sz w:val="14"/>
          <w:szCs w:val="14"/>
          <w:color w:val="auto"/>
        </w:rPr>
        <w:t>|US-DOCS\138634373.2||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30" w:right="499" w:bottom="1440" w:gutter="0" w:footer="0" w:header="0"/>
        </w:sectPr>
      </w:pPr>
    </w:p>
    <w:bookmarkStart w:id="111" w:name="page112"/>
    <w:bookmarkEnd w:id="111"/>
    <w:p>
      <w:pPr>
        <w:jc w:val="both"/>
        <w:ind w:left="180"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2.6 Rights as Stockholder</w:t>
      </w:r>
      <w:r>
        <w:rPr>
          <w:rFonts w:ascii="Times New Roman" w:cs="Times New Roman" w:eastAsia="Times New Roman" w:hAnsi="Times New Roman"/>
          <w:sz w:val="20"/>
          <w:szCs w:val="20"/>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20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OTHER PROVISIONS</w:t>
      </w:r>
    </w:p>
    <w:p>
      <w:pPr>
        <w:jc w:val="both"/>
        <w:ind w:left="180" w:firstLine="749"/>
        <w:spacing w:after="0"/>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Administrator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203" w:lineRule="exact"/>
        <w:rPr>
          <w:sz w:val="20"/>
          <w:szCs w:val="20"/>
          <w:color w:val="auto"/>
        </w:rPr>
      </w:pPr>
    </w:p>
    <w:p>
      <w:pPr>
        <w:jc w:val="both"/>
        <w:ind w:left="180" w:firstLine="749"/>
        <w:spacing w:after="0" w:line="244"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PSUs Not Transferable</w:t>
      </w:r>
      <w:r>
        <w:rPr>
          <w:rFonts w:ascii="Times New Roman" w:cs="Times New Roman" w:eastAsia="Times New Roman" w:hAnsi="Times New Roman"/>
          <w:sz w:val="20"/>
          <w:szCs w:val="20"/>
          <w:color w:val="auto"/>
        </w:rPr>
        <w:t>. The PSUs may not be sold, pledged, assigned or transferred in any manner other than by will or the laws of descent and distribution, unless and until the Shares underlying the PSUs have been issued, and all restrictions applicable to such Shares have lapsed. No PSUs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211" w:lineRule="exact"/>
        <w:rPr>
          <w:sz w:val="20"/>
          <w:szCs w:val="20"/>
          <w:color w:val="auto"/>
        </w:rPr>
      </w:pPr>
    </w:p>
    <w:p>
      <w:pPr>
        <w:jc w:val="both"/>
        <w:ind w:left="180" w:right="20" w:firstLine="749"/>
        <w:spacing w:after="0" w:line="268"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Participant acknowledges that the PSUs and the Shares subject to the PSUs are subject to adjustment, modification and termination in certain events as provided in this Agreement and Section 12.2 of the Plan.</w:t>
      </w:r>
    </w:p>
    <w:p>
      <w:pPr>
        <w:spacing w:after="0" w:line="174" w:lineRule="exact"/>
        <w:rPr>
          <w:sz w:val="20"/>
          <w:szCs w:val="20"/>
          <w:color w:val="auto"/>
        </w:rPr>
      </w:pPr>
    </w:p>
    <w:p>
      <w:pPr>
        <w:jc w:val="both"/>
        <w:ind w:left="180" w:firstLine="749"/>
        <w:spacing w:after="0" w:line="245"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96" w:lineRule="exact"/>
        <w:rPr>
          <w:sz w:val="20"/>
          <w:szCs w:val="20"/>
          <w:color w:val="auto"/>
        </w:rPr>
      </w:pPr>
    </w:p>
    <w:p>
      <w:pPr>
        <w:jc w:val="both"/>
        <w:ind w:left="180" w:firstLine="749"/>
        <w:spacing w:after="0" w:line="268"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241" w:lineRule="exact"/>
        <w:rPr>
          <w:sz w:val="20"/>
          <w:szCs w:val="20"/>
          <w:color w:val="auto"/>
        </w:rPr>
      </w:pPr>
    </w:p>
    <w:p>
      <w:pPr>
        <w:jc w:val="both"/>
        <w:ind w:left="180" w:firstLine="749"/>
        <w:spacing w:after="0" w:line="268"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8</w:t>
      </w:r>
    </w:p>
    <w:p>
      <w:pPr>
        <w:spacing w:after="0" w:line="7" w:lineRule="exact"/>
        <w:rPr>
          <w:sz w:val="20"/>
          <w:szCs w:val="20"/>
          <w:color w:val="auto"/>
        </w:rPr>
      </w:pPr>
    </w:p>
    <w:p>
      <w:pPr>
        <w:spacing w:after="0"/>
        <w:rPr>
          <w:sz w:val="20"/>
          <w:szCs w:val="20"/>
          <w:color w:val="auto"/>
        </w:rPr>
      </w:pPr>
      <w:r>
        <w:rPr>
          <w:rFonts w:ascii="Calibri" w:cs="Calibri" w:eastAsia="Calibri" w:hAnsi="Calibri"/>
          <w:sz w:val="14"/>
          <w:szCs w:val="14"/>
          <w:color w:val="auto"/>
        </w:rPr>
        <w:t>|US-DOCS\138634373.2||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30" w:right="519" w:bottom="1440" w:gutter="0" w:footer="0" w:header="0"/>
        </w:sectPr>
      </w:pPr>
    </w:p>
    <w:bookmarkStart w:id="112" w:name="page113"/>
    <w:bookmarkEnd w:id="112"/>
    <w:p>
      <w:pPr>
        <w:jc w:val="both"/>
        <w:ind w:left="180" w:firstLine="738"/>
        <w:spacing w:after="0" w:line="245" w:lineRule="auto"/>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PSUs are granted, only in such a manner as to conform to Applicable Law. To the extent permitted by Applicable Law, the Plan and this Agreement shall be deemed amended to the extent necessary to conform to Applicable Law.</w:t>
      </w:r>
    </w:p>
    <w:p>
      <w:pPr>
        <w:spacing w:after="0" w:line="209" w:lineRule="exact"/>
        <w:rPr>
          <w:sz w:val="20"/>
          <w:szCs w:val="20"/>
          <w:color w:val="auto"/>
        </w:rPr>
      </w:pPr>
    </w:p>
    <w:p>
      <w:pPr>
        <w:jc w:val="both"/>
        <w:ind w:left="180" w:right="20" w:firstLine="749"/>
        <w:spacing w:after="0" w:line="249" w:lineRule="auto"/>
        <w:rPr>
          <w:sz w:val="20"/>
          <w:szCs w:val="20"/>
          <w:color w:val="auto"/>
        </w:rPr>
      </w:pPr>
      <w:r>
        <w:rPr>
          <w:rFonts w:ascii="Times New Roman" w:cs="Times New Roman" w:eastAsia="Times New Roman" w:hAnsi="Times New Roman"/>
          <w:sz w:val="20"/>
          <w:szCs w:val="20"/>
          <w:color w:val="auto"/>
        </w:rPr>
        <w:t xml:space="preserve">3.8 </w:t>
      </w:r>
      <w:r>
        <w:rPr>
          <w:rFonts w:ascii="Times New Roman" w:cs="Times New Roman" w:eastAsia="Times New Roman" w:hAnsi="Times New Roman"/>
          <w:sz w:val="20"/>
          <w:szCs w:val="20"/>
          <w:u w:val="single" w:color="auto"/>
          <w:color w:val="auto"/>
        </w:rPr>
        <w:t>Amendment, Suspension and Termination</w:t>
      </w:r>
      <w:r>
        <w:rPr>
          <w:rFonts w:ascii="Times New Roman" w:cs="Times New Roman" w:eastAsia="Times New Roman" w:hAnsi="Times New Roman"/>
          <w:sz w:val="20"/>
          <w:szCs w:val="20"/>
          <w:color w:val="auto"/>
        </w:rPr>
        <w:t>. To the extent permitted by the Plan, this Agreement may be wholly or partially amended or otherwise modified, suspended or terminated at any time or from time to time by the Administrator or the Board</w:t>
      </w:r>
      <w:r>
        <w:rPr>
          <w:rFonts w:ascii="Times New Roman" w:cs="Times New Roman" w:eastAsia="Times New Roman" w:hAnsi="Times New Roman"/>
          <w:sz w:val="20"/>
          <w:szCs w:val="20"/>
          <w:i w:val="1"/>
          <w:iCs w:val="1"/>
          <w:color w:val="auto"/>
        </w:rPr>
        <w:t>, provided</w:t>
      </w:r>
      <w:r>
        <w:rPr>
          <w:rFonts w:ascii="Times New Roman" w:cs="Times New Roman" w:eastAsia="Times New Roman" w:hAnsi="Times New Roman"/>
          <w:sz w:val="20"/>
          <w:szCs w:val="20"/>
          <w:color w:val="auto"/>
        </w:rPr>
        <w:t xml:space="preserve"> that, except as may otherwise be provided by the Plan, no amendment, modification, suspension or termination of this Agreement shall adversely affect the PSUs in any material way without the prior written consent of Participant.</w:t>
      </w:r>
    </w:p>
    <w:p>
      <w:pPr>
        <w:spacing w:after="0" w:line="192" w:lineRule="exact"/>
        <w:rPr>
          <w:sz w:val="20"/>
          <w:szCs w:val="20"/>
          <w:color w:val="auto"/>
        </w:rPr>
      </w:pPr>
    </w:p>
    <w:p>
      <w:pPr>
        <w:jc w:val="both"/>
        <w:ind w:left="180" w:right="20" w:firstLine="749"/>
        <w:spacing w:after="0" w:line="249" w:lineRule="auto"/>
        <w:rPr>
          <w:sz w:val="20"/>
          <w:szCs w:val="20"/>
          <w:color w:val="auto"/>
        </w:rPr>
      </w:pPr>
      <w:r>
        <w:rPr>
          <w:rFonts w:ascii="Times New Roman" w:cs="Times New Roman" w:eastAsia="Times New Roman" w:hAnsi="Times New Roman"/>
          <w:sz w:val="20"/>
          <w:szCs w:val="20"/>
          <w:color w:val="auto"/>
        </w:rPr>
        <w:t xml:space="preserve">3.9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shall inure to the benefit of the successors and assigns of the Company. Subject to the restrictions on transfer set forth in Section 3.2 and the Plan, this Agreement shall be binding upon and inure to the benefit of the heirs, legatees, legal representatives, successors and assigns of the parties hereto.</w:t>
      </w:r>
    </w:p>
    <w:p>
      <w:pPr>
        <w:spacing w:after="0" w:line="205" w:lineRule="exact"/>
        <w:rPr>
          <w:sz w:val="20"/>
          <w:szCs w:val="20"/>
          <w:color w:val="auto"/>
        </w:rPr>
      </w:pPr>
    </w:p>
    <w:p>
      <w:pPr>
        <w:jc w:val="both"/>
        <w:ind w:left="180" w:right="20" w:firstLine="749"/>
        <w:spacing w:after="0" w:line="245" w:lineRule="auto"/>
        <w:rPr>
          <w:sz w:val="20"/>
          <w:szCs w:val="20"/>
          <w:color w:val="auto"/>
        </w:rPr>
      </w:pPr>
      <w:r>
        <w:rPr>
          <w:rFonts w:ascii="Times New Roman" w:cs="Times New Roman" w:eastAsia="Times New Roman" w:hAnsi="Times New Roman"/>
          <w:sz w:val="20"/>
          <w:szCs w:val="20"/>
          <w:color w:val="auto"/>
        </w:rPr>
        <w:t xml:space="preserve">3.10 </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or this Agreement, if Participant is subject to Section 16 of the Exchange Act, the Plan, the PSUs, the Dividend Equivalents,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209" w:lineRule="exact"/>
        <w:rPr>
          <w:sz w:val="20"/>
          <w:szCs w:val="20"/>
          <w:color w:val="auto"/>
        </w:rPr>
      </w:pPr>
    </w:p>
    <w:p>
      <w:pPr>
        <w:jc w:val="both"/>
        <w:ind w:left="180" w:right="20" w:firstLine="749"/>
        <w:spacing w:after="0" w:line="246" w:lineRule="auto"/>
        <w:rPr>
          <w:sz w:val="20"/>
          <w:szCs w:val="20"/>
          <w:color w:val="auto"/>
        </w:rPr>
      </w:pPr>
      <w:r>
        <w:rPr>
          <w:rFonts w:ascii="Times New Roman" w:cs="Times New Roman" w:eastAsia="Times New Roman" w:hAnsi="Times New Roman"/>
          <w:sz w:val="20"/>
          <w:szCs w:val="20"/>
          <w:color w:val="auto"/>
        </w:rPr>
        <w:t xml:space="preserve">3.11 </w:t>
      </w:r>
      <w:r>
        <w:rPr>
          <w:rFonts w:ascii="Times New Roman" w:cs="Times New Roman" w:eastAsia="Times New Roman" w:hAnsi="Times New Roman"/>
          <w:sz w:val="20"/>
          <w:szCs w:val="20"/>
          <w:u w:val="single" w:color="auto"/>
          <w:color w:val="auto"/>
        </w:rPr>
        <w:t>Not a Contract of Employment</w:t>
      </w:r>
      <w:r>
        <w:rPr>
          <w:rFonts w:ascii="Times New Roman" w:cs="Times New Roman" w:eastAsia="Times New Roman" w:hAnsi="Times New Roman"/>
          <w:sz w:val="20"/>
          <w:szCs w:val="20"/>
          <w:color w:val="auto"/>
        </w:rPr>
        <w:t>. Nothing in this Agreement or in the Plan shall confer upon Participant any right to continue to serve as an employee or other service provider of the Company or any Subsidiary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97" w:lineRule="exact"/>
        <w:rPr>
          <w:sz w:val="20"/>
          <w:szCs w:val="20"/>
          <w:color w:val="auto"/>
        </w:rPr>
      </w:pPr>
    </w:p>
    <w:p>
      <w:pPr>
        <w:jc w:val="both"/>
        <w:ind w:left="180" w:right="20" w:firstLine="749"/>
        <w:spacing w:after="0" w:line="253" w:lineRule="auto"/>
        <w:rPr>
          <w:sz w:val="20"/>
          <w:szCs w:val="20"/>
          <w:color w:val="auto"/>
        </w:rPr>
      </w:pPr>
      <w:r>
        <w:rPr>
          <w:rFonts w:ascii="Times New Roman" w:cs="Times New Roman" w:eastAsia="Times New Roman" w:hAnsi="Times New Roman"/>
          <w:sz w:val="20"/>
          <w:szCs w:val="20"/>
          <w:color w:val="auto"/>
        </w:rPr>
        <w:t xml:space="preserve">3.12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271" w:lineRule="exact"/>
        <w:rPr>
          <w:sz w:val="20"/>
          <w:szCs w:val="20"/>
          <w:color w:val="auto"/>
        </w:rPr>
      </w:pPr>
    </w:p>
    <w:p>
      <w:pPr>
        <w:jc w:val="both"/>
        <w:ind w:left="180" w:right="20" w:firstLine="749"/>
        <w:spacing w:after="0" w:line="242" w:lineRule="auto"/>
        <w:rPr>
          <w:sz w:val="20"/>
          <w:szCs w:val="20"/>
          <w:color w:val="auto"/>
        </w:rPr>
      </w:pPr>
      <w:r>
        <w:rPr>
          <w:rFonts w:ascii="Times New Roman" w:cs="Times New Roman" w:eastAsia="Times New Roman" w:hAnsi="Times New Roman"/>
          <w:sz w:val="20"/>
          <w:szCs w:val="20"/>
          <w:color w:val="auto"/>
        </w:rPr>
        <w:t xml:space="preserve">3.13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9</w:t>
      </w:r>
    </w:p>
    <w:p>
      <w:pPr>
        <w:spacing w:after="0" w:line="7" w:lineRule="exact"/>
        <w:rPr>
          <w:sz w:val="20"/>
          <w:szCs w:val="20"/>
          <w:color w:val="auto"/>
        </w:rPr>
      </w:pPr>
    </w:p>
    <w:p>
      <w:pPr>
        <w:spacing w:after="0"/>
        <w:rPr>
          <w:sz w:val="20"/>
          <w:szCs w:val="20"/>
          <w:color w:val="auto"/>
        </w:rPr>
      </w:pPr>
      <w:r>
        <w:rPr>
          <w:rFonts w:ascii="Calibri" w:cs="Calibri" w:eastAsia="Calibri" w:hAnsi="Calibri"/>
          <w:sz w:val="14"/>
          <w:szCs w:val="14"/>
          <w:color w:val="auto"/>
        </w:rPr>
        <w:t>|US-DOCS\138634373.2||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30" w:right="499" w:bottom="1440" w:gutter="0" w:footer="0" w:header="0"/>
        </w:sectPr>
      </w:pPr>
    </w:p>
    <w:bookmarkStart w:id="113" w:name="page114"/>
    <w:bookmarkEnd w:id="113"/>
    <w:p>
      <w:pPr>
        <w:ind w:left="180"/>
        <w:spacing w:after="0"/>
        <w:rPr>
          <w:sz w:val="20"/>
          <w:szCs w:val="20"/>
          <w:color w:val="auto"/>
        </w:rPr>
      </w:pPr>
      <w:r>
        <w:rPr>
          <w:rFonts w:ascii="Times New Roman" w:cs="Times New Roman" w:eastAsia="Times New Roman" w:hAnsi="Times New Roman"/>
          <w:sz w:val="20"/>
          <w:szCs w:val="20"/>
          <w:color w:val="auto"/>
        </w:rPr>
        <w:t>requirements of Section 409A.</w:t>
      </w:r>
    </w:p>
    <w:p>
      <w:pPr>
        <w:spacing w:after="0" w:line="242" w:lineRule="exact"/>
        <w:rPr>
          <w:sz w:val="20"/>
          <w:szCs w:val="20"/>
          <w:color w:val="auto"/>
        </w:rPr>
      </w:pPr>
    </w:p>
    <w:p>
      <w:pPr>
        <w:jc w:val="both"/>
        <w:ind w:left="180" w:right="20" w:firstLine="749"/>
        <w:spacing w:after="0" w:line="253" w:lineRule="auto"/>
        <w:rPr>
          <w:sz w:val="20"/>
          <w:szCs w:val="20"/>
          <w:color w:val="auto"/>
        </w:rPr>
      </w:pPr>
      <w:r>
        <w:rPr>
          <w:rFonts w:ascii="Times New Roman" w:cs="Times New Roman" w:eastAsia="Times New Roman" w:hAnsi="Times New Roman"/>
          <w:sz w:val="20"/>
          <w:szCs w:val="20"/>
          <w:color w:val="auto"/>
        </w:rPr>
        <w:t xml:space="preserve">3.14 </w:t>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90" w:lineRule="exact"/>
        <w:rPr>
          <w:sz w:val="20"/>
          <w:szCs w:val="20"/>
          <w:color w:val="auto"/>
        </w:rPr>
      </w:pPr>
    </w:p>
    <w:p>
      <w:pPr>
        <w:jc w:val="both"/>
        <w:ind w:left="180" w:right="20" w:firstLine="749"/>
        <w:spacing w:after="0" w:line="246" w:lineRule="auto"/>
        <w:rPr>
          <w:sz w:val="20"/>
          <w:szCs w:val="20"/>
          <w:color w:val="auto"/>
        </w:rPr>
      </w:pPr>
      <w:r>
        <w:rPr>
          <w:rFonts w:ascii="Times New Roman" w:cs="Times New Roman" w:eastAsia="Times New Roman" w:hAnsi="Times New Roman"/>
          <w:sz w:val="20"/>
          <w:szCs w:val="20"/>
          <w:color w:val="auto"/>
        </w:rPr>
        <w:t xml:space="preserve">3.15 </w:t>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PSUs and Dividend Equivalents.</w:t>
      </w:r>
    </w:p>
    <w:p>
      <w:pPr>
        <w:spacing w:after="0" w:line="210" w:lineRule="exact"/>
        <w:rPr>
          <w:sz w:val="20"/>
          <w:szCs w:val="20"/>
          <w:color w:val="auto"/>
        </w:rPr>
      </w:pPr>
    </w:p>
    <w:p>
      <w:pPr>
        <w:jc w:val="both"/>
        <w:ind w:left="180" w:firstLine="738"/>
        <w:spacing w:after="0" w:line="295" w:lineRule="auto"/>
        <w:rPr>
          <w:sz w:val="20"/>
          <w:szCs w:val="20"/>
          <w:color w:val="auto"/>
        </w:rPr>
      </w:pPr>
      <w:r>
        <w:rPr>
          <w:rFonts w:ascii="Times New Roman" w:cs="Times New Roman" w:eastAsia="Times New Roman" w:hAnsi="Times New Roman"/>
          <w:sz w:val="19"/>
          <w:szCs w:val="19"/>
          <w:color w:val="auto"/>
        </w:rPr>
        <w:t xml:space="preserve">3.16 </w:t>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51" w:lineRule="exact"/>
        <w:rPr>
          <w:sz w:val="20"/>
          <w:szCs w:val="20"/>
          <w:color w:val="auto"/>
        </w:rPr>
      </w:pPr>
    </w:p>
    <w:p>
      <w:pPr>
        <w:jc w:val="both"/>
        <w:ind w:left="180" w:right="20" w:firstLine="749"/>
        <w:spacing w:after="0" w:line="241" w:lineRule="auto"/>
        <w:rPr>
          <w:sz w:val="20"/>
          <w:szCs w:val="20"/>
          <w:color w:val="auto"/>
        </w:rPr>
      </w:pPr>
      <w:r>
        <w:rPr>
          <w:rFonts w:ascii="Times New Roman" w:cs="Times New Roman" w:eastAsia="Times New Roman" w:hAnsi="Times New Roman"/>
          <w:sz w:val="20"/>
          <w:szCs w:val="20"/>
          <w:color w:val="auto"/>
        </w:rPr>
        <w:t xml:space="preserve">3.17 </w:t>
      </w:r>
      <w:r>
        <w:rPr>
          <w:rFonts w:ascii="Times New Roman" w:cs="Times New Roman" w:eastAsia="Times New Roman" w:hAnsi="Times New Roman"/>
          <w:sz w:val="20"/>
          <w:szCs w:val="20"/>
          <w:u w:val="single" w:color="auto"/>
          <w:color w:val="auto"/>
        </w:rPr>
        <w:t>Broker-Assisted Sales</w:t>
      </w:r>
      <w:r>
        <w:rPr>
          <w:rFonts w:ascii="Times New Roman" w:cs="Times New Roman" w:eastAsia="Times New Roman" w:hAnsi="Times New Roman"/>
          <w:sz w:val="20"/>
          <w:szCs w:val="20"/>
          <w:color w:val="auto"/>
        </w:rPr>
        <w:t>. In the event of any broker-assisted sale of Shares in connection with the payment of withholding taxes as provided in Section 2.5(a)(iii) or Section 2.5(a)(v): (A) any Shares to be sold through a broker-assisted sale will be sold on the day the tax withholding obligation arises or as soon thereafter as practicable; (B) such Shares may be sold as part of a block trade with other participants in the 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Subsidiary with respect to which the withholding obligation arises an amount in cash sufficient to satisfy any remaining portion of the Company’s or the applicable Subsidiary’s withholding obligation.</w:t>
      </w:r>
    </w:p>
    <w:p>
      <w:pPr>
        <w:spacing w:after="0" w:line="209" w:lineRule="exact"/>
        <w:rPr>
          <w:sz w:val="20"/>
          <w:szCs w:val="20"/>
          <w:color w:val="auto"/>
        </w:rPr>
      </w:pPr>
    </w:p>
    <w:p>
      <w:pPr>
        <w:jc w:val="center"/>
        <w:ind w:right="-159"/>
        <w:spacing w:after="0"/>
        <w:tabs>
          <w:tab w:leader="none" w:pos="260" w:val="left"/>
          <w:tab w:leader="none" w:pos="280" w:val="left"/>
        </w:tabs>
        <w:rPr>
          <w:sz w:val="20"/>
          <w:szCs w:val="20"/>
          <w:color w:val="auto"/>
        </w:rPr>
      </w:pPr>
      <w:r>
        <w:rPr>
          <w:rFonts w:ascii="Times New Roman" w:cs="Times New Roman" w:eastAsia="Times New Roman" w:hAnsi="Times New Roman"/>
          <w:sz w:val="20"/>
          <w:szCs w:val="20"/>
          <w:color w:val="auto"/>
        </w:rPr>
        <w:t>*</w:t>
        <w:tab/>
        <w:t>*</w:t>
        <w:tab/>
        <w:t>*</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10</w:t>
      </w:r>
    </w:p>
    <w:p>
      <w:pPr>
        <w:spacing w:after="0" w:line="7" w:lineRule="exact"/>
        <w:rPr>
          <w:sz w:val="20"/>
          <w:szCs w:val="20"/>
          <w:color w:val="auto"/>
        </w:rPr>
      </w:pPr>
    </w:p>
    <w:p>
      <w:pPr>
        <w:spacing w:after="0"/>
        <w:rPr>
          <w:sz w:val="20"/>
          <w:szCs w:val="20"/>
          <w:color w:val="auto"/>
        </w:rPr>
      </w:pPr>
      <w:r>
        <w:rPr>
          <w:rFonts w:ascii="Calibri" w:cs="Calibri" w:eastAsia="Calibri" w:hAnsi="Calibri"/>
          <w:sz w:val="14"/>
          <w:szCs w:val="14"/>
          <w:color w:val="auto"/>
        </w:rPr>
        <w:t>|US-DOCS\138634373.2||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98" w:right="499" w:bottom="1440" w:gutter="0" w:footer="0" w:header="0"/>
        </w:sectPr>
      </w:pPr>
    </w:p>
    <w:bookmarkStart w:id="114" w:name="page115"/>
    <w:bookmarkEnd w:id="114"/>
    <w:p>
      <w:pPr>
        <w:spacing w:after="0" w:line="3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25"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9"/>
          <w:szCs w:val="19"/>
          <w:b w:val="1"/>
          <w:bCs w:val="1"/>
          <w:color w:val="auto"/>
        </w:rPr>
        <w:t>TO PERFORMANCE STOCK UNIT AGREEMENT PEER GROUP</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Altra Industrial Motion Corporation</w:t>
      </w:r>
    </w:p>
    <w:p>
      <w:pPr>
        <w:spacing w:after="0" w:line="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BorgWarner Inc.</w:t>
      </w:r>
    </w:p>
    <w:p>
      <w:pPr>
        <w:ind w:left="180"/>
        <w:spacing w:after="0"/>
        <w:rPr>
          <w:sz w:val="20"/>
          <w:szCs w:val="20"/>
          <w:color w:val="auto"/>
        </w:rPr>
      </w:pPr>
      <w:r>
        <w:rPr>
          <w:rFonts w:ascii="Times New Roman" w:cs="Times New Roman" w:eastAsia="Times New Roman" w:hAnsi="Times New Roman"/>
          <w:sz w:val="20"/>
          <w:szCs w:val="20"/>
          <w:color w:val="auto"/>
        </w:rPr>
        <w:t>Crane Co.</w:t>
      </w:r>
    </w:p>
    <w:p>
      <w:pPr>
        <w:ind w:left="180"/>
        <w:spacing w:after="0"/>
        <w:rPr>
          <w:sz w:val="20"/>
          <w:szCs w:val="20"/>
          <w:color w:val="auto"/>
        </w:rPr>
      </w:pPr>
      <w:r>
        <w:rPr>
          <w:rFonts w:ascii="Times New Roman" w:cs="Times New Roman" w:eastAsia="Times New Roman" w:hAnsi="Times New Roman"/>
          <w:sz w:val="20"/>
          <w:szCs w:val="20"/>
          <w:color w:val="auto"/>
        </w:rPr>
        <w:t>Cummins Inc.</w:t>
      </w:r>
    </w:p>
    <w:p>
      <w:pPr>
        <w:ind w:left="180"/>
        <w:spacing w:after="0"/>
        <w:rPr>
          <w:sz w:val="20"/>
          <w:szCs w:val="20"/>
          <w:color w:val="auto"/>
        </w:rPr>
      </w:pPr>
      <w:r>
        <w:rPr>
          <w:rFonts w:ascii="Times New Roman" w:cs="Times New Roman" w:eastAsia="Times New Roman" w:hAnsi="Times New Roman"/>
          <w:sz w:val="20"/>
          <w:szCs w:val="20"/>
          <w:color w:val="auto"/>
        </w:rPr>
        <w:t>Curtiss-Wright Corporation</w:t>
      </w:r>
    </w:p>
    <w:p>
      <w:pPr>
        <w:ind w:left="180"/>
        <w:spacing w:after="0"/>
        <w:rPr>
          <w:sz w:val="20"/>
          <w:szCs w:val="20"/>
          <w:color w:val="auto"/>
        </w:rPr>
      </w:pPr>
      <w:r>
        <w:rPr>
          <w:rFonts w:ascii="Times New Roman" w:cs="Times New Roman" w:eastAsia="Times New Roman" w:hAnsi="Times New Roman"/>
          <w:sz w:val="20"/>
          <w:szCs w:val="20"/>
          <w:color w:val="auto"/>
        </w:rPr>
        <w:t>Donaldson Company, Inc.</w:t>
      </w:r>
    </w:p>
    <w:p>
      <w:pPr>
        <w:ind w:left="180"/>
        <w:spacing w:after="0"/>
        <w:rPr>
          <w:sz w:val="20"/>
          <w:szCs w:val="20"/>
          <w:color w:val="auto"/>
        </w:rPr>
      </w:pPr>
      <w:r>
        <w:rPr>
          <w:rFonts w:ascii="Times New Roman" w:cs="Times New Roman" w:eastAsia="Times New Roman" w:hAnsi="Times New Roman"/>
          <w:sz w:val="20"/>
          <w:szCs w:val="20"/>
          <w:color w:val="auto"/>
        </w:rPr>
        <w:t>Eaton Corporation plc</w:t>
      </w:r>
    </w:p>
    <w:p>
      <w:pPr>
        <w:ind w:left="180"/>
        <w:spacing w:after="0"/>
        <w:rPr>
          <w:sz w:val="20"/>
          <w:szCs w:val="20"/>
          <w:color w:val="auto"/>
        </w:rPr>
      </w:pPr>
      <w:r>
        <w:rPr>
          <w:rFonts w:ascii="Times New Roman" w:cs="Times New Roman" w:eastAsia="Times New Roman" w:hAnsi="Times New Roman"/>
          <w:sz w:val="20"/>
          <w:szCs w:val="20"/>
          <w:color w:val="auto"/>
        </w:rPr>
        <w:t>Flowserve Corporation</w:t>
      </w:r>
    </w:p>
    <w:p>
      <w:pPr>
        <w:ind w:left="180"/>
        <w:spacing w:after="0"/>
        <w:rPr>
          <w:sz w:val="20"/>
          <w:szCs w:val="20"/>
          <w:color w:val="auto"/>
        </w:rPr>
      </w:pPr>
      <w:r>
        <w:rPr>
          <w:rFonts w:ascii="Times New Roman" w:cs="Times New Roman" w:eastAsia="Times New Roman" w:hAnsi="Times New Roman"/>
          <w:sz w:val="20"/>
          <w:szCs w:val="20"/>
          <w:color w:val="auto"/>
        </w:rPr>
        <w:t>Gates Industrial Corporation plc Gentex Corporation</w:t>
      </w:r>
    </w:p>
    <w:p>
      <w:pPr>
        <w:ind w:left="180"/>
        <w:spacing w:after="0"/>
        <w:rPr>
          <w:sz w:val="20"/>
          <w:szCs w:val="20"/>
          <w:color w:val="auto"/>
        </w:rPr>
      </w:pPr>
      <w:r>
        <w:rPr>
          <w:rFonts w:ascii="Times New Roman" w:cs="Times New Roman" w:eastAsia="Times New Roman" w:hAnsi="Times New Roman"/>
          <w:sz w:val="20"/>
          <w:szCs w:val="20"/>
          <w:color w:val="auto"/>
        </w:rPr>
        <w:t>Graco Inc.</w:t>
      </w:r>
    </w:p>
    <w:p>
      <w:pPr>
        <w:ind w:left="180"/>
        <w:spacing w:after="0"/>
        <w:rPr>
          <w:sz w:val="20"/>
          <w:szCs w:val="20"/>
          <w:color w:val="auto"/>
        </w:rPr>
      </w:pPr>
      <w:r>
        <w:rPr>
          <w:rFonts w:ascii="Times New Roman" w:cs="Times New Roman" w:eastAsia="Times New Roman" w:hAnsi="Times New Roman"/>
          <w:sz w:val="20"/>
          <w:szCs w:val="20"/>
          <w:color w:val="auto"/>
        </w:rPr>
        <w:t>HEICO Corporation</w:t>
      </w:r>
    </w:p>
    <w:p>
      <w:pPr>
        <w:ind w:left="180"/>
        <w:spacing w:after="0"/>
        <w:rPr>
          <w:sz w:val="20"/>
          <w:szCs w:val="20"/>
          <w:color w:val="auto"/>
        </w:rPr>
      </w:pPr>
      <w:r>
        <w:rPr>
          <w:rFonts w:ascii="Times New Roman" w:cs="Times New Roman" w:eastAsia="Times New Roman" w:hAnsi="Times New Roman"/>
          <w:sz w:val="20"/>
          <w:szCs w:val="20"/>
          <w:color w:val="auto"/>
        </w:rPr>
        <w:t>IDEX Corporation</w:t>
      </w:r>
    </w:p>
    <w:p>
      <w:pPr>
        <w:ind w:left="180"/>
        <w:spacing w:after="0"/>
        <w:rPr>
          <w:sz w:val="20"/>
          <w:szCs w:val="20"/>
          <w:color w:val="auto"/>
        </w:rPr>
      </w:pPr>
      <w:r>
        <w:rPr>
          <w:rFonts w:ascii="Times New Roman" w:cs="Times New Roman" w:eastAsia="Times New Roman" w:hAnsi="Times New Roman"/>
          <w:sz w:val="20"/>
          <w:szCs w:val="20"/>
          <w:color w:val="auto"/>
        </w:rPr>
        <w:t>ITT Inc.</w:t>
      </w:r>
    </w:p>
    <w:p>
      <w:pPr>
        <w:ind w:left="180"/>
        <w:spacing w:after="0"/>
        <w:rPr>
          <w:sz w:val="20"/>
          <w:szCs w:val="20"/>
          <w:color w:val="auto"/>
        </w:rPr>
      </w:pPr>
      <w:r>
        <w:rPr>
          <w:rFonts w:ascii="Times New Roman" w:cs="Times New Roman" w:eastAsia="Times New Roman" w:hAnsi="Times New Roman"/>
          <w:sz w:val="20"/>
          <w:szCs w:val="20"/>
          <w:color w:val="auto"/>
        </w:rPr>
        <w:t>Lincoln Electric Holdings, Inc.</w:t>
      </w:r>
    </w:p>
    <w:p>
      <w:pPr>
        <w:ind w:left="180"/>
        <w:spacing w:after="0"/>
        <w:rPr>
          <w:sz w:val="20"/>
          <w:szCs w:val="20"/>
          <w:color w:val="auto"/>
        </w:rPr>
      </w:pPr>
      <w:r>
        <w:rPr>
          <w:rFonts w:ascii="Times New Roman" w:cs="Times New Roman" w:eastAsia="Times New Roman" w:hAnsi="Times New Roman"/>
          <w:sz w:val="20"/>
          <w:szCs w:val="20"/>
          <w:color w:val="auto"/>
        </w:rPr>
        <w:t>Middleby Corporation</w:t>
      </w:r>
    </w:p>
    <w:p>
      <w:pPr>
        <w:ind w:left="180"/>
        <w:spacing w:after="0"/>
        <w:rPr>
          <w:sz w:val="20"/>
          <w:szCs w:val="20"/>
          <w:color w:val="auto"/>
        </w:rPr>
      </w:pPr>
      <w:r>
        <w:rPr>
          <w:rFonts w:ascii="Times New Roman" w:cs="Times New Roman" w:eastAsia="Times New Roman" w:hAnsi="Times New Roman"/>
          <w:sz w:val="20"/>
          <w:szCs w:val="20"/>
          <w:color w:val="auto"/>
        </w:rPr>
        <w:t>Nordson Corporation</w:t>
      </w:r>
    </w:p>
    <w:p>
      <w:pPr>
        <w:ind w:left="180"/>
        <w:spacing w:after="0"/>
        <w:rPr>
          <w:sz w:val="20"/>
          <w:szCs w:val="20"/>
          <w:color w:val="auto"/>
        </w:rPr>
      </w:pPr>
      <w:r>
        <w:rPr>
          <w:rFonts w:ascii="Times New Roman" w:cs="Times New Roman" w:eastAsia="Times New Roman" w:hAnsi="Times New Roman"/>
          <w:sz w:val="20"/>
          <w:szCs w:val="20"/>
          <w:color w:val="auto"/>
        </w:rPr>
        <w:t>Parker-Hannifin Corporation</w:t>
      </w:r>
    </w:p>
    <w:p>
      <w:pPr>
        <w:ind w:left="180"/>
        <w:spacing w:after="0"/>
        <w:rPr>
          <w:sz w:val="20"/>
          <w:szCs w:val="20"/>
          <w:color w:val="auto"/>
        </w:rPr>
      </w:pPr>
      <w:r>
        <w:rPr>
          <w:rFonts w:ascii="Times New Roman" w:cs="Times New Roman" w:eastAsia="Times New Roman" w:hAnsi="Times New Roman"/>
          <w:sz w:val="20"/>
          <w:szCs w:val="20"/>
          <w:color w:val="auto"/>
        </w:rPr>
        <w:t>Roper Technologies, Inc.</w:t>
      </w:r>
    </w:p>
    <w:p>
      <w:pPr>
        <w:ind w:left="180"/>
        <w:spacing w:after="0"/>
        <w:rPr>
          <w:sz w:val="20"/>
          <w:szCs w:val="20"/>
          <w:color w:val="auto"/>
        </w:rPr>
      </w:pPr>
      <w:r>
        <w:rPr>
          <w:rFonts w:ascii="Times New Roman" w:cs="Times New Roman" w:eastAsia="Times New Roman" w:hAnsi="Times New Roman"/>
          <w:sz w:val="20"/>
          <w:szCs w:val="20"/>
          <w:color w:val="auto"/>
        </w:rPr>
        <w:t>Sensata Technologies Holding N.V. TransDigm Group</w:t>
      </w:r>
    </w:p>
    <w:p>
      <w:pPr>
        <w:ind w:left="180"/>
        <w:spacing w:after="0"/>
        <w:rPr>
          <w:sz w:val="20"/>
          <w:szCs w:val="20"/>
          <w:color w:val="auto"/>
        </w:rPr>
      </w:pPr>
      <w:r>
        <w:rPr>
          <w:rFonts w:ascii="Times New Roman" w:cs="Times New Roman" w:eastAsia="Times New Roman" w:hAnsi="Times New Roman"/>
          <w:sz w:val="20"/>
          <w:szCs w:val="20"/>
          <w:color w:val="auto"/>
        </w:rPr>
        <w:t>Incorporated</w:t>
      </w:r>
    </w:p>
    <w:p>
      <w:pPr>
        <w:ind w:left="180"/>
        <w:spacing w:after="0"/>
        <w:rPr>
          <w:sz w:val="20"/>
          <w:szCs w:val="20"/>
          <w:color w:val="auto"/>
        </w:rPr>
      </w:pPr>
      <w:r>
        <w:rPr>
          <w:rFonts w:ascii="Times New Roman" w:cs="Times New Roman" w:eastAsia="Times New Roman" w:hAnsi="Times New Roman"/>
          <w:sz w:val="20"/>
          <w:szCs w:val="20"/>
          <w:color w:val="auto"/>
        </w:rPr>
        <w:t>Woodward, Inc.</w:t>
      </w:r>
    </w:p>
    <w:p>
      <w:pPr>
        <w:ind w:left="180"/>
        <w:spacing w:after="0"/>
        <w:rPr>
          <w:sz w:val="20"/>
          <w:szCs w:val="20"/>
          <w:color w:val="auto"/>
        </w:rPr>
      </w:pPr>
      <w:r>
        <w:rPr>
          <w:rFonts w:ascii="Times New Roman" w:cs="Times New Roman" w:eastAsia="Times New Roman" w:hAnsi="Times New Roman"/>
          <w:sz w:val="20"/>
          <w:szCs w:val="20"/>
          <w:color w:val="auto"/>
        </w:rPr>
        <w:t>Zurn Elkay Water Solutions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11</w:t>
      </w:r>
    </w:p>
    <w:p>
      <w:pPr>
        <w:spacing w:after="0" w:line="7" w:lineRule="exact"/>
        <w:rPr>
          <w:sz w:val="20"/>
          <w:szCs w:val="20"/>
          <w:color w:val="auto"/>
        </w:rPr>
      </w:pPr>
    </w:p>
    <w:p>
      <w:pPr>
        <w:spacing w:after="0"/>
        <w:rPr>
          <w:sz w:val="20"/>
          <w:szCs w:val="20"/>
          <w:color w:val="auto"/>
        </w:rPr>
      </w:pPr>
      <w:r>
        <w:rPr>
          <w:rFonts w:ascii="Calibri" w:cs="Calibri" w:eastAsia="Calibri" w:hAnsi="Calibri"/>
          <w:sz w:val="14"/>
          <w:szCs w:val="14"/>
          <w:color w:val="auto"/>
        </w:rPr>
        <w:t>|US-DOCS\138634373.2||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15" w:name="page116"/>
    <w:bookmarkEnd w:id="115"/>
    <w:p>
      <w:pPr>
        <w:ind w:left="10220"/>
        <w:spacing w:after="0"/>
        <w:rPr>
          <w:sz w:val="20"/>
          <w:szCs w:val="20"/>
          <w:color w:val="auto"/>
        </w:rPr>
      </w:pPr>
      <w:r>
        <w:rPr>
          <w:rFonts w:ascii="Times New Roman" w:cs="Times New Roman" w:eastAsia="Times New Roman" w:hAnsi="Times New Roman"/>
          <w:sz w:val="17"/>
          <w:szCs w:val="17"/>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ALLISON TRANSMISSION HOLDINGS, INC.</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Seventh Amended and Restated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Policy</w:t>
      </w:r>
    </w:p>
    <w:p>
      <w:pPr>
        <w:spacing w:after="0" w:line="208" w:lineRule="exact"/>
        <w:rPr>
          <w:sz w:val="20"/>
          <w:szCs w:val="20"/>
          <w:color w:val="auto"/>
        </w:rPr>
      </w:pPr>
    </w:p>
    <w:p>
      <w:pPr>
        <w:jc w:val="both"/>
        <w:ind w:firstLine="757"/>
        <w:spacing w:after="0" w:line="237" w:lineRule="auto"/>
        <w:tabs>
          <w:tab w:leader="none" w:pos="101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This Seventh Amended and Restated Non-Employee Director Compensation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as set forth herein, amends and restates that certain Third Amended and Restated Non-Employee Director Compensation Policy, previously adopted by the Compensation Committee of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Allison Transmission Holdings,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shall be effective as of May 3, 2023. Capitalized but undefined terms used herein shall have the meanings provided for in the Allison Transmission Holdings, Inc. 2015 Equity Incentive Award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firstLine="757"/>
        <w:spacing w:after="0" w:line="258" w:lineRule="auto"/>
        <w:tabs>
          <w:tab w:leader="none" w:pos="101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Retainer and Other Fees</w:t>
      </w:r>
      <w:r>
        <w:rPr>
          <w:rFonts w:ascii="Times New Roman" w:cs="Times New Roman" w:eastAsia="Times New Roman" w:hAnsi="Times New Roman"/>
          <w:sz w:val="22"/>
          <w:szCs w:val="22"/>
          <w:color w:val="auto"/>
        </w:rPr>
        <w:t>. Each member of the Board who is not employed by the Company or one of its subsidiaries (a “</w:t>
      </w:r>
      <w:r>
        <w:rPr>
          <w:rFonts w:ascii="Times New Roman" w:cs="Times New Roman" w:eastAsia="Times New Roman" w:hAnsi="Times New Roman"/>
          <w:sz w:val="22"/>
          <w:szCs w:val="22"/>
          <w:u w:val="single" w:color="auto"/>
          <w:color w:val="auto"/>
        </w:rPr>
        <w:t>Non-Employee Director</w:t>
      </w:r>
      <w:r>
        <w:rPr>
          <w:rFonts w:ascii="Times New Roman" w:cs="Times New Roman" w:eastAsia="Times New Roman" w:hAnsi="Times New Roman"/>
          <w:sz w:val="22"/>
          <w:szCs w:val="22"/>
          <w:color w:val="auto"/>
        </w:rPr>
        <w:t>”) shall be entitled to an annual retainer and other fee(s) as follows:</w:t>
      </w:r>
    </w:p>
    <w:p>
      <w:pPr>
        <w:spacing w:after="0" w:line="157" w:lineRule="exact"/>
        <w:rPr>
          <w:rFonts w:ascii="Times New Roman" w:cs="Times New Roman" w:eastAsia="Times New Roman" w:hAnsi="Times New Roman"/>
          <w:sz w:val="22"/>
          <w:szCs w:val="22"/>
          <w:color w:val="auto"/>
        </w:rPr>
      </w:pPr>
    </w:p>
    <w:p>
      <w:pPr>
        <w:jc w:val="both"/>
        <w:ind w:left="100" w:firstLine="1495"/>
        <w:spacing w:after="0" w:line="237" w:lineRule="auto"/>
        <w:tabs>
          <w:tab w:leader="none" w:pos="2047"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retainer fee for service on the Board shall be $85,000 (such amount shall also be referred to as, the “</w:t>
      </w:r>
      <w:r>
        <w:rPr>
          <w:rFonts w:ascii="Times New Roman" w:cs="Times New Roman" w:eastAsia="Times New Roman" w:hAnsi="Times New Roman"/>
          <w:sz w:val="22"/>
          <w:szCs w:val="22"/>
          <w:u w:val="single" w:color="auto"/>
          <w:color w:val="auto"/>
        </w:rPr>
        <w:t>Annual Retainer</w:t>
      </w:r>
      <w:r>
        <w:rPr>
          <w:rFonts w:ascii="Times New Roman" w:cs="Times New Roman" w:eastAsia="Times New Roman" w:hAnsi="Times New Roman"/>
          <w:sz w:val="22"/>
          <w:szCs w:val="22"/>
          <w:color w:val="auto"/>
        </w:rPr>
        <w:t xml:space="preserve">”), with the Annual Retainer payable at the Non-Employee Director’s election </w:t>
      </w:r>
      <w:r>
        <w:rPr>
          <w:rFonts w:ascii="Times New Roman" w:cs="Times New Roman" w:eastAsia="Times New Roman" w:hAnsi="Times New Roman"/>
          <w:sz w:val="22"/>
          <w:szCs w:val="22"/>
          <w:i w:val="1"/>
          <w:iCs w:val="1"/>
          <w:color w:val="auto"/>
        </w:rPr>
        <w:t>either</w:t>
      </w:r>
      <w:r>
        <w:rPr>
          <w:rFonts w:ascii="Times New Roman" w:cs="Times New Roman" w:eastAsia="Times New Roman" w:hAnsi="Times New Roman"/>
          <w:sz w:val="22"/>
          <w:szCs w:val="22"/>
          <w:color w:val="auto"/>
        </w:rPr>
        <w:t xml:space="preserve"> 100% in fully vested Common Stock granted under the Plan (valued based on the Fair Market Value of the Common Stock on the date of grant), 100% in cash, </w:t>
      </w:r>
      <w:r>
        <w:rPr>
          <w:rFonts w:ascii="Times New Roman" w:cs="Times New Roman" w:eastAsia="Times New Roman" w:hAnsi="Times New Roman"/>
          <w:sz w:val="22"/>
          <w:szCs w:val="22"/>
          <w:i w:val="1"/>
          <w:iCs w:val="1"/>
          <w:color w:val="auto"/>
        </w:rPr>
        <w:t>or</w:t>
      </w:r>
      <w:r>
        <w:rPr>
          <w:rFonts w:ascii="Times New Roman" w:cs="Times New Roman" w:eastAsia="Times New Roman" w:hAnsi="Times New Roman"/>
          <w:sz w:val="22"/>
          <w:szCs w:val="22"/>
          <w:color w:val="auto"/>
        </w:rPr>
        <w:t xml:space="preserve"> 50% in fully vested Common Stock granted under the Plan and 50% in cash (if no election is made, the Annual Retainer will be paid 100% in cash);</w:t>
      </w:r>
    </w:p>
    <w:p>
      <w:pPr>
        <w:spacing w:after="0" w:line="180" w:lineRule="exact"/>
        <w:rPr>
          <w:rFonts w:ascii="Times New Roman" w:cs="Times New Roman" w:eastAsia="Times New Roman" w:hAnsi="Times New Roman"/>
          <w:sz w:val="22"/>
          <w:szCs w:val="22"/>
          <w:color w:val="auto"/>
        </w:rPr>
      </w:pPr>
    </w:p>
    <w:p>
      <w:pPr>
        <w:ind w:left="100" w:firstLine="1495"/>
        <w:spacing w:after="0" w:line="258" w:lineRule="auto"/>
        <w:tabs>
          <w:tab w:leader="none" w:pos="2047"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retainer fee for service as Chair of the Audit Committee shall be an additional $22,000, payable in cash (the “</w:t>
      </w:r>
      <w:r>
        <w:rPr>
          <w:rFonts w:ascii="Times New Roman" w:cs="Times New Roman" w:eastAsia="Times New Roman" w:hAnsi="Times New Roman"/>
          <w:sz w:val="22"/>
          <w:szCs w:val="22"/>
          <w:u w:val="single" w:color="auto"/>
          <w:color w:val="auto"/>
        </w:rPr>
        <w:t>Audit Chair Fee</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2040" w:hanging="445"/>
        <w:spacing w:after="0"/>
        <w:tabs>
          <w:tab w:leader="none" w:pos="204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retainer fee for service as Chair of the Compensation Committee shall be an additional</w:t>
      </w: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$15,000, payable in cash (the “</w:t>
      </w:r>
      <w:r>
        <w:rPr>
          <w:rFonts w:ascii="Times New Roman" w:cs="Times New Roman" w:eastAsia="Times New Roman" w:hAnsi="Times New Roman"/>
          <w:sz w:val="22"/>
          <w:szCs w:val="22"/>
          <w:u w:val="single" w:color="auto"/>
          <w:color w:val="auto"/>
        </w:rPr>
        <w:t>Compensation Chair Fee</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100" w:firstLine="1495"/>
        <w:spacing w:after="0" w:line="258" w:lineRule="auto"/>
        <w:tabs>
          <w:tab w:leader="none" w:pos="2047"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retainer fee for service as a Chair of a committee of the Board (other than the Audit or the Compensation Committee) shall be an additional $11,500, payable in cash (the “</w:t>
      </w:r>
      <w:r>
        <w:rPr>
          <w:rFonts w:ascii="Times New Roman" w:cs="Times New Roman" w:eastAsia="Times New Roman" w:hAnsi="Times New Roman"/>
          <w:sz w:val="22"/>
          <w:szCs w:val="22"/>
          <w:u w:val="single" w:color="auto"/>
          <w:color w:val="auto"/>
        </w:rPr>
        <w:t>Other Chair Fee</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100" w:firstLine="1495"/>
        <w:spacing w:after="0" w:line="258" w:lineRule="auto"/>
        <w:tabs>
          <w:tab w:leader="none" w:pos="2047"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retainer fee for service as a Non-Employee Director on the Audit Committee shall be an additional $12,000, payable in cash (the “</w:t>
      </w:r>
      <w:r>
        <w:rPr>
          <w:rFonts w:ascii="Times New Roman" w:cs="Times New Roman" w:eastAsia="Times New Roman" w:hAnsi="Times New Roman"/>
          <w:sz w:val="22"/>
          <w:szCs w:val="22"/>
          <w:u w:val="single" w:color="auto"/>
          <w:color w:val="auto"/>
        </w:rPr>
        <w:t>Audit Committee Service Fee</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100" w:right="80" w:firstLine="1495"/>
        <w:spacing w:after="0" w:line="258" w:lineRule="auto"/>
        <w:tabs>
          <w:tab w:leader="none" w:pos="2047"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retainer fee for service as a Non-Employee Director on the Compensation Committee shall be an additional $7,500, payable in cash (the “</w:t>
      </w:r>
      <w:r>
        <w:rPr>
          <w:rFonts w:ascii="Times New Roman" w:cs="Times New Roman" w:eastAsia="Times New Roman" w:hAnsi="Times New Roman"/>
          <w:sz w:val="22"/>
          <w:szCs w:val="22"/>
          <w:u w:val="single" w:color="auto"/>
          <w:color w:val="auto"/>
        </w:rPr>
        <w:t>Compensation Committee Service Fee</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100" w:firstLine="1495"/>
        <w:spacing w:after="0" w:line="307" w:lineRule="auto"/>
        <w:tabs>
          <w:tab w:leader="none" w:pos="204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retainer fee for service as a Non-Employee Director on a committee of the Board other than the Audit or Compensation Committee shall be an additional $6,500, payable in cash (the “</w:t>
      </w:r>
      <w:r>
        <w:rPr>
          <w:rFonts w:ascii="Times New Roman" w:cs="Times New Roman" w:eastAsia="Times New Roman" w:hAnsi="Times New Roman"/>
          <w:sz w:val="20"/>
          <w:szCs w:val="20"/>
          <w:u w:val="single" w:color="auto"/>
          <w:color w:val="auto"/>
        </w:rPr>
        <w:t>Other Committee Service Fee</w:t>
      </w:r>
      <w:r>
        <w:rPr>
          <w:rFonts w:ascii="Times New Roman" w:cs="Times New Roman" w:eastAsia="Times New Roman" w:hAnsi="Times New Roman"/>
          <w:sz w:val="20"/>
          <w:szCs w:val="20"/>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16" w:name="page117"/>
    <w:bookmarkEnd w:id="116"/>
    <w:p>
      <w:pPr>
        <w:ind w:left="100" w:firstLine="1495"/>
        <w:spacing w:after="0" w:line="258" w:lineRule="auto"/>
        <w:tabs>
          <w:tab w:leader="none" w:pos="2047"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leadership fee for service as the Non-Executive Chairman of the Board shall be an additional $50,000, payable in cash (the “Non-Executive Chairman Fee”); and</w:t>
      </w:r>
    </w:p>
    <w:p>
      <w:pPr>
        <w:spacing w:after="0" w:line="157" w:lineRule="exact"/>
        <w:rPr>
          <w:rFonts w:ascii="Times New Roman" w:cs="Times New Roman" w:eastAsia="Times New Roman" w:hAnsi="Times New Roman"/>
          <w:sz w:val="22"/>
          <w:szCs w:val="22"/>
          <w:color w:val="auto"/>
        </w:rPr>
      </w:pPr>
    </w:p>
    <w:p>
      <w:pPr>
        <w:ind w:left="100" w:firstLine="1495"/>
        <w:spacing w:after="0" w:line="258" w:lineRule="auto"/>
        <w:tabs>
          <w:tab w:leader="none" w:pos="2047"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leadership fee for service as the Lead Director of the Board shall be an additional $25,000 (the “</w:t>
      </w:r>
      <w:r>
        <w:rPr>
          <w:rFonts w:ascii="Times New Roman" w:cs="Times New Roman" w:eastAsia="Times New Roman" w:hAnsi="Times New Roman"/>
          <w:sz w:val="22"/>
          <w:szCs w:val="22"/>
          <w:u w:val="single" w:color="auto"/>
          <w:color w:val="auto"/>
        </w:rPr>
        <w:t>Lead Director Fee</w:t>
      </w:r>
      <w:r>
        <w:rPr>
          <w:rFonts w:ascii="Times New Roman" w:cs="Times New Roman" w:eastAsia="Times New Roman" w:hAnsi="Times New Roman"/>
          <w:sz w:val="22"/>
          <w:szCs w:val="22"/>
          <w:color w:val="auto"/>
        </w:rPr>
        <w:t>,” and together with the fees in clauses (b) through (h), the “</w:t>
      </w:r>
      <w:r>
        <w:rPr>
          <w:rFonts w:ascii="Times New Roman" w:cs="Times New Roman" w:eastAsia="Times New Roman" w:hAnsi="Times New Roman"/>
          <w:sz w:val="22"/>
          <w:szCs w:val="22"/>
          <w:u w:val="single" w:color="auto"/>
          <w:color w:val="auto"/>
        </w:rPr>
        <w:t>Other Fees</w:t>
      </w:r>
      <w:r>
        <w:rPr>
          <w:rFonts w:ascii="Times New Roman" w:cs="Times New Roman" w:eastAsia="Times New Roman" w:hAnsi="Times New Roman"/>
          <w:sz w:val="22"/>
          <w:szCs w:val="22"/>
          <w:color w:val="auto"/>
        </w:rPr>
        <w:t>”).</w:t>
      </w:r>
    </w:p>
    <w:p>
      <w:pPr>
        <w:spacing w:after="0" w:line="157" w:lineRule="exact"/>
        <w:rPr>
          <w:sz w:val="20"/>
          <w:szCs w:val="20"/>
          <w:color w:val="auto"/>
        </w:rPr>
      </w:pPr>
    </w:p>
    <w:p>
      <w:pPr>
        <w:ind w:firstLine="1498"/>
        <w:spacing w:after="0" w:line="258" w:lineRule="auto"/>
        <w:rPr>
          <w:sz w:val="20"/>
          <w:szCs w:val="20"/>
          <w:color w:val="auto"/>
        </w:rPr>
      </w:pPr>
      <w:r>
        <w:rPr>
          <w:rFonts w:ascii="Times New Roman" w:cs="Times New Roman" w:eastAsia="Times New Roman" w:hAnsi="Times New Roman"/>
          <w:sz w:val="22"/>
          <w:szCs w:val="22"/>
          <w:color w:val="auto"/>
        </w:rPr>
        <w:t>In no event shall a Non-Employee Director receive a fee pursuant to clause (e), (f) or (g) with respect to a committee that the Non-Employee Director serves as its Chair for the applicable year.</w:t>
      </w:r>
    </w:p>
    <w:p>
      <w:pPr>
        <w:spacing w:after="0" w:line="157" w:lineRule="exact"/>
        <w:rPr>
          <w:sz w:val="20"/>
          <w:szCs w:val="20"/>
          <w:color w:val="auto"/>
        </w:rPr>
      </w:pPr>
    </w:p>
    <w:p>
      <w:pPr>
        <w:jc w:val="both"/>
        <w:ind w:firstLine="757"/>
        <w:spacing w:after="0" w:line="236" w:lineRule="auto"/>
        <w:tabs>
          <w:tab w:leader="none" w:pos="1018"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 of Payment of Annual Retainer and Other Fees</w:t>
      </w:r>
      <w:r>
        <w:rPr>
          <w:rFonts w:ascii="Times New Roman" w:cs="Times New Roman" w:eastAsia="Times New Roman" w:hAnsi="Times New Roman"/>
          <w:sz w:val="22"/>
          <w:szCs w:val="22"/>
          <w:color w:val="auto"/>
        </w:rPr>
        <w:t>. The Annual Retainer and Other Fees payable hereunder are intended to cover service from one regular annual stockholders meeting to the next and, unless a deferral election is made as provided below, the Annual Retainer and Other Fees shall be paid quarterly in arrears in equal installments following the date of the Company’s annual stockholders meeting, without any requirement of additional Board action in connection therewith. The Annual Retainer and Other Fees shall be subject to the Non-Employee Director’s continued service on the Board on each applicable payment date.</w:t>
      </w:r>
    </w:p>
    <w:p>
      <w:pPr>
        <w:spacing w:after="0" w:line="179" w:lineRule="exact"/>
        <w:rPr>
          <w:rFonts w:ascii="Times New Roman" w:cs="Times New Roman" w:eastAsia="Times New Roman" w:hAnsi="Times New Roman"/>
          <w:sz w:val="22"/>
          <w:szCs w:val="22"/>
          <w:color w:val="auto"/>
        </w:rPr>
      </w:pPr>
    </w:p>
    <w:p>
      <w:pPr>
        <w:jc w:val="both"/>
        <w:ind w:firstLine="757"/>
        <w:spacing w:after="0" w:line="233" w:lineRule="auto"/>
        <w:tabs>
          <w:tab w:leader="none" w:pos="1018"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Equity Award</w:t>
      </w:r>
      <w:r>
        <w:rPr>
          <w:rFonts w:ascii="Times New Roman" w:cs="Times New Roman" w:eastAsia="Times New Roman" w:hAnsi="Times New Roman"/>
          <w:sz w:val="22"/>
          <w:szCs w:val="22"/>
          <w:color w:val="auto"/>
        </w:rPr>
        <w:t>. Each Non-Employee Director shall be entitled to an annual grant of Restricted Stock Units under the Plan covering shares of Common Stock with a grant date Fair Market Value of $145,000 (the “</w:t>
      </w:r>
      <w:r>
        <w:rPr>
          <w:rFonts w:ascii="Times New Roman" w:cs="Times New Roman" w:eastAsia="Times New Roman" w:hAnsi="Times New Roman"/>
          <w:sz w:val="22"/>
          <w:szCs w:val="22"/>
          <w:u w:val="single" w:color="auto"/>
          <w:color w:val="auto"/>
        </w:rPr>
        <w:t>Annual Equity Award</w:t>
      </w:r>
      <w:r>
        <w:rPr>
          <w:rFonts w:ascii="Times New Roman" w:cs="Times New Roman" w:eastAsia="Times New Roman" w:hAnsi="Times New Roman"/>
          <w:sz w:val="22"/>
          <w:szCs w:val="22"/>
          <w:color w:val="auto"/>
        </w:rPr>
        <w:t>”). The Annual Equity Award shall be granted as of the next business day after the date of the Company’s annual stockholders meeting, without any requirement of additional Board action in connection therewith, and will vest on the first to occur of (A) date of the Company’s next regular annual stockholders meeting in the year following the year of grant, (B) the date of the Non-Employee Director’s Separation from Service due to death or Disability, or (C) the date of a Change in Control, subject to continued service as a Non-Employee Director through the applicable vesting date. Any Annual Equity Award that does not vest on or prior to the date of the Non-Employee Director’s Separation from Service shall be immediately forfeited. The Restricted Stock Units shall be granted pursuant and subject to the terms set forth in the written agreement previously approved by the Board and duly executed by an executive officer of the Company. Unless a deferral election is made as provided below, the Restricted Stock Units will be distributed in actual shares of Common Stock, or, at the Company’s election, cash, in either case promptly (within 30 days) upon vesting.</w:t>
      </w:r>
    </w:p>
    <w:p>
      <w:pPr>
        <w:spacing w:after="0" w:line="181"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Deferral Elections</w:t>
      </w:r>
      <w:r>
        <w:rPr>
          <w:rFonts w:ascii="Times New Roman" w:cs="Times New Roman" w:eastAsia="Times New Roman" w:hAnsi="Times New Roman"/>
          <w:sz w:val="20"/>
          <w:szCs w:val="20"/>
          <w:color w:val="auto"/>
        </w:rPr>
        <w:t>. A Non-Employee Director may elect to receive deferred stock units (“</w:t>
      </w:r>
      <w:r>
        <w:rPr>
          <w:rFonts w:ascii="Times New Roman" w:cs="Times New Roman" w:eastAsia="Times New Roman" w:hAnsi="Times New Roman"/>
          <w:sz w:val="20"/>
          <w:szCs w:val="20"/>
          <w:u w:val="single" w:color="auto"/>
          <w:color w:val="auto"/>
        </w:rPr>
        <w:t>Deferred Stock</w:t>
      </w:r>
      <w:r>
        <w:rPr>
          <w:rFonts w:ascii="Times New Roman" w:cs="Times New Roman" w:eastAsia="Times New Roman" w:hAnsi="Times New Roman"/>
          <w:sz w:val="20"/>
          <w:szCs w:val="20"/>
          <w:color w:val="auto"/>
        </w:rPr>
        <w:t>”) in lieu of</w:t>
      </w:r>
    </w:p>
    <w:p>
      <w:pPr>
        <w:spacing w:after="0" w:line="36" w:lineRule="exact"/>
        <w:rPr>
          <w:rFonts w:ascii="Times New Roman" w:cs="Times New Roman" w:eastAsia="Times New Roman" w:hAnsi="Times New Roman"/>
          <w:sz w:val="20"/>
          <w:szCs w:val="20"/>
          <w:color w:val="auto"/>
        </w:rPr>
      </w:pPr>
    </w:p>
    <w:p>
      <w:pPr>
        <w:jc w:val="both"/>
        <w:ind w:firstLine="8"/>
        <w:spacing w:after="0" w:line="231" w:lineRule="auto"/>
        <w:tabs>
          <w:tab w:leader="none" w:pos="30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some or all of the fully vested stock awards constituting his or her Annual Retainer, (b) all of the cash constituting his or her Other Fees and (iii) some or all of the Restricted Stock Units constituting his or her Annual Equity Award. Any such Deferred Stock that relates to an Annual Equity Award shall be subject to the same vesting provisions as described in Section 4 above and will be immediately forfeited to the extent the Deferred Stock does not vest in accordance with such provisions. If the Non-Employee Director elects to receive Deferred Stock, the units will be credited to a bookkeeping account under the Company’s Non-Employee Director Deferred Compensation Plan, where each unit will be equivalent in value to one share of Common Stock, and the units will be distributed in actual shares of Common Stock, or at the Company’s election, cash, at the earlier of the Non-Employee Director’s Separation from Service on the Board or a Change in Control, as described more fully in and in each case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117" w:name="page118"/>
    <w:bookmarkEnd w:id="117"/>
    <w:p>
      <w:pPr>
        <w:jc w:val="both"/>
        <w:spacing w:after="0" w:line="239" w:lineRule="auto"/>
        <w:rPr>
          <w:sz w:val="20"/>
          <w:szCs w:val="20"/>
          <w:color w:val="auto"/>
        </w:rPr>
      </w:pPr>
      <w:r>
        <w:rPr>
          <w:rFonts w:ascii="Times New Roman" w:cs="Times New Roman" w:eastAsia="Times New Roman" w:hAnsi="Times New Roman"/>
          <w:sz w:val="22"/>
          <w:szCs w:val="22"/>
          <w:color w:val="auto"/>
        </w:rPr>
        <w:t>to the terms and conditions of the Company’s Non-Employee Director Deferred Compensation Plan (the “</w:t>
      </w:r>
      <w:r>
        <w:rPr>
          <w:rFonts w:ascii="Times New Roman" w:cs="Times New Roman" w:eastAsia="Times New Roman" w:hAnsi="Times New Roman"/>
          <w:sz w:val="22"/>
          <w:szCs w:val="22"/>
          <w:u w:val="single" w:color="auto"/>
          <w:color w:val="auto"/>
        </w:rPr>
        <w:t>Director Deferred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Compensation Plan</w:t>
      </w:r>
      <w:r>
        <w:rPr>
          <w:rFonts w:ascii="Times New Roman" w:cs="Times New Roman" w:eastAsia="Times New Roman" w:hAnsi="Times New Roman"/>
          <w:sz w:val="22"/>
          <w:szCs w:val="22"/>
          <w:color w:val="auto"/>
        </w:rPr>
        <w:t>”). All deferral elections must be made in accordance with and are subject to the terms and conditions of the Director Deferred Compensation Plan. As used in this paragraph and in paragraph 5(i), the terms “</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have meanings assigned to them in the Director Deferred Compensation Plan.</w:t>
      </w:r>
    </w:p>
    <w:p>
      <w:pPr>
        <w:spacing w:after="0" w:line="179" w:lineRule="exact"/>
        <w:rPr>
          <w:sz w:val="20"/>
          <w:szCs w:val="20"/>
          <w:color w:val="auto"/>
        </w:rPr>
      </w:pPr>
    </w:p>
    <w:p>
      <w:pPr>
        <w:jc w:val="both"/>
        <w:ind w:firstLine="757"/>
        <w:spacing w:after="0" w:line="235" w:lineRule="auto"/>
        <w:tabs>
          <w:tab w:leader="none" w:pos="101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Directors Commencing Service After the Annual Stockholders Meeting; Partial Year Roles</w:t>
      </w:r>
      <w:r>
        <w:rPr>
          <w:rFonts w:ascii="Times New Roman" w:cs="Times New Roman" w:eastAsia="Times New Roman" w:hAnsi="Times New Roman"/>
          <w:sz w:val="22"/>
          <w:szCs w:val="22"/>
          <w:color w:val="auto"/>
        </w:rPr>
        <w:t>. If a Non-Employee Director commences service on the Board after the date of the Company’s regular annual stockholders meeting, the Non-Employee Director will receive a pro-rated portion the Annual Retainer, Other Fees, as applicable, and the Annual Equity Grant (based on the numbers of whole months elapsed since the most recent regular annual stockholders meeting). If a Non-Employee Director commences service on a committee of the Board, as the Non-Executive Chairman or as the Lead Director the Board in the middle of a service period, the Board may pro-rate any Other Fees otherwise payable with respect to such service and the payment date shall be within thirty days of such appointment, subject to any deferral elections.</w:t>
      </w:r>
    </w:p>
    <w:p>
      <w:pPr>
        <w:spacing w:after="0" w:line="180" w:lineRule="exact"/>
        <w:rPr>
          <w:rFonts w:ascii="Times New Roman" w:cs="Times New Roman" w:eastAsia="Times New Roman" w:hAnsi="Times New Roman"/>
          <w:sz w:val="22"/>
          <w:szCs w:val="22"/>
          <w:color w:val="auto"/>
        </w:rPr>
      </w:pPr>
    </w:p>
    <w:p>
      <w:pPr>
        <w:ind w:firstLine="757"/>
        <w:spacing w:after="0" w:line="258" w:lineRule="auto"/>
        <w:tabs>
          <w:tab w:leader="none" w:pos="101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Other Plan Provisions</w:t>
      </w:r>
      <w:r>
        <w:rPr>
          <w:rFonts w:ascii="Times New Roman" w:cs="Times New Roman" w:eastAsia="Times New Roman" w:hAnsi="Times New Roman"/>
          <w:sz w:val="22"/>
          <w:szCs w:val="22"/>
          <w:color w:val="auto"/>
        </w:rPr>
        <w:t>. All of the provisions of the Plan shall apply to the Awards granted automatically pursuant to this Policy, except to the extent such provisions are inconsistent with this Policy.</w:t>
      </w:r>
    </w:p>
    <w:p>
      <w:pPr>
        <w:spacing w:after="0" w:line="157"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Policy Subject to Amendment, Modification and Termination</w:t>
      </w:r>
      <w:r>
        <w:rPr>
          <w:rFonts w:ascii="Times New Roman" w:cs="Times New Roman" w:eastAsia="Times New Roman" w:hAnsi="Times New Roman"/>
          <w:sz w:val="22"/>
          <w:szCs w:val="22"/>
          <w:color w:val="auto"/>
        </w:rPr>
        <w:t>. This Policy may be amended, modified or terminated by the Board or Compensation Committee in the future at its sole discretion. Without limiting the generality of the foregoing, the Board or Compensation Committee hereby expressly reserves the authority to terminate this Policy during any year up and until the election of directors at a given annual meeting of stockholders.</w:t>
      </w:r>
    </w:p>
    <w:p>
      <w:pPr>
        <w:spacing w:after="0" w:line="178" w:lineRule="exact"/>
        <w:rPr>
          <w:rFonts w:ascii="Times New Roman" w:cs="Times New Roman" w:eastAsia="Times New Roman" w:hAnsi="Times New Roman"/>
          <w:sz w:val="22"/>
          <w:szCs w:val="22"/>
          <w:color w:val="auto"/>
        </w:rPr>
      </w:pPr>
    </w:p>
    <w:p>
      <w:pPr>
        <w:ind w:left="48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1025525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18" w:name="page119"/>
    <w:bookmarkEnd w:id="118"/>
    <w:p>
      <w:pPr>
        <w:ind w:left="1026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7840" w:type="dxa"/>
            <w:vAlign w:val="bottom"/>
            <w:gridSpan w:val="3"/>
          </w:tcPr>
          <w:p>
            <w:pPr>
              <w:ind w:left="146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r>
      <w:tr>
        <w:trPr>
          <w:trHeight w:val="415"/>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State or Country of</w:t>
            </w:r>
          </w:p>
        </w:tc>
      </w:tr>
      <w:tr>
        <w:trPr>
          <w:trHeight w:val="185"/>
        </w:trPr>
        <w:tc>
          <w:tcPr>
            <w:tcW w:w="20" w:type="dxa"/>
            <w:vAlign w:val="bottom"/>
          </w:tcPr>
          <w:p>
            <w:pPr>
              <w:spacing w:after="0"/>
              <w:rPr>
                <w:sz w:val="16"/>
                <w:szCs w:val="16"/>
                <w:color w:val="auto"/>
              </w:rPr>
            </w:pP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5360" w:type="dxa"/>
            <w:vAlign w:val="bottom"/>
            <w:tcBorders>
              <w:bottom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Organization</w:t>
            </w:r>
          </w:p>
        </w:tc>
      </w:tr>
      <w:tr>
        <w:trPr>
          <w:trHeight w:val="243"/>
        </w:trPr>
        <w:tc>
          <w:tcPr>
            <w:tcW w:w="20" w:type="dxa"/>
            <w:vAlign w:val="bottom"/>
          </w:tcPr>
          <w:p>
            <w:pPr>
              <w:spacing w:after="0"/>
              <w:rPr>
                <w:sz w:val="21"/>
                <w:szCs w:val="21"/>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Allison Transmission, Inc.</w:t>
            </w:r>
          </w:p>
        </w:tc>
        <w:tc>
          <w:tcPr>
            <w:tcW w:w="5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043"/>
        </w:trPr>
        <w:tc>
          <w:tcPr>
            <w:tcW w:w="2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19" w:name="page120"/>
    <w:bookmarkEnd w:id="119"/>
    <w:p>
      <w:pPr>
        <w:ind w:left="1032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 333-180285 and 333-204224) of Allison Transmission Holdings, Inc. of our report dated February 14, 2024 relating to the financial statements, financial statement schedule, and the effectiveness of internal control over financial reporting, which appears in this Form 10-K.</w:t>
      </w:r>
    </w:p>
    <w:p>
      <w:pPr>
        <w:spacing w:after="0" w:line="214"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Indianapolis, Indiana</w:t>
      </w:r>
    </w:p>
    <w:p>
      <w:pPr>
        <w:spacing w:after="0" w:line="238" w:lineRule="auto"/>
        <w:rPr>
          <w:sz w:val="20"/>
          <w:szCs w:val="20"/>
          <w:color w:val="auto"/>
        </w:rPr>
      </w:pPr>
      <w:r>
        <w:rPr>
          <w:rFonts w:ascii="Georgia" w:cs="Georgia" w:eastAsia="Georgia" w:hAnsi="Georgia"/>
          <w:sz w:val="18"/>
          <w:szCs w:val="18"/>
          <w:color w:val="auto"/>
        </w:rPr>
        <w:t>February 14, 2024</w:t>
      </w:r>
    </w:p>
    <w:p>
      <w:pPr>
        <w:spacing w:after="0" w:line="187"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631190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75"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S. Graziosi, certify that:</w:t>
      </w:r>
    </w:p>
    <w:p>
      <w:pPr>
        <w:spacing w:after="0" w:line="225" w:lineRule="exact"/>
        <w:rPr>
          <w:sz w:val="20"/>
          <w:szCs w:val="20"/>
          <w:color w:val="auto"/>
        </w:rPr>
      </w:pPr>
    </w:p>
    <w:p>
      <w:pPr>
        <w:ind w:left="760" w:hanging="752"/>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Allison Transmission Holdings, Inc.;</w:t>
      </w:r>
    </w:p>
    <w:p>
      <w:pPr>
        <w:spacing w:after="0" w:line="224" w:lineRule="exact"/>
        <w:rPr>
          <w:rFonts w:ascii="Times New Roman" w:cs="Times New Roman" w:eastAsia="Times New Roman" w:hAnsi="Times New Roman"/>
          <w:sz w:val="18"/>
          <w:szCs w:val="18"/>
          <w:color w:val="auto"/>
        </w:rPr>
      </w:pPr>
    </w:p>
    <w:p>
      <w:pPr>
        <w:jc w:val="both"/>
        <w:ind w:left="760" w:right="20" w:hanging="752"/>
        <w:spacing w:after="0" w:line="265"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760" w:right="260" w:hanging="752"/>
        <w:spacing w:after="0" w:line="281"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760" w:right="20" w:hanging="752"/>
        <w:spacing w:after="0" w:line="265"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500" w:right="160" w:hanging="743"/>
        <w:spacing w:after="0" w:line="265"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500" w:right="260" w:hanging="743"/>
        <w:spacing w:after="0" w:line="265"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500" w:right="20" w:hanging="743"/>
        <w:spacing w:after="0" w:line="312" w:lineRule="auto"/>
        <w:tabs>
          <w:tab w:leader="none" w:pos="150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500" w:right="60" w:hanging="743"/>
        <w:spacing w:after="0" w:line="265"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760" w:right="180" w:hanging="752"/>
        <w:spacing w:after="0" w:line="281"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500" w:right="320" w:hanging="743"/>
        <w:spacing w:after="0" w:line="281"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500" w:hanging="743"/>
        <w:spacing w:after="0" w:line="281"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7060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0">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David S. Graziosi</w:t>
      </w:r>
    </w:p>
    <w:p>
      <w:pPr>
        <w:spacing w:after="0" w:line="36"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President and 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732155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Frederick Bohley, certify that:</w:t>
      </w:r>
    </w:p>
    <w:p>
      <w:pPr>
        <w:spacing w:after="0" w:line="225" w:lineRule="exact"/>
        <w:rPr>
          <w:sz w:val="20"/>
          <w:szCs w:val="20"/>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Allison Transmission Holdings, Inc.;</w:t>
      </w:r>
    </w:p>
    <w:p>
      <w:pPr>
        <w:spacing w:after="0" w:line="224" w:lineRule="exact"/>
        <w:rPr>
          <w:rFonts w:ascii="Times New Roman" w:cs="Times New Roman" w:eastAsia="Times New Roman" w:hAnsi="Times New Roman"/>
          <w:sz w:val="18"/>
          <w:szCs w:val="18"/>
          <w:color w:val="auto"/>
        </w:rPr>
      </w:pPr>
    </w:p>
    <w:p>
      <w:pPr>
        <w:jc w:val="both"/>
        <w:ind w:left="760" w:right="20" w:hanging="752"/>
        <w:spacing w:after="0" w:line="265"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760" w:right="260" w:hanging="752"/>
        <w:spacing w:after="0" w:line="281"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760" w:right="20" w:hanging="752"/>
        <w:spacing w:after="0" w:line="265"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500" w:right="160" w:hanging="743"/>
        <w:spacing w:after="0" w:line="265" w:lineRule="auto"/>
        <w:tabs>
          <w:tab w:leader="none" w:pos="15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500" w:right="260" w:hanging="743"/>
        <w:spacing w:after="0" w:line="265" w:lineRule="auto"/>
        <w:tabs>
          <w:tab w:leader="none" w:pos="15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500" w:right="20" w:hanging="743"/>
        <w:spacing w:after="0" w:line="312" w:lineRule="auto"/>
        <w:tabs>
          <w:tab w:leader="none" w:pos="150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500" w:right="60" w:hanging="743"/>
        <w:spacing w:after="0" w:line="265" w:lineRule="auto"/>
        <w:tabs>
          <w:tab w:leader="none" w:pos="15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760" w:right="180" w:hanging="752"/>
        <w:spacing w:after="0" w:line="281"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500" w:right="320" w:hanging="743"/>
        <w:spacing w:after="0" w:line="281" w:lineRule="auto"/>
        <w:tabs>
          <w:tab w:leader="none" w:pos="15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500" w:hanging="743"/>
        <w:spacing w:after="0" w:line="281" w:lineRule="auto"/>
        <w:tabs>
          <w:tab w:leader="none" w:pos="15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32574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2">
                      <a:extLst>
                        <a:ext uri="{28A0092B-C50C-407E-A947-70E740481C1C}"/>
                      </a:extLst>
                    </a:blip>
                    <a:srcRect/>
                    <a:stretch>
                      <a:fillRect/>
                    </a:stretch>
                  </pic:blipFill>
                  <pic:spPr bwMode="auto">
                    <a:xfrm>
                      <a:off x="0" y="0"/>
                      <a:ext cx="532574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G. Frederick Bohley</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Senior Vice President, Chief Financial Officer and Treasurer</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220" w:firstLine="749"/>
        <w:spacing w:after="0" w:line="260" w:lineRule="auto"/>
        <w:rPr>
          <w:sz w:val="20"/>
          <w:szCs w:val="20"/>
          <w:color w:val="auto"/>
        </w:rPr>
      </w:pPr>
      <w:r>
        <w:rPr>
          <w:rFonts w:ascii="Times New Roman" w:cs="Times New Roman" w:eastAsia="Times New Roman" w:hAnsi="Times New Roman"/>
          <w:sz w:val="18"/>
          <w:szCs w:val="18"/>
          <w:color w:val="auto"/>
        </w:rPr>
        <w:t>In connection with the Annual Report of Allison Transmission Holdings, Inc. (the “Company”) on Form 10-K for the fiscal year ended December 31, 2023 as filed with the Securities and Exchange Commission on the date hereof (the “Report”), we, David S. Graziosi, Chairman, President and Chief Executive Officer of the Company, and G. Frederick Bohley, Senior Vice President, Chief Financial Officer and Treasurer of the Company, certify, pursuant to 18 U.S.C. § 1350 as adopted pursuant to § 906 of the Sarbanes-Oxley Act of 2002, that:</w:t>
      </w:r>
    </w:p>
    <w:p>
      <w:pPr>
        <w:spacing w:after="0" w:line="182" w:lineRule="exact"/>
        <w:rPr>
          <w:sz w:val="20"/>
          <w:szCs w:val="20"/>
          <w:color w:val="auto"/>
        </w:rPr>
      </w:pPr>
    </w:p>
    <w:p>
      <w:pPr>
        <w:ind w:left="760" w:hanging="752"/>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7060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4">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David S. Graziosi</w:t>
      </w:r>
    </w:p>
    <w:p>
      <w:pPr>
        <w:spacing w:after="0" w:line="36"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President and 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G. Frederick Bohley</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Senior Vice President, Chief Financial Officer and Treasurer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903605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ALLISON TRANSMISSION HOLDINGS, INC.</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POLICY FOR RECOVERY OF ERRONEOUSLY AWARDED COMPENSATION</w:t>
      </w:r>
    </w:p>
    <w:p>
      <w:pPr>
        <w:spacing w:after="0" w:line="20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Allison Transmission Holdings,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adopted this Policy for Recovery of Erroneously Awarded Compensation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effective as of October 2,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which Policy is an amendment and restatement of the Company’s Policy for Recoupment of Incentive Compensation effective as of May 10, 2017 (the “</w:t>
      </w:r>
      <w:r>
        <w:rPr>
          <w:rFonts w:ascii="Times New Roman" w:cs="Times New Roman" w:eastAsia="Times New Roman" w:hAnsi="Times New Roman"/>
          <w:sz w:val="22"/>
          <w:szCs w:val="22"/>
          <w:b w:val="1"/>
          <w:bCs w:val="1"/>
          <w:i w:val="1"/>
          <w:iCs w:val="1"/>
          <w:color w:val="auto"/>
        </w:rPr>
        <w:t>Prior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Capitalized terms used in this Policy but not otherwise defined herein are defined in Section 11.</w:t>
      </w:r>
    </w:p>
    <w:p>
      <w:pPr>
        <w:spacing w:after="0" w:line="172" w:lineRule="exact"/>
        <w:rPr>
          <w:sz w:val="20"/>
          <w:szCs w:val="20"/>
          <w:color w:val="auto"/>
        </w:rPr>
      </w:pPr>
    </w:p>
    <w:p>
      <w:pPr>
        <w:ind w:left="760" w:hanging="752"/>
        <w:spacing w:after="0"/>
        <w:tabs>
          <w:tab w:leader="none" w:pos="760" w:val="left"/>
        </w:tabs>
        <w:numPr>
          <w:ilvl w:val="0"/>
          <w:numId w:val="40"/>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Persons Subject to Policy</w:t>
      </w:r>
    </w:p>
    <w:p>
      <w:pPr>
        <w:spacing w:after="0" w:line="209" w:lineRule="exact"/>
        <w:rPr>
          <w:sz w:val="20"/>
          <w:szCs w:val="20"/>
          <w:color w:val="auto"/>
        </w:rPr>
      </w:pPr>
    </w:p>
    <w:p>
      <w:pPr>
        <w:ind w:right="560" w:firstLine="432"/>
        <w:spacing w:after="0" w:line="239" w:lineRule="auto"/>
        <w:rPr>
          <w:sz w:val="20"/>
          <w:szCs w:val="20"/>
          <w:color w:val="auto"/>
        </w:rPr>
      </w:pPr>
      <w:r>
        <w:rPr>
          <w:rFonts w:ascii="Times New Roman" w:cs="Times New Roman" w:eastAsia="Times New Roman" w:hAnsi="Times New Roman"/>
          <w:sz w:val="22"/>
          <w:szCs w:val="22"/>
          <w:color w:val="auto"/>
        </w:rPr>
        <w:t>This Policy shall apply to current and former Officers of the Company. Each Officer shall be required to sign an Acknowledgement Agreement pursuant to which such Officer will agree to be bound by the terms of, and comply with, this Policy; however, any Officer’s failure to sign any such Acknowledgment Agreement shall not negate the application of this Policy to the Officer.</w:t>
      </w:r>
    </w:p>
    <w:p>
      <w:pPr>
        <w:spacing w:after="0" w:line="175" w:lineRule="exact"/>
        <w:rPr>
          <w:sz w:val="20"/>
          <w:szCs w:val="20"/>
          <w:color w:val="auto"/>
        </w:rPr>
      </w:pPr>
    </w:p>
    <w:p>
      <w:pPr>
        <w:ind w:left="760" w:hanging="752"/>
        <w:spacing w:after="0"/>
        <w:tabs>
          <w:tab w:leader="none" w:pos="760" w:val="left"/>
        </w:tabs>
        <w:numPr>
          <w:ilvl w:val="0"/>
          <w:numId w:val="41"/>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Compensation Subject to Policy</w:t>
      </w:r>
    </w:p>
    <w:p>
      <w:pPr>
        <w:spacing w:after="0" w:line="20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fiscal period during which the relevant Financial Reporting Measure is attained or satisfied, without regard to whether the grant, vesting or payment of the Incentive-Based Compensation occurs thereafter.</w:t>
      </w:r>
    </w:p>
    <w:p>
      <w:pPr>
        <w:spacing w:after="0" w:line="176" w:lineRule="exact"/>
        <w:rPr>
          <w:sz w:val="20"/>
          <w:szCs w:val="20"/>
          <w:color w:val="auto"/>
        </w:rPr>
      </w:pPr>
    </w:p>
    <w:p>
      <w:pPr>
        <w:ind w:left="760" w:hanging="752"/>
        <w:spacing w:after="0"/>
        <w:tabs>
          <w:tab w:leader="none" w:pos="760" w:val="left"/>
        </w:tabs>
        <w:numPr>
          <w:ilvl w:val="0"/>
          <w:numId w:val="42"/>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Recovery of Compensation</w:t>
      </w:r>
    </w:p>
    <w:p>
      <w:pPr>
        <w:spacing w:after="0" w:line="20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80" w:lineRule="exact"/>
        <w:rPr>
          <w:sz w:val="20"/>
          <w:szCs w:val="20"/>
          <w:color w:val="auto"/>
        </w:rPr>
      </w:pPr>
    </w:p>
    <w:p>
      <w:pPr>
        <w:ind w:left="760" w:hanging="752"/>
        <w:spacing w:after="0"/>
        <w:tabs>
          <w:tab w:leader="none" w:pos="760" w:val="left"/>
        </w:tabs>
        <w:numPr>
          <w:ilvl w:val="0"/>
          <w:numId w:val="43"/>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Manner of Recovery; Limitation on Duplicative Recovery</w:t>
      </w:r>
    </w:p>
    <w:p>
      <w:pPr>
        <w:spacing w:after="0" w:line="20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Committee shall, in its sole discretion, determine the manner of recovery of any Erroneously Awarded Compensation, which may include, without limitation, reduction or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alibri" w:cs="Calibri" w:eastAsia="Calibri" w:hAnsi="Calibri"/>
          <w:sz w:val="14"/>
          <w:szCs w:val="14"/>
          <w:color w:val="auto"/>
        </w:rPr>
        <w:t>|US-DOCS\142346205.2||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573405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4" w:name="page125"/>
    <w:bookmarkEnd w:id="124"/>
    <w:p>
      <w:pPr>
        <w:jc w:val="both"/>
        <w:spacing w:after="0" w:line="234" w:lineRule="auto"/>
        <w:rPr>
          <w:sz w:val="20"/>
          <w:szCs w:val="20"/>
          <w:color w:val="auto"/>
        </w:rPr>
      </w:pPr>
      <w:r>
        <w:rPr>
          <w:rFonts w:ascii="Times New Roman" w:cs="Times New Roman" w:eastAsia="Times New Roman" w:hAnsi="Times New Roman"/>
          <w:sz w:val="22"/>
          <w:szCs w:val="22"/>
          <w:color w:val="auto"/>
        </w:rPr>
        <w:t>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176" w:lineRule="exact"/>
        <w:rPr>
          <w:sz w:val="20"/>
          <w:szCs w:val="20"/>
          <w:color w:val="auto"/>
        </w:rPr>
      </w:pPr>
    </w:p>
    <w:p>
      <w:pPr>
        <w:ind w:left="760" w:hanging="752"/>
        <w:spacing w:after="0"/>
        <w:tabs>
          <w:tab w:leader="none" w:pos="760" w:val="left"/>
        </w:tabs>
        <w:numPr>
          <w:ilvl w:val="0"/>
          <w:numId w:val="44"/>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Administration</w:t>
      </w:r>
    </w:p>
    <w:p>
      <w:pPr>
        <w:spacing w:after="0" w:line="20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0"/>
          <w:szCs w:val="20"/>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 holders and employees. The Committee may delegate administrative duties with respect to this Policy to one or more directors or employees of the Company, as permitted under applicable law, including any Applicable Rules.</w:t>
      </w:r>
    </w:p>
    <w:p>
      <w:pPr>
        <w:spacing w:after="0" w:line="153" w:lineRule="exact"/>
        <w:rPr>
          <w:sz w:val="20"/>
          <w:szCs w:val="20"/>
          <w:color w:val="auto"/>
        </w:rPr>
      </w:pPr>
    </w:p>
    <w:p>
      <w:pPr>
        <w:ind w:left="760" w:hanging="752"/>
        <w:spacing w:after="0"/>
        <w:tabs>
          <w:tab w:leader="none" w:pos="760" w:val="left"/>
        </w:tabs>
        <w:numPr>
          <w:ilvl w:val="0"/>
          <w:numId w:val="45"/>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Interpretation</w:t>
      </w:r>
    </w:p>
    <w:p>
      <w:pPr>
        <w:spacing w:after="0" w:line="20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68" w:lineRule="exact"/>
        <w:rPr>
          <w:sz w:val="20"/>
          <w:szCs w:val="20"/>
          <w:color w:val="auto"/>
        </w:rPr>
      </w:pPr>
    </w:p>
    <w:p>
      <w:pPr>
        <w:ind w:left="760" w:hanging="752"/>
        <w:spacing w:after="0"/>
        <w:tabs>
          <w:tab w:leader="none" w:pos="760" w:val="left"/>
        </w:tabs>
        <w:numPr>
          <w:ilvl w:val="0"/>
          <w:numId w:val="46"/>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No Indemnification; No Liability</w:t>
      </w:r>
    </w:p>
    <w:p>
      <w:pPr>
        <w:spacing w:after="0" w:line="20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76" w:lineRule="exact"/>
        <w:rPr>
          <w:sz w:val="20"/>
          <w:szCs w:val="20"/>
          <w:color w:val="auto"/>
        </w:rPr>
      </w:pPr>
    </w:p>
    <w:p>
      <w:pPr>
        <w:ind w:left="760" w:hanging="752"/>
        <w:spacing w:after="0"/>
        <w:tabs>
          <w:tab w:leader="none" w:pos="760" w:val="left"/>
        </w:tabs>
        <w:numPr>
          <w:ilvl w:val="0"/>
          <w:numId w:val="47"/>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Application; Enforceability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alibri" w:cs="Calibri" w:eastAsia="Calibri" w:hAnsi="Calibri"/>
          <w:sz w:val="14"/>
          <w:szCs w:val="14"/>
          <w:color w:val="auto"/>
        </w:rPr>
        <w:t>|US-DOCS\142346205.2||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573405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25" w:name="page126"/>
    <w:bookmarkEnd w:id="125"/>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Effective as of the Effective Date, this Policy will supersede the Prior Policy in all respects. Notwithstanding the foregoing, and 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22"/>
          <w:szCs w:val="22"/>
          <w:b w:val="1"/>
          <w:bCs w:val="1"/>
          <w:i w:val="1"/>
          <w:iCs w:val="1"/>
          <w:color w:val="auto"/>
        </w:rPr>
        <w:t>Other Recovery Arrangements</w:t>
      </w:r>
      <w:r>
        <w:rPr>
          <w:rFonts w:ascii="Times New Roman" w:cs="Times New Roman" w:eastAsia="Times New Roman" w:hAnsi="Times New Roman"/>
          <w:sz w:val="22"/>
          <w:szCs w:val="22"/>
          <w:color w:val="auto"/>
        </w:rPr>
        <w:t>”). The remedy specified in this Policy shall not be exclusive and shall be in addition to every other right or remedy at law or in equity that may be available to the Company or an affiliate of the Company.</w:t>
      </w:r>
    </w:p>
    <w:p>
      <w:pPr>
        <w:spacing w:after="0" w:line="180" w:lineRule="exact"/>
        <w:rPr>
          <w:sz w:val="20"/>
          <w:szCs w:val="20"/>
          <w:color w:val="auto"/>
        </w:rPr>
      </w:pPr>
    </w:p>
    <w:p>
      <w:pPr>
        <w:ind w:left="760" w:hanging="752"/>
        <w:spacing w:after="0"/>
        <w:tabs>
          <w:tab w:leader="none" w:pos="760" w:val="left"/>
        </w:tabs>
        <w:numPr>
          <w:ilvl w:val="0"/>
          <w:numId w:val="48"/>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Severability</w:t>
      </w:r>
    </w:p>
    <w:p>
      <w:pPr>
        <w:spacing w:after="0" w:line="20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75" w:lineRule="exact"/>
        <w:rPr>
          <w:sz w:val="20"/>
          <w:szCs w:val="20"/>
          <w:color w:val="auto"/>
        </w:rPr>
      </w:pPr>
    </w:p>
    <w:p>
      <w:pPr>
        <w:ind w:left="760" w:hanging="752"/>
        <w:spacing w:after="0"/>
        <w:tabs>
          <w:tab w:leader="none" w:pos="760" w:val="left"/>
        </w:tabs>
        <w:numPr>
          <w:ilvl w:val="0"/>
          <w:numId w:val="49"/>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20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168" w:lineRule="exact"/>
        <w:rPr>
          <w:sz w:val="20"/>
          <w:szCs w:val="20"/>
          <w:color w:val="auto"/>
        </w:rPr>
      </w:pPr>
    </w:p>
    <w:p>
      <w:pPr>
        <w:ind w:left="760" w:hanging="752"/>
        <w:spacing w:after="0"/>
        <w:tabs>
          <w:tab w:leader="none" w:pos="760" w:val="left"/>
        </w:tabs>
        <w:numPr>
          <w:ilvl w:val="0"/>
          <w:numId w:val="50"/>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Applicable Law</w:t>
      </w:r>
    </w:p>
    <w:p>
      <w:pPr>
        <w:spacing w:after="0" w:line="14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Policy and all rights and obligations hereunder shall be governed by and construed in accordance with the law of the State of Indiana regardless of the application of rules of conflicts of laws that would apply to the laws of any other jurisdiction.</w:t>
      </w:r>
    </w:p>
    <w:p>
      <w:pPr>
        <w:spacing w:after="0" w:line="87" w:lineRule="exact"/>
        <w:rPr>
          <w:sz w:val="20"/>
          <w:szCs w:val="20"/>
          <w:color w:val="auto"/>
        </w:rPr>
      </w:pPr>
    </w:p>
    <w:p>
      <w:pPr>
        <w:ind w:left="760" w:hanging="752"/>
        <w:spacing w:after="0"/>
        <w:tabs>
          <w:tab w:leader="none" w:pos="760" w:val="left"/>
        </w:tabs>
        <w:numPr>
          <w:ilvl w:val="0"/>
          <w:numId w:val="51"/>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Venue</w:t>
      </w:r>
    </w:p>
    <w:p>
      <w:pPr>
        <w:spacing w:after="0" w:line="14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jurisdiction and venue for any disputes arising under, or any action brought to enforce (or otherwise relating to), this Policy will be exclusively in the Commercial Courts in the State of Indiana, County of Marion, or the Federal Courts located therein (should Federal jurisdiction exist). The parties consent to and submit to the personal jurisdiction and venue of courts of Indiana and irrevocably waive any claim or argument that the courts in Indiana are an inconvenient forum.</w:t>
      </w:r>
    </w:p>
    <w:p>
      <w:pPr>
        <w:spacing w:after="0" w:line="107" w:lineRule="exact"/>
        <w:rPr>
          <w:sz w:val="20"/>
          <w:szCs w:val="20"/>
          <w:color w:val="auto"/>
        </w:rPr>
      </w:pPr>
    </w:p>
    <w:p>
      <w:pPr>
        <w:ind w:left="760" w:hanging="752"/>
        <w:spacing w:after="0"/>
        <w:tabs>
          <w:tab w:leader="none" w:pos="760" w:val="left"/>
        </w:tabs>
        <w:numPr>
          <w:ilvl w:val="0"/>
          <w:numId w:val="52"/>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Definitions</w:t>
      </w:r>
    </w:p>
    <w:p>
      <w:pPr>
        <w:spacing w:after="0" w:line="122" w:lineRule="exact"/>
        <w:rPr>
          <w:rFonts w:ascii="Times New Roman" w:cs="Times New Roman" w:eastAsia="Times New Roman" w:hAnsi="Times New Roman"/>
          <w:sz w:val="22"/>
          <w:szCs w:val="22"/>
          <w:b w:val="1"/>
          <w:bCs w:val="1"/>
          <w:u w:val="single" w:color="auto"/>
          <w:color w:val="auto"/>
        </w:rPr>
      </w:pPr>
    </w:p>
    <w:p>
      <w:pPr>
        <w:jc w:val="both"/>
        <w:ind w:firstLine="432"/>
        <w:spacing w:after="0" w:line="246" w:lineRule="auto"/>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Rules</w:t>
      </w:r>
      <w:r>
        <w:rPr>
          <w:rFonts w:ascii="Times New Roman" w:cs="Times New Roman" w:eastAsia="Times New Roman" w:hAnsi="Times New Roman"/>
          <w:sz w:val="22"/>
          <w:szCs w:val="22"/>
          <w:color w:val="auto"/>
        </w:rPr>
        <w:t>” means Section 10D of the Exchange Act, Rule 10D-1 promulgated thereunder, the listing rules of the national securities exchange or association on which the Company’s securities are listed, and any applicable rules, standards or other guidance adopted by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alibri" w:cs="Calibri" w:eastAsia="Calibri" w:hAnsi="Calibri"/>
          <w:sz w:val="14"/>
          <w:szCs w:val="14"/>
          <w:color w:val="auto"/>
        </w:rPr>
        <w:t>|US-DOCS\142346205.2||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573405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26" w:name="page127"/>
    <w:bookmarkEnd w:id="126"/>
    <w:p>
      <w:pPr>
        <w:jc w:val="both"/>
        <w:spacing w:after="0" w:line="258" w:lineRule="auto"/>
        <w:rPr>
          <w:sz w:val="20"/>
          <w:szCs w:val="20"/>
          <w:color w:val="auto"/>
        </w:rPr>
      </w:pPr>
      <w:r>
        <w:rPr>
          <w:rFonts w:ascii="Times New Roman" w:cs="Times New Roman" w:eastAsia="Times New Roman" w:hAnsi="Times New Roman"/>
          <w:sz w:val="22"/>
          <w:szCs w:val="22"/>
          <w:color w:val="auto"/>
        </w:rPr>
        <w:t>the Securities and Exchange Commission or any national securities exchange or association on which the Company’s securities are listed.</w:t>
      </w:r>
    </w:p>
    <w:p>
      <w:pPr>
        <w:spacing w:after="0" w:line="8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Compensation Committee of the Board, or if none, the committee responsible for executive compensation decisions comprised solely of independent directors (as determined under the Applicable Rules), or in the absence of such a committee, a majority of the independent directors serving on the Board.</w:t>
      </w:r>
    </w:p>
    <w:p>
      <w:pPr>
        <w:spacing w:after="0" w:line="16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5" w:lineRule="exact"/>
        <w:rPr>
          <w:sz w:val="20"/>
          <w:szCs w:val="20"/>
          <w:color w:val="auto"/>
        </w:rPr>
      </w:pPr>
    </w:p>
    <w:p>
      <w:pPr>
        <w:jc w:val="both"/>
        <w:ind w:firstLine="749"/>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w:t>
      </w:r>
      <w:r>
        <w:rPr>
          <w:rFonts w:ascii="Times New Roman" w:cs="Times New Roman" w:eastAsia="Times New Roman" w:hAnsi="Times New Roman"/>
          <w:sz w:val="20"/>
          <w:szCs w:val="20"/>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United States generally accepted accounting principles.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IFRS</w:t>
      </w:r>
      <w:r>
        <w:rPr>
          <w:rFonts w:ascii="Times New Roman" w:cs="Times New Roman" w:eastAsia="Times New Roman" w:hAnsi="Times New Roman"/>
          <w:sz w:val="22"/>
          <w:szCs w:val="22"/>
          <w:color w:val="auto"/>
        </w:rPr>
        <w:t>” means international financial reporting standards as adopted by the International Accounting Standards Board.</w:t>
      </w:r>
    </w:p>
    <w:p>
      <w:pPr>
        <w:spacing w:after="0" w:line="20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Impracticable</w:t>
      </w:r>
      <w:r>
        <w:rPr>
          <w:rFonts w:ascii="Times New Roman" w:cs="Times New Roman" w:eastAsia="Times New Roman" w:hAnsi="Times New Roman"/>
          <w:sz w:val="22"/>
          <w:szCs w:val="22"/>
          <w:color w:val="auto"/>
        </w:rPr>
        <w:t>” means (a)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7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alibri" w:cs="Calibri" w:eastAsia="Calibri" w:hAnsi="Calibri"/>
          <w:sz w:val="14"/>
          <w:szCs w:val="14"/>
          <w:color w:val="auto"/>
        </w:rPr>
        <w:t>|US-DOCS\142346205.2||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27" w:name="page128"/>
    <w:bookmarkEnd w:id="127"/>
    <w:p>
      <w:pPr>
        <w:spacing w:after="0" w:line="258" w:lineRule="auto"/>
        <w:rPr>
          <w:sz w:val="20"/>
          <w:szCs w:val="20"/>
          <w:color w:val="auto"/>
        </w:rPr>
      </w:pPr>
      <w:r>
        <w:rPr>
          <w:rFonts w:ascii="Times New Roman" w:cs="Times New Roman" w:eastAsia="Times New Roman" w:hAnsi="Times New Roman"/>
          <w:sz w:val="22"/>
          <w:szCs w:val="22"/>
          <w:color w:val="auto"/>
        </w:rPr>
        <w:t>compensation; (c) while the issuer has a class of its securities listed on a national securities exchange or association; and (d) during the applicable Three-Year Period.</w:t>
      </w:r>
    </w:p>
    <w:p>
      <w:pPr>
        <w:spacing w:after="0" w:line="123" w:lineRule="exact"/>
        <w:rPr>
          <w:sz w:val="20"/>
          <w:szCs w:val="20"/>
          <w:color w:val="auto"/>
        </w:rPr>
      </w:pPr>
    </w:p>
    <w:p>
      <w:pPr>
        <w:ind w:right="20" w:firstLine="749"/>
        <w:spacing w:after="0" w:line="286"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each person who serves as an executive officer of the Company, as defined in Rule 10D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1(d) under the Exchange Act.</w:t>
      </w:r>
    </w:p>
    <w:p>
      <w:pPr>
        <w:spacing w:after="0" w:line="172"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Restatement</w:t>
      </w:r>
      <w:r>
        <w:rPr>
          <w:rFonts w:ascii="Times New Roman" w:cs="Times New Roman" w:eastAsia="Times New Roman" w:hAnsi="Times New Roman"/>
          <w:sz w:val="20"/>
          <w:szCs w:val="20"/>
          <w:color w:val="auto"/>
        </w:rPr>
        <w:t>” means an accounting restatement to correct the Company’s material noncompliance with any financial reporting requirement under securities laws, including restatements that correct an error in previously issued financial statements</w:t>
      </w:r>
    </w:p>
    <w:p>
      <w:pPr>
        <w:spacing w:after="0" w:line="2" w:lineRule="exact"/>
        <w:rPr>
          <w:sz w:val="20"/>
          <w:szCs w:val="20"/>
          <w:color w:val="auto"/>
        </w:rPr>
      </w:pPr>
    </w:p>
    <w:p>
      <w:pPr>
        <w:ind w:right="20" w:firstLine="8"/>
        <w:spacing w:after="0" w:line="237" w:lineRule="auto"/>
        <w:tabs>
          <w:tab w:leader="none" w:pos="31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material to the previously issued financial statements or (b) that would result in a material misstatement if the error were corrected in the current period or left uncorrected in the current period.</w:t>
      </w:r>
    </w:p>
    <w:p>
      <w:pPr>
        <w:spacing w:after="0" w:line="17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Three-Year Period</w:t>
      </w:r>
      <w:r>
        <w:rPr>
          <w:rFonts w:ascii="Times New Roman" w:cs="Times New Roman" w:eastAsia="Times New Roman" w:hAnsi="Times New Roman"/>
          <w:sz w:val="22"/>
          <w:szCs w:val="22"/>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fiscal year) within or immediately following the three completed fiscal years identified in the preceding sentence. However, a</w:t>
      </w:r>
    </w:p>
    <w:p>
      <w:pPr>
        <w:spacing w:after="0" w:line="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transition period between the last day of the Company’s previous fiscal year end and the first day of its new fiscal year that comprises a period of nine to 12 months shall be deemed a completed fiscal year.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alibri" w:cs="Calibri" w:eastAsia="Calibri" w:hAnsi="Calibri"/>
          <w:sz w:val="14"/>
          <w:szCs w:val="14"/>
          <w:color w:val="auto"/>
        </w:rPr>
        <w:t>|US-DOCS\142346205.2||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573405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23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b w:val="1"/>
          <w:bCs w:val="1"/>
          <w:color w:val="auto"/>
        </w:rPr>
        <w:t>FORM OF ACKNOWLEDGEMENT AGREEMENT</w:t>
      </w:r>
    </w:p>
    <w:p>
      <w:pPr>
        <w:spacing w:after="0" w:line="2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b w:val="1"/>
          <w:bCs w:val="1"/>
          <w:color w:val="auto"/>
        </w:rPr>
        <w:t>PERTAINING TO THE ALLISON TRANSMISSION HOLDINGS INC. POLICY FOR RECOVERY OF</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ERRONEOUSLY AWARDED COMPENSATION</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In consideration of, and as a condition to, the receipt of future cash and equity incentive compensation from Allison Transmission Holdings, Inc. (the “Company”), _________________ (“Executive”) and the Company are entering into this Acknowledgement Agreement.</w:t>
      </w:r>
    </w:p>
    <w:p>
      <w:pPr>
        <w:spacing w:after="0" w:line="172" w:lineRule="exact"/>
        <w:rPr>
          <w:sz w:val="20"/>
          <w:szCs w:val="20"/>
          <w:color w:val="auto"/>
        </w:rPr>
      </w:pPr>
    </w:p>
    <w:p>
      <w:pPr>
        <w:jc w:val="both"/>
        <w:ind w:left="760" w:hanging="378"/>
        <w:spacing w:after="0" w:line="236" w:lineRule="auto"/>
        <w:tabs>
          <w:tab w:leader="none" w:pos="7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compensation received by Executive may be subject to reduction, cancellation, forfeiture and/or recoupment to the extent necessary to comply with (a) the Policy for Recovery of Erroneously Awarded Compensation adopted by the Compensation Committee of the Board of Directors of the Company (as amended from time to time, the “Policy”) and (b) any Other Recovery Arrangements (as defined in the Policy). Executive acknowledges that Executive has received and has had an opportunity to review the Policy and any Other Recovery Arrangements applicable to Executive.</w:t>
      </w:r>
    </w:p>
    <w:p>
      <w:pPr>
        <w:spacing w:after="0" w:line="179"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and agrees to the terms of the Policy and any Other Recovery Arrangements, including that any compensation received by Executive shall be subject to and conditioned upon the provisions of the Policy and any Other Recovery Arrangements applicable to Executive.</w:t>
      </w:r>
    </w:p>
    <w:p>
      <w:pPr>
        <w:spacing w:after="0" w:line="172"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further acknowledges and agrees that Executive is not entitled to indemnification in connection with any enforcement of the Policy or any Other Recovery Arrangements applicable to Executive and expressly waives any rights to such indemnification under the Company’s organizational documents or otherwise.</w:t>
      </w:r>
    </w:p>
    <w:p>
      <w:pPr>
        <w:spacing w:after="0" w:line="172"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to take all actions requested by the Company in order to enable or facilitate the enforcement of the Policy and any Other Recovery Arrangements applicable to Executive (including, without limitation, any reduction, cancellation, forfeiture or recoupment of any compensation that Executive has received or to which Executive may become entitled).</w:t>
      </w:r>
    </w:p>
    <w:p>
      <w:pPr>
        <w:spacing w:after="0" w:line="178" w:lineRule="exact"/>
        <w:rPr>
          <w:rFonts w:ascii="Times New Roman" w:cs="Times New Roman" w:eastAsia="Times New Roman" w:hAnsi="Times New Roman"/>
          <w:sz w:val="22"/>
          <w:szCs w:val="22"/>
          <w:color w:val="auto"/>
        </w:rPr>
      </w:pPr>
    </w:p>
    <w:p>
      <w:pPr>
        <w:jc w:val="both"/>
        <w:ind w:left="760" w:hanging="378"/>
        <w:spacing w:after="0" w:line="236" w:lineRule="auto"/>
        <w:tabs>
          <w:tab w:leader="none" w:pos="7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any recovery right under the Policy and any Other Recovery Arrangements applicable to Executive conflicts with any other contractual rights Executive may have with the Company or any affiliate, Executive understands that the terms of the Policy and the Other Recovery Arrangements shall supersede any such contractual rights. Executive agrees that no recovery of compensation under the Policy and the Other Recovery Arrangements will be an event that triggers or contributes to any right of Executive to resign for “good reason” or “constructive termination” (or similar term) under any agreement with the Company or any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alibri" w:cs="Calibri" w:eastAsia="Calibri" w:hAnsi="Calibri"/>
          <w:sz w:val="14"/>
          <w:szCs w:val="14"/>
          <w:color w:val="auto"/>
        </w:rPr>
        <w:t>|US-DOCS\142346205.2||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573405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9" w:name="page130"/>
    <w:bookmarkEnd w:id="129"/>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476250</wp:posOffset>
            </wp:positionV>
            <wp:extent cx="285115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3">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285115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4">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285115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5">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ALLISON TRANSMISSION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613410</wp:posOffset>
            </wp:positionV>
            <wp:extent cx="285115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6">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285115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7">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285115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8">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alibri" w:cs="Calibri" w:eastAsia="Calibri" w:hAnsi="Calibri"/>
          <w:sz w:val="14"/>
          <w:szCs w:val="14"/>
          <w:color w:val="auto"/>
        </w:rPr>
        <w:t>|US-DOCS\142346205.2||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0" w:name="page131"/>
    <w:bookmarkEnd w:id="1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lowerRoman"/>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lowerLetter"/>
      <w:start w:val="1"/>
    </w:lvl>
  </w:abstractNum>
  <w:abstractNum w:abstractNumId="13">
    <w:nsid w:val="614FD4A1"/>
    <w:multiLevelType w:val="hybridMultilevel"/>
    <w:lvl w:ilvl="0">
      <w:lvlJc w:val="left"/>
      <w:lvlText w:val="(%1)"/>
      <w:numFmt w:val="lowerLetter"/>
      <w:start w:val="25"/>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1."/>
      <w:numFmt w:val="decimal"/>
      <w:start w:val="8"/>
    </w:lvl>
  </w:abstractNum>
  <w:abstractNum w:abstractNumId="16">
    <w:nsid w:val="440BADFC"/>
    <w:multiLevelType w:val="hybridMultilevel"/>
    <w:lvl w:ilvl="0">
      <w:lvlJc w:val="left"/>
      <w:lvlText w:val="%1"/>
      <w:numFmt w:val="decimal"/>
      <w:start w:val="97"/>
    </w:lvl>
  </w:abstractNum>
  <w:abstractNum w:abstractNumId="17">
    <w:nsid w:val="5072367"/>
    <w:multiLevelType w:val="hybridMultilevel"/>
    <w:lvl w:ilvl="0">
      <w:lvlJc w:val="left"/>
      <w:lvlText w:val="*"/>
      <w:numFmt w:val="bullet"/>
      <w:start w:val="1"/>
    </w:lvl>
    <w:lvl w:ilvl="1">
      <w:lvlJc w:val="left"/>
      <w:lvlText w:val="%2"/>
      <w:numFmt w:val="decimal"/>
      <w:start w:val="104"/>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1)"/>
      <w:numFmt w:val="lowerLetter"/>
      <w:start w:val="1"/>
    </w:lvl>
    <w:lvl w:ilvl="1">
      <w:lvlJc w:val="left"/>
      <w:lvlText w:val="(%2)"/>
      <w:numFmt w:val="lowerLetter"/>
      <w:start w:val="2"/>
    </w:lvl>
  </w:abstractNum>
  <w:abstractNum w:abstractNumId="20">
    <w:nsid w:val="7724C67E"/>
    <w:multiLevelType w:val="hybridMultilevel"/>
    <w:lvl w:ilvl="0">
      <w:lvlJc w:val="left"/>
      <w:lvlText w:val="(%1)"/>
      <w:numFmt w:val="lowerLetter"/>
      <w:start w:val="1"/>
    </w:lvl>
  </w:abstractNum>
  <w:abstractNum w:abstractNumId="21">
    <w:nsid w:val="5C482A97"/>
    <w:multiLevelType w:val="hybridMultilevel"/>
    <w:lvl w:ilvl="0">
      <w:lvlJc w:val="left"/>
      <w:lvlText w:val="(%1)"/>
      <w:numFmt w:val="lowerLetter"/>
      <w:start w:val="2"/>
    </w:lvl>
  </w:abstractNum>
  <w:abstractNum w:abstractNumId="22">
    <w:nsid w:val="2463B9EA"/>
    <w:multiLevelType w:val="hybridMultilevel"/>
    <w:lvl w:ilvl="0">
      <w:lvlJc w:val="left"/>
      <w:lvlText w:val="(%1)"/>
      <w:numFmt w:val="lowerLetter"/>
      <w:start w:val="3"/>
    </w:lvl>
  </w:abstractNum>
  <w:abstractNum w:abstractNumId="23">
    <w:nsid w:val="5E884ADC"/>
    <w:multiLevelType w:val="hybridMultilevel"/>
    <w:lvl w:ilvl="0">
      <w:lvlJc w:val="left"/>
      <w:lvlText w:val="(%1)"/>
      <w:numFmt w:val="lowerLetter"/>
      <w:start w:val="4"/>
    </w:lvl>
  </w:abstractNum>
  <w:abstractNum w:abstractNumId="24">
    <w:nsid w:val="51EAD36B"/>
    <w:multiLevelType w:val="hybridMultilevel"/>
    <w:lvl w:ilvl="0">
      <w:lvlJc w:val="left"/>
      <w:lvlText w:val="(%1)"/>
      <w:numFmt w:val="lowerLetter"/>
      <w:start w:val="5"/>
    </w:lvl>
  </w:abstractNum>
  <w:abstractNum w:abstractNumId="25">
    <w:nsid w:val="2D517796"/>
    <w:multiLevelType w:val="hybridMultilevel"/>
    <w:lvl w:ilvl="0">
      <w:lvlJc w:val="left"/>
      <w:lvlText w:val="(%1)"/>
      <w:numFmt w:val="lowerLetter"/>
      <w:start w:val="1"/>
    </w:lvl>
  </w:abstractNum>
  <w:abstractNum w:abstractNumId="26">
    <w:nsid w:val="580BD78F"/>
    <w:multiLevelType w:val="hybridMultilevel"/>
    <w:lvl w:ilvl="0">
      <w:lvlJc w:val="left"/>
      <w:lvlText w:val="(%1)"/>
      <w:numFmt w:val="lowerLetter"/>
      <w:start w:val="1"/>
    </w:lvl>
  </w:abstractNum>
  <w:abstractNum w:abstractNumId="27">
    <w:nsid w:val="153EA438"/>
    <w:multiLevelType w:val="hybridMultilevel"/>
    <w:lvl w:ilvl="0">
      <w:lvlJc w:val="left"/>
      <w:lvlText w:val="(%1)"/>
      <w:numFmt w:val="lowerRoman"/>
      <w:start w:val="2"/>
    </w:lvl>
  </w:abstractNum>
  <w:abstractNum w:abstractNumId="28">
    <w:nsid w:val="3855585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6"/>
    </w:lvl>
  </w:abstractNum>
  <w:abstractNum w:abstractNumId="29">
    <w:nsid w:val="70A64E2A"/>
    <w:multiLevelType w:val="hybridMultilevel"/>
    <w:lvl w:ilvl="0">
      <w:lvlJc w:val="left"/>
      <w:lvlText w:val="(%1)"/>
      <w:numFmt w:val="lowerLetter"/>
      <w:start w:val="2"/>
    </w:lvl>
    <w:lvl w:ilvl="1">
      <w:lvlJc w:val="left"/>
      <w:lvlText w:val="(%2)"/>
      <w:numFmt w:val="lowerLetter"/>
      <w:start w:val="4"/>
    </w:lvl>
    <w:lvl w:ilvl="2">
      <w:lvlJc w:val="left"/>
      <w:lvlText w:val="%3"/>
      <w:numFmt w:val="lowerRoman"/>
      <w:start w:val="1"/>
    </w:lvl>
  </w:abstractNum>
  <w:abstractNum w:abstractNumId="30">
    <w:nsid w:val="6A2342EC"/>
    <w:multiLevelType w:val="hybridMultilevel"/>
    <w:lvl w:ilvl="0">
      <w:lvlJc w:val="left"/>
      <w:lvlText w:val="%1."/>
      <w:numFmt w:val="decimal"/>
      <w:start w:val="1"/>
    </w:lvl>
    <w:lvl w:ilvl="1">
      <w:lvlJc w:val="left"/>
      <w:lvlText w:val="%2."/>
      <w:numFmt w:val="lowerLetter"/>
      <w:start w:val="1"/>
    </w:lvl>
  </w:abstractNum>
  <w:abstractNum w:abstractNumId="31">
    <w:nsid w:val="2A487CB0"/>
    <w:multiLevelType w:val="hybridMultilevel"/>
    <w:lvl w:ilvl="0">
      <w:lvlJc w:val="left"/>
      <w:lvlText w:val="%1."/>
      <w:numFmt w:val="lowerLetter"/>
      <w:start w:val="4"/>
    </w:lvl>
  </w:abstractNum>
  <w:abstractNum w:abstractNumId="32">
    <w:nsid w:val="1D4ED43B"/>
    <w:multiLevelType w:val="hybridMultilevel"/>
    <w:lvl w:ilvl="0">
      <w:lvlJc w:val="left"/>
      <w:lvlText w:val="%1."/>
      <w:numFmt w:val="lowerLetter"/>
      <w:start w:val="8"/>
    </w:lvl>
  </w:abstractNum>
  <w:abstractNum w:abstractNumId="33">
    <w:nsid w:val="725A06FB"/>
    <w:multiLevelType w:val="hybridMultilevel"/>
    <w:lvl w:ilvl="0">
      <w:lvlJc w:val="left"/>
      <w:lvlText w:val="%1"/>
      <w:numFmt w:val="lowerLetter"/>
      <w:start w:val="1"/>
    </w:lvl>
    <w:lvl w:ilvl="1">
      <w:lvlJc w:val="left"/>
      <w:lvlText w:val="%2."/>
      <w:numFmt w:val="decimal"/>
      <w:start w:val="3"/>
    </w:lvl>
  </w:abstractNum>
  <w:abstractNum w:abstractNumId="34">
    <w:nsid w:val="2CD89A32"/>
    <w:multiLevelType w:val="hybridMultilevel"/>
    <w:lvl w:ilvl="0">
      <w:lvlJc w:val="left"/>
      <w:lvlText w:val="(%1)"/>
      <w:numFmt w:val="lowerLetter"/>
      <w:start w:val="1"/>
    </w:lvl>
    <w:lvl w:ilvl="1">
      <w:lvlJc w:val="left"/>
      <w:lvlText w:val="%2"/>
      <w:numFmt w:val="decimal"/>
      <w:start w:val="1"/>
    </w:lvl>
  </w:abstractNum>
  <w:abstractNum w:abstractNumId="35">
    <w:nsid w:val="57E4CCAF"/>
    <w:multiLevelType w:val="hybridMultilevel"/>
    <w:lvl w:ilvl="0">
      <w:lvlJc w:val="left"/>
      <w:lvlText w:val="%1."/>
      <w:numFmt w:val="decimal"/>
      <w:start w:val="6"/>
    </w:lvl>
    <w:lvl w:ilvl="1">
      <w:lvlJc w:val="left"/>
      <w:lvlText w:val="*"/>
      <w:numFmt w:val="bullet"/>
      <w:start w:val="1"/>
    </w:lvl>
  </w:abstractNum>
  <w:abstractNum w:abstractNumId="36">
    <w:nsid w:val="7A6D8D3C"/>
    <w:multiLevelType w:val="hybridMultilevel"/>
    <w:lvl w:ilvl="0">
      <w:lvlJc w:val="left"/>
      <w:lvlText w:val="%1."/>
      <w:numFmt w:val="decimal"/>
      <w:start w:val="1"/>
    </w:lvl>
    <w:lvl w:ilvl="1">
      <w:lvlJc w:val="left"/>
      <w:lvlText w:val="%2)"/>
      <w:numFmt w:val="lowerLetter"/>
      <w:start w:val="1"/>
    </w:lvl>
  </w:abstractNum>
  <w:abstractNum w:abstractNumId="37">
    <w:nsid w:val="4B588F54"/>
    <w:multiLevelType w:val="hybridMultilevel"/>
    <w:lvl w:ilvl="0">
      <w:lvlJc w:val="left"/>
      <w:lvlText w:val="%1."/>
      <w:numFmt w:val="decimal"/>
      <w:start w:val="1"/>
    </w:lvl>
    <w:lvl w:ilvl="1">
      <w:lvlJc w:val="left"/>
      <w:lvlText w:val="%2)"/>
      <w:numFmt w:val="lowerLetter"/>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1."/>
      <w:numFmt w:val="decimal"/>
      <w:start w:val="2"/>
    </w:lvl>
  </w:abstractNum>
  <w:abstractNum w:abstractNumId="41">
    <w:nsid w:val="7644A45C"/>
    <w:multiLevelType w:val="hybridMultilevel"/>
    <w:lvl w:ilvl="0">
      <w:lvlJc w:val="left"/>
      <w:lvlText w:val="%1."/>
      <w:numFmt w:val="decimal"/>
      <w:start w:val="3"/>
    </w:lvl>
  </w:abstractNum>
  <w:abstractNum w:abstractNumId="42">
    <w:nsid w:val="32FFF902"/>
    <w:multiLevelType w:val="hybridMultilevel"/>
    <w:lvl w:ilvl="0">
      <w:lvlJc w:val="left"/>
      <w:lvlText w:val="%1."/>
      <w:numFmt w:val="decimal"/>
      <w:start w:val="4"/>
    </w:lvl>
  </w:abstractNum>
  <w:abstractNum w:abstractNumId="43">
    <w:nsid w:val="684A481A"/>
    <w:multiLevelType w:val="hybridMultilevel"/>
    <w:lvl w:ilvl="0">
      <w:lvlJc w:val="left"/>
      <w:lvlText w:val="%1."/>
      <w:numFmt w:val="decimal"/>
      <w:start w:val="5"/>
    </w:lvl>
  </w:abstractNum>
  <w:abstractNum w:abstractNumId="44">
    <w:nsid w:val="579478FE"/>
    <w:multiLevelType w:val="hybridMultilevel"/>
    <w:lvl w:ilvl="0">
      <w:lvlJc w:val="left"/>
      <w:lvlText w:val="%1."/>
      <w:numFmt w:val="decimal"/>
      <w:start w:val="6"/>
    </w:lvl>
  </w:abstractNum>
  <w:abstractNum w:abstractNumId="45">
    <w:nsid w:val="749ABB43"/>
    <w:multiLevelType w:val="hybridMultilevel"/>
    <w:lvl w:ilvl="0">
      <w:lvlJc w:val="left"/>
      <w:lvlText w:val="%1."/>
      <w:numFmt w:val="decimal"/>
      <w:start w:val="7"/>
    </w:lvl>
  </w:abstractNum>
  <w:abstractNum w:abstractNumId="46">
    <w:nsid w:val="3DC240FB"/>
    <w:multiLevelType w:val="hybridMultilevel"/>
    <w:lvl w:ilvl="0">
      <w:lvlJc w:val="left"/>
      <w:lvlText w:val="%1."/>
      <w:numFmt w:val="decimal"/>
      <w:start w:val="8"/>
    </w:lvl>
  </w:abstractNum>
  <w:abstractNum w:abstractNumId="47">
    <w:nsid w:val="1BA026FA"/>
    <w:multiLevelType w:val="hybridMultilevel"/>
    <w:lvl w:ilvl="0">
      <w:lvlJc w:val="left"/>
      <w:lvlText w:val="%1."/>
      <w:numFmt w:val="decimal"/>
      <w:start w:val="9"/>
    </w:lvl>
  </w:abstractNum>
  <w:abstractNum w:abstractNumId="48">
    <w:nsid w:val="79A1DEAA"/>
    <w:multiLevelType w:val="hybridMultilevel"/>
    <w:lvl w:ilvl="0">
      <w:lvlJc w:val="left"/>
      <w:lvlText w:val="%1."/>
      <w:numFmt w:val="decimal"/>
      <w:start w:val="10"/>
    </w:lvl>
  </w:abstractNum>
  <w:abstractNum w:abstractNumId="49">
    <w:nsid w:val="75C6C33A"/>
    <w:multiLevelType w:val="hybridMultilevel"/>
    <w:lvl w:ilvl="0">
      <w:lvlJc w:val="left"/>
      <w:lvlText w:val="%1."/>
      <w:numFmt w:val="decimal"/>
      <w:start w:val="11"/>
    </w:lvl>
  </w:abstractNum>
  <w:abstractNum w:abstractNumId="50">
    <w:nsid w:val="12E685FB"/>
    <w:multiLevelType w:val="hybridMultilevel"/>
    <w:lvl w:ilvl="0">
      <w:lvlJc w:val="left"/>
      <w:lvlText w:val="%1."/>
      <w:numFmt w:val="decimal"/>
      <w:start w:val="12"/>
    </w:lvl>
  </w:abstractNum>
  <w:abstractNum w:abstractNumId="51">
    <w:nsid w:val="70C6A529"/>
    <w:multiLevelType w:val="hybridMultilevel"/>
    <w:lvl w:ilvl="0">
      <w:lvlJc w:val="left"/>
      <w:lvlText w:val="%1."/>
      <w:numFmt w:val="decimal"/>
      <w:start w:val="13"/>
    </w:lvl>
    <w:lvl w:ilvl="1">
      <w:lvlJc w:val="left"/>
      <w:lvlText w:val="\ldblquote"/>
      <w:numFmt w:val="bullet"/>
      <w:start w:val="1"/>
    </w:lvl>
  </w:abstractNum>
  <w:abstractNum w:abstractNumId="52">
    <w:nsid w:val="520EEDD1"/>
    <w:multiLevelType w:val="hybridMultilevel"/>
    <w:lvl w:ilvl="0">
      <w:lvlJc w:val="left"/>
      <w:lvlText w:val="(%1)"/>
      <w:numFmt w:val="lowerLetter"/>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44" Type="http://schemas.openxmlformats.org/officeDocument/2006/relationships/image" Target="media/image429.png"/><Relationship Id="rId445" Type="http://schemas.openxmlformats.org/officeDocument/2006/relationships/image" Target="media/image430.png"/><Relationship Id="rId446" Type="http://schemas.openxmlformats.org/officeDocument/2006/relationships/image" Target="media/image431.png"/><Relationship Id="rId448" Type="http://schemas.openxmlformats.org/officeDocument/2006/relationships/image" Target="media/image432.png"/><Relationship Id="rId449" Type="http://schemas.openxmlformats.org/officeDocument/2006/relationships/image" Target="media/image433.png"/><Relationship Id="rId450" Type="http://schemas.openxmlformats.org/officeDocument/2006/relationships/image" Target="media/image434.png"/><Relationship Id="rId451" Type="http://schemas.openxmlformats.org/officeDocument/2006/relationships/image" Target="media/image435.png"/><Relationship Id="rId452" Type="http://schemas.openxmlformats.org/officeDocument/2006/relationships/image" Target="media/image436.png"/><Relationship Id="rId454" Type="http://schemas.openxmlformats.org/officeDocument/2006/relationships/image" Target="media/image437.png"/><Relationship Id="rId455" Type="http://schemas.openxmlformats.org/officeDocument/2006/relationships/image" Target="media/image438.png"/><Relationship Id="rId456" Type="http://schemas.openxmlformats.org/officeDocument/2006/relationships/image" Target="media/image439.png"/><Relationship Id="rId457" Type="http://schemas.openxmlformats.org/officeDocument/2006/relationships/image" Target="media/image440.png"/><Relationship Id="rId458" Type="http://schemas.openxmlformats.org/officeDocument/2006/relationships/image" Target="media/image441.png"/><Relationship Id="rId459" Type="http://schemas.openxmlformats.org/officeDocument/2006/relationships/image" Target="media/image442.png"/><Relationship Id="rId461" Type="http://schemas.openxmlformats.org/officeDocument/2006/relationships/image" Target="media/image443.png"/><Relationship Id="rId462" Type="http://schemas.openxmlformats.org/officeDocument/2006/relationships/image" Target="media/image444.png"/><Relationship Id="rId463" Type="http://schemas.openxmlformats.org/officeDocument/2006/relationships/image" Target="media/image445.png"/><Relationship Id="rId464" Type="http://schemas.openxmlformats.org/officeDocument/2006/relationships/image" Target="media/image446.png"/><Relationship Id="rId465" Type="http://schemas.openxmlformats.org/officeDocument/2006/relationships/image" Target="media/image447.png"/><Relationship Id="rId467" Type="http://schemas.openxmlformats.org/officeDocument/2006/relationships/image" Target="media/image448.png"/><Relationship Id="rId468" Type="http://schemas.openxmlformats.org/officeDocument/2006/relationships/image" Target="media/image449.png"/><Relationship Id="rId469" Type="http://schemas.openxmlformats.org/officeDocument/2006/relationships/image" Target="media/image450.png"/><Relationship Id="rId471" Type="http://schemas.openxmlformats.org/officeDocument/2006/relationships/image" Target="media/image451.png"/><Relationship Id="rId472" Type="http://schemas.openxmlformats.org/officeDocument/2006/relationships/image" Target="media/image452.png"/><Relationship Id="rId473" Type="http://schemas.openxmlformats.org/officeDocument/2006/relationships/image" Target="media/image453.png"/><Relationship Id="rId475" Type="http://schemas.openxmlformats.org/officeDocument/2006/relationships/image" Target="media/image454.png"/><Relationship Id="rId476" Type="http://schemas.openxmlformats.org/officeDocument/2006/relationships/image" Target="media/image455.png"/><Relationship Id="rId477" Type="http://schemas.openxmlformats.org/officeDocument/2006/relationships/image" Target="media/image456.png"/><Relationship Id="rId479" Type="http://schemas.openxmlformats.org/officeDocument/2006/relationships/image" Target="media/image457.png"/><Relationship Id="rId480" Type="http://schemas.openxmlformats.org/officeDocument/2006/relationships/image" Target="media/image458.png"/><Relationship Id="rId481" Type="http://schemas.openxmlformats.org/officeDocument/2006/relationships/image" Target="media/image459.png"/><Relationship Id="rId482" Type="http://schemas.openxmlformats.org/officeDocument/2006/relationships/image" Target="media/image460.png"/><Relationship Id="rId484" Type="http://schemas.openxmlformats.org/officeDocument/2006/relationships/image" Target="media/image461.png"/><Relationship Id="rId485" Type="http://schemas.openxmlformats.org/officeDocument/2006/relationships/image" Target="media/image462.png"/><Relationship Id="rId487" Type="http://schemas.openxmlformats.org/officeDocument/2006/relationships/image" Target="media/image463.png"/><Relationship Id="rId488" Type="http://schemas.openxmlformats.org/officeDocument/2006/relationships/image" Target="media/image464.png"/><Relationship Id="rId490" Type="http://schemas.openxmlformats.org/officeDocument/2006/relationships/image" Target="media/image465.png"/><Relationship Id="rId491" Type="http://schemas.openxmlformats.org/officeDocument/2006/relationships/image" Target="media/image466.png"/><Relationship Id="rId493" Type="http://schemas.openxmlformats.org/officeDocument/2006/relationships/image" Target="media/image467.png"/><Relationship Id="rId494" Type="http://schemas.openxmlformats.org/officeDocument/2006/relationships/image" Target="media/image468.png"/><Relationship Id="rId495" Type="http://schemas.openxmlformats.org/officeDocument/2006/relationships/image" Target="media/image469.png"/><Relationship Id="rId497" Type="http://schemas.openxmlformats.org/officeDocument/2006/relationships/image" Target="media/image470.png"/><Relationship Id="rId498" Type="http://schemas.openxmlformats.org/officeDocument/2006/relationships/image" Target="media/image471.png"/><Relationship Id="rId499" Type="http://schemas.openxmlformats.org/officeDocument/2006/relationships/image" Target="media/image472.png"/><Relationship Id="rId500" Type="http://schemas.openxmlformats.org/officeDocument/2006/relationships/image" Target="media/image473.png"/><Relationship Id="rId502" Type="http://schemas.openxmlformats.org/officeDocument/2006/relationships/image" Target="media/image474.png"/><Relationship Id="rId503" Type="http://schemas.openxmlformats.org/officeDocument/2006/relationships/image" Target="media/image475.png"/><Relationship Id="rId505" Type="http://schemas.openxmlformats.org/officeDocument/2006/relationships/image" Target="media/image476.png"/><Relationship Id="rId506" Type="http://schemas.openxmlformats.org/officeDocument/2006/relationships/image" Target="media/image477.png"/><Relationship Id="rId507" Type="http://schemas.openxmlformats.org/officeDocument/2006/relationships/image" Target="media/image478.png"/><Relationship Id="rId509" Type="http://schemas.openxmlformats.org/officeDocument/2006/relationships/image" Target="media/image479.png"/><Relationship Id="rId510" Type="http://schemas.openxmlformats.org/officeDocument/2006/relationships/image" Target="media/image480.png"/><Relationship Id="rId511" Type="http://schemas.openxmlformats.org/officeDocument/2006/relationships/image" Target="media/image481.png"/><Relationship Id="rId513" Type="http://schemas.openxmlformats.org/officeDocument/2006/relationships/image" Target="media/image482.png"/><Relationship Id="rId514" Type="http://schemas.openxmlformats.org/officeDocument/2006/relationships/image" Target="media/image483.png"/><Relationship Id="rId516" Type="http://schemas.openxmlformats.org/officeDocument/2006/relationships/image" Target="media/image484.png"/><Relationship Id="rId517" Type="http://schemas.openxmlformats.org/officeDocument/2006/relationships/image" Target="media/image485.png"/><Relationship Id="rId519" Type="http://schemas.openxmlformats.org/officeDocument/2006/relationships/image" Target="media/image486.png"/><Relationship Id="rId520" Type="http://schemas.openxmlformats.org/officeDocument/2006/relationships/image" Target="media/image487.png"/><Relationship Id="rId521" Type="http://schemas.openxmlformats.org/officeDocument/2006/relationships/image" Target="media/image488.png"/><Relationship Id="rId522" Type="http://schemas.openxmlformats.org/officeDocument/2006/relationships/image" Target="media/image489.png"/><Relationship Id="rId523" Type="http://schemas.openxmlformats.org/officeDocument/2006/relationships/image" Target="media/image490.png"/><Relationship Id="rId524" Type="http://schemas.openxmlformats.org/officeDocument/2006/relationships/image" Target="media/image491.png"/><Relationship Id="rId525" Type="http://schemas.openxmlformats.org/officeDocument/2006/relationships/image" Target="media/image492.png"/><Relationship Id="rId526" Type="http://schemas.openxmlformats.org/officeDocument/2006/relationships/image" Target="media/image493.png"/><Relationship Id="rId527" Type="http://schemas.openxmlformats.org/officeDocument/2006/relationships/image" Target="media/image494.png"/><Relationship Id="rId528" Type="http://schemas.openxmlformats.org/officeDocument/2006/relationships/image" Target="media/image495.png"/><Relationship Id="rId529" Type="http://schemas.openxmlformats.org/officeDocument/2006/relationships/image" Target="media/image496.png"/><Relationship Id="rId530" Type="http://schemas.openxmlformats.org/officeDocument/2006/relationships/image" Target="media/image497.png"/><Relationship Id="rId531" Type="http://schemas.openxmlformats.org/officeDocument/2006/relationships/image" Target="media/image498.png"/><Relationship Id="rId532" Type="http://schemas.openxmlformats.org/officeDocument/2006/relationships/image" Target="media/image499.png"/><Relationship Id="rId533" Type="http://schemas.openxmlformats.org/officeDocument/2006/relationships/image" Target="media/image500.png"/><Relationship Id="rId534" Type="http://schemas.openxmlformats.org/officeDocument/2006/relationships/image" Target="media/image501.png"/><Relationship Id="rId535" Type="http://schemas.openxmlformats.org/officeDocument/2006/relationships/image" Target="media/image502.png"/><Relationship Id="rId536" Type="http://schemas.openxmlformats.org/officeDocument/2006/relationships/image" Target="media/image503.png"/><Relationship Id="rId537" Type="http://schemas.openxmlformats.org/officeDocument/2006/relationships/image" Target="media/image504.png"/><Relationship Id="rId538" Type="http://schemas.openxmlformats.org/officeDocument/2006/relationships/image" Target="media/image505.png"/><Relationship Id="rId539" Type="http://schemas.openxmlformats.org/officeDocument/2006/relationships/image" Target="media/image506.png"/><Relationship Id="rId540" Type="http://schemas.openxmlformats.org/officeDocument/2006/relationships/image" Target="media/image507.png"/><Relationship Id="rId541" Type="http://schemas.openxmlformats.org/officeDocument/2006/relationships/image" Target="media/image508.png"/><Relationship Id="rId542" Type="http://schemas.openxmlformats.org/officeDocument/2006/relationships/image" Target="media/image509.png"/><Relationship Id="rId543" Type="http://schemas.openxmlformats.org/officeDocument/2006/relationships/image" Target="media/image510.png"/><Relationship Id="rId544" Type="http://schemas.openxmlformats.org/officeDocument/2006/relationships/image" Target="media/image511.png"/><Relationship Id="rId545" Type="http://schemas.openxmlformats.org/officeDocument/2006/relationships/image" Target="media/image512.png"/><Relationship Id="rId546" Type="http://schemas.openxmlformats.org/officeDocument/2006/relationships/image" Target="media/image513.png"/><Relationship Id="rId547" Type="http://schemas.openxmlformats.org/officeDocument/2006/relationships/image" Target="media/image514.png"/><Relationship Id="rId548" Type="http://schemas.openxmlformats.org/officeDocument/2006/relationships/image" Target="media/image515.png"/><Relationship Id="rId549" Type="http://schemas.openxmlformats.org/officeDocument/2006/relationships/image" Target="media/image516.png"/><Relationship Id="rId550" Type="http://schemas.openxmlformats.org/officeDocument/2006/relationships/image" Target="media/image517.png"/><Relationship Id="rId551" Type="http://schemas.openxmlformats.org/officeDocument/2006/relationships/image" Target="media/image518.png"/><Relationship Id="rId552" Type="http://schemas.openxmlformats.org/officeDocument/2006/relationships/image" Target="media/image519.png"/><Relationship Id="rId553" Type="http://schemas.openxmlformats.org/officeDocument/2006/relationships/image" Target="media/image520.png"/><Relationship Id="rId554" Type="http://schemas.openxmlformats.org/officeDocument/2006/relationships/image" Target="media/image521.png"/><Relationship Id="rId555" Type="http://schemas.openxmlformats.org/officeDocument/2006/relationships/image" Target="media/image522.png"/><Relationship Id="rId556" Type="http://schemas.openxmlformats.org/officeDocument/2006/relationships/image" Target="media/image523.png"/><Relationship Id="rId557" Type="http://schemas.openxmlformats.org/officeDocument/2006/relationships/image" Target="media/image524.png"/><Relationship Id="rId558" Type="http://schemas.openxmlformats.org/officeDocument/2006/relationships/image" Target="media/image525.png"/><Relationship Id="rId559" Type="http://schemas.openxmlformats.org/officeDocument/2006/relationships/image" Target="media/image526.png"/><Relationship Id="rId560" Type="http://schemas.openxmlformats.org/officeDocument/2006/relationships/image" Target="media/image527.png"/><Relationship Id="rId561" Type="http://schemas.openxmlformats.org/officeDocument/2006/relationships/image" Target="media/image528.png"/><Relationship Id="rId562" Type="http://schemas.openxmlformats.org/officeDocument/2006/relationships/image" Target="media/image529.png"/><Relationship Id="rId563" Type="http://schemas.openxmlformats.org/officeDocument/2006/relationships/image" Target="media/image530.png"/><Relationship Id="rId564" Type="http://schemas.openxmlformats.org/officeDocument/2006/relationships/image" Target="media/image531.png"/><Relationship Id="rId565" Type="http://schemas.openxmlformats.org/officeDocument/2006/relationships/image" Target="media/image532.png"/><Relationship Id="rId566" Type="http://schemas.openxmlformats.org/officeDocument/2006/relationships/image" Target="media/image533.png"/><Relationship Id="rId567" Type="http://schemas.openxmlformats.org/officeDocument/2006/relationships/image" Target="media/image534.png"/><Relationship Id="rId568" Type="http://schemas.openxmlformats.org/officeDocument/2006/relationships/image" Target="media/image535.png"/><Relationship Id="rId569" Type="http://schemas.openxmlformats.org/officeDocument/2006/relationships/image" Target="media/image536.png"/><Relationship Id="rId570" Type="http://schemas.openxmlformats.org/officeDocument/2006/relationships/image" Target="media/image537.png"/><Relationship Id="rId571" Type="http://schemas.openxmlformats.org/officeDocument/2006/relationships/image" Target="media/image538.png"/><Relationship Id="rId572" Type="http://schemas.openxmlformats.org/officeDocument/2006/relationships/image" Target="media/image539.png"/><Relationship Id="rId573" Type="http://schemas.openxmlformats.org/officeDocument/2006/relationships/image" Target="media/image540.png"/><Relationship Id="rId574" Type="http://schemas.openxmlformats.org/officeDocument/2006/relationships/image" Target="media/image541.png"/><Relationship Id="rId575" Type="http://schemas.openxmlformats.org/officeDocument/2006/relationships/image" Target="media/image542.png"/><Relationship Id="rId576" Type="http://schemas.openxmlformats.org/officeDocument/2006/relationships/image" Target="media/image543.png"/><Relationship Id="rId577" Type="http://schemas.openxmlformats.org/officeDocument/2006/relationships/image" Target="media/image544.png"/><Relationship Id="rId578" Type="http://schemas.openxmlformats.org/officeDocument/2006/relationships/image" Target="media/image545.png"/><Relationship Id="rId579" Type="http://schemas.openxmlformats.org/officeDocument/2006/relationships/image" Target="media/image546.png"/><Relationship Id="rId436" Type="http://schemas.openxmlformats.org/officeDocument/2006/relationships/hyperlink" Target="https://www.sec.gov/Archives/edgar/data/1411207/000119312512184036/d323375dex31.htm" TargetMode="External"/><Relationship Id="rId437" Type="http://schemas.openxmlformats.org/officeDocument/2006/relationships/hyperlink" Target="https://www.sec.gov/Archives/edgar/data/1411207/000119312516594496/d183115dex31.htm" TargetMode="External"/><Relationship Id="rId438" Type="http://schemas.openxmlformats.org/officeDocument/2006/relationships/hyperlink" Target="https://www.sec.gov/Archives/edgar/data/1411207/000119312523137120/d356946dex31.htm" TargetMode="External"/><Relationship Id="rId439" Type="http://schemas.openxmlformats.org/officeDocument/2006/relationships/hyperlink" Target="https://www.sec.gov/Archives/edgar/data/1411207/000119312511166896/dex41.htm" TargetMode="External"/><Relationship Id="rId440" Type="http://schemas.openxmlformats.org/officeDocument/2006/relationships/hyperlink" Target="https://www.sec.gov/Archives/edgar/data/1411207/000119312517294436/d420544dex41.htm" TargetMode="External"/><Relationship Id="rId441" Type="http://schemas.openxmlformats.org/officeDocument/2006/relationships/hyperlink" Target="https://www.sec.gov/Archives/edgar/data/1411207/000119312519092833/d714412dex41.htm" TargetMode="External"/><Relationship Id="rId442" Type="http://schemas.openxmlformats.org/officeDocument/2006/relationships/hyperlink" Target="https://www.sec.gov/Archives/edgar/data/1411207/000119312520298238/d199880dex41.htm" TargetMode="External"/><Relationship Id="rId443" Type="http://schemas.openxmlformats.org/officeDocument/2006/relationships/hyperlink" Target="https://www.sec.gov/Archives/edgar/data/1411207/000119312519092833/d714412dex101.htm" TargetMode="External"/><Relationship Id="rId447" Type="http://schemas.openxmlformats.org/officeDocument/2006/relationships/hyperlink" Target="https://www.sec.gov/Archives/edgar/data/1411207/000119312519267347/d811015dex101.htm" TargetMode="External"/><Relationship Id="rId453" Type="http://schemas.openxmlformats.org/officeDocument/2006/relationships/hyperlink" Target="https://www.sec.gov/Archives/edgar/data/1411207/000119312520298238/d199880dex101.htm" TargetMode="External"/><Relationship Id="rId460" Type="http://schemas.openxmlformats.org/officeDocument/2006/relationships/hyperlink" Target="https://www.sec.gov/Archives/edgar/data/1411207/000119312523061359/d476711dex101.htm" TargetMode="External"/><Relationship Id="rId466" Type="http://schemas.openxmlformats.org/officeDocument/2006/relationships/hyperlink" Target="https://www.sec.gov/Archives/edgar/data/1411207/000119312511071161/dex103.htm" TargetMode="External"/><Relationship Id="rId470" Type="http://schemas.openxmlformats.org/officeDocument/2006/relationships/hyperlink" Target="https://www.sec.gov/Archives/edgar/data/1411207/000119312511071161/dex104.htm" TargetMode="External"/><Relationship Id="rId474" Type="http://schemas.openxmlformats.org/officeDocument/2006/relationships/hyperlink" Target="https://www.sec.gov/Archives/edgar/data/1411207/000119312511071161/dex105.htm" TargetMode="External"/><Relationship Id="rId478" Type="http://schemas.openxmlformats.org/officeDocument/2006/relationships/hyperlink" Target="https://www.sec.gov/Archives/edgar/data/1411207/000119312515117078/d889372ddef14a.htm" TargetMode="External"/><Relationship Id="rId483" Type="http://schemas.openxmlformats.org/officeDocument/2006/relationships/hyperlink" Target="https://www.sec.gov/Archives/edgar/data/1411207/000119312516469168/d107528dex1041.htm" TargetMode="External"/><Relationship Id="rId486" Type="http://schemas.openxmlformats.org/officeDocument/2006/relationships/hyperlink" Target="https://www.sec.gov/Archives/edgar/data/1411207/000119312516469168/d107528dex1042.htm" TargetMode="External"/><Relationship Id="rId489" Type="http://schemas.openxmlformats.org/officeDocument/2006/relationships/hyperlink" Target="https://www.sec.gov/Archives/edgar/data/1411207/000119312516469168/d107528dex1043.htm" TargetMode="External"/><Relationship Id="rId492" Type="http://schemas.openxmlformats.org/officeDocument/2006/relationships/hyperlink" Target="https://www.sec.gov/Archives/edgar/data/1411207/000119312517056079/d290286dex1025.htm" TargetMode="External"/><Relationship Id="rId496" Type="http://schemas.openxmlformats.org/officeDocument/2006/relationships/hyperlink" Target="https://www.sec.gov/Archives/edgar/data/1411207/000119312511166896/dex1010.htm" TargetMode="External"/><Relationship Id="rId501" Type="http://schemas.openxmlformats.org/officeDocument/2006/relationships/hyperlink" Target="https://www.sec.gov/Archives/edgar/data/1411207/000119312511166896/dex1012.htm" TargetMode="External"/><Relationship Id="rId504" Type="http://schemas.openxmlformats.org/officeDocument/2006/relationships/hyperlink" Target="https://www.sec.gov/Archives/edgar/data/1411207/000119312512325816/d357243dex1021.htm" TargetMode="External"/><Relationship Id="rId508" Type="http://schemas.openxmlformats.org/officeDocument/2006/relationships/hyperlink" Target="https://www.sec.gov/Archives/edgar/data/1411207/000119312515152186/d898569dex1038.htm" TargetMode="External"/><Relationship Id="rId512" Type="http://schemas.openxmlformats.org/officeDocument/2006/relationships/hyperlink" Target="https://www.sec.gov/Archives/edgar/data/1411207/000119312511139969/dex109.htm" TargetMode="External"/><Relationship Id="rId515" Type="http://schemas.openxmlformats.org/officeDocument/2006/relationships/hyperlink" Target="https://www.sec.gov/Archives/edgar/data/1411207/000119312522196981/d385067dex101.htm" TargetMode="External"/><Relationship Id="rId518" Type="http://schemas.openxmlformats.org/officeDocument/2006/relationships/hyperlink" Target="https://www.sec.gov/Archives/edgar/data/1411207/000119312518094155/d55865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2024-02-14T15:17:46Z</dcterms:created>
  <dcterms:modified xsi:type="dcterms:W3CDTF">2024-02-14T15:17:46Z</dcterms:modified>
</cp:coreProperties>
</file>