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5" w:lineRule="exact"/>
        <w:rPr>
          <w:sz w:val="24"/>
          <w:szCs w:val="24"/>
          <w:color w:val="auto"/>
        </w:rPr>
      </w:pPr>
    </w:p>
    <w:p>
      <w:pPr>
        <w:ind w:left="580" w:right="100" w:hanging="572"/>
        <w:spacing w:after="0" w:line="254"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2026</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580" w:right="120" w:hanging="572"/>
        <w:spacing w:after="0" w:line="260"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001-35456</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ALLISON TRANSMISSION HOLDINGS, INC.</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40640</wp:posOffset>
            </wp:positionV>
            <wp:extent cx="1731645"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31645"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4500" w:type="dxa"/>
            <w:vAlign w:val="bottom"/>
          </w:tcPr>
          <w:p>
            <w:pPr>
              <w:jc w:val="center"/>
              <w:ind w:left="1060"/>
              <w:spacing w:after="0"/>
              <w:rPr>
                <w:sz w:val="20"/>
                <w:szCs w:val="20"/>
                <w:color w:val="auto"/>
              </w:rPr>
            </w:pPr>
            <w:r>
              <w:rPr>
                <w:rFonts w:ascii="Arial" w:cs="Arial" w:eastAsia="Arial" w:hAnsi="Arial"/>
                <w:sz w:val="18"/>
                <w:szCs w:val="18"/>
                <w:b w:val="1"/>
                <w:bCs w:val="1"/>
                <w:color w:val="auto"/>
              </w:rPr>
              <w:t>Delaware</w:t>
            </w:r>
          </w:p>
        </w:tc>
        <w:tc>
          <w:tcPr>
            <w:tcW w:w="1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0" w:type="dxa"/>
            <w:vAlign w:val="bottom"/>
          </w:tcPr>
          <w:p>
            <w:pPr>
              <w:jc w:val="right"/>
              <w:ind w:right="2242"/>
              <w:spacing w:after="0"/>
              <w:rPr>
                <w:sz w:val="20"/>
                <w:szCs w:val="20"/>
                <w:color w:val="auto"/>
              </w:rPr>
            </w:pPr>
            <w:r>
              <w:rPr>
                <w:rFonts w:ascii="Arial" w:cs="Arial" w:eastAsia="Arial" w:hAnsi="Arial"/>
                <w:sz w:val="18"/>
                <w:szCs w:val="18"/>
                <w:b w:val="1"/>
                <w:bCs w:val="1"/>
                <w:color w:val="auto"/>
              </w:rPr>
              <w:t>26-0414014</w:t>
            </w:r>
          </w:p>
        </w:tc>
      </w:tr>
      <w:tr>
        <w:trPr>
          <w:trHeight w:val="222"/>
        </w:trPr>
        <w:tc>
          <w:tcPr>
            <w:tcW w:w="4500" w:type="dxa"/>
            <w:vAlign w:val="bottom"/>
          </w:tcPr>
          <w:p>
            <w:pPr>
              <w:jc w:val="center"/>
              <w:ind w:left="1060"/>
              <w:spacing w:after="0"/>
              <w:rPr>
                <w:sz w:val="20"/>
                <w:szCs w:val="20"/>
                <w:color w:val="auto"/>
              </w:rPr>
            </w:pPr>
            <w:r>
              <w:rPr>
                <w:rFonts w:ascii="Arial" w:cs="Arial" w:eastAsia="Arial" w:hAnsi="Arial"/>
                <w:sz w:val="14"/>
                <w:szCs w:val="14"/>
                <w:color w:val="auto"/>
              </w:rPr>
              <w:t>(State or other jurisdiction of incorporation or</w:t>
            </w: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0" w:type="dxa"/>
            <w:vAlign w:val="bottom"/>
          </w:tcPr>
          <w:p>
            <w:pPr>
              <w:jc w:val="center"/>
              <w:ind w:right="1742"/>
              <w:spacing w:after="0"/>
              <w:rPr>
                <w:sz w:val="20"/>
                <w:szCs w:val="20"/>
                <w:color w:val="auto"/>
              </w:rPr>
            </w:pPr>
            <w:r>
              <w:rPr>
                <w:rFonts w:ascii="Arial" w:cs="Arial" w:eastAsia="Arial" w:hAnsi="Arial"/>
                <w:sz w:val="14"/>
                <w:szCs w:val="14"/>
                <w:color w:val="auto"/>
              </w:rPr>
              <w:t>(I.R.S. Employer</w:t>
            </w:r>
          </w:p>
        </w:tc>
      </w:tr>
      <w:tr>
        <w:trPr>
          <w:trHeight w:val="204"/>
        </w:trPr>
        <w:tc>
          <w:tcPr>
            <w:tcW w:w="4500" w:type="dxa"/>
            <w:vAlign w:val="bottom"/>
          </w:tcPr>
          <w:p>
            <w:pPr>
              <w:jc w:val="center"/>
              <w:ind w:left="1060"/>
              <w:spacing w:after="0"/>
              <w:rPr>
                <w:sz w:val="20"/>
                <w:szCs w:val="20"/>
                <w:color w:val="auto"/>
              </w:rPr>
            </w:pPr>
            <w:r>
              <w:rPr>
                <w:rFonts w:ascii="Arial" w:cs="Arial" w:eastAsia="Arial" w:hAnsi="Arial"/>
                <w:sz w:val="14"/>
                <w:szCs w:val="14"/>
                <w:color w:val="auto"/>
              </w:rPr>
              <w:t>organization)</w:t>
            </w: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0" w:type="dxa"/>
            <w:vAlign w:val="bottom"/>
          </w:tcPr>
          <w:p>
            <w:pPr>
              <w:jc w:val="center"/>
              <w:ind w:right="1742"/>
              <w:spacing w:after="0"/>
              <w:rPr>
                <w:sz w:val="20"/>
                <w:szCs w:val="20"/>
                <w:color w:val="auto"/>
              </w:rPr>
            </w:pPr>
            <w:r>
              <w:rPr>
                <w:rFonts w:ascii="Arial" w:cs="Arial" w:eastAsia="Arial" w:hAnsi="Arial"/>
                <w:sz w:val="14"/>
                <w:szCs w:val="14"/>
                <w:color w:val="auto"/>
              </w:rPr>
              <w:t>Identification Number)</w:t>
            </w:r>
          </w:p>
        </w:tc>
      </w:tr>
      <w:tr>
        <w:trPr>
          <w:trHeight w:val="398"/>
        </w:trPr>
        <w:tc>
          <w:tcPr>
            <w:tcW w:w="4500" w:type="dxa"/>
            <w:vAlign w:val="bottom"/>
          </w:tcPr>
          <w:p>
            <w:pPr>
              <w:jc w:val="center"/>
              <w:ind w:left="1040"/>
              <w:spacing w:after="0"/>
              <w:rPr>
                <w:sz w:val="20"/>
                <w:szCs w:val="20"/>
                <w:color w:val="auto"/>
              </w:rPr>
            </w:pPr>
            <w:r>
              <w:rPr>
                <w:rFonts w:ascii="Arial" w:cs="Arial" w:eastAsia="Arial" w:hAnsi="Arial"/>
                <w:sz w:val="18"/>
                <w:szCs w:val="18"/>
                <w:b w:val="1"/>
                <w:bCs w:val="1"/>
                <w:color w:val="auto"/>
                <w:w w:val="99"/>
              </w:rPr>
              <w:t>One Allison Way</w:t>
            </w: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70"/>
        </w:trPr>
        <w:tc>
          <w:tcPr>
            <w:tcW w:w="4500" w:type="dxa"/>
            <w:vAlign w:val="bottom"/>
          </w:tcPr>
          <w:p>
            <w:pPr>
              <w:ind w:left="2120"/>
              <w:spacing w:after="0"/>
              <w:rPr>
                <w:sz w:val="20"/>
                <w:szCs w:val="20"/>
                <w:color w:val="auto"/>
              </w:rPr>
            </w:pPr>
            <w:r>
              <w:rPr>
                <w:rFonts w:ascii="Arial" w:cs="Arial" w:eastAsia="Arial" w:hAnsi="Arial"/>
                <w:sz w:val="18"/>
                <w:szCs w:val="18"/>
                <w:b w:val="1"/>
                <w:bCs w:val="1"/>
                <w:color w:val="auto"/>
              </w:rPr>
              <w:t>Indianapolis, IN</w:t>
            </w:r>
          </w:p>
        </w:tc>
        <w:tc>
          <w:tcPr>
            <w:tcW w:w="1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0" w:type="dxa"/>
            <w:vAlign w:val="bottom"/>
          </w:tcPr>
          <w:p>
            <w:pPr>
              <w:jc w:val="right"/>
              <w:ind w:right="2482"/>
              <w:spacing w:after="0"/>
              <w:rPr>
                <w:sz w:val="20"/>
                <w:szCs w:val="20"/>
                <w:color w:val="auto"/>
              </w:rPr>
            </w:pPr>
            <w:r>
              <w:rPr>
                <w:rFonts w:ascii="Arial" w:cs="Arial" w:eastAsia="Arial" w:hAnsi="Arial"/>
                <w:sz w:val="18"/>
                <w:szCs w:val="18"/>
                <w:b w:val="1"/>
                <w:bCs w:val="1"/>
                <w:color w:val="auto"/>
              </w:rPr>
              <w:t>46222</w:t>
            </w:r>
          </w:p>
        </w:tc>
      </w:tr>
      <w:tr>
        <w:trPr>
          <w:trHeight w:val="223"/>
        </w:trPr>
        <w:tc>
          <w:tcPr>
            <w:tcW w:w="4500" w:type="dxa"/>
            <w:vAlign w:val="bottom"/>
          </w:tcPr>
          <w:p>
            <w:pPr>
              <w:jc w:val="center"/>
              <w:ind w:left="1040"/>
              <w:spacing w:after="0"/>
              <w:rPr>
                <w:sz w:val="20"/>
                <w:szCs w:val="20"/>
                <w:color w:val="auto"/>
              </w:rPr>
            </w:pPr>
            <w:r>
              <w:rPr>
                <w:rFonts w:ascii="Arial" w:cs="Arial" w:eastAsia="Arial" w:hAnsi="Arial"/>
                <w:sz w:val="14"/>
                <w:szCs w:val="14"/>
                <w:color w:val="auto"/>
              </w:rPr>
              <w:t>(Address of principal executive offices)</w:t>
            </w: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0" w:type="dxa"/>
            <w:vAlign w:val="bottom"/>
          </w:tcPr>
          <w:p>
            <w:pPr>
              <w:jc w:val="center"/>
              <w:ind w:right="1722"/>
              <w:spacing w:after="0"/>
              <w:rPr>
                <w:sz w:val="20"/>
                <w:szCs w:val="20"/>
                <w:color w:val="auto"/>
              </w:rPr>
            </w:pPr>
            <w:r>
              <w:rPr>
                <w:rFonts w:ascii="Arial" w:cs="Arial" w:eastAsia="Arial" w:hAnsi="Arial"/>
                <w:sz w:val="14"/>
                <w:szCs w:val="14"/>
                <w:color w:val="auto"/>
              </w:rPr>
              <w:t>(Zip Code)</w:t>
            </w:r>
          </w:p>
        </w:tc>
      </w:tr>
      <w:tr>
        <w:trPr>
          <w:trHeight w:val="303"/>
        </w:trPr>
        <w:tc>
          <w:tcPr>
            <w:tcW w:w="4500" w:type="dxa"/>
            <w:vAlign w:val="bottom"/>
          </w:tcPr>
          <w:p>
            <w:pPr>
              <w:spacing w:after="0"/>
              <w:rPr>
                <w:sz w:val="24"/>
                <w:szCs w:val="24"/>
                <w:color w:val="auto"/>
              </w:rPr>
            </w:pPr>
          </w:p>
        </w:tc>
        <w:tc>
          <w:tcPr>
            <w:tcW w:w="2500" w:type="dxa"/>
            <w:vAlign w:val="bottom"/>
            <w:gridSpan w:val="2"/>
          </w:tcPr>
          <w:p>
            <w:pPr>
              <w:jc w:val="center"/>
              <w:ind w:right="184"/>
              <w:spacing w:after="0"/>
              <w:rPr>
                <w:sz w:val="20"/>
                <w:szCs w:val="20"/>
                <w:color w:val="auto"/>
              </w:rPr>
            </w:pPr>
            <w:r>
              <w:rPr>
                <w:rFonts w:ascii="Arial" w:cs="Arial" w:eastAsia="Arial" w:hAnsi="Arial"/>
                <w:sz w:val="18"/>
                <w:szCs w:val="18"/>
                <w:b w:val="1"/>
                <w:bCs w:val="1"/>
                <w:color w:val="auto"/>
              </w:rPr>
              <w:t>(317) 242-5000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96"/>
        </w:trPr>
        <w:tc>
          <w:tcPr>
            <w:tcW w:w="7440" w:type="dxa"/>
            <w:vAlign w:val="bottom"/>
            <w:gridSpan w:val="5"/>
          </w:tcPr>
          <w:p>
            <w:pPr>
              <w:jc w:val="center"/>
              <w:ind w:left="3740"/>
              <w:spacing w:after="0"/>
              <w:rPr>
                <w:sz w:val="20"/>
                <w:szCs w:val="20"/>
                <w:color w:val="auto"/>
              </w:rPr>
            </w:pPr>
            <w:r>
              <w:rPr>
                <w:rFonts w:ascii="Arial" w:cs="Arial" w:eastAsia="Arial" w:hAnsi="Arial"/>
                <w:sz w:val="14"/>
                <w:szCs w:val="14"/>
                <w:color w:val="auto"/>
              </w:rPr>
              <w:t>(Registrant’s telephone number, including area code)</w:t>
            </w:r>
          </w:p>
        </w:tc>
        <w:tc>
          <w:tcPr>
            <w:tcW w:w="3800" w:type="dxa"/>
            <w:vAlign w:val="bottom"/>
          </w:tcPr>
          <w:p>
            <w:pPr>
              <w:spacing w:after="0"/>
              <w:rPr>
                <w:sz w:val="17"/>
                <w:szCs w:val="17"/>
                <w:color w:val="auto"/>
              </w:rPr>
            </w:pPr>
          </w:p>
        </w:tc>
      </w:tr>
      <w:tr>
        <w:trPr>
          <w:trHeight w:val="272"/>
        </w:trPr>
        <w:tc>
          <w:tcPr>
            <w:tcW w:w="11240" w:type="dxa"/>
            <w:vAlign w:val="bottom"/>
            <w:gridSpan w:val="6"/>
          </w:tcPr>
          <w:p>
            <w:pPr>
              <w:jc w:val="center"/>
              <w:spacing w:after="0"/>
              <w:rPr>
                <w:sz w:val="20"/>
                <w:szCs w:val="20"/>
                <w:color w:val="auto"/>
              </w:rPr>
            </w:pPr>
            <w:r>
              <w:rPr>
                <w:rFonts w:ascii="Arial" w:cs="Arial" w:eastAsia="Arial" w:hAnsi="Arial"/>
                <w:sz w:val="18"/>
                <w:szCs w:val="18"/>
                <w:color w:val="auto"/>
                <w:w w:val="99"/>
              </w:rPr>
              <w:t>Securities registered pursuant to Section 12(b) of the Act:</w:t>
            </w:r>
          </w:p>
        </w:tc>
      </w:tr>
      <w:tr>
        <w:trPr>
          <w:trHeight w:val="181"/>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Title of each class</w:t>
            </w:r>
          </w:p>
        </w:tc>
        <w:tc>
          <w:tcPr>
            <w:tcW w:w="120" w:type="dxa"/>
            <w:vAlign w:val="bottom"/>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Trading Symbol(s)</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tcPr>
          <w:p>
            <w:pPr>
              <w:jc w:val="center"/>
              <w:ind w:right="262"/>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12"/>
        </w:trPr>
        <w:tc>
          <w:tcPr>
            <w:tcW w:w="4500" w:type="dxa"/>
            <w:vAlign w:val="bottom"/>
          </w:tcPr>
          <w:p>
            <w:pPr>
              <w:jc w:val="center"/>
              <w:spacing w:after="0"/>
              <w:rPr>
                <w:sz w:val="20"/>
                <w:szCs w:val="20"/>
                <w:color w:val="auto"/>
              </w:rPr>
            </w:pPr>
            <w:r>
              <w:rPr>
                <w:rFonts w:ascii="Arial" w:cs="Arial" w:eastAsia="Arial" w:hAnsi="Arial"/>
                <w:sz w:val="15"/>
                <w:szCs w:val="15"/>
                <w:b w:val="1"/>
                <w:bCs w:val="1"/>
                <w:color w:val="auto"/>
              </w:rPr>
              <w:t>Common Stock, $0.01 par value</w:t>
            </w:r>
          </w:p>
        </w:tc>
        <w:tc>
          <w:tcPr>
            <w:tcW w:w="120" w:type="dxa"/>
            <w:vAlign w:val="bottom"/>
          </w:tcPr>
          <w:p>
            <w:pPr>
              <w:spacing w:after="0"/>
              <w:rPr>
                <w:sz w:val="18"/>
                <w:szCs w:val="18"/>
                <w:color w:val="auto"/>
              </w:rPr>
            </w:pPr>
          </w:p>
        </w:tc>
        <w:tc>
          <w:tcPr>
            <w:tcW w:w="2820" w:type="dxa"/>
            <w:vAlign w:val="bottom"/>
            <w:gridSpan w:val="3"/>
          </w:tcPr>
          <w:p>
            <w:pPr>
              <w:jc w:val="center"/>
              <w:ind w:right="440"/>
              <w:spacing w:after="0"/>
              <w:rPr>
                <w:sz w:val="20"/>
                <w:szCs w:val="20"/>
                <w:color w:val="auto"/>
              </w:rPr>
            </w:pPr>
            <w:r>
              <w:rPr>
                <w:rFonts w:ascii="Arial" w:cs="Arial" w:eastAsia="Arial" w:hAnsi="Arial"/>
                <w:sz w:val="15"/>
                <w:szCs w:val="15"/>
                <w:b w:val="1"/>
                <w:bCs w:val="1"/>
                <w:color w:val="auto"/>
              </w:rPr>
              <w:t>ALSN</w:t>
            </w:r>
          </w:p>
        </w:tc>
        <w:tc>
          <w:tcPr>
            <w:tcW w:w="3800" w:type="dxa"/>
            <w:vAlign w:val="bottom"/>
          </w:tcPr>
          <w:p>
            <w:pPr>
              <w:jc w:val="center"/>
              <w:ind w:right="242"/>
              <w:spacing w:after="0"/>
              <w:rPr>
                <w:sz w:val="20"/>
                <w:szCs w:val="20"/>
                <w:color w:val="auto"/>
              </w:rPr>
            </w:pPr>
            <w:r>
              <w:rPr>
                <w:rFonts w:ascii="Arial" w:cs="Arial" w:eastAsia="Arial" w:hAnsi="Arial"/>
                <w:sz w:val="15"/>
                <w:szCs w:val="15"/>
                <w:b w:val="1"/>
                <w:bCs w:val="1"/>
                <w:color w:val="auto"/>
              </w:rPr>
              <w:t>New York Stock Exchange</w:t>
            </w:r>
          </w:p>
        </w:tc>
      </w:tr>
    </w:tbl>
    <w:p>
      <w:pPr>
        <w:spacing w:after="0" w:line="87"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 w:lineRule="exact"/>
        <w:rPr>
          <w:sz w:val="24"/>
          <w:szCs w:val="24"/>
          <w:color w:val="auto"/>
        </w:rPr>
      </w:pPr>
    </w:p>
    <w:p>
      <w:pPr>
        <w:ind w:right="26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 w:lineRule="exact"/>
        <w:rPr>
          <w:sz w:val="24"/>
          <w:szCs w:val="24"/>
          <w:color w:val="auto"/>
        </w:rPr>
      </w:pPr>
    </w:p>
    <w:p>
      <w:pPr>
        <w:ind w:right="20"/>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sectPr>
      </w:pPr>
    </w:p>
    <w:p>
      <w:pPr>
        <w:spacing w:after="0" w:line="7" w:lineRule="exact"/>
        <w:rPr>
          <w:sz w:val="24"/>
          <w:szCs w:val="24"/>
          <w:color w:val="auto"/>
        </w:rPr>
      </w:pPr>
    </w:p>
    <w:p>
      <w:pPr>
        <w:ind w:left="520"/>
        <w:spacing w:after="0" w:line="207" w:lineRule="exact"/>
        <w:tabs>
          <w:tab w:leader="none" w:pos="2700" w:val="left"/>
          <w:tab w:leader="none" w:pos="534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p>
    <w:p>
      <w:pPr>
        <w:spacing w:after="0" w:line="63" w:lineRule="exact"/>
        <w:rPr>
          <w:sz w:val="24"/>
          <w:szCs w:val="24"/>
          <w:color w:val="auto"/>
        </w:rPr>
      </w:pPr>
    </w:p>
    <w:p>
      <w:pPr>
        <w:ind w:left="520"/>
        <w:spacing w:after="0" w:line="207" w:lineRule="exact"/>
        <w:tabs>
          <w:tab w:leader="none" w:pos="2700" w:val="left"/>
          <w:tab w:leader="none" w:pos="534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p>
    <w:p>
      <w:pPr>
        <w:spacing w:after="0" w:line="22" w:lineRule="exact"/>
        <w:rPr>
          <w:sz w:val="24"/>
          <w:szCs w:val="24"/>
          <w:color w:val="auto"/>
        </w:rPr>
      </w:pPr>
    </w:p>
    <w:p>
      <w:pPr>
        <w:ind w:left="5360"/>
        <w:spacing w:after="0"/>
        <w:rPr>
          <w:sz w:val="20"/>
          <w:szCs w:val="20"/>
          <w:color w:val="auto"/>
        </w:rPr>
      </w:pPr>
      <w:r>
        <w:rPr>
          <w:rFonts w:ascii="Arial" w:cs="Arial" w:eastAsia="Arial" w:hAnsi="Arial"/>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148"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1" w:lineRule="exact"/>
        <w:rPr>
          <w:sz w:val="24"/>
          <w:szCs w:val="24"/>
          <w:color w:val="auto"/>
        </w:rPr>
      </w:pPr>
    </w:p>
    <w:p>
      <w:pPr>
        <w:sectPr>
          <w:pgSz w:w="11900" w:h="16838" w:orient="portrait"/>
          <w:cols w:equalWidth="0" w:num="2">
            <w:col w:w="7520" w:space="460"/>
            <w:col w:w="3260"/>
          </w:cols>
          <w:pgMar w:left="320" w:top="225" w:right="339" w:bottom="1440" w:gutter="0" w:footer="0" w:header="0"/>
          <w:type w:val="continuous"/>
        </w:sectPr>
      </w:pPr>
    </w:p>
    <w:p>
      <w:pPr>
        <w:ind w:right="200"/>
        <w:spacing w:after="0" w:line="20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720"/>
        <w:spacing w:after="0" w:line="24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22, 2026, there were 82,133,940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20" w:type="dxa"/>
            <w:vAlign w:val="bottom"/>
            <w:gridSpan w:val="10"/>
          </w:tcPr>
          <w:p>
            <w:pPr>
              <w:jc w:val="center"/>
              <w:ind w:right="3320"/>
              <w:spacing w:after="0"/>
              <w:rPr>
                <w:sz w:val="20"/>
                <w:szCs w:val="20"/>
                <w:color w:val="auto"/>
              </w:rPr>
            </w:pPr>
            <w:r>
              <w:rPr>
                <w:rFonts w:ascii="Arial" w:cs="Arial" w:eastAsia="Arial" w:hAnsi="Arial"/>
                <w:sz w:val="18"/>
                <w:szCs w:val="18"/>
                <w:b w:val="1"/>
                <w:bCs w:val="1"/>
                <w:color w:val="auto"/>
                <w:w w:val="99"/>
              </w:rPr>
              <w:t>TABLE OF CONTENTS</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2"/>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980" w:type="dxa"/>
            <w:vAlign w:val="bottom"/>
            <w:gridSpan w:val="9"/>
            <w:vMerge w:val="restart"/>
          </w:tcPr>
          <w:p>
            <w:pPr>
              <w:jc w:val="center"/>
              <w:spacing w:after="0"/>
              <w:rPr>
                <w:sz w:val="20"/>
                <w:szCs w:val="20"/>
                <w:color w:val="auto"/>
              </w:rPr>
            </w:pPr>
            <w:r>
              <w:rPr>
                <w:rFonts w:ascii="Arial" w:cs="Arial" w:eastAsia="Arial" w:hAnsi="Arial"/>
                <w:sz w:val="18"/>
                <w:szCs w:val="18"/>
                <w:b w:val="1"/>
                <w:bCs w:val="1"/>
                <w:color w:val="0000FF"/>
                <w:w w:val="99"/>
              </w:rPr>
              <w:t>PART I. FINANCIAL INFORMATION</w:t>
            </w:r>
          </w:p>
        </w:tc>
        <w:tc>
          <w:tcPr>
            <w:tcW w:w="3200" w:type="dxa"/>
            <w:vAlign w:val="bottom"/>
            <w:gridSpan w:val="2"/>
            <w:vMerge w:val="restart"/>
          </w:tcPr>
          <w:p>
            <w:pPr>
              <w:spacing w:after="0"/>
              <w:rPr>
                <w:sz w:val="24"/>
                <w:szCs w:val="24"/>
                <w:color w:val="auto"/>
              </w:rPr>
            </w:pPr>
          </w:p>
        </w:tc>
        <w:tc>
          <w:tcPr>
            <w:tcW w:w="94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980" w:type="dxa"/>
            <w:vAlign w:val="bottom"/>
            <w:tcBorders>
              <w:bottom w:val="single" w:sz="8" w:color="0000FF"/>
            </w:tcBorders>
            <w:gridSpan w:val="9"/>
            <w:vMerge w:val="continue"/>
          </w:tcPr>
          <w:p>
            <w:pPr>
              <w:spacing w:after="0"/>
              <w:rPr>
                <w:sz w:val="14"/>
                <w:szCs w:val="14"/>
                <w:color w:val="auto"/>
              </w:rPr>
            </w:pPr>
          </w:p>
        </w:tc>
        <w:tc>
          <w:tcPr>
            <w:tcW w:w="32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0000FF"/>
                <w:w w:val="94"/>
              </w:rPr>
              <w:t>Item 1.</w:t>
            </w:r>
          </w:p>
        </w:tc>
        <w:tc>
          <w:tcPr>
            <w:tcW w:w="420" w:type="dxa"/>
            <w:vAlign w:val="bottom"/>
            <w:gridSpan w:val="2"/>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Financial Statements</w:t>
            </w:r>
          </w:p>
        </w:tc>
        <w:tc>
          <w:tcPr>
            <w:tcW w:w="520" w:type="dxa"/>
            <w:vAlign w:val="bottom"/>
            <w:gridSpan w:val="2"/>
          </w:tcPr>
          <w:p>
            <w:pPr>
              <w:jc w:val="center"/>
              <w:ind w:left="330"/>
              <w:spacing w:after="0"/>
              <w:rPr>
                <w:sz w:val="20"/>
                <w:szCs w:val="20"/>
                <w:color w:val="auto"/>
              </w:rPr>
            </w:pPr>
            <w:r>
              <w:rPr>
                <w:rFonts w:ascii="Arial" w:cs="Arial" w:eastAsia="Arial" w:hAnsi="Arial"/>
                <w:sz w:val="18"/>
                <w:szCs w:val="18"/>
                <w:color w:val="0000FF"/>
                <w:w w:val="99"/>
              </w:rPr>
              <w:t>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w:t>
            </w:r>
          </w:p>
        </w:tc>
        <w:tc>
          <w:tcPr>
            <w:tcW w:w="520" w:type="dxa"/>
            <w:vAlign w:val="bottom"/>
            <w:gridSpan w:val="2"/>
          </w:tcPr>
          <w:p>
            <w:pPr>
              <w:jc w:val="center"/>
              <w:ind w:left="330"/>
              <w:spacing w:after="0"/>
              <w:rPr>
                <w:sz w:val="20"/>
                <w:szCs w:val="20"/>
                <w:color w:val="auto"/>
              </w:rPr>
            </w:pPr>
            <w:r>
              <w:rPr>
                <w:rFonts w:ascii="Arial" w:cs="Arial" w:eastAsia="Arial" w:hAnsi="Arial"/>
                <w:sz w:val="18"/>
                <w:szCs w:val="18"/>
                <w:color w:val="0000FF"/>
                <w:w w:val="99"/>
              </w:rPr>
              <w:t>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Comprehensive Income</w:t>
            </w:r>
          </w:p>
        </w:tc>
        <w:tc>
          <w:tcPr>
            <w:tcW w:w="520" w:type="dxa"/>
            <w:vAlign w:val="bottom"/>
            <w:gridSpan w:val="2"/>
          </w:tcPr>
          <w:p>
            <w:pPr>
              <w:jc w:val="center"/>
              <w:ind w:left="330"/>
              <w:spacing w:after="0"/>
              <w:rPr>
                <w:sz w:val="20"/>
                <w:szCs w:val="20"/>
                <w:color w:val="auto"/>
              </w:rPr>
            </w:pPr>
            <w:r>
              <w:rPr>
                <w:rFonts w:ascii="Arial" w:cs="Arial" w:eastAsia="Arial" w:hAnsi="Arial"/>
                <w:sz w:val="18"/>
                <w:szCs w:val="18"/>
                <w:color w:val="0000FF"/>
                <w:w w:val="99"/>
              </w:rPr>
              <w:t>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w:t>
            </w:r>
          </w:p>
        </w:tc>
        <w:tc>
          <w:tcPr>
            <w:tcW w:w="520" w:type="dxa"/>
            <w:vAlign w:val="bottom"/>
            <w:gridSpan w:val="2"/>
          </w:tcPr>
          <w:p>
            <w:pPr>
              <w:jc w:val="center"/>
              <w:ind w:left="330"/>
              <w:spacing w:after="0"/>
              <w:rPr>
                <w:sz w:val="20"/>
                <w:szCs w:val="20"/>
                <w:color w:val="auto"/>
              </w:rPr>
            </w:pPr>
            <w:r>
              <w:rPr>
                <w:rFonts w:ascii="Arial" w:cs="Arial" w:eastAsia="Arial" w:hAnsi="Arial"/>
                <w:sz w:val="18"/>
                <w:szCs w:val="18"/>
                <w:color w:val="0000FF"/>
                <w:w w:val="99"/>
              </w:rPr>
              <w:t>5</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520" w:type="dxa"/>
            <w:vAlign w:val="bottom"/>
            <w:gridSpan w:val="2"/>
          </w:tcPr>
          <w:p>
            <w:pPr>
              <w:jc w:val="center"/>
              <w:ind w:left="330"/>
              <w:spacing w:after="0"/>
              <w:rPr>
                <w:sz w:val="20"/>
                <w:szCs w:val="20"/>
                <w:color w:val="auto"/>
              </w:rPr>
            </w:pPr>
            <w:r>
              <w:rPr>
                <w:rFonts w:ascii="Arial" w:cs="Arial" w:eastAsia="Arial" w:hAnsi="Arial"/>
                <w:sz w:val="18"/>
                <w:szCs w:val="18"/>
                <w:color w:val="0000FF"/>
                <w:w w:val="99"/>
              </w:rPr>
              <w:t>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60" w:type="dxa"/>
            <w:vAlign w:val="bottom"/>
            <w:gridSpan w:val="12"/>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1100" w:type="dxa"/>
            <w:vAlign w:val="bottom"/>
            <w:gridSpan w:val="2"/>
          </w:tcPr>
          <w:p>
            <w:pPr>
              <w:spacing w:after="0"/>
              <w:rPr>
                <w:sz w:val="24"/>
                <w:szCs w:val="24"/>
                <w:color w:val="auto"/>
              </w:rPr>
            </w:pPr>
          </w:p>
        </w:tc>
        <w:tc>
          <w:tcPr>
            <w:tcW w:w="2260" w:type="dxa"/>
            <w:vAlign w:val="bottom"/>
          </w:tcPr>
          <w:p>
            <w:pPr>
              <w:spacing w:after="0"/>
              <w:rPr>
                <w:sz w:val="24"/>
                <w:szCs w:val="24"/>
                <w:color w:val="auto"/>
              </w:rPr>
            </w:pPr>
          </w:p>
        </w:tc>
        <w:tc>
          <w:tcPr>
            <w:tcW w:w="520" w:type="dxa"/>
            <w:vAlign w:val="bottom"/>
            <w:gridSpan w:val="2"/>
          </w:tcPr>
          <w:p>
            <w:pPr>
              <w:jc w:val="center"/>
              <w:ind w:left="330"/>
              <w:spacing w:after="0"/>
              <w:rPr>
                <w:sz w:val="20"/>
                <w:szCs w:val="20"/>
                <w:color w:val="auto"/>
              </w:rPr>
            </w:pPr>
            <w:r>
              <w:rPr>
                <w:rFonts w:ascii="Arial" w:cs="Arial" w:eastAsia="Arial" w:hAnsi="Arial"/>
                <w:sz w:val="18"/>
                <w:szCs w:val="18"/>
                <w:color w:val="0000FF"/>
                <w:w w:val="99"/>
              </w:rPr>
              <w:t>8</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gridSpan w:val="2"/>
          </w:tcPr>
          <w:p>
            <w:pPr>
              <w:spacing w:after="0" w:line="20" w:lineRule="exact"/>
              <w:rPr>
                <w:sz w:val="1"/>
                <w:szCs w:val="1"/>
                <w:color w:val="auto"/>
              </w:rPr>
            </w:pPr>
          </w:p>
        </w:tc>
        <w:tc>
          <w:tcPr>
            <w:tcW w:w="1340" w:type="dxa"/>
            <w:vAlign w:val="bottom"/>
            <w:tcBorders>
              <w:top w:val="single" w:sz="8" w:color="0000FF"/>
            </w:tcBorders>
            <w:gridSpan w:val="2"/>
          </w:tcPr>
          <w:p>
            <w:pPr>
              <w:spacing w:after="0" w:line="20" w:lineRule="exact"/>
              <w:rPr>
                <w:sz w:val="1"/>
                <w:szCs w:val="1"/>
                <w:color w:val="auto"/>
              </w:rPr>
            </w:pPr>
          </w:p>
        </w:tc>
        <w:tc>
          <w:tcPr>
            <w:tcW w:w="1140" w:type="dxa"/>
            <w:vAlign w:val="bottom"/>
            <w:tcBorders>
              <w:top w:val="single" w:sz="8" w:color="0000FF"/>
            </w:tcBorders>
            <w:gridSpan w:val="2"/>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60" w:type="dxa"/>
            <w:vAlign w:val="bottom"/>
          </w:tcPr>
          <w:p>
            <w:pPr>
              <w:spacing w:after="0"/>
              <w:rPr>
                <w:sz w:val="20"/>
                <w:szCs w:val="20"/>
                <w:color w:val="auto"/>
              </w:rPr>
            </w:pPr>
            <w:r>
              <w:rPr>
                <w:rFonts w:ascii="Arial" w:cs="Arial" w:eastAsia="Arial" w:hAnsi="Arial"/>
                <w:sz w:val="18"/>
                <w:szCs w:val="18"/>
                <w:color w:val="0000FF"/>
                <w:w w:val="94"/>
              </w:rPr>
              <w:t>Item 2.</w:t>
            </w:r>
          </w:p>
        </w:tc>
        <w:tc>
          <w:tcPr>
            <w:tcW w:w="420" w:type="dxa"/>
            <w:vAlign w:val="bottom"/>
            <w:gridSpan w:val="2"/>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33</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0000FF"/>
                <w:w w:val="94"/>
              </w:rPr>
              <w:t>Item 3.</w:t>
            </w:r>
          </w:p>
        </w:tc>
        <w:tc>
          <w:tcPr>
            <w:tcW w:w="420" w:type="dxa"/>
            <w:vAlign w:val="bottom"/>
            <w:gridSpan w:val="2"/>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52</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4"/>
              </w:rPr>
              <w:t>Item 4.</w:t>
            </w:r>
          </w:p>
        </w:tc>
        <w:tc>
          <w:tcPr>
            <w:tcW w:w="120" w:type="dxa"/>
            <w:vAlign w:val="bottom"/>
            <w:vMerge w:val="restart"/>
          </w:tcPr>
          <w:p>
            <w:pPr>
              <w:spacing w:after="0"/>
              <w:rPr>
                <w:sz w:val="24"/>
                <w:szCs w:val="24"/>
                <w:color w:val="auto"/>
              </w:rPr>
            </w:pPr>
          </w:p>
        </w:tc>
        <w:tc>
          <w:tcPr>
            <w:tcW w:w="300" w:type="dxa"/>
            <w:vAlign w:val="bottom"/>
            <w:vMerge w:val="restart"/>
          </w:tcPr>
          <w:p>
            <w:pPr>
              <w:spacing w:after="0"/>
              <w:rPr>
                <w:sz w:val="24"/>
                <w:szCs w:val="24"/>
                <w:color w:val="auto"/>
              </w:rPr>
            </w:pPr>
          </w:p>
        </w:tc>
        <w:tc>
          <w:tcPr>
            <w:tcW w:w="19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7"/>
              </w:rPr>
              <w:t>Controls and Procedures</w:t>
            </w:r>
          </w:p>
        </w:tc>
        <w:tc>
          <w:tcPr>
            <w:tcW w:w="1340" w:type="dxa"/>
            <w:vAlign w:val="bottom"/>
            <w:gridSpan w:val="2"/>
            <w:vMerge w:val="restart"/>
          </w:tcPr>
          <w:p>
            <w:pPr>
              <w:spacing w:after="0"/>
              <w:rPr>
                <w:sz w:val="24"/>
                <w:szCs w:val="24"/>
                <w:color w:val="auto"/>
              </w:rPr>
            </w:pPr>
          </w:p>
        </w:tc>
        <w:tc>
          <w:tcPr>
            <w:tcW w:w="1380" w:type="dxa"/>
            <w:vAlign w:val="bottom"/>
            <w:gridSpan w:val="4"/>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1140" w:type="dxa"/>
            <w:vAlign w:val="bottom"/>
            <w:gridSpan w:val="2"/>
            <w:vMerge w:val="restart"/>
          </w:tcPr>
          <w:p>
            <w:pPr>
              <w:spacing w:after="0"/>
              <w:rPr>
                <w:sz w:val="24"/>
                <w:szCs w:val="24"/>
                <w:color w:val="auto"/>
              </w:rPr>
            </w:pPr>
          </w:p>
        </w:tc>
        <w:tc>
          <w:tcPr>
            <w:tcW w:w="3360" w:type="dxa"/>
            <w:vAlign w:val="bottom"/>
            <w:gridSpan w:val="3"/>
            <w:vMerge w:val="restart"/>
          </w:tcPr>
          <w:p>
            <w:pPr>
              <w:spacing w:after="0"/>
              <w:rPr>
                <w:sz w:val="24"/>
                <w:szCs w:val="24"/>
                <w:color w:val="auto"/>
              </w:rPr>
            </w:pPr>
          </w:p>
        </w:tc>
        <w:tc>
          <w:tcPr>
            <w:tcW w:w="9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9"/>
              </w:rPr>
              <w:t>53</w:t>
            </w:r>
          </w:p>
        </w:tc>
        <w:tc>
          <w:tcPr>
            <w:tcW w:w="0" w:type="dxa"/>
            <w:vAlign w:val="bottom"/>
          </w:tcPr>
          <w:p>
            <w:pPr>
              <w:spacing w:after="0"/>
              <w:rPr>
                <w:sz w:val="1"/>
                <w:szCs w:val="1"/>
                <w:color w:val="auto"/>
              </w:rPr>
            </w:pPr>
          </w:p>
        </w:tc>
      </w:tr>
      <w:tr>
        <w:trPr>
          <w:trHeight w:val="34"/>
        </w:trPr>
        <w:tc>
          <w:tcPr>
            <w:tcW w:w="56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336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180" w:type="dxa"/>
            <w:vAlign w:val="bottom"/>
            <w:gridSpan w:val="11"/>
          </w:tcPr>
          <w:p>
            <w:pPr>
              <w:jc w:val="center"/>
              <w:ind w:right="3220"/>
              <w:spacing w:after="0"/>
              <w:rPr>
                <w:sz w:val="20"/>
                <w:szCs w:val="20"/>
                <w:color w:val="auto"/>
              </w:rPr>
            </w:pPr>
            <w:r>
              <w:rPr>
                <w:rFonts w:ascii="Arial" w:cs="Arial" w:eastAsia="Arial" w:hAnsi="Arial"/>
                <w:sz w:val="18"/>
                <w:szCs w:val="18"/>
                <w:b w:val="1"/>
                <w:bCs w:val="1"/>
                <w:color w:val="0000FF"/>
                <w:w w:val="99"/>
              </w:rPr>
              <w:t>PART II. OTHER INFORMATION</w:t>
            </w:r>
          </w:p>
        </w:tc>
        <w:tc>
          <w:tcPr>
            <w:tcW w:w="4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0000FF"/>
                <w:w w:val="94"/>
              </w:rPr>
              <w:t>Item 1.</w:t>
            </w:r>
          </w:p>
        </w:tc>
        <w:tc>
          <w:tcPr>
            <w:tcW w:w="420" w:type="dxa"/>
            <w:vAlign w:val="bottom"/>
            <w:gridSpan w:val="2"/>
          </w:tcPr>
          <w:p>
            <w:pPr>
              <w:spacing w:after="0"/>
              <w:rPr>
                <w:sz w:val="24"/>
                <w:szCs w:val="24"/>
                <w:color w:val="auto"/>
              </w:rPr>
            </w:pPr>
          </w:p>
        </w:tc>
        <w:tc>
          <w:tcPr>
            <w:tcW w:w="3300" w:type="dxa"/>
            <w:vAlign w:val="bottom"/>
            <w:gridSpan w:val="9"/>
          </w:tcPr>
          <w:p>
            <w:pPr>
              <w:spacing w:after="0"/>
              <w:rPr>
                <w:sz w:val="20"/>
                <w:szCs w:val="20"/>
                <w:color w:val="auto"/>
              </w:rPr>
            </w:pPr>
            <w:r>
              <w:rPr>
                <w:rFonts w:ascii="Arial" w:cs="Arial" w:eastAsia="Arial" w:hAnsi="Arial"/>
                <w:sz w:val="18"/>
                <w:szCs w:val="18"/>
                <w:color w:val="0000FF"/>
              </w:rPr>
              <w:t>Legal Proceedings</w:t>
            </w:r>
          </w:p>
        </w:tc>
        <w:tc>
          <w:tcPr>
            <w:tcW w:w="2660" w:type="dxa"/>
            <w:vAlign w:val="bottom"/>
            <w:tcBorders>
              <w:top w:val="single" w:sz="8" w:color="0000FF"/>
            </w:tcBorders>
            <w:gridSpan w:val="7"/>
          </w:tcPr>
          <w:p>
            <w:pPr>
              <w:spacing w:after="0"/>
              <w:rPr>
                <w:sz w:val="24"/>
                <w:szCs w:val="24"/>
                <w:color w:val="auto"/>
              </w:rPr>
            </w:pPr>
          </w:p>
        </w:tc>
        <w:tc>
          <w:tcPr>
            <w:tcW w:w="3360" w:type="dxa"/>
            <w:vAlign w:val="bottom"/>
            <w:gridSpan w:val="3"/>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54</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360" w:type="dxa"/>
            <w:vAlign w:val="bottom"/>
            <w:gridSpan w:val="9"/>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80" w:type="dxa"/>
            <w:vAlign w:val="bottom"/>
            <w:gridSpan w:val="2"/>
          </w:tcPr>
          <w:p>
            <w:pPr>
              <w:spacing w:after="0"/>
              <w:rPr>
                <w:sz w:val="20"/>
                <w:szCs w:val="20"/>
                <w:color w:val="auto"/>
              </w:rPr>
            </w:pPr>
            <w:r>
              <w:rPr>
                <w:rFonts w:ascii="Arial" w:cs="Arial" w:eastAsia="Arial" w:hAnsi="Arial"/>
                <w:sz w:val="18"/>
                <w:szCs w:val="18"/>
                <w:color w:val="0000FF"/>
                <w:w w:val="98"/>
              </w:rPr>
              <w:t>Item 1A.</w:t>
            </w:r>
          </w:p>
        </w:tc>
        <w:tc>
          <w:tcPr>
            <w:tcW w:w="30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54</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0000FF"/>
                <w:w w:val="94"/>
              </w:rPr>
              <w:t>Item 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54</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440" w:type="dxa"/>
            <w:vAlign w:val="bottom"/>
            <w:gridSpan w:val="10"/>
            <w:shd w:val="clear" w:color="auto" w:fill="0000FF"/>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0000FF"/>
                <w:w w:val="94"/>
              </w:rPr>
              <w:t>Item 5.</w:t>
            </w:r>
          </w:p>
        </w:tc>
        <w:tc>
          <w:tcPr>
            <w:tcW w:w="420" w:type="dxa"/>
            <w:vAlign w:val="bottom"/>
            <w:gridSpan w:val="2"/>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55</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940" w:type="dxa"/>
            <w:vAlign w:val="bottom"/>
            <w:gridSpan w:val="1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0000FF"/>
                <w:w w:val="94"/>
              </w:rPr>
              <w:t>Item 6.</w:t>
            </w:r>
          </w:p>
        </w:tc>
        <w:tc>
          <w:tcPr>
            <w:tcW w:w="420" w:type="dxa"/>
            <w:vAlign w:val="bottom"/>
            <w:gridSpan w:val="2"/>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Exhibits</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56</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60" w:type="dxa"/>
            <w:vAlign w:val="bottom"/>
            <w:gridSpan w:val="17"/>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Signatures</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57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jc w:val="center"/>
        <w:spacing w:after="0" w:line="234" w:lineRule="auto"/>
        <w:rPr>
          <w:sz w:val="20"/>
          <w:szCs w:val="20"/>
          <w:color w:val="auto"/>
        </w:rPr>
      </w:pPr>
      <w:r>
        <w:rPr>
          <w:rFonts w:ascii="Arial" w:cs="Arial" w:eastAsia="Arial" w:hAnsi="Arial"/>
          <w:sz w:val="18"/>
          <w:szCs w:val="18"/>
          <w:b w:val="1"/>
          <w:bCs w:val="1"/>
          <w:color w:val="auto"/>
        </w:rPr>
        <w:t>Condensed 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share and per share data)</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29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7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r>
      <w:tr>
        <w:trPr>
          <w:trHeight w:val="183"/>
        </w:trPr>
        <w:tc>
          <w:tcPr>
            <w:tcW w:w="77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9"/>
        </w:trPr>
        <w:tc>
          <w:tcPr>
            <w:tcW w:w="77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497</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1,495</w:t>
            </w:r>
          </w:p>
        </w:tc>
      </w:tr>
      <w:tr>
        <w:trPr>
          <w:trHeight w:val="189"/>
        </w:trPr>
        <w:tc>
          <w:tcPr>
            <w:tcW w:w="7700" w:type="dxa"/>
            <w:vAlign w:val="bottom"/>
          </w:tcPr>
          <w:p>
            <w:pPr>
              <w:ind w:left="140"/>
              <w:spacing w:after="0"/>
              <w:rPr>
                <w:sz w:val="20"/>
                <w:szCs w:val="20"/>
                <w:color w:val="auto"/>
              </w:rPr>
            </w:pPr>
            <w:r>
              <w:rPr>
                <w:rFonts w:ascii="Arial" w:cs="Arial" w:eastAsia="Arial" w:hAnsi="Arial"/>
                <w:sz w:val="16"/>
                <w:szCs w:val="16"/>
                <w:color w:val="auto"/>
              </w:rPr>
              <w:t>Accounts receivable – net of allowance for doubtful accounts of $4 and $1, respectively</w:t>
            </w:r>
          </w:p>
        </w:tc>
        <w:tc>
          <w:tcPr>
            <w:tcW w:w="160" w:type="dxa"/>
            <w:vAlign w:val="bottom"/>
          </w:tcPr>
          <w:p>
            <w:pPr>
              <w:spacing w:after="0"/>
              <w:rPr>
                <w:sz w:val="16"/>
                <w:szCs w:val="16"/>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b w:val="1"/>
                <w:bCs w:val="1"/>
                <w:color w:val="auto"/>
              </w:rPr>
              <w:t>882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333</w:t>
            </w:r>
          </w:p>
        </w:tc>
      </w:tr>
      <w:tr>
        <w:trPr>
          <w:trHeight w:val="189"/>
        </w:trPr>
        <w:tc>
          <w:tcPr>
            <w:tcW w:w="77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857</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316</w:t>
            </w:r>
          </w:p>
        </w:tc>
      </w:tr>
      <w:tr>
        <w:trPr>
          <w:trHeight w:val="189"/>
        </w:trPr>
        <w:tc>
          <w:tcPr>
            <w:tcW w:w="7700" w:type="dxa"/>
            <w:vAlign w:val="bottom"/>
          </w:tcPr>
          <w:p>
            <w:pPr>
              <w:ind w:left="14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258</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w:t>
            </w:r>
          </w:p>
        </w:tc>
      </w:tr>
      <w:tr>
        <w:trPr>
          <w:trHeight w:val="183"/>
        </w:trPr>
        <w:tc>
          <w:tcPr>
            <w:tcW w:w="7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b w:val="1"/>
                <w:bCs w:val="1"/>
                <w:color w:val="auto"/>
              </w:rPr>
              <w:t>2,494</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2,233</w:t>
            </w: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16"/>
                <w:szCs w:val="16"/>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b w:val="1"/>
                <w:bCs w:val="1"/>
                <w:color w:val="auto"/>
              </w:rPr>
              <w:t>1,653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862</w:t>
            </w:r>
          </w:p>
        </w:tc>
      </w:tr>
      <w:tr>
        <w:trPr>
          <w:trHeight w:val="189"/>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 net</w:t>
            </w: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1,582</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794</w:t>
            </w: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6"/>
                <w:szCs w:val="16"/>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b w:val="1"/>
                <w:bCs w:val="1"/>
                <w:color w:val="auto"/>
              </w:rPr>
              <w:t>2,828</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2,075</w:t>
            </w:r>
          </w:p>
        </w:tc>
      </w:tr>
      <w:tr>
        <w:trPr>
          <w:trHeight w:val="189"/>
        </w:trPr>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232</w:t>
            </w:r>
          </w:p>
        </w:tc>
        <w:tc>
          <w:tcPr>
            <w:tcW w:w="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118</w:t>
            </w:r>
          </w:p>
        </w:tc>
      </w:tr>
      <w:tr>
        <w:trPr>
          <w:trHeight w:val="183"/>
        </w:trPr>
        <w:tc>
          <w:tcPr>
            <w:tcW w:w="7700" w:type="dxa"/>
            <w:vAlign w:val="bottom"/>
          </w:tcPr>
          <w:p>
            <w:pPr>
              <w:spacing w:after="0" w:line="183" w:lineRule="exact"/>
              <w:rPr>
                <w:sz w:val="20"/>
                <w:szCs w:val="20"/>
                <w:color w:val="auto"/>
              </w:rPr>
            </w:pPr>
            <w:r>
              <w:rPr>
                <w:rFonts w:ascii="Arial" w:cs="Arial" w:eastAsia="Arial" w:hAnsi="Arial"/>
                <w:sz w:val="16"/>
                <w:szCs w:val="16"/>
                <w:color w:val="auto"/>
              </w:rPr>
              <w:t>TOTAL ASSETS</w:t>
            </w:r>
          </w:p>
        </w:tc>
        <w:tc>
          <w:tcPr>
            <w:tcW w:w="1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560" w:type="dxa"/>
            <w:vAlign w:val="bottom"/>
          </w:tcPr>
          <w:p>
            <w:pPr>
              <w:jc w:val="right"/>
              <w:ind w:right="59"/>
              <w:spacing w:after="0" w:line="183" w:lineRule="exact"/>
              <w:rPr>
                <w:sz w:val="20"/>
                <w:szCs w:val="20"/>
                <w:color w:val="auto"/>
              </w:rPr>
            </w:pPr>
            <w:r>
              <w:rPr>
                <w:rFonts w:ascii="Arial" w:cs="Arial" w:eastAsia="Arial" w:hAnsi="Arial"/>
                <w:sz w:val="16"/>
                <w:szCs w:val="16"/>
                <w:b w:val="1"/>
                <w:bCs w:val="1"/>
                <w:color w:val="auto"/>
              </w:rPr>
              <w:t>8,789</w:t>
            </w:r>
          </w:p>
        </w:tc>
        <w:tc>
          <w:tcPr>
            <w:tcW w:w="32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6,082</w:t>
            </w:r>
          </w:p>
        </w:tc>
      </w:tr>
      <w:tr>
        <w:trPr>
          <w:trHeight w:val="20"/>
        </w:trPr>
        <w:tc>
          <w:tcPr>
            <w:tcW w:w="7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770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LIABILITIES</w:t>
            </w: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9"/>
        </w:trPr>
        <w:tc>
          <w:tcPr>
            <w:tcW w:w="77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803</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190</w:t>
            </w:r>
          </w:p>
        </w:tc>
      </w:tr>
      <w:tr>
        <w:trPr>
          <w:trHeight w:val="189"/>
        </w:trPr>
        <w:tc>
          <w:tcPr>
            <w:tcW w:w="7700" w:type="dxa"/>
            <w:vAlign w:val="bottom"/>
          </w:tcPr>
          <w:p>
            <w:pPr>
              <w:ind w:left="140"/>
              <w:spacing w:after="0"/>
              <w:rPr>
                <w:sz w:val="20"/>
                <w:szCs w:val="20"/>
                <w:color w:val="auto"/>
              </w:rPr>
            </w:pPr>
            <w:r>
              <w:rPr>
                <w:rFonts w:ascii="Arial" w:cs="Arial" w:eastAsia="Arial" w:hAnsi="Arial"/>
                <w:sz w:val="16"/>
                <w:szCs w:val="16"/>
                <w:color w:val="auto"/>
              </w:rPr>
              <w:t>Product warranty liability</w:t>
            </w:r>
          </w:p>
        </w:tc>
        <w:tc>
          <w:tcPr>
            <w:tcW w:w="160" w:type="dxa"/>
            <w:vAlign w:val="bottom"/>
          </w:tcPr>
          <w:p>
            <w:pPr>
              <w:spacing w:after="0"/>
              <w:rPr>
                <w:sz w:val="16"/>
                <w:szCs w:val="16"/>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b w:val="1"/>
                <w:bCs w:val="1"/>
                <w:color w:val="auto"/>
              </w:rPr>
              <w:t>61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34</w:t>
            </w:r>
          </w:p>
        </w:tc>
      </w:tr>
      <w:tr>
        <w:trPr>
          <w:trHeight w:val="189"/>
        </w:trPr>
        <w:tc>
          <w:tcPr>
            <w:tcW w:w="77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20</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w:t>
            </w:r>
          </w:p>
        </w:tc>
      </w:tr>
      <w:tr>
        <w:trPr>
          <w:trHeight w:val="189"/>
        </w:trPr>
        <w:tc>
          <w:tcPr>
            <w:tcW w:w="770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6"/>
                <w:szCs w:val="16"/>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b w:val="1"/>
                <w:bCs w:val="1"/>
                <w:color w:val="auto"/>
              </w:rPr>
              <w:t>74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34</w:t>
            </w:r>
          </w:p>
        </w:tc>
      </w:tr>
      <w:tr>
        <w:trPr>
          <w:trHeight w:val="189"/>
        </w:trPr>
        <w:tc>
          <w:tcPr>
            <w:tcW w:w="77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454</w:t>
            </w:r>
          </w:p>
        </w:tc>
        <w:tc>
          <w:tcPr>
            <w:tcW w:w="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197</w:t>
            </w:r>
          </w:p>
        </w:tc>
      </w:tr>
      <w:tr>
        <w:trPr>
          <w:trHeight w:val="183"/>
        </w:trPr>
        <w:tc>
          <w:tcPr>
            <w:tcW w:w="7700" w:type="dxa"/>
            <w:vAlign w:val="bottom"/>
          </w:tcPr>
          <w:p>
            <w:pPr>
              <w:spacing w:after="0" w:line="183" w:lineRule="exact"/>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5"/>
                <w:szCs w:val="15"/>
                <w:color w:val="auto"/>
              </w:rPr>
            </w:pPr>
          </w:p>
        </w:tc>
        <w:tc>
          <w:tcPr>
            <w:tcW w:w="1560" w:type="dxa"/>
            <w:vAlign w:val="bottom"/>
          </w:tcPr>
          <w:p>
            <w:pPr>
              <w:jc w:val="right"/>
              <w:ind w:right="59"/>
              <w:spacing w:after="0" w:line="183" w:lineRule="exact"/>
              <w:rPr>
                <w:sz w:val="20"/>
                <w:szCs w:val="20"/>
                <w:color w:val="auto"/>
              </w:rPr>
            </w:pPr>
            <w:r>
              <w:rPr>
                <w:rFonts w:ascii="Arial" w:cs="Arial" w:eastAsia="Arial" w:hAnsi="Arial"/>
                <w:sz w:val="16"/>
                <w:szCs w:val="16"/>
                <w:b w:val="1"/>
                <w:bCs w:val="1"/>
                <w:color w:val="auto"/>
              </w:rPr>
              <w:t>1,412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460</w:t>
            </w:r>
          </w:p>
        </w:tc>
      </w:tr>
      <w:tr>
        <w:trPr>
          <w:trHeight w:val="189"/>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Product warranty liability</w:t>
            </w: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66</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w:t>
            </w: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6"/>
                <w:szCs w:val="16"/>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b w:val="1"/>
                <w:bCs w:val="1"/>
                <w:color w:val="auto"/>
              </w:rPr>
              <w:t>105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103</w:t>
            </w:r>
          </w:p>
        </w:tc>
      </w:tr>
      <w:tr>
        <w:trPr>
          <w:trHeight w:val="189"/>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3,992</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2,885</w:t>
            </w: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6"/>
                <w:szCs w:val="16"/>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b w:val="1"/>
                <w:bCs w:val="1"/>
                <w:color w:val="auto"/>
              </w:rPr>
              <w:t>828</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557</w:t>
            </w:r>
          </w:p>
        </w:tc>
      </w:tr>
      <w:tr>
        <w:trPr>
          <w:trHeight w:val="189"/>
        </w:trPr>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306</w:t>
            </w:r>
          </w:p>
        </w:tc>
        <w:tc>
          <w:tcPr>
            <w:tcW w:w="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160</w:t>
            </w:r>
          </w:p>
        </w:tc>
      </w:tr>
      <w:tr>
        <w:trPr>
          <w:trHeight w:val="183"/>
        </w:trPr>
        <w:tc>
          <w:tcPr>
            <w:tcW w:w="7700" w:type="dxa"/>
            <w:vAlign w:val="bottom"/>
          </w:tcPr>
          <w:p>
            <w:pPr>
              <w:spacing w:after="0" w:line="183" w:lineRule="exact"/>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5"/>
                <w:szCs w:val="15"/>
                <w:color w:val="auto"/>
              </w:rPr>
            </w:pPr>
          </w:p>
        </w:tc>
        <w:tc>
          <w:tcPr>
            <w:tcW w:w="1560" w:type="dxa"/>
            <w:vAlign w:val="bottom"/>
          </w:tcPr>
          <w:p>
            <w:pPr>
              <w:jc w:val="right"/>
              <w:ind w:right="59"/>
              <w:spacing w:after="0" w:line="183" w:lineRule="exact"/>
              <w:rPr>
                <w:sz w:val="20"/>
                <w:szCs w:val="20"/>
                <w:color w:val="auto"/>
              </w:rPr>
            </w:pPr>
            <w:r>
              <w:rPr>
                <w:rFonts w:ascii="Arial" w:cs="Arial" w:eastAsia="Arial" w:hAnsi="Arial"/>
                <w:sz w:val="16"/>
                <w:szCs w:val="16"/>
                <w:b w:val="1"/>
                <w:bCs w:val="1"/>
                <w:color w:val="auto"/>
              </w:rPr>
              <w:t>6,709</w:t>
            </w:r>
          </w:p>
        </w:tc>
        <w:tc>
          <w:tcPr>
            <w:tcW w:w="32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4,215</w:t>
            </w:r>
          </w:p>
        </w:tc>
      </w:tr>
      <w:tr>
        <w:trPr>
          <w:trHeight w:val="183"/>
        </w:trPr>
        <w:tc>
          <w:tcPr>
            <w:tcW w:w="7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Commitments and contingencies (see Note Q)</w:t>
            </w:r>
          </w:p>
        </w:tc>
        <w:tc>
          <w:tcPr>
            <w:tcW w:w="160" w:type="dxa"/>
            <w:vAlign w:val="bottom"/>
            <w:tcBorders>
              <w:top w:val="single" w:sz="8" w:color="auto"/>
            </w:tcBorders>
            <w:shd w:val="clear" w:color="auto" w:fill="CFF0FC"/>
          </w:tcPr>
          <w:p>
            <w:pPr>
              <w:spacing w:after="0"/>
              <w:rPr>
                <w:sz w:val="15"/>
                <w:szCs w:val="15"/>
                <w:color w:val="auto"/>
              </w:rPr>
            </w:pPr>
          </w:p>
        </w:tc>
        <w:tc>
          <w:tcPr>
            <w:tcW w:w="156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500" w:type="dxa"/>
            <w:vAlign w:val="bottom"/>
            <w:tcBorders>
              <w:top w:val="single" w:sz="8" w:color="auto"/>
            </w:tcBorders>
            <w:shd w:val="clear" w:color="auto" w:fill="CFF0FC"/>
          </w:tcPr>
          <w:p>
            <w:pPr>
              <w:spacing w:after="0"/>
              <w:rPr>
                <w:sz w:val="15"/>
                <w:szCs w:val="15"/>
                <w:color w:val="auto"/>
              </w:rPr>
            </w:pPr>
          </w:p>
        </w:tc>
      </w:tr>
      <w:tr>
        <w:trPr>
          <w:trHeight w:val="189"/>
        </w:trPr>
        <w:tc>
          <w:tcPr>
            <w:tcW w:w="770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75"/>
        </w:trPr>
        <w:tc>
          <w:tcPr>
            <w:tcW w:w="7700" w:type="dxa"/>
            <w:vAlign w:val="bottom"/>
            <w:shd w:val="clear" w:color="auto" w:fill="CFF0FC"/>
          </w:tcPr>
          <w:p>
            <w:pPr>
              <w:ind w:left="140"/>
              <w:spacing w:after="0" w:line="175" w:lineRule="exact"/>
              <w:rPr>
                <w:sz w:val="20"/>
                <w:szCs w:val="20"/>
                <w:color w:val="auto"/>
              </w:rPr>
            </w:pPr>
            <w:r>
              <w:rPr>
                <w:rFonts w:ascii="Arial" w:cs="Arial" w:eastAsia="Arial" w:hAnsi="Arial"/>
                <w:sz w:val="16"/>
                <w:szCs w:val="16"/>
                <w:color w:val="auto"/>
              </w:rPr>
              <w:t>Common stock, $0.01 par value, 1,880,000,000 shares authorized, 82,275,133 shares issued and</w:t>
            </w: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r>
      <w:tr>
        <w:trPr>
          <w:trHeight w:val="203"/>
        </w:trPr>
        <w:tc>
          <w:tcPr>
            <w:tcW w:w="77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outstanding and 82,828,704 shares issued and outstanding, respectively</w:t>
            </w:r>
          </w:p>
        </w:tc>
        <w:tc>
          <w:tcPr>
            <w:tcW w:w="16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r>
      <w:tr>
        <w:trPr>
          <w:trHeight w:val="175"/>
        </w:trPr>
        <w:tc>
          <w:tcPr>
            <w:tcW w:w="7700" w:type="dxa"/>
            <w:vAlign w:val="bottom"/>
          </w:tcPr>
          <w:p>
            <w:pPr>
              <w:ind w:left="140"/>
              <w:spacing w:after="0" w:line="175" w:lineRule="exact"/>
              <w:rPr>
                <w:sz w:val="20"/>
                <w:szCs w:val="20"/>
                <w:color w:val="auto"/>
              </w:rPr>
            </w:pPr>
            <w:r>
              <w:rPr>
                <w:rFonts w:ascii="Arial" w:cs="Arial" w:eastAsia="Arial" w:hAnsi="Arial"/>
                <w:sz w:val="16"/>
                <w:szCs w:val="16"/>
                <w:color w:val="auto"/>
              </w:rPr>
              <w:t>Non-voting common stock, $0.01 par value, 20,000,000 shares</w:t>
            </w: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03"/>
        </w:trPr>
        <w:tc>
          <w:tcPr>
            <w:tcW w:w="7700" w:type="dxa"/>
            <w:vAlign w:val="bottom"/>
          </w:tcPr>
          <w:p>
            <w:pPr>
              <w:ind w:left="280"/>
              <w:spacing w:after="0"/>
              <w:rPr>
                <w:sz w:val="20"/>
                <w:szCs w:val="20"/>
                <w:color w:val="auto"/>
              </w:rPr>
            </w:pPr>
            <w:r>
              <w:rPr>
                <w:rFonts w:ascii="Arial" w:cs="Arial" w:eastAsia="Arial" w:hAnsi="Arial"/>
                <w:sz w:val="16"/>
                <w:szCs w:val="16"/>
                <w:color w:val="auto"/>
              </w:rPr>
              <w:t>authorized, none issued and outstanding</w:t>
            </w:r>
          </w:p>
        </w:tc>
        <w:tc>
          <w:tcPr>
            <w:tcW w:w="160" w:type="dxa"/>
            <w:vAlign w:val="bottom"/>
          </w:tcPr>
          <w:p>
            <w:pPr>
              <w:spacing w:after="0"/>
              <w:rPr>
                <w:sz w:val="17"/>
                <w:szCs w:val="17"/>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75"/>
        </w:trPr>
        <w:tc>
          <w:tcPr>
            <w:tcW w:w="7700" w:type="dxa"/>
            <w:vAlign w:val="bottom"/>
            <w:shd w:val="clear" w:color="auto" w:fill="CFF0FC"/>
          </w:tcPr>
          <w:p>
            <w:pPr>
              <w:ind w:left="140"/>
              <w:spacing w:after="0" w:line="175" w:lineRule="exact"/>
              <w:rPr>
                <w:sz w:val="20"/>
                <w:szCs w:val="20"/>
                <w:color w:val="auto"/>
              </w:rPr>
            </w:pPr>
            <w:r>
              <w:rPr>
                <w:rFonts w:ascii="Arial" w:cs="Arial" w:eastAsia="Arial" w:hAnsi="Arial"/>
                <w:sz w:val="16"/>
                <w:szCs w:val="16"/>
                <w:color w:val="auto"/>
              </w:rPr>
              <w:t>Preferred stock, $0.01 par value, 100,000,000 shares authorized, none</w:t>
            </w: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r>
      <w:tr>
        <w:trPr>
          <w:trHeight w:val="203"/>
        </w:trPr>
        <w:tc>
          <w:tcPr>
            <w:tcW w:w="77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issued and outstanding</w:t>
            </w:r>
          </w:p>
        </w:tc>
        <w:tc>
          <w:tcPr>
            <w:tcW w:w="16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7700" w:type="dxa"/>
            <w:vAlign w:val="bottom"/>
          </w:tcPr>
          <w:p>
            <w:pPr>
              <w:ind w:left="140"/>
              <w:spacing w:after="0"/>
              <w:rPr>
                <w:sz w:val="20"/>
                <w:szCs w:val="20"/>
                <w:color w:val="auto"/>
              </w:rPr>
            </w:pPr>
            <w:r>
              <w:rPr>
                <w:rFonts w:ascii="Arial" w:cs="Arial" w:eastAsia="Arial" w:hAnsi="Arial"/>
                <w:sz w:val="16"/>
                <w:szCs w:val="16"/>
                <w:color w:val="auto"/>
              </w:rPr>
              <w:t>Paid in capital</w:t>
            </w:r>
          </w:p>
        </w:tc>
        <w:tc>
          <w:tcPr>
            <w:tcW w:w="160" w:type="dxa"/>
            <w:vAlign w:val="bottom"/>
          </w:tcPr>
          <w:p>
            <w:pPr>
              <w:spacing w:after="0"/>
              <w:rPr>
                <w:sz w:val="16"/>
                <w:szCs w:val="16"/>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b w:val="1"/>
                <w:bCs w:val="1"/>
                <w:color w:val="auto"/>
              </w:rPr>
              <w:t>1,984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1,960</w:t>
            </w:r>
          </w:p>
        </w:tc>
      </w:tr>
      <w:tr>
        <w:trPr>
          <w:trHeight w:val="189"/>
        </w:trPr>
        <w:tc>
          <w:tcPr>
            <w:tcW w:w="77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Retained earnings (accumulated deficit)</w:t>
            </w: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249</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r>
      <w:tr>
        <w:trPr>
          <w:trHeight w:val="189"/>
        </w:trPr>
        <w:tc>
          <w:tcPr>
            <w:tcW w:w="7700" w:type="dxa"/>
            <w:vAlign w:val="bottom"/>
          </w:tcPr>
          <w:p>
            <w:pPr>
              <w:ind w:left="140"/>
              <w:spacing w:after="0"/>
              <w:rPr>
                <w:sz w:val="20"/>
                <w:szCs w:val="20"/>
                <w:color w:val="auto"/>
              </w:rPr>
            </w:pPr>
            <w:r>
              <w:rPr>
                <w:rFonts w:ascii="Arial" w:cs="Arial" w:eastAsia="Arial" w:hAnsi="Arial"/>
                <w:sz w:val="16"/>
                <w:szCs w:val="16"/>
                <w:color w:val="auto"/>
              </w:rPr>
              <w:t>Accumulated other comprehensive loss, net of tax</w:t>
            </w: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r>
      <w:tr>
        <w:trPr>
          <w:trHeight w:val="183"/>
        </w:trPr>
        <w:tc>
          <w:tcPr>
            <w:tcW w:w="77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shd w:val="clear" w:color="auto" w:fill="CFF0FC"/>
          </w:tcPr>
          <w:p>
            <w:pPr>
              <w:spacing w:after="0"/>
              <w:rPr>
                <w:sz w:val="15"/>
                <w:szCs w:val="15"/>
                <w:color w:val="auto"/>
              </w:rPr>
            </w:pPr>
          </w:p>
        </w:tc>
        <w:tc>
          <w:tcPr>
            <w:tcW w:w="15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b w:val="1"/>
                <w:bCs w:val="1"/>
                <w:color w:val="auto"/>
              </w:rPr>
              <w:t>2,080</w:t>
            </w: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1,867</w:t>
            </w:r>
          </w:p>
        </w:tc>
      </w:tr>
      <w:tr>
        <w:trPr>
          <w:trHeight w:val="183"/>
        </w:trPr>
        <w:tc>
          <w:tcPr>
            <w:tcW w:w="7700" w:type="dxa"/>
            <w:vAlign w:val="bottom"/>
          </w:tcPr>
          <w:p>
            <w:pPr>
              <w:spacing w:after="0" w:line="183" w:lineRule="exact"/>
              <w:rPr>
                <w:sz w:val="20"/>
                <w:szCs w:val="20"/>
                <w:color w:val="auto"/>
              </w:rPr>
            </w:pPr>
            <w:r>
              <w:rPr>
                <w:rFonts w:ascii="Arial" w:cs="Arial" w:eastAsia="Arial" w:hAnsi="Arial"/>
                <w:sz w:val="16"/>
                <w:szCs w:val="16"/>
                <w:color w:val="auto"/>
              </w:rPr>
              <w:t>TOTAL LIABILITIES &amp; STOCKHOLDERS’ EQUITY</w:t>
            </w:r>
          </w:p>
        </w:tc>
        <w:tc>
          <w:tcPr>
            <w:tcW w:w="1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560" w:type="dxa"/>
            <w:vAlign w:val="bottom"/>
          </w:tcPr>
          <w:p>
            <w:pPr>
              <w:jc w:val="right"/>
              <w:ind w:right="59"/>
              <w:spacing w:after="0" w:line="183" w:lineRule="exact"/>
              <w:rPr>
                <w:sz w:val="20"/>
                <w:szCs w:val="20"/>
                <w:color w:val="auto"/>
              </w:rPr>
            </w:pPr>
            <w:r>
              <w:rPr>
                <w:rFonts w:ascii="Arial" w:cs="Arial" w:eastAsia="Arial" w:hAnsi="Arial"/>
                <w:sz w:val="16"/>
                <w:szCs w:val="16"/>
                <w:b w:val="1"/>
                <w:bCs w:val="1"/>
                <w:color w:val="auto"/>
              </w:rPr>
              <w:t>8,789</w:t>
            </w:r>
          </w:p>
        </w:tc>
        <w:tc>
          <w:tcPr>
            <w:tcW w:w="32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6,082</w:t>
            </w:r>
          </w:p>
        </w:tc>
      </w:tr>
      <w:tr>
        <w:trPr>
          <w:trHeight w:val="20"/>
        </w:trPr>
        <w:tc>
          <w:tcPr>
            <w:tcW w:w="7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-3462655</wp:posOffset>
            </wp:positionV>
            <wp:extent cx="94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-2468245</wp:posOffset>
            </wp:positionV>
            <wp:extent cx="94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-1739265</wp:posOffset>
            </wp:positionV>
            <wp:extent cx="94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-153670</wp:posOffset>
            </wp:positionV>
            <wp:extent cx="94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(unaudited, dollars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680" w:type="dxa"/>
            <w:vAlign w:val="bottom"/>
            <w:tcBorders>
              <w:bottom w:val="single" w:sz="8" w:color="auto"/>
            </w:tcBorders>
            <w:gridSpan w:val="5"/>
          </w:tcPr>
          <w:p>
            <w:pPr>
              <w:jc w:val="right"/>
              <w:ind w:right="91"/>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4"/>
                <w:szCs w:val="14"/>
                <w:color w:val="auto"/>
              </w:rPr>
            </w:pPr>
          </w:p>
        </w:tc>
        <w:tc>
          <w:tcPr>
            <w:tcW w:w="2680" w:type="dxa"/>
            <w:vAlign w:val="bottom"/>
            <w:tcBorders>
              <w:bottom w:val="single" w:sz="8" w:color="auto"/>
            </w:tcBorders>
            <w:gridSpan w:val="5"/>
          </w:tcPr>
          <w:p>
            <w:pPr>
              <w:jc w:val="right"/>
              <w:ind w:right="13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7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2025</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1,534</w:t>
            </w:r>
          </w:p>
        </w:tc>
        <w:tc>
          <w:tcPr>
            <w:tcW w:w="40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693</w:t>
            </w:r>
          </w:p>
        </w:tc>
        <w:tc>
          <w:tcPr>
            <w:tcW w:w="380" w:type="dxa"/>
            <w:vAlign w:val="bottom"/>
            <w:gridSpan w:val="2"/>
            <w:shd w:val="clear" w:color="auto" w:fill="CFF0FC"/>
          </w:tcPr>
          <w:p>
            <w:pPr>
              <w:jc w:val="right"/>
              <w:ind w:right="74"/>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4,506</w:t>
            </w:r>
          </w:p>
        </w:tc>
        <w:tc>
          <w:tcPr>
            <w:tcW w:w="3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2,273</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1,029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363</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3,080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1,162</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505</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330</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1,426</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1,111</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7"/>
                <w:szCs w:val="17"/>
                <w:color w:val="auto"/>
              </w:rPr>
            </w:pPr>
          </w:p>
        </w:tc>
        <w:tc>
          <w:tcPr>
            <w:tcW w:w="100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142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467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274</w:t>
            </w:r>
          </w:p>
        </w:tc>
      </w:tr>
      <w:tr>
        <w:trPr>
          <w:trHeight w:val="203"/>
        </w:trPr>
        <w:tc>
          <w:tcPr>
            <w:tcW w:w="57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Engineering — research and development</w:t>
            </w: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59</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43</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169</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128</w:t>
            </w:r>
          </w:p>
        </w:tc>
      </w:tr>
      <w:tr>
        <w:trPr>
          <w:trHeight w:val="196"/>
        </w:trPr>
        <w:tc>
          <w:tcPr>
            <w:tcW w:w="5760" w:type="dxa"/>
            <w:vAlign w:val="bottom"/>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7"/>
                <w:szCs w:val="17"/>
                <w:color w:val="auto"/>
              </w:rPr>
            </w:pPr>
          </w:p>
        </w:tc>
        <w:tc>
          <w:tcPr>
            <w:tcW w:w="100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304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204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790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1"/>
              <w:spacing w:after="0" w:line="196" w:lineRule="exact"/>
              <w:rPr>
                <w:sz w:val="20"/>
                <w:szCs w:val="20"/>
                <w:color w:val="auto"/>
              </w:rPr>
            </w:pPr>
            <w:r>
              <w:rPr>
                <w:rFonts w:ascii="Arial" w:cs="Arial" w:eastAsia="Arial" w:hAnsi="Arial"/>
                <w:sz w:val="18"/>
                <w:szCs w:val="18"/>
                <w:color w:val="auto"/>
              </w:rPr>
              <w:t>709</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(51)</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(166)</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Other (expense) income, net</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15</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Income before income taxes</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238</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182</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598</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657</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(114)</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w:t>
            </w:r>
          </w:p>
        </w:tc>
      </w:tr>
      <w:tr>
        <w:trPr>
          <w:trHeight w:val="21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191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137</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4"/>
              <w:spacing w:after="0" w:line="196" w:lineRule="exact"/>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484</w:t>
            </w:r>
          </w:p>
        </w:tc>
        <w:tc>
          <w:tcPr>
            <w:tcW w:w="3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524</w:t>
            </w: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r>
        <w:trPr>
          <w:trHeight w:val="183"/>
        </w:trPr>
        <w:tc>
          <w:tcPr>
            <w:tcW w:w="5760" w:type="dxa"/>
            <w:vAlign w:val="bottom"/>
          </w:tcPr>
          <w:p>
            <w:pPr>
              <w:spacing w:after="0" w:line="183" w:lineRule="exact"/>
              <w:rPr>
                <w:sz w:val="20"/>
                <w:szCs w:val="20"/>
                <w:color w:val="auto"/>
              </w:rPr>
            </w:pPr>
            <w:r>
              <w:rPr>
                <w:rFonts w:ascii="Arial" w:cs="Arial" w:eastAsia="Arial" w:hAnsi="Arial"/>
                <w:sz w:val="18"/>
                <w:szCs w:val="18"/>
                <w:b w:val="1"/>
                <w:bCs w:val="1"/>
                <w:color w:val="auto"/>
              </w:rPr>
              <w:t>Basic earnings per share attributable to common stockholders</w:t>
            </w:r>
          </w:p>
        </w:tc>
        <w:tc>
          <w:tcPr>
            <w:tcW w:w="240" w:type="dxa"/>
            <w:vAlign w:val="bottom"/>
          </w:tcPr>
          <w:p>
            <w:pPr>
              <w:jc w:val="right"/>
              <w:ind w:right="53"/>
              <w:spacing w:after="0" w:line="183" w:lineRule="exact"/>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31"/>
              <w:spacing w:after="0" w:line="183" w:lineRule="exact"/>
              <w:rPr>
                <w:sz w:val="20"/>
                <w:szCs w:val="20"/>
                <w:color w:val="auto"/>
              </w:rPr>
            </w:pPr>
            <w:r>
              <w:rPr>
                <w:rFonts w:ascii="Arial" w:cs="Arial" w:eastAsia="Arial" w:hAnsi="Arial"/>
                <w:sz w:val="18"/>
                <w:szCs w:val="18"/>
                <w:b w:val="1"/>
                <w:bCs w:val="1"/>
                <w:color w:val="auto"/>
              </w:rPr>
              <w:t>2.30</w:t>
            </w:r>
          </w:p>
        </w:tc>
        <w:tc>
          <w:tcPr>
            <w:tcW w:w="120" w:type="dxa"/>
            <w:vAlign w:val="bottom"/>
          </w:tcPr>
          <w:p>
            <w:pPr>
              <w:spacing w:after="0"/>
              <w:rPr>
                <w:sz w:val="15"/>
                <w:szCs w:val="15"/>
                <w:color w:val="auto"/>
              </w:rPr>
            </w:pPr>
          </w:p>
        </w:tc>
        <w:tc>
          <w:tcPr>
            <w:tcW w:w="280" w:type="dxa"/>
            <w:vAlign w:val="bottom"/>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line="183" w:lineRule="exact"/>
              <w:rPr>
                <w:sz w:val="20"/>
                <w:szCs w:val="20"/>
                <w:color w:val="auto"/>
              </w:rPr>
            </w:pPr>
            <w:r>
              <w:rPr>
                <w:rFonts w:ascii="Arial" w:cs="Arial" w:eastAsia="Arial" w:hAnsi="Arial"/>
                <w:sz w:val="18"/>
                <w:szCs w:val="18"/>
                <w:color w:val="auto"/>
              </w:rPr>
              <w:t>1.63</w:t>
            </w:r>
          </w:p>
        </w:tc>
        <w:tc>
          <w:tcPr>
            <w:tcW w:w="120" w:type="dxa"/>
            <w:vAlign w:val="bottom"/>
          </w:tcPr>
          <w:p>
            <w:pPr>
              <w:spacing w:after="0"/>
              <w:rPr>
                <w:sz w:val="15"/>
                <w:szCs w:val="15"/>
                <w:color w:val="auto"/>
              </w:rPr>
            </w:pPr>
          </w:p>
        </w:tc>
        <w:tc>
          <w:tcPr>
            <w:tcW w:w="260" w:type="dxa"/>
            <w:vAlign w:val="bottom"/>
          </w:tcPr>
          <w:p>
            <w:pPr>
              <w:jc w:val="right"/>
              <w:ind w:right="74"/>
              <w:spacing w:after="0" w:line="183" w:lineRule="exact"/>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31"/>
              <w:spacing w:after="0" w:line="183" w:lineRule="exact"/>
              <w:rPr>
                <w:sz w:val="20"/>
                <w:szCs w:val="20"/>
                <w:color w:val="auto"/>
              </w:rPr>
            </w:pPr>
            <w:r>
              <w:rPr>
                <w:rFonts w:ascii="Arial" w:cs="Arial" w:eastAsia="Arial" w:hAnsi="Arial"/>
                <w:sz w:val="18"/>
                <w:szCs w:val="18"/>
                <w:b w:val="1"/>
                <w:bCs w:val="1"/>
                <w:color w:val="auto"/>
              </w:rPr>
              <w:t>5.83</w:t>
            </w:r>
          </w:p>
        </w:tc>
        <w:tc>
          <w:tcPr>
            <w:tcW w:w="380" w:type="dxa"/>
            <w:vAlign w:val="bottom"/>
            <w:gridSpan w:val="2"/>
          </w:tcPr>
          <w:p>
            <w:pPr>
              <w:jc w:val="right"/>
              <w:ind w:right="160"/>
              <w:spacing w:after="0" w:line="183"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line="183" w:lineRule="exact"/>
              <w:rPr>
                <w:sz w:val="20"/>
                <w:szCs w:val="20"/>
                <w:color w:val="auto"/>
              </w:rPr>
            </w:pPr>
            <w:r>
              <w:rPr>
                <w:rFonts w:ascii="Arial" w:cs="Arial" w:eastAsia="Arial" w:hAnsi="Arial"/>
                <w:sz w:val="18"/>
                <w:szCs w:val="18"/>
                <w:color w:val="auto"/>
              </w:rPr>
              <w:t>6.24</w:t>
            </w:r>
          </w:p>
        </w:tc>
      </w:tr>
      <w:tr>
        <w:trPr>
          <w:trHeight w:val="20"/>
        </w:trPr>
        <w:tc>
          <w:tcPr>
            <w:tcW w:w="5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76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Diluted earnings per share attributable to common stockholders</w:t>
            </w:r>
          </w:p>
        </w:tc>
        <w:tc>
          <w:tcPr>
            <w:tcW w:w="240" w:type="dxa"/>
            <w:vAlign w:val="bottom"/>
            <w:shd w:val="clear" w:color="auto" w:fill="CFF0FC"/>
          </w:tcPr>
          <w:p>
            <w:pPr>
              <w:jc w:val="right"/>
              <w:ind w:right="53"/>
              <w:spacing w:after="0" w:line="183" w:lineRule="exact"/>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ind w:right="31"/>
              <w:spacing w:after="0" w:line="183" w:lineRule="exact"/>
              <w:rPr>
                <w:sz w:val="20"/>
                <w:szCs w:val="20"/>
                <w:color w:val="auto"/>
              </w:rPr>
            </w:pPr>
            <w:r>
              <w:rPr>
                <w:rFonts w:ascii="Arial" w:cs="Arial" w:eastAsia="Arial" w:hAnsi="Arial"/>
                <w:sz w:val="18"/>
                <w:szCs w:val="18"/>
                <w:b w:val="1"/>
                <w:bCs w:val="1"/>
                <w:color w:val="auto"/>
              </w:rPr>
              <w:t>2.30</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1"/>
              <w:spacing w:after="0" w:line="183" w:lineRule="exact"/>
              <w:rPr>
                <w:sz w:val="20"/>
                <w:szCs w:val="20"/>
                <w:color w:val="auto"/>
              </w:rPr>
            </w:pPr>
            <w:r>
              <w:rPr>
                <w:rFonts w:ascii="Arial" w:cs="Arial" w:eastAsia="Arial" w:hAnsi="Arial"/>
                <w:sz w:val="18"/>
                <w:szCs w:val="18"/>
                <w:color w:val="auto"/>
              </w:rPr>
              <w:t>1.63</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4"/>
              <w:spacing w:after="0" w:line="183" w:lineRule="exact"/>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FF0FC"/>
          </w:tcPr>
          <w:p>
            <w:pPr>
              <w:jc w:val="right"/>
              <w:ind w:right="31"/>
              <w:spacing w:after="0" w:line="183" w:lineRule="exact"/>
              <w:rPr>
                <w:sz w:val="20"/>
                <w:szCs w:val="20"/>
                <w:color w:val="auto"/>
              </w:rPr>
            </w:pPr>
            <w:r>
              <w:rPr>
                <w:rFonts w:ascii="Arial" w:cs="Arial" w:eastAsia="Arial" w:hAnsi="Arial"/>
                <w:sz w:val="18"/>
                <w:szCs w:val="18"/>
                <w:b w:val="1"/>
                <w:bCs w:val="1"/>
                <w:color w:val="auto"/>
              </w:rPr>
              <w:t>5.76</w:t>
            </w:r>
          </w:p>
        </w:tc>
        <w:tc>
          <w:tcPr>
            <w:tcW w:w="3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1"/>
              <w:spacing w:after="0" w:line="183" w:lineRule="exact"/>
              <w:rPr>
                <w:sz w:val="20"/>
                <w:szCs w:val="20"/>
                <w:color w:val="auto"/>
              </w:rPr>
            </w:pPr>
            <w:r>
              <w:rPr>
                <w:rFonts w:ascii="Arial" w:cs="Arial" w:eastAsia="Arial" w:hAnsi="Arial"/>
                <w:sz w:val="18"/>
                <w:szCs w:val="18"/>
                <w:color w:val="auto"/>
              </w:rPr>
              <w:t>6.16</w:t>
            </w: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r>
        <w:trPr>
          <w:trHeight w:val="183"/>
        </w:trPr>
        <w:tc>
          <w:tcPr>
            <w:tcW w:w="5760" w:type="dxa"/>
            <w:vAlign w:val="bottom"/>
          </w:tcPr>
          <w:p>
            <w:pPr>
              <w:spacing w:after="0" w:line="183" w:lineRule="exact"/>
              <w:rPr>
                <w:sz w:val="20"/>
                <w:szCs w:val="20"/>
                <w:color w:val="auto"/>
              </w:rPr>
            </w:pPr>
            <w:r>
              <w:rPr>
                <w:rFonts w:ascii="Arial" w:cs="Arial" w:eastAsia="Arial" w:hAnsi="Arial"/>
                <w:sz w:val="18"/>
                <w:szCs w:val="18"/>
                <w:b w:val="1"/>
                <w:bCs w:val="1"/>
                <w:color w:val="auto"/>
              </w:rPr>
              <w:t>Comprehensive income, net of tax</w:t>
            </w:r>
          </w:p>
        </w:tc>
        <w:tc>
          <w:tcPr>
            <w:tcW w:w="240" w:type="dxa"/>
            <w:vAlign w:val="bottom"/>
          </w:tcPr>
          <w:p>
            <w:pPr>
              <w:jc w:val="right"/>
              <w:ind w:right="53"/>
              <w:spacing w:after="0" w:line="183" w:lineRule="exact"/>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31"/>
              <w:spacing w:after="0" w:line="183" w:lineRule="exact"/>
              <w:rPr>
                <w:sz w:val="20"/>
                <w:szCs w:val="20"/>
                <w:color w:val="auto"/>
              </w:rPr>
            </w:pPr>
            <w:r>
              <w:rPr>
                <w:rFonts w:ascii="Arial" w:cs="Arial" w:eastAsia="Arial" w:hAnsi="Arial"/>
                <w:sz w:val="18"/>
                <w:szCs w:val="18"/>
                <w:b w:val="1"/>
                <w:bCs w:val="1"/>
                <w:color w:val="auto"/>
              </w:rPr>
              <w:t>171</w:t>
            </w:r>
          </w:p>
        </w:tc>
        <w:tc>
          <w:tcPr>
            <w:tcW w:w="120" w:type="dxa"/>
            <w:vAlign w:val="bottom"/>
          </w:tcPr>
          <w:p>
            <w:pPr>
              <w:spacing w:after="0"/>
              <w:rPr>
                <w:sz w:val="15"/>
                <w:szCs w:val="15"/>
                <w:color w:val="auto"/>
              </w:rPr>
            </w:pPr>
          </w:p>
        </w:tc>
        <w:tc>
          <w:tcPr>
            <w:tcW w:w="280" w:type="dxa"/>
            <w:vAlign w:val="bottom"/>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line="183" w:lineRule="exact"/>
              <w:rPr>
                <w:sz w:val="20"/>
                <w:szCs w:val="20"/>
                <w:color w:val="auto"/>
              </w:rPr>
            </w:pPr>
            <w:r>
              <w:rPr>
                <w:rFonts w:ascii="Arial" w:cs="Arial" w:eastAsia="Arial" w:hAnsi="Arial"/>
                <w:sz w:val="18"/>
                <w:szCs w:val="18"/>
                <w:color w:val="auto"/>
              </w:rPr>
              <w:t>131</w:t>
            </w:r>
          </w:p>
        </w:tc>
        <w:tc>
          <w:tcPr>
            <w:tcW w:w="120" w:type="dxa"/>
            <w:vAlign w:val="bottom"/>
          </w:tcPr>
          <w:p>
            <w:pPr>
              <w:spacing w:after="0"/>
              <w:rPr>
                <w:sz w:val="15"/>
                <w:szCs w:val="15"/>
                <w:color w:val="auto"/>
              </w:rPr>
            </w:pPr>
          </w:p>
        </w:tc>
        <w:tc>
          <w:tcPr>
            <w:tcW w:w="260" w:type="dxa"/>
            <w:vAlign w:val="bottom"/>
          </w:tcPr>
          <w:p>
            <w:pPr>
              <w:jc w:val="right"/>
              <w:ind w:right="74"/>
              <w:spacing w:after="0" w:line="183" w:lineRule="exact"/>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31"/>
              <w:spacing w:after="0" w:line="183" w:lineRule="exact"/>
              <w:rPr>
                <w:sz w:val="20"/>
                <w:szCs w:val="20"/>
                <w:color w:val="auto"/>
              </w:rPr>
            </w:pPr>
            <w:r>
              <w:rPr>
                <w:rFonts w:ascii="Arial" w:cs="Arial" w:eastAsia="Arial" w:hAnsi="Arial"/>
                <w:sz w:val="18"/>
                <w:szCs w:val="18"/>
                <w:b w:val="1"/>
                <w:bCs w:val="1"/>
                <w:color w:val="auto"/>
              </w:rPr>
              <w:t>386</w:t>
            </w:r>
          </w:p>
        </w:tc>
        <w:tc>
          <w:tcPr>
            <w:tcW w:w="380" w:type="dxa"/>
            <w:vAlign w:val="bottom"/>
            <w:gridSpan w:val="2"/>
          </w:tcPr>
          <w:p>
            <w:pPr>
              <w:jc w:val="right"/>
              <w:ind w:right="160"/>
              <w:spacing w:after="0" w:line="183"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line="183" w:lineRule="exact"/>
              <w:rPr>
                <w:sz w:val="20"/>
                <w:szCs w:val="20"/>
                <w:color w:val="auto"/>
              </w:rPr>
            </w:pPr>
            <w:r>
              <w:rPr>
                <w:rFonts w:ascii="Arial" w:cs="Arial" w:eastAsia="Arial" w:hAnsi="Arial"/>
                <w:sz w:val="18"/>
                <w:szCs w:val="18"/>
                <w:color w:val="auto"/>
              </w:rPr>
              <w:t>532</w:t>
            </w:r>
          </w:p>
        </w:tc>
      </w:tr>
      <w:tr>
        <w:trPr>
          <w:trHeight w:val="20"/>
        </w:trPr>
        <w:tc>
          <w:tcPr>
            <w:tcW w:w="5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-1285240</wp:posOffset>
            </wp:positionV>
            <wp:extent cx="77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-1285240</wp:posOffset>
            </wp:positionV>
            <wp:extent cx="768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-1285240</wp:posOffset>
            </wp:positionV>
            <wp:extent cx="77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-487680</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-471170</wp:posOffset>
            </wp:positionV>
            <wp:extent cx="7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-487680</wp:posOffset>
            </wp:positionV>
            <wp:extent cx="76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-471170</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-487680</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-471170</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-179070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-162560</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-179070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-162560</wp:posOffset>
            </wp:positionV>
            <wp:extent cx="768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-179070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-162560</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460" w:type="dxa"/>
            <w:vAlign w:val="bottom"/>
            <w:tcBorders>
              <w:bottom w:val="single" w:sz="8" w:color="auto"/>
            </w:tcBorders>
          </w:tcPr>
          <w:p>
            <w:pPr>
              <w:spacing w:after="0"/>
              <w:rPr>
                <w:sz w:val="17"/>
                <w:szCs w:val="17"/>
                <w:color w:val="auto"/>
              </w:rPr>
            </w:pPr>
          </w:p>
        </w:tc>
      </w:tr>
      <w:tr>
        <w:trPr>
          <w:trHeight w:val="183"/>
        </w:trPr>
        <w:tc>
          <w:tcPr>
            <w:tcW w:w="6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2026</w:t>
            </w:r>
          </w:p>
        </w:tc>
        <w:tc>
          <w:tcPr>
            <w:tcW w:w="640" w:type="dxa"/>
            <w:vAlign w:val="bottom"/>
          </w:tcPr>
          <w:p>
            <w:pPr>
              <w:spacing w:after="0"/>
              <w:rPr>
                <w:sz w:val="15"/>
                <w:szCs w:val="15"/>
                <w:color w:val="auto"/>
              </w:rPr>
            </w:pPr>
          </w:p>
        </w:tc>
        <w:tc>
          <w:tcPr>
            <w:tcW w:w="1360" w:type="dxa"/>
            <w:vAlign w:val="bottom"/>
            <w:gridSpan w:val="2"/>
          </w:tcPr>
          <w:p>
            <w:pPr>
              <w:jc w:val="right"/>
              <w:ind w:right="260"/>
              <w:spacing w:after="0" w:line="183" w:lineRule="exact"/>
              <w:rPr>
                <w:sz w:val="20"/>
                <w:szCs w:val="20"/>
                <w:color w:val="auto"/>
              </w:rPr>
            </w:pPr>
            <w:r>
              <w:rPr>
                <w:rFonts w:ascii="Arial" w:cs="Arial" w:eastAsia="Arial" w:hAnsi="Arial"/>
                <w:sz w:val="16"/>
                <w:szCs w:val="16"/>
                <w:b w:val="1"/>
                <w:bCs w:val="1"/>
                <w:color w:val="auto"/>
              </w:rPr>
              <w:t>2025</w:t>
            </w:r>
          </w:p>
        </w:tc>
        <w:tc>
          <w:tcPr>
            <w:tcW w:w="460" w:type="dxa"/>
            <w:vAlign w:val="bottom"/>
          </w:tcPr>
          <w:p>
            <w:pPr>
              <w:spacing w:after="0"/>
              <w:rPr>
                <w:sz w:val="15"/>
                <w:szCs w:val="15"/>
                <w:color w:val="auto"/>
              </w:rPr>
            </w:pPr>
          </w:p>
        </w:tc>
      </w:tr>
      <w:tr>
        <w:trPr>
          <w:trHeight w:val="183"/>
        </w:trPr>
        <w:tc>
          <w:tcPr>
            <w:tcW w:w="67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r>
      <w:tr>
        <w:trPr>
          <w:trHeight w:val="189"/>
        </w:trPr>
        <w:tc>
          <w:tcPr>
            <w:tcW w:w="6760" w:type="dxa"/>
            <w:vAlign w:val="bottom"/>
          </w:tcPr>
          <w:p>
            <w:pPr>
              <w:spacing w:after="0"/>
              <w:rPr>
                <w:sz w:val="20"/>
                <w:szCs w:val="20"/>
                <w:color w:val="auto"/>
              </w:rPr>
            </w:pPr>
            <w:r>
              <w:rPr>
                <w:rFonts w:ascii="Arial" w:cs="Arial" w:eastAsia="Arial" w:hAnsi="Arial"/>
                <w:sz w:val="16"/>
                <w:szCs w:val="16"/>
                <w:color w:val="auto"/>
              </w:rPr>
              <w:t>Net income</w:t>
            </w:r>
          </w:p>
        </w:tc>
        <w:tc>
          <w:tcPr>
            <w:tcW w:w="202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484</w:t>
            </w:r>
          </w:p>
        </w:tc>
        <w:tc>
          <w:tcPr>
            <w:tcW w:w="1360" w:type="dxa"/>
            <w:vAlign w:val="bottom"/>
            <w:gridSpan w:val="2"/>
          </w:tcPr>
          <w:p>
            <w:pPr>
              <w:jc w:val="right"/>
              <w:ind w:right="112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524</w:t>
            </w:r>
          </w:p>
        </w:tc>
      </w:tr>
      <w:tr>
        <w:trPr>
          <w:trHeight w:val="189"/>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r>
      <w:tr>
        <w:trPr>
          <w:trHeight w:val="189"/>
        </w:trPr>
        <w:tc>
          <w:tcPr>
            <w:tcW w:w="6760" w:type="dxa"/>
            <w:vAlign w:val="bottom"/>
          </w:tcPr>
          <w:p>
            <w:pPr>
              <w:ind w:left="80"/>
              <w:spacing w:after="0"/>
              <w:rPr>
                <w:sz w:val="20"/>
                <w:szCs w:val="20"/>
                <w:color w:val="auto"/>
              </w:rPr>
            </w:pPr>
            <w:r>
              <w:rPr>
                <w:rFonts w:ascii="Arial" w:cs="Arial" w:eastAsia="Arial" w:hAnsi="Arial"/>
                <w:sz w:val="16"/>
                <w:szCs w:val="16"/>
                <w:color w:val="auto"/>
              </w:rPr>
              <w:t>Depreciation of property, plant and equipment</w:t>
            </w: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177</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87</w:t>
            </w:r>
          </w:p>
        </w:tc>
      </w:tr>
      <w:tr>
        <w:trPr>
          <w:trHeight w:val="189"/>
        </w:trPr>
        <w:tc>
          <w:tcPr>
            <w:tcW w:w="6760" w:type="dxa"/>
            <w:vAlign w:val="bottom"/>
            <w:shd w:val="clear" w:color="auto" w:fill="CFF0FC"/>
          </w:tcPr>
          <w:p>
            <w:pPr>
              <w:ind w:left="80"/>
              <w:spacing w:after="0"/>
              <w:rPr>
                <w:sz w:val="20"/>
                <w:szCs w:val="20"/>
                <w:color w:val="auto"/>
              </w:rPr>
            </w:pPr>
            <w:r>
              <w:rPr>
                <w:rFonts w:ascii="Arial" w:cs="Arial" w:eastAsia="Arial" w:hAnsi="Arial"/>
                <w:sz w:val="16"/>
                <w:szCs w:val="16"/>
                <w:color w:val="auto"/>
              </w:rPr>
              <w:t>Amortization expense</w:t>
            </w:r>
          </w:p>
        </w:tc>
        <w:tc>
          <w:tcPr>
            <w:tcW w:w="10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66</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w:t>
            </w:r>
          </w:p>
        </w:tc>
      </w:tr>
      <w:tr>
        <w:trPr>
          <w:trHeight w:val="189"/>
        </w:trPr>
        <w:tc>
          <w:tcPr>
            <w:tcW w:w="6760" w:type="dxa"/>
            <w:vAlign w:val="bottom"/>
          </w:tcPr>
          <w:p>
            <w:pPr>
              <w:ind w:left="80"/>
              <w:spacing w:after="0"/>
              <w:rPr>
                <w:sz w:val="20"/>
                <w:szCs w:val="20"/>
                <w:color w:val="auto"/>
              </w:rPr>
            </w:pPr>
            <w:r>
              <w:rPr>
                <w:rFonts w:ascii="Arial" w:cs="Arial" w:eastAsia="Arial" w:hAnsi="Arial"/>
                <w:sz w:val="16"/>
                <w:szCs w:val="16"/>
                <w:color w:val="auto"/>
              </w:rPr>
              <w:t>Stock-based compensation</w:t>
            </w: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25</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20</w:t>
            </w:r>
          </w:p>
        </w:tc>
      </w:tr>
      <w:tr>
        <w:trPr>
          <w:trHeight w:val="189"/>
        </w:trPr>
        <w:tc>
          <w:tcPr>
            <w:tcW w:w="6760" w:type="dxa"/>
            <w:vAlign w:val="bottom"/>
            <w:shd w:val="clear" w:color="auto" w:fill="CFF0FC"/>
          </w:tcPr>
          <w:p>
            <w:pPr>
              <w:ind w:left="80"/>
              <w:spacing w:after="0"/>
              <w:rPr>
                <w:sz w:val="20"/>
                <w:szCs w:val="20"/>
                <w:color w:val="auto"/>
              </w:rPr>
            </w:pPr>
            <w:r>
              <w:rPr>
                <w:rFonts w:ascii="Arial" w:cs="Arial" w:eastAsia="Arial" w:hAnsi="Arial"/>
                <w:sz w:val="16"/>
                <w:szCs w:val="16"/>
                <w:color w:val="auto"/>
              </w:rPr>
              <w:t>Unrealized loss (gain) on marketable securities</w:t>
            </w:r>
          </w:p>
        </w:tc>
        <w:tc>
          <w:tcPr>
            <w:tcW w:w="10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11</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6760" w:type="dxa"/>
            <w:vAlign w:val="bottom"/>
          </w:tcPr>
          <w:p>
            <w:pPr>
              <w:ind w:left="80"/>
              <w:spacing w:after="0"/>
              <w:rPr>
                <w:sz w:val="20"/>
                <w:szCs w:val="20"/>
                <w:color w:val="auto"/>
              </w:rPr>
            </w:pPr>
            <w:r>
              <w:rPr>
                <w:rFonts w:ascii="Arial" w:cs="Arial" w:eastAsia="Arial" w:hAnsi="Arial"/>
                <w:sz w:val="16"/>
                <w:szCs w:val="16"/>
                <w:color w:val="auto"/>
              </w:rPr>
              <w:t>Amortization of deferred financing fees</w:t>
            </w: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5</w:t>
            </w:r>
          </w:p>
        </w:tc>
      </w:tr>
      <w:tr>
        <w:trPr>
          <w:trHeight w:val="189"/>
        </w:trPr>
        <w:tc>
          <w:tcPr>
            <w:tcW w:w="6760" w:type="dxa"/>
            <w:vAlign w:val="bottom"/>
            <w:shd w:val="clear" w:color="auto" w:fill="CFF0FC"/>
          </w:tcPr>
          <w:p>
            <w:pPr>
              <w:ind w:left="80"/>
              <w:spacing w:after="0"/>
              <w:rPr>
                <w:sz w:val="20"/>
                <w:szCs w:val="20"/>
                <w:color w:val="auto"/>
              </w:rPr>
            </w:pPr>
            <w:r>
              <w:rPr>
                <w:rFonts w:ascii="Arial" w:cs="Arial" w:eastAsia="Arial" w:hAnsi="Arial"/>
                <w:sz w:val="16"/>
                <w:szCs w:val="16"/>
                <w:color w:val="auto"/>
              </w:rPr>
              <w:t>Inventory obsolescence</w:t>
            </w:r>
          </w:p>
        </w:tc>
        <w:tc>
          <w:tcPr>
            <w:tcW w:w="10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8</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r>
      <w:tr>
        <w:trPr>
          <w:trHeight w:val="189"/>
        </w:trPr>
        <w:tc>
          <w:tcPr>
            <w:tcW w:w="6760" w:type="dxa"/>
            <w:vAlign w:val="bottom"/>
          </w:tcPr>
          <w:p>
            <w:pPr>
              <w:ind w:left="80"/>
              <w:spacing w:after="0"/>
              <w:rPr>
                <w:sz w:val="20"/>
                <w:szCs w:val="20"/>
                <w:color w:val="auto"/>
              </w:rPr>
            </w:pPr>
            <w:r>
              <w:rPr>
                <w:rFonts w:ascii="Arial" w:cs="Arial" w:eastAsia="Arial" w:hAnsi="Arial"/>
                <w:sz w:val="16"/>
                <w:szCs w:val="16"/>
                <w:color w:val="auto"/>
              </w:rPr>
              <w:t>Deferred income taxes</w:t>
            </w: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46</w:t>
            </w:r>
          </w:p>
        </w:tc>
      </w:tr>
      <w:tr>
        <w:trPr>
          <w:trHeight w:val="189"/>
        </w:trPr>
        <w:tc>
          <w:tcPr>
            <w:tcW w:w="6760" w:type="dxa"/>
            <w:vAlign w:val="bottom"/>
            <w:shd w:val="clear" w:color="auto" w:fill="CFF0FC"/>
          </w:tcPr>
          <w:p>
            <w:pPr>
              <w:ind w:left="80"/>
              <w:spacing w:after="0"/>
              <w:rPr>
                <w:sz w:val="20"/>
                <w:szCs w:val="20"/>
                <w:color w:val="auto"/>
              </w:rPr>
            </w:pPr>
            <w:r>
              <w:rPr>
                <w:rFonts w:ascii="Arial" w:cs="Arial" w:eastAsia="Arial" w:hAnsi="Arial"/>
                <w:sz w:val="16"/>
                <w:szCs w:val="16"/>
                <w:color w:val="auto"/>
              </w:rPr>
              <w:t>Other</w:t>
            </w:r>
          </w:p>
        </w:tc>
        <w:tc>
          <w:tcPr>
            <w:tcW w:w="10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760" w:type="dxa"/>
            <w:vAlign w:val="bottom"/>
          </w:tcPr>
          <w:p>
            <w:pPr>
              <w:spacing w:after="0"/>
              <w:rPr>
                <w:sz w:val="20"/>
                <w:szCs w:val="20"/>
                <w:color w:val="auto"/>
              </w:rPr>
            </w:pPr>
            <w:r>
              <w:rPr>
                <w:rFonts w:ascii="Arial" w:cs="Arial" w:eastAsia="Arial" w:hAnsi="Arial"/>
                <w:sz w:val="16"/>
                <w:szCs w:val="16"/>
                <w:color w:val="auto"/>
              </w:rPr>
              <w:t>Changes in operating assets and liabilities, net of effects of the Acquisition</w:t>
            </w: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89"/>
        </w:trPr>
        <w:tc>
          <w:tcPr>
            <w:tcW w:w="6760" w:type="dxa"/>
            <w:vAlign w:val="bottom"/>
            <w:shd w:val="clear" w:color="auto" w:fill="CFF0FC"/>
          </w:tcPr>
          <w:p>
            <w:pPr>
              <w:ind w:left="80"/>
              <w:spacing w:after="0"/>
              <w:rPr>
                <w:sz w:val="20"/>
                <w:szCs w:val="20"/>
                <w:color w:val="auto"/>
              </w:rPr>
            </w:pPr>
            <w:r>
              <w:rPr>
                <w:rFonts w:ascii="Arial" w:cs="Arial" w:eastAsia="Arial" w:hAnsi="Arial"/>
                <w:sz w:val="16"/>
                <w:szCs w:val="16"/>
                <w:color w:val="auto"/>
              </w:rPr>
              <w:t>Accounts receivable</w:t>
            </w:r>
          </w:p>
        </w:tc>
        <w:tc>
          <w:tcPr>
            <w:tcW w:w="10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(200)</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w:t>
            </w:r>
          </w:p>
        </w:tc>
      </w:tr>
      <w:tr>
        <w:trPr>
          <w:trHeight w:val="189"/>
        </w:trPr>
        <w:tc>
          <w:tcPr>
            <w:tcW w:w="6760" w:type="dxa"/>
            <w:vAlign w:val="bottom"/>
          </w:tcPr>
          <w:p>
            <w:pPr>
              <w:ind w:left="80"/>
              <w:spacing w:after="0"/>
              <w:rPr>
                <w:sz w:val="20"/>
                <w:szCs w:val="20"/>
                <w:color w:val="auto"/>
              </w:rPr>
            </w:pPr>
            <w:r>
              <w:rPr>
                <w:rFonts w:ascii="Arial" w:cs="Arial" w:eastAsia="Arial" w:hAnsi="Arial"/>
                <w:sz w:val="16"/>
                <w:szCs w:val="16"/>
                <w:color w:val="auto"/>
              </w:rPr>
              <w:t>Inventories</w:t>
            </w: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15</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189"/>
        </w:trPr>
        <w:tc>
          <w:tcPr>
            <w:tcW w:w="6760" w:type="dxa"/>
            <w:vAlign w:val="bottom"/>
            <w:shd w:val="clear" w:color="auto" w:fill="CFF0FC"/>
          </w:tcPr>
          <w:p>
            <w:pPr>
              <w:ind w:left="80"/>
              <w:spacing w:after="0"/>
              <w:rPr>
                <w:sz w:val="20"/>
                <w:szCs w:val="20"/>
                <w:color w:val="auto"/>
              </w:rPr>
            </w:pPr>
            <w:r>
              <w:rPr>
                <w:rFonts w:ascii="Arial" w:cs="Arial" w:eastAsia="Arial" w:hAnsi="Arial"/>
                <w:sz w:val="16"/>
                <w:szCs w:val="16"/>
                <w:color w:val="auto"/>
              </w:rPr>
              <w:t>Accounts payable</w:t>
            </w:r>
          </w:p>
        </w:tc>
        <w:tc>
          <w:tcPr>
            <w:tcW w:w="10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207</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r>
      <w:tr>
        <w:trPr>
          <w:trHeight w:val="189"/>
        </w:trPr>
        <w:tc>
          <w:tcPr>
            <w:tcW w:w="6760" w:type="dxa"/>
            <w:vAlign w:val="bottom"/>
          </w:tcPr>
          <w:p>
            <w:pPr>
              <w:ind w:left="80"/>
              <w:spacing w:after="0"/>
              <w:rPr>
                <w:sz w:val="20"/>
                <w:szCs w:val="20"/>
                <w:color w:val="auto"/>
              </w:rPr>
            </w:pPr>
            <w:r>
              <w:rPr>
                <w:rFonts w:ascii="Arial" w:cs="Arial" w:eastAsia="Arial" w:hAnsi="Arial"/>
                <w:sz w:val="16"/>
                <w:szCs w:val="16"/>
                <w:color w:val="auto"/>
              </w:rPr>
              <w:t>Other assets and liabilities</w:t>
            </w:r>
          </w:p>
        </w:tc>
        <w:tc>
          <w:tcPr>
            <w:tcW w:w="10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w:t>
            </w:r>
          </w:p>
        </w:tc>
        <w:tc>
          <w:tcPr>
            <w:tcW w:w="1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r>
      <w:tr>
        <w:trPr>
          <w:trHeight w:val="183"/>
        </w:trPr>
        <w:tc>
          <w:tcPr>
            <w:tcW w:w="6760" w:type="dxa"/>
            <w:vAlign w:val="bottom"/>
            <w:shd w:val="clear" w:color="auto" w:fill="CFF0FC"/>
          </w:tcPr>
          <w:p>
            <w:pPr>
              <w:ind w:left="14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10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811</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593</w:t>
            </w:r>
          </w:p>
        </w:tc>
      </w:tr>
      <w:tr>
        <w:trPr>
          <w:trHeight w:val="189"/>
        </w:trPr>
        <w:tc>
          <w:tcPr>
            <w:tcW w:w="676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89"/>
        </w:trPr>
        <w:tc>
          <w:tcPr>
            <w:tcW w:w="6760" w:type="dxa"/>
            <w:vAlign w:val="bottom"/>
            <w:shd w:val="clear" w:color="auto" w:fill="CFF0FC"/>
          </w:tcPr>
          <w:p>
            <w:pPr>
              <w:ind w:left="80"/>
              <w:spacing w:after="0"/>
              <w:rPr>
                <w:sz w:val="20"/>
                <w:szCs w:val="20"/>
                <w:color w:val="auto"/>
              </w:rPr>
            </w:pPr>
            <w:r>
              <w:rPr>
                <w:rFonts w:ascii="Arial" w:cs="Arial" w:eastAsia="Arial" w:hAnsi="Arial"/>
                <w:sz w:val="16"/>
                <w:szCs w:val="16"/>
                <w:color w:val="auto"/>
              </w:rPr>
              <w:t>Business acquisition, net of cash acquired</w:t>
            </w:r>
          </w:p>
        </w:tc>
        <w:tc>
          <w:tcPr>
            <w:tcW w:w="10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(2,529)</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760" w:type="dxa"/>
            <w:vAlign w:val="bottom"/>
          </w:tcPr>
          <w:p>
            <w:pPr>
              <w:ind w:left="80"/>
              <w:spacing w:after="0"/>
              <w:rPr>
                <w:sz w:val="20"/>
                <w:szCs w:val="20"/>
                <w:color w:val="auto"/>
              </w:rPr>
            </w:pPr>
            <w:r>
              <w:rPr>
                <w:rFonts w:ascii="Arial" w:cs="Arial" w:eastAsia="Arial" w:hAnsi="Arial"/>
                <w:sz w:val="16"/>
                <w:szCs w:val="16"/>
                <w:color w:val="auto"/>
              </w:rPr>
              <w:t>Additions of long-lived assets</w:t>
            </w: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(149)</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189"/>
        </w:trPr>
        <w:tc>
          <w:tcPr>
            <w:tcW w:w="6760" w:type="dxa"/>
            <w:vAlign w:val="bottom"/>
            <w:shd w:val="clear" w:color="auto" w:fill="CFF0FC"/>
          </w:tcPr>
          <w:p>
            <w:pPr>
              <w:ind w:left="80"/>
              <w:spacing w:after="0"/>
              <w:rPr>
                <w:sz w:val="20"/>
                <w:szCs w:val="20"/>
                <w:color w:val="auto"/>
              </w:rPr>
            </w:pPr>
            <w:r>
              <w:rPr>
                <w:rFonts w:ascii="Arial" w:cs="Arial" w:eastAsia="Arial" w:hAnsi="Arial"/>
                <w:sz w:val="16"/>
                <w:szCs w:val="16"/>
                <w:color w:val="auto"/>
              </w:rPr>
              <w:t>Proceeds from cross currency swaps</w:t>
            </w:r>
          </w:p>
        </w:tc>
        <w:tc>
          <w:tcPr>
            <w:tcW w:w="10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21</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760" w:type="dxa"/>
            <w:vAlign w:val="bottom"/>
          </w:tcPr>
          <w:p>
            <w:pPr>
              <w:ind w:left="80"/>
              <w:spacing w:after="0"/>
              <w:rPr>
                <w:sz w:val="20"/>
                <w:szCs w:val="20"/>
                <w:color w:val="auto"/>
              </w:rPr>
            </w:pPr>
            <w:r>
              <w:rPr>
                <w:rFonts w:ascii="Arial" w:cs="Arial" w:eastAsia="Arial" w:hAnsi="Arial"/>
                <w:sz w:val="16"/>
                <w:szCs w:val="16"/>
                <w:color w:val="auto"/>
              </w:rPr>
              <w:t>Payments on cross currency swaps</w:t>
            </w: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760" w:type="dxa"/>
            <w:vAlign w:val="bottom"/>
            <w:shd w:val="clear" w:color="auto" w:fill="CFF0FC"/>
          </w:tcPr>
          <w:p>
            <w:pPr>
              <w:ind w:left="80"/>
              <w:spacing w:after="0"/>
              <w:rPr>
                <w:sz w:val="20"/>
                <w:szCs w:val="20"/>
                <w:color w:val="auto"/>
              </w:rPr>
            </w:pPr>
            <w:r>
              <w:rPr>
                <w:rFonts w:ascii="Arial" w:cs="Arial" w:eastAsia="Arial" w:hAnsi="Arial"/>
                <w:sz w:val="16"/>
                <w:szCs w:val="16"/>
                <w:color w:val="auto"/>
              </w:rPr>
              <w:t>Investment in equity method investee</w:t>
            </w:r>
          </w:p>
        </w:tc>
        <w:tc>
          <w:tcPr>
            <w:tcW w:w="10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6760" w:type="dxa"/>
            <w:vAlign w:val="bottom"/>
          </w:tcPr>
          <w:p>
            <w:pPr>
              <w:ind w:left="80"/>
              <w:spacing w:after="0"/>
              <w:rPr>
                <w:sz w:val="20"/>
                <w:szCs w:val="20"/>
                <w:color w:val="auto"/>
              </w:rPr>
            </w:pPr>
            <w:r>
              <w:rPr>
                <w:rFonts w:ascii="Arial" w:cs="Arial" w:eastAsia="Arial" w:hAnsi="Arial"/>
                <w:sz w:val="16"/>
                <w:szCs w:val="16"/>
                <w:color w:val="auto"/>
              </w:rPr>
              <w:t>Investment in equities without a readily determinable fair value</w:t>
            </w: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7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Investment in debt securities</w:t>
            </w:r>
          </w:p>
        </w:tc>
        <w:tc>
          <w:tcPr>
            <w:tcW w:w="10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r>
      <w:tr>
        <w:trPr>
          <w:trHeight w:val="183"/>
        </w:trPr>
        <w:tc>
          <w:tcPr>
            <w:tcW w:w="6760" w:type="dxa"/>
            <w:vAlign w:val="bottom"/>
          </w:tcPr>
          <w:p>
            <w:pPr>
              <w:ind w:left="140"/>
              <w:spacing w:after="0" w:line="183" w:lineRule="exact"/>
              <w:rPr>
                <w:sz w:val="20"/>
                <w:szCs w:val="20"/>
                <w:color w:val="auto"/>
              </w:rPr>
            </w:pPr>
            <w:r>
              <w:rPr>
                <w:rFonts w:ascii="Arial" w:cs="Arial" w:eastAsia="Arial" w:hAnsi="Arial"/>
                <w:sz w:val="16"/>
                <w:szCs w:val="16"/>
                <w:color w:val="auto"/>
              </w:rPr>
              <w:t>Net cash used for investing activities</w:t>
            </w: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(2,679)</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Arial" w:cs="Arial" w:eastAsia="Arial" w:hAnsi="Arial"/>
                <w:sz w:val="16"/>
                <w:szCs w:val="16"/>
                <w:color w:val="auto"/>
              </w:rPr>
              <w:t>(108)</w:t>
            </w:r>
          </w:p>
        </w:tc>
      </w:tr>
      <w:tr>
        <w:trPr>
          <w:trHeight w:val="189"/>
        </w:trPr>
        <w:tc>
          <w:tcPr>
            <w:tcW w:w="6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r>
      <w:tr>
        <w:trPr>
          <w:trHeight w:val="189"/>
        </w:trPr>
        <w:tc>
          <w:tcPr>
            <w:tcW w:w="6760" w:type="dxa"/>
            <w:vAlign w:val="bottom"/>
          </w:tcPr>
          <w:p>
            <w:pPr>
              <w:ind w:left="80"/>
              <w:spacing w:after="0"/>
              <w:rPr>
                <w:sz w:val="20"/>
                <w:szCs w:val="20"/>
                <w:color w:val="auto"/>
              </w:rPr>
            </w:pPr>
            <w:r>
              <w:rPr>
                <w:rFonts w:ascii="Arial" w:cs="Arial" w:eastAsia="Arial" w:hAnsi="Arial"/>
                <w:sz w:val="16"/>
                <w:szCs w:val="16"/>
                <w:color w:val="auto"/>
              </w:rPr>
              <w:t>Issuance of long-term debt</w:t>
            </w: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1,200</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760" w:type="dxa"/>
            <w:vAlign w:val="bottom"/>
            <w:shd w:val="clear" w:color="auto" w:fill="CFF0FC"/>
          </w:tcPr>
          <w:p>
            <w:pPr>
              <w:ind w:left="80"/>
              <w:spacing w:after="0"/>
              <w:rPr>
                <w:sz w:val="20"/>
                <w:szCs w:val="20"/>
                <w:color w:val="auto"/>
              </w:rPr>
            </w:pPr>
            <w:r>
              <w:rPr>
                <w:rFonts w:ascii="Arial" w:cs="Arial" w:eastAsia="Arial" w:hAnsi="Arial"/>
                <w:sz w:val="16"/>
                <w:szCs w:val="16"/>
                <w:color w:val="auto"/>
              </w:rPr>
              <w:t>Proceeds from revolving credit facility</w:t>
            </w:r>
          </w:p>
        </w:tc>
        <w:tc>
          <w:tcPr>
            <w:tcW w:w="10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300</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760" w:type="dxa"/>
            <w:vAlign w:val="bottom"/>
          </w:tcPr>
          <w:p>
            <w:pPr>
              <w:ind w:left="80"/>
              <w:spacing w:after="0"/>
              <w:rPr>
                <w:sz w:val="20"/>
                <w:szCs w:val="20"/>
                <w:color w:val="auto"/>
              </w:rPr>
            </w:pPr>
            <w:r>
              <w:rPr>
                <w:rFonts w:ascii="Arial" w:cs="Arial" w:eastAsia="Arial" w:hAnsi="Arial"/>
                <w:sz w:val="16"/>
                <w:szCs w:val="16"/>
                <w:color w:val="auto"/>
              </w:rPr>
              <w:t>Payments on revolving credit facility</w:t>
            </w: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(300)</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760" w:type="dxa"/>
            <w:vAlign w:val="bottom"/>
            <w:shd w:val="clear" w:color="auto" w:fill="CFF0FC"/>
          </w:tcPr>
          <w:p>
            <w:pPr>
              <w:ind w:left="80"/>
              <w:spacing w:after="0"/>
              <w:rPr>
                <w:sz w:val="20"/>
                <w:szCs w:val="20"/>
                <w:color w:val="auto"/>
              </w:rPr>
            </w:pPr>
            <w:r>
              <w:rPr>
                <w:rFonts w:ascii="Arial" w:cs="Arial" w:eastAsia="Arial" w:hAnsi="Arial"/>
                <w:sz w:val="16"/>
                <w:szCs w:val="16"/>
                <w:color w:val="auto"/>
              </w:rPr>
              <w:t>Repurchases of common stock</w:t>
            </w:r>
          </w:p>
        </w:tc>
        <w:tc>
          <w:tcPr>
            <w:tcW w:w="10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(123)</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w:t>
            </w:r>
          </w:p>
        </w:tc>
      </w:tr>
      <w:tr>
        <w:trPr>
          <w:trHeight w:val="189"/>
        </w:trPr>
        <w:tc>
          <w:tcPr>
            <w:tcW w:w="6760" w:type="dxa"/>
            <w:vAlign w:val="bottom"/>
          </w:tcPr>
          <w:p>
            <w:pPr>
              <w:ind w:left="80"/>
              <w:spacing w:after="0"/>
              <w:rPr>
                <w:sz w:val="20"/>
                <w:szCs w:val="20"/>
                <w:color w:val="auto"/>
              </w:rPr>
            </w:pPr>
            <w:r>
              <w:rPr>
                <w:rFonts w:ascii="Arial" w:cs="Arial" w:eastAsia="Arial" w:hAnsi="Arial"/>
                <w:sz w:val="16"/>
                <w:szCs w:val="16"/>
                <w:color w:val="auto"/>
              </w:rPr>
              <w:t>Payments on long-term debt</w:t>
            </w: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(110)</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6760" w:type="dxa"/>
            <w:vAlign w:val="bottom"/>
            <w:shd w:val="clear" w:color="auto" w:fill="CFF0FC"/>
          </w:tcPr>
          <w:p>
            <w:pPr>
              <w:ind w:left="80"/>
              <w:spacing w:after="0"/>
              <w:rPr>
                <w:sz w:val="20"/>
                <w:szCs w:val="20"/>
                <w:color w:val="auto"/>
              </w:rPr>
            </w:pPr>
            <w:r>
              <w:rPr>
                <w:rFonts w:ascii="Arial" w:cs="Arial" w:eastAsia="Arial" w:hAnsi="Arial"/>
                <w:sz w:val="16"/>
                <w:szCs w:val="16"/>
                <w:color w:val="auto"/>
              </w:rPr>
              <w:t>Dividend payments</w:t>
            </w:r>
          </w:p>
        </w:tc>
        <w:tc>
          <w:tcPr>
            <w:tcW w:w="10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(72)</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r>
      <w:tr>
        <w:trPr>
          <w:trHeight w:val="189"/>
        </w:trPr>
        <w:tc>
          <w:tcPr>
            <w:tcW w:w="6760" w:type="dxa"/>
            <w:vAlign w:val="bottom"/>
          </w:tcPr>
          <w:p>
            <w:pPr>
              <w:ind w:left="80"/>
              <w:spacing w:after="0"/>
              <w:rPr>
                <w:sz w:val="20"/>
                <w:szCs w:val="20"/>
                <w:color w:val="auto"/>
              </w:rPr>
            </w:pPr>
            <w:r>
              <w:rPr>
                <w:rFonts w:ascii="Arial" w:cs="Arial" w:eastAsia="Arial" w:hAnsi="Arial"/>
                <w:sz w:val="16"/>
                <w:szCs w:val="16"/>
                <w:color w:val="auto"/>
              </w:rPr>
              <w:t>Debt financing fees</w:t>
            </w: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6760" w:type="dxa"/>
            <w:vAlign w:val="bottom"/>
            <w:shd w:val="clear" w:color="auto" w:fill="CFF0FC"/>
          </w:tcPr>
          <w:p>
            <w:pPr>
              <w:ind w:left="80"/>
              <w:spacing w:after="0"/>
              <w:rPr>
                <w:sz w:val="20"/>
                <w:szCs w:val="20"/>
                <w:color w:val="auto"/>
              </w:rPr>
            </w:pPr>
            <w:r>
              <w:rPr>
                <w:rFonts w:ascii="Arial" w:cs="Arial" w:eastAsia="Arial" w:hAnsi="Arial"/>
                <w:sz w:val="16"/>
                <w:szCs w:val="16"/>
                <w:color w:val="auto"/>
              </w:rPr>
              <w:t>Taxes paid related to net share settlement of equity awards</w:t>
            </w:r>
          </w:p>
        </w:tc>
        <w:tc>
          <w:tcPr>
            <w:tcW w:w="10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r>
      <w:tr>
        <w:trPr>
          <w:trHeight w:val="189"/>
        </w:trPr>
        <w:tc>
          <w:tcPr>
            <w:tcW w:w="6760" w:type="dxa"/>
            <w:vAlign w:val="bottom"/>
          </w:tcPr>
          <w:p>
            <w:pPr>
              <w:ind w:left="80"/>
              <w:spacing w:after="0"/>
              <w:rPr>
                <w:sz w:val="20"/>
                <w:szCs w:val="20"/>
                <w:color w:val="auto"/>
              </w:rPr>
            </w:pPr>
            <w:r>
              <w:rPr>
                <w:rFonts w:ascii="Arial" w:cs="Arial" w:eastAsia="Arial" w:hAnsi="Arial"/>
                <w:sz w:val="16"/>
                <w:szCs w:val="16"/>
                <w:color w:val="auto"/>
              </w:rPr>
              <w:t>Proceeds from exercise of stock options</w:t>
            </w:r>
          </w:p>
        </w:tc>
        <w:tc>
          <w:tcPr>
            <w:tcW w:w="10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w:t>
            </w:r>
          </w:p>
        </w:tc>
        <w:tc>
          <w:tcPr>
            <w:tcW w:w="1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r>
      <w:tr>
        <w:trPr>
          <w:trHeight w:val="183"/>
        </w:trPr>
        <w:tc>
          <w:tcPr>
            <w:tcW w:w="6760" w:type="dxa"/>
            <w:vAlign w:val="bottom"/>
            <w:shd w:val="clear" w:color="auto" w:fill="CFF0FC"/>
          </w:tcPr>
          <w:p>
            <w:pPr>
              <w:ind w:left="140"/>
              <w:spacing w:after="0" w:line="183" w:lineRule="exact"/>
              <w:rPr>
                <w:sz w:val="20"/>
                <w:szCs w:val="20"/>
                <w:color w:val="auto"/>
              </w:rPr>
            </w:pPr>
            <w:r>
              <w:rPr>
                <w:rFonts w:ascii="Arial" w:cs="Arial" w:eastAsia="Arial" w:hAnsi="Arial"/>
                <w:sz w:val="16"/>
                <w:szCs w:val="16"/>
                <w:color w:val="auto"/>
              </w:rPr>
              <w:t>Net cash provided by (used for) financing activities</w:t>
            </w:r>
          </w:p>
        </w:tc>
        <w:tc>
          <w:tcPr>
            <w:tcW w:w="10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874</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(368)</w:t>
            </w:r>
          </w:p>
        </w:tc>
      </w:tr>
      <w:tr>
        <w:trPr>
          <w:trHeight w:val="189"/>
        </w:trPr>
        <w:tc>
          <w:tcPr>
            <w:tcW w:w="676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10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1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r>
      <w:tr>
        <w:trPr>
          <w:trHeight w:val="183"/>
        </w:trPr>
        <w:tc>
          <w:tcPr>
            <w:tcW w:w="6760" w:type="dxa"/>
            <w:vAlign w:val="bottom"/>
            <w:shd w:val="clear" w:color="auto" w:fill="CFF0FC"/>
          </w:tcPr>
          <w:p>
            <w:pPr>
              <w:ind w:left="140"/>
              <w:spacing w:after="0" w:line="183" w:lineRule="exact"/>
              <w:rPr>
                <w:sz w:val="20"/>
                <w:szCs w:val="20"/>
                <w:color w:val="auto"/>
              </w:rPr>
            </w:pPr>
            <w:r>
              <w:rPr>
                <w:rFonts w:ascii="Arial" w:cs="Arial" w:eastAsia="Arial" w:hAnsi="Arial"/>
                <w:sz w:val="16"/>
                <w:szCs w:val="16"/>
                <w:color w:val="auto"/>
              </w:rPr>
              <w:t>Net (decrease) increase in cash and cash equivalents</w:t>
            </w:r>
          </w:p>
        </w:tc>
        <w:tc>
          <w:tcPr>
            <w:tcW w:w="10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(998)</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121</w:t>
            </w:r>
          </w:p>
        </w:tc>
      </w:tr>
      <w:tr>
        <w:trPr>
          <w:trHeight w:val="189"/>
        </w:trPr>
        <w:tc>
          <w:tcPr>
            <w:tcW w:w="676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10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1,495</w:t>
            </w:r>
          </w:p>
        </w:tc>
        <w:tc>
          <w:tcPr>
            <w:tcW w:w="1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781</w:t>
            </w:r>
          </w:p>
        </w:tc>
      </w:tr>
      <w:tr>
        <w:trPr>
          <w:trHeight w:val="223"/>
        </w:trPr>
        <w:tc>
          <w:tcPr>
            <w:tcW w:w="67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Cash and cash equivalents at end of period</w:t>
            </w:r>
          </w:p>
        </w:tc>
        <w:tc>
          <w:tcPr>
            <w:tcW w:w="2020" w:type="dxa"/>
            <w:vAlign w:val="bottom"/>
            <w:gridSpan w:val="2"/>
            <w:shd w:val="clear" w:color="auto" w:fill="CFF0FC"/>
          </w:tcPr>
          <w:p>
            <w:pPr>
              <w:jc w:val="right"/>
              <w:ind w:right="839"/>
              <w:spacing w:after="0" w:line="183" w:lineRule="exact"/>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497</w:t>
            </w:r>
          </w:p>
        </w:tc>
        <w:tc>
          <w:tcPr>
            <w:tcW w:w="1360" w:type="dxa"/>
            <w:vAlign w:val="bottom"/>
            <w:gridSpan w:val="2"/>
            <w:shd w:val="clear" w:color="auto" w:fill="CFF0FC"/>
          </w:tcPr>
          <w:p>
            <w:pPr>
              <w:jc w:val="right"/>
              <w:ind w:right="1120"/>
              <w:spacing w:after="0" w:line="183" w:lineRule="exact"/>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902</w:t>
            </w:r>
          </w:p>
        </w:tc>
      </w:tr>
      <w:tr>
        <w:trPr>
          <w:trHeight w:val="170"/>
        </w:trPr>
        <w:tc>
          <w:tcPr>
            <w:tcW w:w="676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b w:val="1"/>
                <w:bCs w:val="1"/>
                <w:color w:val="auto"/>
              </w:rPr>
              <w:t>SUPPLEMENTAL DISCLOSURES OF CASH FLOW INFORMATION:</w:t>
            </w:r>
          </w:p>
        </w:tc>
        <w:tc>
          <w:tcPr>
            <w:tcW w:w="1020" w:type="dxa"/>
            <w:vAlign w:val="bottom"/>
            <w:tcBorders>
              <w:top w:val="single" w:sz="8" w:color="CFF0FC"/>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r>
      <w:tr>
        <w:trPr>
          <w:trHeight w:val="189"/>
        </w:trPr>
        <w:tc>
          <w:tcPr>
            <w:tcW w:w="67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Interest paid</w:t>
            </w:r>
          </w:p>
        </w:tc>
        <w:tc>
          <w:tcPr>
            <w:tcW w:w="2020" w:type="dxa"/>
            <w:vAlign w:val="bottom"/>
            <w:gridSpan w:val="2"/>
            <w:shd w:val="clear" w:color="auto" w:fill="CFF0FC"/>
          </w:tcPr>
          <w:p>
            <w:pPr>
              <w:jc w:val="right"/>
              <w:ind w:right="839"/>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(152)</w:t>
            </w:r>
          </w:p>
        </w:tc>
        <w:tc>
          <w:tcPr>
            <w:tcW w:w="1360" w:type="dxa"/>
            <w:vAlign w:val="bottom"/>
            <w:gridSpan w:val="2"/>
            <w:shd w:val="clear" w:color="auto" w:fill="CFF0FC"/>
          </w:tcPr>
          <w:p>
            <w:pPr>
              <w:jc w:val="right"/>
              <w:ind w:right="11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r>
      <w:tr>
        <w:trPr>
          <w:trHeight w:val="189"/>
        </w:trPr>
        <w:tc>
          <w:tcPr>
            <w:tcW w:w="6760" w:type="dxa"/>
            <w:vAlign w:val="bottom"/>
          </w:tcPr>
          <w:p>
            <w:pPr>
              <w:ind w:left="140"/>
              <w:spacing w:after="0"/>
              <w:rPr>
                <w:sz w:val="20"/>
                <w:szCs w:val="20"/>
                <w:color w:val="auto"/>
              </w:rPr>
            </w:pPr>
            <w:r>
              <w:rPr>
                <w:rFonts w:ascii="Arial" w:cs="Arial" w:eastAsia="Arial" w:hAnsi="Arial"/>
                <w:sz w:val="16"/>
                <w:szCs w:val="16"/>
                <w:color w:val="auto"/>
              </w:rPr>
              <w:t>Income taxes paid</w:t>
            </w:r>
          </w:p>
        </w:tc>
        <w:tc>
          <w:tcPr>
            <w:tcW w:w="202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(143)</w:t>
            </w:r>
          </w:p>
        </w:tc>
        <w:tc>
          <w:tcPr>
            <w:tcW w:w="1360" w:type="dxa"/>
            <w:vAlign w:val="bottom"/>
            <w:gridSpan w:val="2"/>
          </w:tcPr>
          <w:p>
            <w:pPr>
              <w:jc w:val="right"/>
              <w:ind w:right="112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189"/>
        </w:trPr>
        <w:tc>
          <w:tcPr>
            <w:tcW w:w="67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Interest received from interest rate swaps</w:t>
            </w:r>
          </w:p>
        </w:tc>
        <w:tc>
          <w:tcPr>
            <w:tcW w:w="2020" w:type="dxa"/>
            <w:vAlign w:val="bottom"/>
            <w:gridSpan w:val="2"/>
            <w:shd w:val="clear" w:color="auto" w:fill="CFF0FC"/>
          </w:tcPr>
          <w:p>
            <w:pPr>
              <w:jc w:val="right"/>
              <w:ind w:right="839"/>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shd w:val="clear" w:color="auto" w:fill="CFF0FC"/>
          </w:tcPr>
          <w:p>
            <w:pPr>
              <w:jc w:val="right"/>
              <w:ind w:right="11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w:t>
            </w:r>
          </w:p>
        </w:tc>
      </w:tr>
      <w:tr>
        <w:trPr>
          <w:trHeight w:val="189"/>
        </w:trPr>
        <w:tc>
          <w:tcPr>
            <w:tcW w:w="6760" w:type="dxa"/>
            <w:vAlign w:val="bottom"/>
          </w:tcPr>
          <w:p>
            <w:pPr>
              <w:spacing w:after="0"/>
              <w:rPr>
                <w:sz w:val="20"/>
                <w:szCs w:val="20"/>
                <w:color w:val="auto"/>
              </w:rPr>
            </w:pPr>
            <w:r>
              <w:rPr>
                <w:rFonts w:ascii="Arial" w:cs="Arial" w:eastAsia="Arial" w:hAnsi="Arial"/>
                <w:sz w:val="16"/>
                <w:szCs w:val="16"/>
                <w:color w:val="auto"/>
              </w:rPr>
              <w:t>Non-cash investing activities:</w:t>
            </w: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89"/>
        </w:trPr>
        <w:tc>
          <w:tcPr>
            <w:tcW w:w="67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Capital expenditures in liabilities</w:t>
            </w:r>
          </w:p>
        </w:tc>
        <w:tc>
          <w:tcPr>
            <w:tcW w:w="2020" w:type="dxa"/>
            <w:vAlign w:val="bottom"/>
            <w:gridSpan w:val="2"/>
            <w:shd w:val="clear" w:color="auto" w:fill="CFF0FC"/>
          </w:tcPr>
          <w:p>
            <w:pPr>
              <w:jc w:val="right"/>
              <w:ind w:right="839"/>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31</w:t>
            </w:r>
          </w:p>
        </w:tc>
        <w:tc>
          <w:tcPr>
            <w:tcW w:w="1360" w:type="dxa"/>
            <w:vAlign w:val="bottom"/>
            <w:gridSpan w:val="2"/>
            <w:shd w:val="clear" w:color="auto" w:fill="CFF0FC"/>
          </w:tcPr>
          <w:p>
            <w:pPr>
              <w:jc w:val="right"/>
              <w:ind w:right="11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-2699385</wp:posOffset>
            </wp:positionV>
            <wp:extent cx="1028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-745490</wp:posOffset>
            </wp:positionV>
            <wp:extent cx="1028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-728345</wp:posOffset>
            </wp:positionV>
            <wp:extent cx="102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center"/>
              <w:ind w:left="512"/>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6"/>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gridSpan w:val="3"/>
          </w:tcPr>
          <w:p>
            <w:pPr>
              <w:ind w:left="100"/>
              <w:spacing w:after="0" w:line="147"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73"/>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Comprehens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rPr>
              <w:t>Non-voting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73"/>
              <w:spacing w:after="0"/>
              <w:rPr>
                <w:sz w:val="20"/>
                <w:szCs w:val="20"/>
                <w:color w:val="auto"/>
              </w:rPr>
            </w:pPr>
            <w:r>
              <w:rPr>
                <w:rFonts w:ascii="Arial" w:cs="Arial" w:eastAsia="Arial" w:hAnsi="Arial"/>
                <w:sz w:val="14"/>
                <w:szCs w:val="14"/>
                <w:b w:val="1"/>
                <w:bCs w:val="1"/>
                <w:color w:val="auto"/>
              </w:rPr>
              <w:t>ive (Loss)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192"/>
              <w:spacing w:after="0"/>
              <w:rPr>
                <w:sz w:val="20"/>
                <w:szCs w:val="20"/>
                <w:color w:val="auto"/>
              </w:rPr>
            </w:pPr>
            <w:r>
              <w:rPr>
                <w:rFonts w:ascii="Arial" w:cs="Arial" w:eastAsia="Arial" w:hAnsi="Arial"/>
                <w:sz w:val="14"/>
                <w:szCs w:val="14"/>
                <w:b w:val="1"/>
                <w:bCs w:val="1"/>
                <w:color w:val="auto"/>
                <w:w w:val="98"/>
              </w:rPr>
              <w:t>Common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72"/>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232"/>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4"/>
                <w:szCs w:val="14"/>
                <w:color w:val="auto"/>
              </w:rPr>
            </w:pPr>
          </w:p>
        </w:tc>
        <w:tc>
          <w:tcPr>
            <w:tcW w:w="1040" w:type="dxa"/>
            <w:vAlign w:val="bottom"/>
            <w:gridSpan w:val="2"/>
          </w:tcPr>
          <w:p>
            <w:pPr>
              <w:jc w:val="center"/>
              <w:ind w:right="73"/>
              <w:spacing w:after="0"/>
              <w:rPr>
                <w:sz w:val="20"/>
                <w:szCs w:val="20"/>
                <w:color w:val="auto"/>
              </w:rPr>
            </w:pPr>
            <w:r>
              <w:rPr>
                <w:rFonts w:ascii="Arial" w:cs="Arial" w:eastAsia="Arial" w:hAnsi="Arial"/>
                <w:sz w:val="14"/>
                <w:szCs w:val="14"/>
                <w:b w:val="1"/>
                <w:bCs w:val="1"/>
                <w:color w:val="auto"/>
              </w:rPr>
              <w:t>Income, net</w:t>
            </w: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w:t>
            </w:r>
          </w:p>
        </w:tc>
      </w:tr>
      <w:tr>
        <w:trPr>
          <w:trHeight w:val="171"/>
        </w:trPr>
        <w:tc>
          <w:tcPr>
            <w:tcW w:w="3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 deficit)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of tax</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s' Equity</w:t>
            </w:r>
          </w:p>
        </w:tc>
      </w:tr>
      <w:tr>
        <w:trPr>
          <w:trHeight w:val="196"/>
        </w:trPr>
        <w:tc>
          <w:tcPr>
            <w:tcW w:w="3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June 30, 2025</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600"/>
              <w:spacing w:after="0" w:line="196"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1,946</w:t>
            </w:r>
          </w:p>
        </w:tc>
        <w:tc>
          <w:tcPr>
            <w:tcW w:w="200" w:type="dxa"/>
            <w:vAlign w:val="bottom"/>
            <w:gridSpan w:val="2"/>
            <w:shd w:val="clear" w:color="auto" w:fill="CFF0FC"/>
          </w:tcPr>
          <w:p>
            <w:pPr>
              <w:ind w:left="10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(157)</w:t>
            </w:r>
          </w:p>
        </w:tc>
        <w:tc>
          <w:tcPr>
            <w:tcW w:w="200" w:type="dxa"/>
            <w:vAlign w:val="bottom"/>
            <w:gridSpan w:val="2"/>
            <w:shd w:val="clear" w:color="auto" w:fill="CFF0FC"/>
          </w:tcPr>
          <w:p>
            <w:pPr>
              <w:ind w:left="10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w:t>
            </w:r>
          </w:p>
        </w:tc>
        <w:tc>
          <w:tcPr>
            <w:tcW w:w="220" w:type="dxa"/>
            <w:vAlign w:val="bottom"/>
            <w:gridSpan w:val="2"/>
            <w:shd w:val="clear" w:color="auto" w:fill="CFF0FC"/>
          </w:tcPr>
          <w:p>
            <w:pPr>
              <w:ind w:left="10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1,753</w:t>
            </w:r>
          </w:p>
        </w:tc>
      </w:tr>
      <w:tr>
        <w:trPr>
          <w:trHeight w:val="203"/>
        </w:trPr>
        <w:tc>
          <w:tcPr>
            <w:tcW w:w="366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w:t>
            </w:r>
          </w:p>
        </w:tc>
      </w:tr>
      <w:tr>
        <w:trPr>
          <w:trHeight w:val="184"/>
        </w:trPr>
        <w:tc>
          <w:tcPr>
            <w:tcW w:w="3660" w:type="dxa"/>
            <w:vAlign w:val="bottom"/>
            <w:shd w:val="clear" w:color="auto" w:fill="CFF0FC"/>
          </w:tcPr>
          <w:p>
            <w:pPr>
              <w:ind w:left="100"/>
              <w:spacing w:after="0" w:line="183" w:lineRule="exact"/>
              <w:rPr>
                <w:sz w:val="20"/>
                <w:szCs w:val="20"/>
                <w:color w:val="auto"/>
              </w:rPr>
            </w:pPr>
            <w:r>
              <w:rPr>
                <w:rFonts w:ascii="Arial" w:cs="Arial" w:eastAsia="Arial" w:hAnsi="Arial"/>
                <w:sz w:val="18"/>
                <w:szCs w:val="18"/>
                <w:color w:val="auto"/>
              </w:rPr>
              <w:t>Other comprehensive loss, net of tax (Note</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221"/>
        </w:trPr>
        <w:tc>
          <w:tcPr>
            <w:tcW w:w="36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03"/>
        </w:trPr>
        <w:tc>
          <w:tcPr>
            <w:tcW w:w="3660" w:type="dxa"/>
            <w:vAlign w:val="bottom"/>
          </w:tcPr>
          <w:p>
            <w:pPr>
              <w:ind w:left="100"/>
              <w:spacing w:after="0" w:line="202" w:lineRule="exact"/>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w:t>
            </w:r>
          </w:p>
        </w:tc>
      </w:tr>
      <w:tr>
        <w:trPr>
          <w:trHeight w:val="203"/>
        </w:trPr>
        <w:tc>
          <w:tcPr>
            <w:tcW w:w="36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w:t>
            </w:r>
          </w:p>
        </w:tc>
      </w:tr>
      <w:tr>
        <w:trPr>
          <w:trHeight w:val="184"/>
        </w:trPr>
        <w:tc>
          <w:tcPr>
            <w:tcW w:w="3660" w:type="dxa"/>
            <w:vAlign w:val="bottom"/>
          </w:tcPr>
          <w:p>
            <w:pPr>
              <w:ind w:left="100"/>
              <w:spacing w:after="0" w:line="183" w:lineRule="exact"/>
              <w:rPr>
                <w:sz w:val="20"/>
                <w:szCs w:val="20"/>
                <w:color w:val="auto"/>
              </w:rPr>
            </w:pPr>
            <w:r>
              <w:rPr>
                <w:rFonts w:ascii="Arial" w:cs="Arial" w:eastAsia="Arial" w:hAnsi="Arial"/>
                <w:sz w:val="18"/>
                <w:szCs w:val="18"/>
                <w:color w:val="auto"/>
              </w:rPr>
              <w:t>Dividends on common stock ($0.27 per</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1"/>
        </w:trPr>
        <w:tc>
          <w:tcPr>
            <w:tcW w:w="3660" w:type="dxa"/>
            <w:vAlign w:val="bottom"/>
          </w:tcPr>
          <w:p>
            <w:pPr>
              <w:ind w:left="100"/>
              <w:spacing w:after="0"/>
              <w:rPr>
                <w:sz w:val="20"/>
                <w:szCs w:val="20"/>
                <w:color w:val="auto"/>
              </w:rPr>
            </w:pPr>
            <w:r>
              <w:rPr>
                <w:rFonts w:ascii="Arial" w:cs="Arial" w:eastAsia="Arial" w:hAnsi="Arial"/>
                <w:sz w:val="18"/>
                <w:szCs w:val="18"/>
                <w:color w:val="auto"/>
              </w:rPr>
              <w:t>share)</w:t>
            </w:r>
          </w:p>
        </w:tc>
        <w:tc>
          <w:tcPr>
            <w:tcW w:w="10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3"/>
        </w:trPr>
        <w:tc>
          <w:tcPr>
            <w:tcW w:w="366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ind w:left="60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ind w:left="52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137</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137</w:t>
            </w:r>
          </w:p>
        </w:tc>
      </w:tr>
      <w:tr>
        <w:trPr>
          <w:trHeight w:val="196"/>
        </w:trPr>
        <w:tc>
          <w:tcPr>
            <w:tcW w:w="3660" w:type="dxa"/>
            <w:vAlign w:val="bottom"/>
          </w:tcPr>
          <w:p>
            <w:pPr>
              <w:spacing w:after="0" w:line="196" w:lineRule="exact"/>
              <w:rPr>
                <w:sz w:val="20"/>
                <w:szCs w:val="20"/>
                <w:color w:val="auto"/>
              </w:rPr>
            </w:pPr>
            <w:r>
              <w:rPr>
                <w:rFonts w:ascii="Arial" w:cs="Arial" w:eastAsia="Arial" w:hAnsi="Arial"/>
                <w:sz w:val="18"/>
                <w:szCs w:val="18"/>
                <w:color w:val="auto"/>
              </w:rPr>
              <w:t>Balance at September 30, 2025</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ind w:left="600"/>
              <w:spacing w:after="0" w:line="196"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ind w:left="520"/>
              <w:spacing w:after="0" w:line="196"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1,953</w:t>
            </w:r>
          </w:p>
        </w:tc>
        <w:tc>
          <w:tcPr>
            <w:tcW w:w="200" w:type="dxa"/>
            <w:vAlign w:val="bottom"/>
            <w:gridSpan w:val="2"/>
          </w:tcPr>
          <w:p>
            <w:pPr>
              <w:ind w:left="10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200" w:type="dxa"/>
            <w:vAlign w:val="bottom"/>
            <w:gridSpan w:val="2"/>
          </w:tcPr>
          <w:p>
            <w:pPr>
              <w:ind w:left="10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220" w:type="dxa"/>
            <w:vAlign w:val="bottom"/>
            <w:gridSpan w:val="2"/>
          </w:tcPr>
          <w:p>
            <w:pPr>
              <w:ind w:left="10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1,841</w:t>
            </w:r>
          </w:p>
        </w:tc>
      </w:tr>
      <w:tr>
        <w:trPr>
          <w:trHeight w:val="20"/>
        </w:trPr>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36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Balance at June 30, 2026</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2"/>
              <w:spacing w:after="0" w:line="183" w:lineRule="exact"/>
              <w:rPr>
                <w:sz w:val="20"/>
                <w:szCs w:val="20"/>
                <w:color w:val="auto"/>
              </w:rPr>
            </w:pPr>
            <w:r>
              <w:rPr>
                <w:rFonts w:ascii="Arial" w:cs="Arial" w:eastAsia="Arial" w:hAnsi="Arial"/>
                <w:sz w:val="18"/>
                <w:szCs w:val="18"/>
                <w:color w:val="auto"/>
              </w:rPr>
              <w:t>1</w:t>
            </w:r>
          </w:p>
        </w:tc>
        <w:tc>
          <w:tcPr>
            <w:tcW w:w="2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600"/>
              <w:spacing w:after="0" w:line="183"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20"/>
              <w:spacing w:after="0" w:line="183"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2"/>
              <w:spacing w:after="0" w:line="183" w:lineRule="exact"/>
              <w:rPr>
                <w:sz w:val="20"/>
                <w:szCs w:val="20"/>
                <w:color w:val="auto"/>
              </w:rPr>
            </w:pPr>
            <w:r>
              <w:rPr>
                <w:rFonts w:ascii="Arial" w:cs="Arial" w:eastAsia="Arial" w:hAnsi="Arial"/>
                <w:sz w:val="18"/>
                <w:szCs w:val="18"/>
                <w:color w:val="auto"/>
              </w:rPr>
              <w:t>1,973</w:t>
            </w:r>
          </w:p>
        </w:tc>
        <w:tc>
          <w:tcPr>
            <w:tcW w:w="200" w:type="dxa"/>
            <w:vAlign w:val="bottom"/>
            <w:gridSpan w:val="2"/>
            <w:shd w:val="clear" w:color="auto" w:fill="CFF0FC"/>
          </w:tcPr>
          <w:p>
            <w:pPr>
              <w:ind w:left="100"/>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3"/>
              <w:spacing w:after="0" w:line="183" w:lineRule="exact"/>
              <w:rPr>
                <w:sz w:val="20"/>
                <w:szCs w:val="20"/>
                <w:color w:val="auto"/>
              </w:rPr>
            </w:pPr>
            <w:r>
              <w:rPr>
                <w:rFonts w:ascii="Arial" w:cs="Arial" w:eastAsia="Arial" w:hAnsi="Arial"/>
                <w:sz w:val="18"/>
                <w:szCs w:val="18"/>
                <w:color w:val="auto"/>
              </w:rPr>
              <w:t>139</w:t>
            </w:r>
          </w:p>
        </w:tc>
        <w:tc>
          <w:tcPr>
            <w:tcW w:w="200" w:type="dxa"/>
            <w:vAlign w:val="bottom"/>
            <w:gridSpan w:val="2"/>
            <w:shd w:val="clear" w:color="auto" w:fill="CFF0FC"/>
          </w:tcPr>
          <w:p>
            <w:pPr>
              <w:ind w:left="100"/>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(134)</w:t>
            </w:r>
          </w:p>
        </w:tc>
        <w:tc>
          <w:tcPr>
            <w:tcW w:w="220" w:type="dxa"/>
            <w:vAlign w:val="bottom"/>
            <w:gridSpan w:val="2"/>
            <w:shd w:val="clear" w:color="auto" w:fill="CFF0FC"/>
          </w:tcPr>
          <w:p>
            <w:pPr>
              <w:ind w:left="100"/>
              <w:spacing w:after="0" w:line="183"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ind w:right="31"/>
              <w:spacing w:after="0" w:line="183" w:lineRule="exact"/>
              <w:rPr>
                <w:sz w:val="20"/>
                <w:szCs w:val="20"/>
                <w:color w:val="auto"/>
              </w:rPr>
            </w:pPr>
            <w:r>
              <w:rPr>
                <w:rFonts w:ascii="Arial" w:cs="Arial" w:eastAsia="Arial" w:hAnsi="Arial"/>
                <w:sz w:val="18"/>
                <w:szCs w:val="18"/>
                <w:color w:val="auto"/>
              </w:rPr>
              <w:t>1,979</w:t>
            </w:r>
          </w:p>
        </w:tc>
      </w:tr>
      <w:tr>
        <w:trPr>
          <w:trHeight w:val="203"/>
        </w:trPr>
        <w:tc>
          <w:tcPr>
            <w:tcW w:w="366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ind w:left="60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ind w:left="52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8</w:t>
            </w:r>
          </w:p>
        </w:tc>
      </w:tr>
      <w:tr>
        <w:trPr>
          <w:trHeight w:val="184"/>
        </w:trPr>
        <w:tc>
          <w:tcPr>
            <w:tcW w:w="3660" w:type="dxa"/>
            <w:vAlign w:val="bottom"/>
            <w:shd w:val="clear" w:color="auto" w:fill="CFF0FC"/>
          </w:tcPr>
          <w:p>
            <w:pPr>
              <w:ind w:left="100"/>
              <w:spacing w:after="0" w:line="183" w:lineRule="exact"/>
              <w:rPr>
                <w:sz w:val="20"/>
                <w:szCs w:val="20"/>
                <w:color w:val="auto"/>
              </w:rPr>
            </w:pPr>
            <w:r>
              <w:rPr>
                <w:rFonts w:ascii="Arial" w:cs="Arial" w:eastAsia="Arial" w:hAnsi="Arial"/>
                <w:sz w:val="18"/>
                <w:szCs w:val="18"/>
                <w:color w:val="auto"/>
              </w:rPr>
              <w:t>Other comprehensive loss, net of tax (Note</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221"/>
        </w:trPr>
        <w:tc>
          <w:tcPr>
            <w:tcW w:w="36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ind w:left="6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ind w:left="5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w:t>
            </w:r>
          </w:p>
        </w:tc>
      </w:tr>
      <w:tr>
        <w:trPr>
          <w:trHeight w:val="203"/>
        </w:trPr>
        <w:tc>
          <w:tcPr>
            <w:tcW w:w="3660" w:type="dxa"/>
            <w:vAlign w:val="bottom"/>
          </w:tcPr>
          <w:p>
            <w:pPr>
              <w:ind w:left="100"/>
              <w:spacing w:after="0" w:line="202" w:lineRule="exact"/>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ind w:left="60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ind w:left="52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3</w:t>
            </w:r>
          </w:p>
        </w:tc>
      </w:tr>
      <w:tr>
        <w:trPr>
          <w:trHeight w:val="203"/>
        </w:trPr>
        <w:tc>
          <w:tcPr>
            <w:tcW w:w="36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(58)</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(58)</w:t>
            </w:r>
          </w:p>
        </w:tc>
      </w:tr>
      <w:tr>
        <w:trPr>
          <w:trHeight w:val="184"/>
        </w:trPr>
        <w:tc>
          <w:tcPr>
            <w:tcW w:w="3660" w:type="dxa"/>
            <w:vAlign w:val="bottom"/>
          </w:tcPr>
          <w:p>
            <w:pPr>
              <w:ind w:left="100"/>
              <w:spacing w:after="0" w:line="183" w:lineRule="exact"/>
              <w:rPr>
                <w:sz w:val="20"/>
                <w:szCs w:val="20"/>
                <w:color w:val="auto"/>
              </w:rPr>
            </w:pPr>
            <w:r>
              <w:rPr>
                <w:rFonts w:ascii="Arial" w:cs="Arial" w:eastAsia="Arial" w:hAnsi="Arial"/>
                <w:sz w:val="18"/>
                <w:szCs w:val="18"/>
                <w:color w:val="auto"/>
              </w:rPr>
              <w:t>Dividends on common stock ($0.29 per</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1"/>
        </w:trPr>
        <w:tc>
          <w:tcPr>
            <w:tcW w:w="3660" w:type="dxa"/>
            <w:vAlign w:val="bottom"/>
          </w:tcPr>
          <w:p>
            <w:pPr>
              <w:ind w:left="100"/>
              <w:spacing w:after="0"/>
              <w:rPr>
                <w:sz w:val="20"/>
                <w:szCs w:val="20"/>
                <w:color w:val="auto"/>
              </w:rPr>
            </w:pPr>
            <w:r>
              <w:rPr>
                <w:rFonts w:ascii="Arial" w:cs="Arial" w:eastAsia="Arial" w:hAnsi="Arial"/>
                <w:sz w:val="18"/>
                <w:szCs w:val="18"/>
                <w:color w:val="auto"/>
              </w:rPr>
              <w:t>share)</w:t>
            </w:r>
          </w:p>
        </w:tc>
        <w:tc>
          <w:tcPr>
            <w:tcW w:w="10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ind w:left="6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03"/>
        </w:trPr>
        <w:tc>
          <w:tcPr>
            <w:tcW w:w="366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ind w:left="60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ind w:left="52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191</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191</w:t>
            </w:r>
          </w:p>
        </w:tc>
      </w:tr>
      <w:tr>
        <w:trPr>
          <w:trHeight w:val="210"/>
        </w:trPr>
        <w:tc>
          <w:tcPr>
            <w:tcW w:w="3660" w:type="dxa"/>
            <w:vAlign w:val="bottom"/>
          </w:tcPr>
          <w:p>
            <w:pPr>
              <w:spacing w:after="0"/>
              <w:rPr>
                <w:sz w:val="20"/>
                <w:szCs w:val="20"/>
                <w:color w:val="auto"/>
              </w:rPr>
            </w:pPr>
            <w:r>
              <w:rPr>
                <w:rFonts w:ascii="Arial" w:cs="Arial" w:eastAsia="Arial" w:hAnsi="Arial"/>
                <w:sz w:val="18"/>
                <w:szCs w:val="18"/>
                <w:color w:val="auto"/>
              </w:rPr>
              <w:t>Balance at September 30, 2026</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ind w:left="60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ind w:left="52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1,984</w:t>
            </w:r>
          </w:p>
        </w:tc>
        <w:tc>
          <w:tcPr>
            <w:tcW w:w="200" w:type="dxa"/>
            <w:vAlign w:val="bottom"/>
            <w:gridSpan w:val="2"/>
          </w:tcPr>
          <w:p>
            <w:pPr>
              <w:ind w:left="10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249</w:t>
            </w:r>
          </w:p>
        </w:tc>
        <w:tc>
          <w:tcPr>
            <w:tcW w:w="200" w:type="dxa"/>
            <w:vAlign w:val="bottom"/>
            <w:gridSpan w:val="2"/>
          </w:tcPr>
          <w:p>
            <w:pPr>
              <w:ind w:left="10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22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2,080</w:t>
            </w:r>
          </w:p>
        </w:tc>
      </w:tr>
      <w:tr>
        <w:trPr>
          <w:trHeight w:val="20"/>
        </w:trPr>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-1490980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-1490980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-1490980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-1490980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-1490980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-1490980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-170815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-170815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-170815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-170815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-170815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-170815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46"/>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2"/>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193"/>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Comprehensi</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Non-voting</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193"/>
              <w:spacing w:after="0"/>
              <w:rPr>
                <w:sz w:val="20"/>
                <w:szCs w:val="20"/>
                <w:color w:val="auto"/>
              </w:rPr>
            </w:pPr>
            <w:r>
              <w:rPr>
                <w:rFonts w:ascii="Arial" w:cs="Arial" w:eastAsia="Arial" w:hAnsi="Arial"/>
                <w:sz w:val="14"/>
                <w:szCs w:val="14"/>
                <w:b w:val="1"/>
                <w:bCs w:val="1"/>
                <w:color w:val="auto"/>
              </w:rPr>
              <w:t>ve (Loss)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660" w:type="dxa"/>
            <w:vAlign w:val="bottom"/>
          </w:tcPr>
          <w:p>
            <w:pPr>
              <w:spacing w:after="0"/>
              <w:rPr>
                <w:sz w:val="14"/>
                <w:szCs w:val="14"/>
                <w:color w:val="auto"/>
              </w:rPr>
            </w:pPr>
          </w:p>
        </w:tc>
        <w:tc>
          <w:tcPr>
            <w:tcW w:w="960" w:type="dxa"/>
            <w:vAlign w:val="bottom"/>
            <w:gridSpan w:val="2"/>
          </w:tcPr>
          <w:p>
            <w:pPr>
              <w:jc w:val="right"/>
              <w:ind w:right="151"/>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4"/>
                <w:szCs w:val="14"/>
                <w:color w:val="auto"/>
              </w:rPr>
            </w:pPr>
          </w:p>
        </w:tc>
        <w:tc>
          <w:tcPr>
            <w:tcW w:w="1080" w:type="dxa"/>
            <w:vAlign w:val="bottom"/>
            <w:gridSpan w:val="2"/>
          </w:tcPr>
          <w:p>
            <w:pPr>
              <w:jc w:val="center"/>
              <w:ind w:right="73"/>
              <w:spacing w:after="0"/>
              <w:rPr>
                <w:sz w:val="20"/>
                <w:szCs w:val="20"/>
                <w:color w:val="auto"/>
              </w:rPr>
            </w:pPr>
            <w:r>
              <w:rPr>
                <w:rFonts w:ascii="Arial" w:cs="Arial" w:eastAsia="Arial" w:hAnsi="Arial"/>
                <w:sz w:val="14"/>
                <w:szCs w:val="14"/>
                <w:b w:val="1"/>
                <w:bCs w:val="1"/>
                <w:color w:val="auto"/>
              </w:rPr>
              <w:t>Income, net</w:t>
            </w: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w:t>
            </w:r>
          </w:p>
        </w:tc>
      </w:tr>
      <w:tr>
        <w:trPr>
          <w:trHeight w:val="171"/>
        </w:trPr>
        <w:tc>
          <w:tcPr>
            <w:tcW w:w="3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 deficit)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of tax</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s' Equity</w:t>
            </w:r>
          </w:p>
        </w:tc>
      </w:tr>
      <w:tr>
        <w:trPr>
          <w:trHeight w:val="196"/>
        </w:trPr>
        <w:tc>
          <w:tcPr>
            <w:tcW w:w="3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2024</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w:t>
            </w:r>
          </w:p>
        </w:tc>
        <w:tc>
          <w:tcPr>
            <w:tcW w:w="28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50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50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1,940</w:t>
            </w:r>
          </w:p>
        </w:tc>
        <w:tc>
          <w:tcPr>
            <w:tcW w:w="22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(239)</w:t>
            </w:r>
          </w:p>
        </w:tc>
        <w:tc>
          <w:tcPr>
            <w:tcW w:w="220" w:type="dxa"/>
            <w:vAlign w:val="bottom"/>
            <w:gridSpan w:val="2"/>
            <w:shd w:val="clear" w:color="auto" w:fill="CFF0FC"/>
          </w:tcPr>
          <w:p>
            <w:pPr>
              <w:ind w:left="10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w:t>
            </w:r>
          </w:p>
        </w:tc>
        <w:tc>
          <w:tcPr>
            <w:tcW w:w="220" w:type="dxa"/>
            <w:vAlign w:val="bottom"/>
            <w:gridSpan w:val="2"/>
            <w:shd w:val="clear" w:color="auto" w:fill="CFF0FC"/>
          </w:tcPr>
          <w:p>
            <w:pPr>
              <w:ind w:left="10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1,651</w:t>
            </w:r>
          </w:p>
        </w:tc>
      </w:tr>
      <w:tr>
        <w:trPr>
          <w:trHeight w:val="203"/>
        </w:trPr>
        <w:tc>
          <w:tcPr>
            <w:tcW w:w="366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7"/>
                <w:szCs w:val="17"/>
                <w:color w:val="auto"/>
              </w:rPr>
            </w:pP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ind w:left="50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20</w:t>
            </w:r>
          </w:p>
        </w:tc>
      </w:tr>
      <w:tr>
        <w:trPr>
          <w:trHeight w:val="184"/>
        </w:trPr>
        <w:tc>
          <w:tcPr>
            <w:tcW w:w="3660" w:type="dxa"/>
            <w:vAlign w:val="bottom"/>
            <w:shd w:val="clear" w:color="auto" w:fill="CFF0FC"/>
          </w:tcPr>
          <w:p>
            <w:pPr>
              <w:ind w:left="100"/>
              <w:spacing w:after="0" w:line="183" w:lineRule="exact"/>
              <w:rPr>
                <w:sz w:val="20"/>
                <w:szCs w:val="20"/>
                <w:color w:val="auto"/>
              </w:rPr>
            </w:pPr>
            <w:r>
              <w:rPr>
                <w:rFonts w:ascii="Arial" w:cs="Arial" w:eastAsia="Arial" w:hAnsi="Arial"/>
                <w:sz w:val="18"/>
                <w:szCs w:val="18"/>
                <w:color w:val="auto"/>
              </w:rPr>
              <w:t>Other comprehensive income, net of tax</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221"/>
        </w:trPr>
        <w:tc>
          <w:tcPr>
            <w:tcW w:w="36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(Note P.)</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w:t>
            </w:r>
          </w:p>
        </w:tc>
      </w:tr>
      <w:tr>
        <w:trPr>
          <w:trHeight w:val="203"/>
        </w:trPr>
        <w:tc>
          <w:tcPr>
            <w:tcW w:w="3660" w:type="dxa"/>
            <w:vAlign w:val="bottom"/>
          </w:tcPr>
          <w:p>
            <w:pPr>
              <w:ind w:left="100"/>
              <w:spacing w:after="0" w:line="202" w:lineRule="exact"/>
              <w:rPr>
                <w:sz w:val="20"/>
                <w:szCs w:val="20"/>
                <w:color w:val="auto"/>
              </w:rPr>
            </w:pPr>
            <w:r>
              <w:rPr>
                <w:rFonts w:ascii="Arial" w:cs="Arial" w:eastAsia="Arial" w:hAnsi="Arial"/>
                <w:sz w:val="18"/>
                <w:szCs w:val="18"/>
                <w:color w:val="auto"/>
              </w:rPr>
              <w:t>Issuance of common stock</w:t>
            </w:r>
          </w:p>
        </w:tc>
        <w:tc>
          <w:tcPr>
            <w:tcW w:w="160" w:type="dxa"/>
            <w:vAlign w:val="bottom"/>
          </w:tcPr>
          <w:p>
            <w:pPr>
              <w:spacing w:after="0"/>
              <w:rPr>
                <w:sz w:val="17"/>
                <w:szCs w:val="17"/>
                <w:color w:val="auto"/>
              </w:rPr>
            </w:pP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ind w:left="50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203"/>
        </w:trPr>
        <w:tc>
          <w:tcPr>
            <w:tcW w:w="36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Repurchase of common stock</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(286)</w:t>
            </w:r>
          </w:p>
        </w:tc>
      </w:tr>
      <w:tr>
        <w:trPr>
          <w:trHeight w:val="184"/>
        </w:trPr>
        <w:tc>
          <w:tcPr>
            <w:tcW w:w="3660" w:type="dxa"/>
            <w:vAlign w:val="bottom"/>
          </w:tcPr>
          <w:p>
            <w:pPr>
              <w:ind w:left="100"/>
              <w:spacing w:after="0" w:line="183" w:lineRule="exact"/>
              <w:rPr>
                <w:sz w:val="20"/>
                <w:szCs w:val="20"/>
                <w:color w:val="auto"/>
              </w:rPr>
            </w:pPr>
            <w:r>
              <w:rPr>
                <w:rFonts w:ascii="Arial" w:cs="Arial" w:eastAsia="Arial" w:hAnsi="Arial"/>
                <w:sz w:val="18"/>
                <w:szCs w:val="18"/>
                <w:color w:val="auto"/>
              </w:rPr>
              <w:t>Dividends on common stock ($0.81 per</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1"/>
        </w:trPr>
        <w:tc>
          <w:tcPr>
            <w:tcW w:w="3660" w:type="dxa"/>
            <w:vAlign w:val="bottom"/>
          </w:tcPr>
          <w:p>
            <w:pPr>
              <w:ind w:left="100"/>
              <w:spacing w:after="0"/>
              <w:rPr>
                <w:sz w:val="20"/>
                <w:szCs w:val="20"/>
                <w:color w:val="auto"/>
              </w:rPr>
            </w:pPr>
            <w:r>
              <w:rPr>
                <w:rFonts w:ascii="Arial" w:cs="Arial" w:eastAsia="Arial" w:hAnsi="Arial"/>
                <w:sz w:val="18"/>
                <w:szCs w:val="18"/>
                <w:color w:val="auto"/>
              </w:rPr>
              <w:t>share)</w:t>
            </w:r>
          </w:p>
        </w:tc>
        <w:tc>
          <w:tcPr>
            <w:tcW w:w="16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3"/>
        </w:trPr>
        <w:tc>
          <w:tcPr>
            <w:tcW w:w="366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ind w:left="50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524</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524</w:t>
            </w:r>
          </w:p>
        </w:tc>
      </w:tr>
      <w:tr>
        <w:trPr>
          <w:trHeight w:val="196"/>
        </w:trPr>
        <w:tc>
          <w:tcPr>
            <w:tcW w:w="3660" w:type="dxa"/>
            <w:vAlign w:val="bottom"/>
          </w:tcPr>
          <w:p>
            <w:pPr>
              <w:spacing w:after="0" w:line="196" w:lineRule="exact"/>
              <w:rPr>
                <w:sz w:val="20"/>
                <w:szCs w:val="20"/>
                <w:color w:val="auto"/>
              </w:rPr>
            </w:pPr>
            <w:r>
              <w:rPr>
                <w:rFonts w:ascii="Arial" w:cs="Arial" w:eastAsia="Arial" w:hAnsi="Arial"/>
                <w:sz w:val="18"/>
                <w:szCs w:val="18"/>
                <w:color w:val="auto"/>
              </w:rPr>
              <w:t>Balance at September 30, 2025</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w:t>
            </w:r>
          </w:p>
        </w:tc>
        <w:tc>
          <w:tcPr>
            <w:tcW w:w="28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ind w:left="50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Pr>
          <w:p>
            <w:pPr>
              <w:ind w:left="50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1,953</w:t>
            </w:r>
          </w:p>
        </w:tc>
        <w:tc>
          <w:tcPr>
            <w:tcW w:w="22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220" w:type="dxa"/>
            <w:vAlign w:val="bottom"/>
            <w:gridSpan w:val="2"/>
          </w:tcPr>
          <w:p>
            <w:pPr>
              <w:ind w:left="10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220" w:type="dxa"/>
            <w:vAlign w:val="bottom"/>
            <w:gridSpan w:val="2"/>
          </w:tcPr>
          <w:p>
            <w:pPr>
              <w:ind w:left="10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1,841</w:t>
            </w:r>
          </w:p>
        </w:tc>
      </w:tr>
      <w:tr>
        <w:trPr>
          <w:trHeight w:val="20"/>
        </w:trPr>
        <w:tc>
          <w:tcPr>
            <w:tcW w:w="3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36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Balance at December 31, 2025</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1"/>
              <w:spacing w:after="0" w:line="183" w:lineRule="exact"/>
              <w:rPr>
                <w:sz w:val="20"/>
                <w:szCs w:val="20"/>
                <w:color w:val="auto"/>
              </w:rPr>
            </w:pPr>
            <w:r>
              <w:rPr>
                <w:rFonts w:ascii="Arial" w:cs="Arial" w:eastAsia="Arial" w:hAnsi="Arial"/>
                <w:sz w:val="18"/>
                <w:szCs w:val="18"/>
                <w:color w:val="auto"/>
              </w:rPr>
              <w:t>1</w:t>
            </w:r>
          </w:p>
        </w:tc>
        <w:tc>
          <w:tcPr>
            <w:tcW w:w="28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500"/>
              <w:spacing w:after="0" w:line="183"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500"/>
              <w:spacing w:after="0" w:line="183" w:lineRule="exact"/>
              <w:rPr>
                <w:sz w:val="20"/>
                <w:szCs w:val="20"/>
                <w:color w:val="auto"/>
              </w:rPr>
            </w:pPr>
            <w:r>
              <w:rPr>
                <w:rFonts w:ascii="Arial" w:cs="Arial" w:eastAsia="Arial" w:hAnsi="Arial"/>
                <w:sz w:val="18"/>
                <w:szCs w:val="18"/>
                <w:color w:val="auto"/>
                <w:w w:val="99"/>
              </w:rPr>
              <w:t>—</w:t>
            </w:r>
          </w:p>
        </w:tc>
        <w:tc>
          <w:tcPr>
            <w:tcW w:w="340" w:type="dxa"/>
            <w:vAlign w:val="bottom"/>
            <w:gridSpan w:val="3"/>
            <w:shd w:val="clear" w:color="auto" w:fill="CFF0FC"/>
          </w:tcPr>
          <w:p>
            <w:pPr>
              <w:jc w:val="right"/>
              <w:ind w:right="20"/>
              <w:spacing w:after="0" w:line="183"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2"/>
              <w:spacing w:after="0" w:line="183" w:lineRule="exact"/>
              <w:rPr>
                <w:sz w:val="20"/>
                <w:szCs w:val="20"/>
                <w:color w:val="auto"/>
              </w:rPr>
            </w:pPr>
            <w:r>
              <w:rPr>
                <w:rFonts w:ascii="Arial" w:cs="Arial" w:eastAsia="Arial" w:hAnsi="Arial"/>
                <w:sz w:val="18"/>
                <w:szCs w:val="18"/>
                <w:color w:val="auto"/>
              </w:rPr>
              <w:t>1,960</w:t>
            </w:r>
          </w:p>
        </w:tc>
        <w:tc>
          <w:tcPr>
            <w:tcW w:w="22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(38)</w:t>
            </w:r>
          </w:p>
        </w:tc>
        <w:tc>
          <w:tcPr>
            <w:tcW w:w="220" w:type="dxa"/>
            <w:vAlign w:val="bottom"/>
            <w:gridSpan w:val="2"/>
            <w:shd w:val="clear" w:color="auto" w:fill="CFF0FC"/>
          </w:tcPr>
          <w:p>
            <w:pPr>
              <w:ind w:left="100"/>
              <w:spacing w:after="0" w:line="183"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(56)</w:t>
            </w:r>
          </w:p>
        </w:tc>
        <w:tc>
          <w:tcPr>
            <w:tcW w:w="220" w:type="dxa"/>
            <w:vAlign w:val="bottom"/>
            <w:gridSpan w:val="2"/>
            <w:shd w:val="clear" w:color="auto" w:fill="CFF0FC"/>
          </w:tcPr>
          <w:p>
            <w:pPr>
              <w:ind w:left="100"/>
              <w:spacing w:after="0" w:line="183"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31"/>
              <w:spacing w:after="0" w:line="183" w:lineRule="exact"/>
              <w:rPr>
                <w:sz w:val="20"/>
                <w:szCs w:val="20"/>
                <w:color w:val="auto"/>
              </w:rPr>
            </w:pPr>
            <w:r>
              <w:rPr>
                <w:rFonts w:ascii="Arial" w:cs="Arial" w:eastAsia="Arial" w:hAnsi="Arial"/>
                <w:sz w:val="18"/>
                <w:szCs w:val="18"/>
                <w:color w:val="auto"/>
              </w:rPr>
              <w:t>1,867</w:t>
            </w:r>
          </w:p>
        </w:tc>
      </w:tr>
      <w:tr>
        <w:trPr>
          <w:trHeight w:val="203"/>
        </w:trPr>
        <w:tc>
          <w:tcPr>
            <w:tcW w:w="366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7"/>
                <w:szCs w:val="17"/>
                <w:color w:val="auto"/>
              </w:rPr>
            </w:pP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ind w:left="500"/>
              <w:spacing w:after="0" w:line="202" w:lineRule="exact"/>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25</w:t>
            </w:r>
          </w:p>
        </w:tc>
      </w:tr>
      <w:tr>
        <w:trPr>
          <w:trHeight w:val="184"/>
        </w:trPr>
        <w:tc>
          <w:tcPr>
            <w:tcW w:w="3660" w:type="dxa"/>
            <w:vAlign w:val="bottom"/>
            <w:shd w:val="clear" w:color="auto" w:fill="CFF0FC"/>
          </w:tcPr>
          <w:p>
            <w:pPr>
              <w:ind w:left="100"/>
              <w:spacing w:after="0" w:line="183" w:lineRule="exact"/>
              <w:rPr>
                <w:sz w:val="20"/>
                <w:szCs w:val="20"/>
                <w:color w:val="auto"/>
              </w:rPr>
            </w:pPr>
            <w:r>
              <w:rPr>
                <w:rFonts w:ascii="Arial" w:cs="Arial" w:eastAsia="Arial" w:hAnsi="Arial"/>
                <w:sz w:val="18"/>
                <w:szCs w:val="18"/>
                <w:color w:val="auto"/>
              </w:rPr>
              <w:t>Other comprehensive loss, net of tax (Note</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221"/>
        </w:trPr>
        <w:tc>
          <w:tcPr>
            <w:tcW w:w="36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(98)</w:t>
            </w:r>
          </w:p>
        </w:tc>
      </w:tr>
      <w:tr>
        <w:trPr>
          <w:trHeight w:val="203"/>
        </w:trPr>
        <w:tc>
          <w:tcPr>
            <w:tcW w:w="3660" w:type="dxa"/>
            <w:vAlign w:val="bottom"/>
          </w:tcPr>
          <w:p>
            <w:pPr>
              <w:ind w:left="100"/>
              <w:spacing w:after="0" w:line="202" w:lineRule="exact"/>
              <w:rPr>
                <w:sz w:val="20"/>
                <w:szCs w:val="20"/>
                <w:color w:val="auto"/>
              </w:rPr>
            </w:pPr>
            <w:r>
              <w:rPr>
                <w:rFonts w:ascii="Arial" w:cs="Arial" w:eastAsia="Arial" w:hAnsi="Arial"/>
                <w:sz w:val="18"/>
                <w:szCs w:val="18"/>
                <w:color w:val="auto"/>
              </w:rPr>
              <w:t>Issuance of common stock</w:t>
            </w:r>
          </w:p>
        </w:tc>
        <w:tc>
          <w:tcPr>
            <w:tcW w:w="160" w:type="dxa"/>
            <w:vAlign w:val="bottom"/>
          </w:tcPr>
          <w:p>
            <w:pPr>
              <w:spacing w:after="0"/>
              <w:rPr>
                <w:sz w:val="17"/>
                <w:szCs w:val="17"/>
                <w:color w:val="auto"/>
              </w:rPr>
            </w:pP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ind w:left="500"/>
              <w:spacing w:after="0" w:line="202" w:lineRule="exact"/>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r>
      <w:tr>
        <w:trPr>
          <w:trHeight w:val="203"/>
        </w:trPr>
        <w:tc>
          <w:tcPr>
            <w:tcW w:w="36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Repurchase of common stock</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(125)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(125)</w:t>
            </w:r>
          </w:p>
        </w:tc>
      </w:tr>
      <w:tr>
        <w:trPr>
          <w:trHeight w:val="184"/>
        </w:trPr>
        <w:tc>
          <w:tcPr>
            <w:tcW w:w="3660" w:type="dxa"/>
            <w:vAlign w:val="bottom"/>
          </w:tcPr>
          <w:p>
            <w:pPr>
              <w:ind w:left="100"/>
              <w:spacing w:after="0" w:line="183" w:lineRule="exact"/>
              <w:rPr>
                <w:sz w:val="20"/>
                <w:szCs w:val="20"/>
                <w:color w:val="auto"/>
              </w:rPr>
            </w:pPr>
            <w:r>
              <w:rPr>
                <w:rFonts w:ascii="Arial" w:cs="Arial" w:eastAsia="Arial" w:hAnsi="Arial"/>
                <w:sz w:val="18"/>
                <w:szCs w:val="18"/>
                <w:color w:val="auto"/>
              </w:rPr>
              <w:t>Dividends on common stock ($0.87 per</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1"/>
        </w:trPr>
        <w:tc>
          <w:tcPr>
            <w:tcW w:w="3660" w:type="dxa"/>
            <w:vAlign w:val="bottom"/>
          </w:tcPr>
          <w:p>
            <w:pPr>
              <w:ind w:left="100"/>
              <w:spacing w:after="0"/>
              <w:rPr>
                <w:sz w:val="20"/>
                <w:szCs w:val="20"/>
                <w:color w:val="auto"/>
              </w:rPr>
            </w:pPr>
            <w:r>
              <w:rPr>
                <w:rFonts w:ascii="Arial" w:cs="Arial" w:eastAsia="Arial" w:hAnsi="Arial"/>
                <w:sz w:val="18"/>
                <w:szCs w:val="18"/>
                <w:color w:val="auto"/>
              </w:rPr>
              <w:t>share)</w:t>
            </w:r>
          </w:p>
        </w:tc>
        <w:tc>
          <w:tcPr>
            <w:tcW w:w="16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(72)</w:t>
            </w:r>
          </w:p>
        </w:tc>
      </w:tr>
      <w:tr>
        <w:trPr>
          <w:trHeight w:val="203"/>
        </w:trPr>
        <w:tc>
          <w:tcPr>
            <w:tcW w:w="366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ind w:left="500"/>
              <w:spacing w:after="0" w:line="202" w:lineRule="exact"/>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484</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484</w:t>
            </w:r>
          </w:p>
        </w:tc>
      </w:tr>
      <w:tr>
        <w:trPr>
          <w:trHeight w:val="196"/>
        </w:trPr>
        <w:tc>
          <w:tcPr>
            <w:tcW w:w="3660" w:type="dxa"/>
            <w:vAlign w:val="bottom"/>
          </w:tcPr>
          <w:p>
            <w:pPr>
              <w:spacing w:after="0" w:line="196" w:lineRule="exact"/>
              <w:rPr>
                <w:sz w:val="20"/>
                <w:szCs w:val="20"/>
                <w:color w:val="auto"/>
              </w:rPr>
            </w:pPr>
            <w:r>
              <w:rPr>
                <w:rFonts w:ascii="Arial" w:cs="Arial" w:eastAsia="Arial" w:hAnsi="Arial"/>
                <w:sz w:val="18"/>
                <w:szCs w:val="18"/>
                <w:color w:val="auto"/>
              </w:rPr>
              <w:t>Balance at September 30, 2026</w:t>
            </w:r>
          </w:p>
        </w:tc>
        <w:tc>
          <w:tcPr>
            <w:tcW w:w="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1</w:t>
            </w:r>
          </w:p>
        </w:tc>
        <w:tc>
          <w:tcPr>
            <w:tcW w:w="28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Pr>
          <w:p>
            <w:pPr>
              <w:ind w:left="500"/>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Pr>
          <w:p>
            <w:pPr>
              <w:ind w:left="500"/>
              <w:spacing w:after="0" w:line="196" w:lineRule="exact"/>
              <w:rPr>
                <w:sz w:val="20"/>
                <w:szCs w:val="20"/>
                <w:color w:val="auto"/>
              </w:rPr>
            </w:pPr>
            <w:r>
              <w:rPr>
                <w:rFonts w:ascii="Arial" w:cs="Arial" w:eastAsia="Arial" w:hAnsi="Arial"/>
                <w:sz w:val="18"/>
                <w:szCs w:val="18"/>
                <w:b w:val="1"/>
                <w:bCs w:val="1"/>
                <w:color w:val="auto"/>
                <w:w w:val="99"/>
              </w:rPr>
              <w:t>—</w:t>
            </w:r>
          </w:p>
        </w:tc>
        <w:tc>
          <w:tcPr>
            <w:tcW w:w="34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1,984</w:t>
            </w:r>
          </w:p>
        </w:tc>
        <w:tc>
          <w:tcPr>
            <w:tcW w:w="22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rPr>
              <w:t>249</w:t>
            </w:r>
          </w:p>
        </w:tc>
        <w:tc>
          <w:tcPr>
            <w:tcW w:w="220" w:type="dxa"/>
            <w:vAlign w:val="bottom"/>
            <w:gridSpan w:val="2"/>
          </w:tcPr>
          <w:p>
            <w:pPr>
              <w:ind w:left="100"/>
              <w:spacing w:after="0" w:line="196" w:lineRule="exact"/>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(154)</w:t>
            </w:r>
          </w:p>
        </w:tc>
        <w:tc>
          <w:tcPr>
            <w:tcW w:w="220" w:type="dxa"/>
            <w:vAlign w:val="bottom"/>
            <w:gridSpan w:val="2"/>
          </w:tcPr>
          <w:p>
            <w:pPr>
              <w:ind w:left="100"/>
              <w:spacing w:after="0" w:line="196" w:lineRule="exact"/>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2,080</w:t>
            </w:r>
          </w:p>
        </w:tc>
      </w:tr>
      <w:tr>
        <w:trPr>
          <w:trHeight w:val="20"/>
        </w:trPr>
        <w:tc>
          <w:tcPr>
            <w:tcW w:w="3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-1482090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-1482090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-1482090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-1482090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-1482090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-1482090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-161925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-161925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-161925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-161925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-161925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-161925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158" w:lineRule="exact"/>
        <w:rPr>
          <w:sz w:val="20"/>
          <w:szCs w:val="20"/>
          <w:color w:val="auto"/>
        </w:rPr>
      </w:pPr>
    </w:p>
    <w:p>
      <w:pPr>
        <w:ind w:firstLine="494"/>
        <w:spacing w:after="0" w:line="244" w:lineRule="auto"/>
        <w:rPr>
          <w:sz w:val="20"/>
          <w:szCs w:val="20"/>
          <w:color w:val="auto"/>
        </w:rPr>
      </w:pPr>
      <w:r>
        <w:rPr>
          <w:rFonts w:ascii="Arial" w:cs="Arial" w:eastAsia="Arial" w:hAnsi="Arial"/>
          <w:sz w:val="18"/>
          <w:szCs w:val="18"/>
          <w:color w:val="auto"/>
        </w:rPr>
        <w:t>Allison Transmission Holdings, Inc. and its subsidiaries ("Allison" or the "Company”) is a global leader in high-performance mobility and work solutions built for the needs of the modern industrial world. Allison operates through two operating and reportable segments: Allison Transmission and Allison Off-Highway Drive &amp; Motion Systems ("Allison Off-Highway"). Headquartered in Indianapolis, Indiana, USA, the Company manufactures solutions which offer industry-leading value propositions across vital sectors such as infrastructure, mining, energy, agriculture, construction, transportation and national security.</w:t>
      </w:r>
    </w:p>
    <w:p>
      <w:pPr>
        <w:spacing w:after="0" w:line="122" w:lineRule="exact"/>
        <w:rPr>
          <w:sz w:val="20"/>
          <w:szCs w:val="20"/>
          <w:color w:val="auto"/>
        </w:rPr>
      </w:pPr>
    </w:p>
    <w:p>
      <w:pPr>
        <w:ind w:right="120" w:firstLine="494"/>
        <w:spacing w:after="0" w:line="242" w:lineRule="auto"/>
        <w:rPr>
          <w:sz w:val="20"/>
          <w:szCs w:val="20"/>
          <w:color w:val="auto"/>
        </w:rPr>
      </w:pPr>
      <w:r>
        <w:rPr>
          <w:rFonts w:ascii="Arial" w:cs="Arial" w:eastAsia="Arial" w:hAnsi="Arial"/>
          <w:sz w:val="18"/>
          <w:szCs w:val="18"/>
          <w:color w:val="auto"/>
        </w:rPr>
        <w:t>On January 1, 2026 (the "Closing Date"), the Company completed the acquisition of Dana Incorporated's ("Dana") off-highway business (the "Acquired Off-Highway Business”) for a purchase price of approximately $2,628 million (the "Acquisition"). As a result of the Acquisition, the Company now offers an expanded portfolio of drivetrain, motion and propulsion solutions, providing complementary product breadth and an enhanced ability to support global customers across multiple end markets. The Acquired Off-Highway Business has historically served end markets with demand characteristics that differ from Allison's traditional on-highway markets, contributing to a more diversified portfolio.</w:t>
      </w:r>
    </w:p>
    <w:p>
      <w:pPr>
        <w:spacing w:after="0" w:line="125" w:lineRule="exact"/>
        <w:rPr>
          <w:sz w:val="20"/>
          <w:szCs w:val="20"/>
          <w:color w:val="auto"/>
        </w:rPr>
      </w:pPr>
    </w:p>
    <w:p>
      <w:pPr>
        <w:ind w:right="60" w:firstLine="494"/>
        <w:spacing w:after="0" w:line="244" w:lineRule="auto"/>
        <w:rPr>
          <w:sz w:val="20"/>
          <w:szCs w:val="20"/>
          <w:color w:val="auto"/>
        </w:rPr>
      </w:pPr>
      <w:r>
        <w:rPr>
          <w:rFonts w:ascii="Arial" w:cs="Arial" w:eastAsia="Arial" w:hAnsi="Arial"/>
          <w:sz w:val="18"/>
          <w:szCs w:val="18"/>
          <w:color w:val="auto"/>
        </w:rPr>
        <w:t>Following the Acquisition, the Company continues to operate under the Allison name, but its operations are now comprised of two operating and reportable segments: Allison Transmission and Allison Off-Highway. Segment leadership is located globally, reflecting the international nature of the Company's operations and the importance of local market insights, sourcing, production and customer support. All prior period reportable segment information has been reclassified to conform to the current presentation. For additional discussion regarding the Company's segments, including the changes made, see “Note T. Segment Information.”</w:t>
      </w:r>
    </w:p>
    <w:p>
      <w:pPr>
        <w:spacing w:after="0" w:line="122" w:lineRule="exact"/>
        <w:rPr>
          <w:sz w:val="20"/>
          <w:szCs w:val="20"/>
          <w:color w:val="auto"/>
        </w:rPr>
      </w:pPr>
    </w:p>
    <w:p>
      <w:pPr>
        <w:ind w:right="120" w:firstLine="494"/>
        <w:spacing w:after="0" w:line="244" w:lineRule="auto"/>
        <w:rPr>
          <w:sz w:val="20"/>
          <w:szCs w:val="20"/>
          <w:color w:val="auto"/>
        </w:rPr>
      </w:pPr>
      <w:r>
        <w:rPr>
          <w:rFonts w:ascii="Arial" w:cs="Arial" w:eastAsia="Arial" w:hAnsi="Arial"/>
          <w:sz w:val="18"/>
          <w:szCs w:val="18"/>
          <w:color w:val="auto"/>
        </w:rPr>
        <w:t>Allison Transmission serves customers through an independent global network of approximately 1,500 independent distributor and dealer locations worldwide and offers more than 200 different transmission models compatible with more than 500 combinations of engine brands, models and ratings, including diesel, gasoline, natural gas and other alternative fuels. In addition, Allison Transmission has developed thousands of proprietary calibrations available for use with its electronic control modules, enabling tailored performance across a broad range of customer applications.</w:t>
      </w:r>
    </w:p>
    <w:p>
      <w:pPr>
        <w:spacing w:after="0" w:line="122"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Allison Off-Highway provides drivetrain and motion solutions for a wide range of mobile and stationary off-highway equipment. These solutions include optimized drivetrain systems, propulsion components and motion technologies designed for industries such as construction, agriculture, mining, material handling and other industrial applications. The portfolio encompasses systems that manage power conveyance to machines and power work functions, including axles, gearboxes, transmissions and related components, as well as motion systems tailored to customer performance and efficiency requirements across both conventional and electrified powertrains. The global engineering, manufacturing and service footprint of the Acquired Off-Highway Business supports localized responsiveness and technical support for customers in key off-highway end markets.</w:t>
      </w:r>
    </w:p>
    <w:p>
      <w:pPr>
        <w:spacing w:after="0" w:line="77" w:lineRule="exact"/>
        <w:rPr>
          <w:sz w:val="20"/>
          <w:szCs w:val="20"/>
          <w:color w:val="auto"/>
        </w:rPr>
      </w:pPr>
    </w:p>
    <w:p>
      <w:pPr>
        <w:ind w:right="240" w:firstLine="499"/>
        <w:spacing w:after="0" w:line="271" w:lineRule="auto"/>
        <w:rPr>
          <w:sz w:val="20"/>
          <w:szCs w:val="20"/>
          <w:color w:val="auto"/>
        </w:rPr>
      </w:pPr>
      <w:r>
        <w:rPr>
          <w:rFonts w:ascii="Arial" w:cs="Arial" w:eastAsia="Arial" w:hAnsi="Arial"/>
          <w:sz w:val="18"/>
          <w:szCs w:val="18"/>
          <w:color w:val="auto"/>
        </w:rPr>
        <w:t>The Company has a global presence serving customers in North America, Asia, Europe, South America, and Africa, and has further expanded its operations in these regions as a result of the Acquisition.</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ACQUISITION</w:t>
      </w:r>
    </w:p>
    <w:p>
      <w:pPr>
        <w:spacing w:after="0" w:line="171"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On January 1, 2026, the Company completed the Acquisition for a purchase price of $2,628 million, subject to certain adjustments, using a combination of cash on hand, $500 million of proceeds from the issuance of the 5.875% Senior Notes due December 2033 ("5.875% Senior Notes 2033") by Allison Transmission, Inc. ("ATI"), the Company’s wholly-owned subsidiary, proceeds from borrowings under an incremental term loan facility under the Second Amended and Restated Credit Agreement dated as of March 29, 2019, as amended (the “Credit Agreement”), in an aggregate principal amount equal to $1,200 million (the “Incremental Term Loan”) and $300 million of borrowings under ATI's revolving credit facility with commitments in the amount of $1,000 million due January 2031 (the “Revolving Credit Facility”). In connection with the Acquisition, the Company entered into a commitment letter with a group of lenders (the "Lenders"), pursuant to which the Lenders committed to provide a 364-day senior unsecured bridge term loan facility (the “Bridge Facility”), in an aggregate principal amount of up to $2,000 million. As of December 31, 2025, the Bridge Facility aggregate commitment principal amount had been reduced to $500 million as a result of the issuance of the 5.875% Senior Notes 2033 and the Company's election to voluntarily reduce the aggregate commitments under the Bridge Facility. No amount was drawn from the Bridge Facility, and it was terminated upon the completion of the Acquisition on the Closing Date.</w:t>
      </w:r>
    </w:p>
    <w:p>
      <w:pPr>
        <w:spacing w:after="0" w:line="75" w:lineRule="exact"/>
        <w:rPr>
          <w:sz w:val="20"/>
          <w:szCs w:val="20"/>
          <w:color w:val="auto"/>
        </w:rPr>
      </w:pPr>
    </w:p>
    <w:p>
      <w:pPr>
        <w:ind w:right="120" w:firstLine="494"/>
        <w:spacing w:after="0" w:line="244" w:lineRule="auto"/>
        <w:rPr>
          <w:sz w:val="20"/>
          <w:szCs w:val="20"/>
          <w:color w:val="auto"/>
        </w:rPr>
      </w:pPr>
      <w:r>
        <w:rPr>
          <w:rFonts w:ascii="Arial" w:cs="Arial" w:eastAsia="Arial" w:hAnsi="Arial"/>
          <w:sz w:val="18"/>
          <w:szCs w:val="18"/>
          <w:color w:val="auto"/>
        </w:rPr>
        <w:t>The Allison Off-Highway business is a leading provider of drivetrain and propulsion solutions. For segment reporting purposes, the Acquired Off-Highway Business comprises the entire Allison Off-Highway segment. The Company accounted for the Acquisition in accordance with authoritative accounting guidance on business combinations. The results of Allison Off-Highway have been included in the Company’s Condensed Consolidated Financial Statements from the Closing Date. See "Note T. Segment Information” for more details regarding Allison Off-Highway's results.</w:t>
      </w:r>
    </w:p>
    <w:p>
      <w:pPr>
        <w:spacing w:after="0" w:line="68" w:lineRule="exact"/>
        <w:rPr>
          <w:sz w:val="20"/>
          <w:szCs w:val="20"/>
          <w:color w:val="auto"/>
        </w:rPr>
      </w:pPr>
    </w:p>
    <w:p>
      <w:pPr>
        <w:ind w:right="20" w:firstLine="494"/>
        <w:spacing w:after="0" w:line="242" w:lineRule="auto"/>
        <w:rPr>
          <w:sz w:val="20"/>
          <w:szCs w:val="20"/>
          <w:color w:val="auto"/>
        </w:rPr>
      </w:pPr>
      <w:r>
        <w:rPr>
          <w:rFonts w:ascii="Arial" w:cs="Arial" w:eastAsia="Arial" w:hAnsi="Arial"/>
          <w:sz w:val="18"/>
          <w:szCs w:val="18"/>
          <w:color w:val="auto"/>
        </w:rPr>
        <w:t>On January 1, 2026, the Company transferred $2,664 million of cash consideration to Dana based on the preliminary closing statement, of which $2 million was attributed to the effective settlement of the pre-existing accounts payable balance. The cash portion of the purchase price was subject to adjustment based upon the final calculation of the acquired cash, indebtedness and working capital, as defined by the Stock Purchase Agreement, as amended, with Dana, as of the Closing Date. During the nine months ended September 30, 2026, the Company recorded a subsequent $34 million decrease to the purchase price and received a cash payment from Dana of $34 million to reflect the net deficiency in cash, indebtedness and working capital, resulting in a final purchase price of $2,628 million.</w:t>
      </w:r>
    </w:p>
    <w:p>
      <w:pPr>
        <w:spacing w:after="0" w:line="71"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Assets acquired and liabilities assumed are recognized at their respective fair values as of the Closing Date. The process of estimating the fair values of certain tangible assets, identifiable intangible assets and assumed liabilities requires the use of judgment in determining the appropriate assumptions and estimates. The following table presents the preliminary purchase price allocation, including adjustments made during the quarter (measurement period adjustments) with corresponding changes to goodwill (dollars in millions):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90"/>
              <w:spacing w:after="0"/>
              <w:rPr>
                <w:sz w:val="20"/>
                <w:szCs w:val="20"/>
                <w:color w:val="auto"/>
              </w:rPr>
            </w:pPr>
            <w:r>
              <w:rPr>
                <w:rFonts w:ascii="Arial" w:cs="Arial" w:eastAsia="Arial" w:hAnsi="Arial"/>
                <w:sz w:val="18"/>
                <w:szCs w:val="18"/>
                <w:b w:val="1"/>
                <w:bCs w:val="1"/>
                <w:color w:val="auto"/>
                <w:w w:val="97"/>
              </w:rPr>
              <w:t>As of</w:t>
            </w:r>
          </w:p>
        </w:tc>
      </w:tr>
      <w:tr>
        <w:trPr>
          <w:trHeight w:val="203"/>
        </w:trPr>
        <w:tc>
          <w:tcPr>
            <w:tcW w:w="47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w w:val="99"/>
              </w:rPr>
              <w:t>Measurement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98"/>
              </w:rPr>
              <w:t>January 1,</w:t>
            </w:r>
          </w:p>
        </w:tc>
      </w:tr>
      <w:tr>
        <w:trPr>
          <w:trHeight w:val="203"/>
        </w:trPr>
        <w:tc>
          <w:tcPr>
            <w:tcW w:w="47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58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As of January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w w:val="99"/>
              </w:rPr>
              <w:t>Period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rPr>
              <w:t>2026 (as</w:t>
            </w:r>
          </w:p>
        </w:tc>
      </w:tr>
      <w:tr>
        <w:trPr>
          <w:trHeight w:val="221"/>
        </w:trPr>
        <w:tc>
          <w:tcPr>
            <w:tcW w:w="4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9"/>
                <w:szCs w:val="19"/>
                <w:color w:val="auto"/>
              </w:rPr>
            </w:pPr>
          </w:p>
        </w:tc>
        <w:tc>
          <w:tcPr>
            <w:tcW w:w="158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9"/>
              </w:rPr>
              <w:t>Adjustments (a)</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adjusted)</w:t>
            </w:r>
          </w:p>
        </w:tc>
      </w:tr>
      <w:tr>
        <w:trPr>
          <w:trHeight w:val="196"/>
        </w:trPr>
        <w:tc>
          <w:tcPr>
            <w:tcW w:w="47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 acquired:</w:t>
            </w:r>
          </w:p>
        </w:tc>
        <w:tc>
          <w:tcPr>
            <w:tcW w:w="1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2180" w:type="dxa"/>
            <w:vAlign w:val="bottom"/>
            <w:gridSpan w:val="2"/>
            <w:shd w:val="clear" w:color="auto" w:fill="CFF0FC"/>
          </w:tcPr>
          <w:p>
            <w:pPr>
              <w:ind w:left="186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101</w:t>
            </w:r>
          </w:p>
        </w:tc>
        <w:tc>
          <w:tcPr>
            <w:tcW w:w="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101</w:t>
            </w:r>
          </w:p>
        </w:tc>
      </w:tr>
      <w:tr>
        <w:trPr>
          <w:trHeight w:val="203"/>
        </w:trPr>
        <w:tc>
          <w:tcPr>
            <w:tcW w:w="4720" w:type="dxa"/>
            <w:vAlign w:val="bottom"/>
          </w:tcPr>
          <w:p>
            <w:pPr>
              <w:ind w:left="180"/>
              <w:spacing w:after="0" w:line="202" w:lineRule="exact"/>
              <w:rPr>
                <w:sz w:val="20"/>
                <w:szCs w:val="20"/>
                <w:color w:val="auto"/>
              </w:rPr>
            </w:pPr>
            <w:r>
              <w:rPr>
                <w:rFonts w:ascii="Arial" w:cs="Arial" w:eastAsia="Arial" w:hAnsi="Arial"/>
                <w:sz w:val="18"/>
                <w:szCs w:val="18"/>
                <w:color w:val="auto"/>
              </w:rPr>
              <w:t>Accounts receivable</w:t>
            </w: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362</w:t>
            </w:r>
          </w:p>
        </w:tc>
      </w:tr>
      <w:tr>
        <w:trPr>
          <w:trHeight w:val="203"/>
        </w:trPr>
        <w:tc>
          <w:tcPr>
            <w:tcW w:w="4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Inventories</w:t>
            </w:r>
          </w:p>
        </w:tc>
        <w:tc>
          <w:tcPr>
            <w:tcW w:w="1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577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578</w:t>
            </w:r>
          </w:p>
        </w:tc>
      </w:tr>
      <w:tr>
        <w:trPr>
          <w:trHeight w:val="202"/>
        </w:trPr>
        <w:tc>
          <w:tcPr>
            <w:tcW w:w="4720" w:type="dxa"/>
            <w:vAlign w:val="bottom"/>
          </w:tcPr>
          <w:p>
            <w:pPr>
              <w:ind w:left="180"/>
              <w:spacing w:after="0" w:line="202" w:lineRule="exact"/>
              <w:rPr>
                <w:sz w:val="20"/>
                <w:szCs w:val="20"/>
                <w:color w:val="auto"/>
              </w:rPr>
            </w:pPr>
            <w:r>
              <w:rPr>
                <w:rFonts w:ascii="Arial" w:cs="Arial" w:eastAsia="Arial" w:hAnsi="Arial"/>
                <w:sz w:val="18"/>
                <w:szCs w:val="18"/>
                <w:color w:val="auto"/>
              </w:rPr>
              <w:t>Other current assets</w:t>
            </w:r>
          </w:p>
        </w:tc>
        <w:tc>
          <w:tcPr>
            <w:tcW w:w="18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115</w:t>
            </w:r>
          </w:p>
        </w:tc>
      </w:tr>
      <w:tr>
        <w:trPr>
          <w:trHeight w:val="196"/>
        </w:trPr>
        <w:tc>
          <w:tcPr>
            <w:tcW w:w="4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Current Assets</w:t>
            </w:r>
          </w:p>
        </w:tc>
        <w:tc>
          <w:tcPr>
            <w:tcW w:w="1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1,155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1,156</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843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865</w:t>
            </w:r>
          </w:p>
        </w:tc>
      </w:tr>
      <w:tr>
        <w:trPr>
          <w:trHeight w:val="203"/>
        </w:trPr>
        <w:tc>
          <w:tcPr>
            <w:tcW w:w="4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Intangible assets</w:t>
            </w:r>
          </w:p>
        </w:tc>
        <w:tc>
          <w:tcPr>
            <w:tcW w:w="1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930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875</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763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770</w:t>
            </w:r>
          </w:p>
        </w:tc>
      </w:tr>
      <w:tr>
        <w:trPr>
          <w:trHeight w:val="203"/>
        </w:trPr>
        <w:tc>
          <w:tcPr>
            <w:tcW w:w="47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non-current assets</w:t>
            </w:r>
          </w:p>
        </w:tc>
        <w:tc>
          <w:tcPr>
            <w:tcW w:w="18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96</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36</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132</w:t>
            </w:r>
          </w:p>
        </w:tc>
      </w:tr>
      <w:tr>
        <w:trPr>
          <w:trHeight w:val="196"/>
        </w:trPr>
        <w:tc>
          <w:tcPr>
            <w:tcW w:w="4720" w:type="dxa"/>
            <w:vAlign w:val="bottom"/>
          </w:tcPr>
          <w:p>
            <w:pPr>
              <w:spacing w:after="0" w:line="196" w:lineRule="exact"/>
              <w:rPr>
                <w:sz w:val="20"/>
                <w:szCs w:val="20"/>
                <w:color w:val="auto"/>
              </w:rPr>
            </w:pPr>
            <w:r>
              <w:rPr>
                <w:rFonts w:ascii="Arial" w:cs="Arial" w:eastAsia="Arial" w:hAnsi="Arial"/>
                <w:sz w:val="18"/>
                <w:szCs w:val="18"/>
                <w:color w:val="auto"/>
              </w:rPr>
              <w:t>Total Assets Acquired</w:t>
            </w:r>
          </w:p>
        </w:tc>
        <w:tc>
          <w:tcPr>
            <w:tcW w:w="2180" w:type="dxa"/>
            <w:vAlign w:val="bottom"/>
            <w:gridSpan w:val="2"/>
          </w:tcPr>
          <w:p>
            <w:pPr>
              <w:ind w:left="1860"/>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3,787</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11</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3,798</w:t>
            </w:r>
          </w:p>
        </w:tc>
      </w:tr>
      <w:tr>
        <w:trPr>
          <w:trHeight w:val="203"/>
        </w:trPr>
        <w:tc>
          <w:tcPr>
            <w:tcW w:w="47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Liabilities Assumed:</w:t>
            </w:r>
          </w:p>
        </w:tc>
        <w:tc>
          <w:tcPr>
            <w:tcW w:w="1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1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415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415</w:t>
            </w:r>
          </w:p>
        </w:tc>
      </w:tr>
      <w:tr>
        <w:trPr>
          <w:trHeight w:val="203"/>
        </w:trPr>
        <w:tc>
          <w:tcPr>
            <w:tcW w:w="4720" w:type="dxa"/>
            <w:vAlign w:val="bottom"/>
          </w:tcPr>
          <w:p>
            <w:pPr>
              <w:ind w:left="180"/>
              <w:spacing w:after="0" w:line="202" w:lineRule="exact"/>
              <w:rPr>
                <w:sz w:val="20"/>
                <w:szCs w:val="20"/>
                <w:color w:val="auto"/>
              </w:rPr>
            </w:pPr>
            <w:r>
              <w:rPr>
                <w:rFonts w:ascii="Arial" w:cs="Arial" w:eastAsia="Arial" w:hAnsi="Arial"/>
                <w:sz w:val="18"/>
                <w:szCs w:val="18"/>
                <w:color w:val="auto"/>
              </w:rPr>
              <w:t>Product warranty liability</w:t>
            </w: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38</w:t>
            </w:r>
          </w:p>
        </w:tc>
      </w:tr>
      <w:tr>
        <w:trPr>
          <w:trHeight w:val="203"/>
        </w:trPr>
        <w:tc>
          <w:tcPr>
            <w:tcW w:w="4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Current portion of long-term debt</w:t>
            </w:r>
          </w:p>
        </w:tc>
        <w:tc>
          <w:tcPr>
            <w:tcW w:w="1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3</w:t>
            </w:r>
          </w:p>
        </w:tc>
      </w:tr>
      <w:tr>
        <w:trPr>
          <w:trHeight w:val="203"/>
        </w:trPr>
        <w:tc>
          <w:tcPr>
            <w:tcW w:w="4720" w:type="dxa"/>
            <w:vAlign w:val="bottom"/>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31</w:t>
            </w:r>
          </w:p>
        </w:tc>
      </w:tr>
      <w:tr>
        <w:trPr>
          <w:trHeight w:val="203"/>
        </w:trPr>
        <w:tc>
          <w:tcPr>
            <w:tcW w:w="47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current liabilities</w:t>
            </w:r>
          </w:p>
        </w:tc>
        <w:tc>
          <w:tcPr>
            <w:tcW w:w="18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185</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9</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194</w:t>
            </w:r>
          </w:p>
        </w:tc>
      </w:tr>
      <w:tr>
        <w:trPr>
          <w:trHeight w:val="196"/>
        </w:trPr>
        <w:tc>
          <w:tcPr>
            <w:tcW w:w="4720" w:type="dxa"/>
            <w:vAlign w:val="bottom"/>
          </w:tcPr>
          <w:p>
            <w:pPr>
              <w:spacing w:after="0" w:line="196" w:lineRule="exact"/>
              <w:rPr>
                <w:sz w:val="20"/>
                <w:szCs w:val="20"/>
                <w:color w:val="auto"/>
              </w:rPr>
            </w:pPr>
            <w:r>
              <w:rPr>
                <w:rFonts w:ascii="Arial" w:cs="Arial" w:eastAsia="Arial" w:hAnsi="Arial"/>
                <w:sz w:val="18"/>
                <w:szCs w:val="18"/>
                <w:color w:val="auto"/>
              </w:rPr>
              <w:t>Total Current Liabilities</w:t>
            </w: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672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681</w:t>
            </w:r>
          </w:p>
        </w:tc>
      </w:tr>
      <w:tr>
        <w:trPr>
          <w:trHeight w:val="203"/>
        </w:trPr>
        <w:tc>
          <w:tcPr>
            <w:tcW w:w="4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income taxes</w:t>
            </w:r>
          </w:p>
        </w:tc>
        <w:tc>
          <w:tcPr>
            <w:tcW w:w="1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300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301</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Finance lease liabilities</w:t>
            </w: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35</w:t>
            </w:r>
          </w:p>
        </w:tc>
      </w:tr>
      <w:tr>
        <w:trPr>
          <w:trHeight w:val="203"/>
        </w:trPr>
        <w:tc>
          <w:tcPr>
            <w:tcW w:w="47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8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153</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153</w:t>
            </w:r>
          </w:p>
        </w:tc>
      </w:tr>
      <w:tr>
        <w:trPr>
          <w:trHeight w:val="196"/>
        </w:trPr>
        <w:tc>
          <w:tcPr>
            <w:tcW w:w="4720" w:type="dxa"/>
            <w:vAlign w:val="bottom"/>
          </w:tcPr>
          <w:p>
            <w:pPr>
              <w:spacing w:after="0" w:line="196" w:lineRule="exact"/>
              <w:rPr>
                <w:sz w:val="20"/>
                <w:szCs w:val="20"/>
                <w:color w:val="auto"/>
              </w:rPr>
            </w:pPr>
            <w:r>
              <w:rPr>
                <w:rFonts w:ascii="Arial" w:cs="Arial" w:eastAsia="Arial" w:hAnsi="Arial"/>
                <w:sz w:val="18"/>
                <w:szCs w:val="18"/>
                <w:color w:val="auto"/>
              </w:rPr>
              <w:t>Total Liabilities</w:t>
            </w:r>
          </w:p>
        </w:tc>
        <w:tc>
          <w:tcPr>
            <w:tcW w:w="2180" w:type="dxa"/>
            <w:vAlign w:val="bottom"/>
            <w:gridSpan w:val="2"/>
          </w:tcPr>
          <w:p>
            <w:pPr>
              <w:ind w:left="1860"/>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1,159</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11</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1,170</w:t>
            </w:r>
          </w:p>
        </w:tc>
      </w:tr>
      <w:tr>
        <w:trPr>
          <w:trHeight w:val="203"/>
        </w:trPr>
        <w:tc>
          <w:tcPr>
            <w:tcW w:w="4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Purchase Price Consideration</w:t>
            </w:r>
          </w:p>
        </w:tc>
        <w:tc>
          <w:tcPr>
            <w:tcW w:w="2180" w:type="dxa"/>
            <w:vAlign w:val="bottom"/>
            <w:gridSpan w:val="2"/>
            <w:shd w:val="clear" w:color="auto" w:fill="CFF0FC"/>
          </w:tcPr>
          <w:p>
            <w:pPr>
              <w:ind w:left="186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2,628</w:t>
            </w:r>
          </w:p>
        </w:tc>
        <w:tc>
          <w:tcPr>
            <w:tcW w:w="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2,628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-1824990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-1824990</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-788035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-788035</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-264795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-264795</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4" w:lineRule="exact"/>
        <w:rPr>
          <w:sz w:val="20"/>
          <w:szCs w:val="20"/>
          <w:color w:val="auto"/>
        </w:rPr>
      </w:pPr>
    </w:p>
    <w:p>
      <w:pPr>
        <w:ind w:left="640" w:right="20" w:hanging="377"/>
        <w:spacing w:after="0" w:line="24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changes in the estimated fair values are primarily to better reflect market participant assumptions about facts and circumstances existing as of the acquisition date. The measurement period adjustments resulted in an $7 million net increase to goodwill and did not have a material impact on the Company's earnings. The measurement period adjustments did not result from intervening events subsequent to the acquisition date.</w:t>
      </w:r>
    </w:p>
    <w:p>
      <w:pPr>
        <w:spacing w:after="0" w:line="160" w:lineRule="exact"/>
        <w:rPr>
          <w:sz w:val="20"/>
          <w:szCs w:val="20"/>
          <w:color w:val="auto"/>
        </w:rPr>
      </w:pPr>
    </w:p>
    <w:p>
      <w:pPr>
        <w:ind w:right="180" w:firstLine="494"/>
        <w:spacing w:after="0" w:line="244" w:lineRule="auto"/>
        <w:rPr>
          <w:sz w:val="20"/>
          <w:szCs w:val="20"/>
          <w:color w:val="auto"/>
        </w:rPr>
      </w:pPr>
      <w:r>
        <w:rPr>
          <w:rFonts w:ascii="Arial" w:cs="Arial" w:eastAsia="Arial" w:hAnsi="Arial"/>
          <w:sz w:val="18"/>
          <w:szCs w:val="18"/>
          <w:color w:val="auto"/>
        </w:rPr>
        <w:t>The preliminary fair values of the assets acquired and liabilities assumed in the Acquisition are subject to further change as the Company performs additional reviews of the assumptions utilized and as additional information related to the fair values of assets acquired, liabilities assumed, and tax implications thereon is assessed during the measurement period (up to one year from the Closing Date). Any such further adjustments will be accounted for prospectively. The final purchase accounting will be completed within the one-year measurement period following the Closing Date of the Acquisition.</w:t>
      </w:r>
    </w:p>
    <w:p>
      <w:pPr>
        <w:spacing w:after="0" w:line="68" w:lineRule="exact"/>
        <w:rPr>
          <w:sz w:val="20"/>
          <w:szCs w:val="20"/>
          <w:color w:val="auto"/>
        </w:rPr>
      </w:pPr>
    </w:p>
    <w:p>
      <w:pPr>
        <w:jc w:val="both"/>
        <w:ind w:right="300" w:firstLine="494"/>
        <w:spacing w:after="0" w:line="253" w:lineRule="auto"/>
        <w:rPr>
          <w:sz w:val="20"/>
          <w:szCs w:val="20"/>
          <w:color w:val="auto"/>
        </w:rPr>
      </w:pPr>
      <w:r>
        <w:rPr>
          <w:rFonts w:ascii="Arial" w:cs="Arial" w:eastAsia="Arial" w:hAnsi="Arial"/>
          <w:sz w:val="18"/>
          <w:szCs w:val="18"/>
          <w:color w:val="auto"/>
        </w:rPr>
        <w:t>The Company measured contract assets and contract liabilities acquired by applying the revenue recognition principles in Financial Accounting Standards Board ("FASB") authoritative guidance on revenue from contracts with customers. Consequently, contract liabilities recorded as of the Closing Date represent the transaction price allocated to unsatisfied performance obligations.</w:t>
      </w:r>
    </w:p>
    <w:p>
      <w:pPr>
        <w:spacing w:after="0" w:line="61" w:lineRule="exact"/>
        <w:rPr>
          <w:sz w:val="20"/>
          <w:szCs w:val="20"/>
          <w:color w:val="auto"/>
        </w:rPr>
      </w:pPr>
    </w:p>
    <w:p>
      <w:pPr>
        <w:jc w:val="both"/>
        <w:ind w:right="840" w:firstLine="494"/>
        <w:spacing w:after="0" w:line="253" w:lineRule="auto"/>
        <w:rPr>
          <w:sz w:val="20"/>
          <w:szCs w:val="20"/>
          <w:color w:val="auto"/>
        </w:rPr>
      </w:pPr>
      <w:r>
        <w:rPr>
          <w:rFonts w:ascii="Arial" w:cs="Arial" w:eastAsia="Arial" w:hAnsi="Arial"/>
          <w:sz w:val="18"/>
          <w:szCs w:val="18"/>
          <w:color w:val="auto"/>
        </w:rPr>
        <w:t>As of the Closing Date, contract liabilities totaling $31 million and no material contract assets were recognized as part of the Acquisition purchase price allocation. These amounts approximate those recognized by Dana prior to the Acquisition, reflecting the Company’s application of the related FASB authoritative guidance.</w:t>
      </w:r>
    </w:p>
    <w:p>
      <w:pPr>
        <w:spacing w:after="0" w:line="66" w:lineRule="exact"/>
        <w:rPr>
          <w:sz w:val="20"/>
          <w:szCs w:val="20"/>
          <w:color w:val="auto"/>
        </w:rPr>
      </w:pPr>
    </w:p>
    <w:p>
      <w:pPr>
        <w:ind w:right="560" w:firstLine="494"/>
        <w:spacing w:after="0" w:line="258" w:lineRule="auto"/>
        <w:rPr>
          <w:sz w:val="20"/>
          <w:szCs w:val="20"/>
          <w:color w:val="auto"/>
        </w:rPr>
      </w:pPr>
      <w:r>
        <w:rPr>
          <w:rFonts w:ascii="Arial" w:cs="Arial" w:eastAsia="Arial" w:hAnsi="Arial"/>
          <w:sz w:val="18"/>
          <w:szCs w:val="18"/>
          <w:color w:val="auto"/>
        </w:rPr>
        <w:t>Goodwill represents the excess of the fair value of consideration transferred over the fair values of assets acquired and liabilities assumed. An estimated $81 million of goodwill is expected to be deductible for income tax purposes. As of September 30, 2026, the Company allocated the goodwill from the Acquisition to its reporting units,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assigning $132 million of goodwill to the Allison Transmission reportable segment and $638 million to the Allison Off-Highway reportable segment. See "Note F. Goodwill and Other Intangible Assets" for the additional disclosures. The goodwill recognized is primarily attributable to expected future economic benefits, including the value of the assembled workforce, anticipated customer demand, continued development of acquired technologies and operational synergies from the integration with Allison Transmission.</w:t>
      </w:r>
    </w:p>
    <w:p>
      <w:pPr>
        <w:spacing w:after="0" w:line="66" w:lineRule="exact"/>
        <w:rPr>
          <w:sz w:val="20"/>
          <w:szCs w:val="20"/>
          <w:color w:val="auto"/>
        </w:rPr>
      </w:pPr>
    </w:p>
    <w:p>
      <w:pPr>
        <w:ind w:right="100" w:firstLine="494"/>
        <w:spacing w:after="0" w:line="248" w:lineRule="auto"/>
        <w:rPr>
          <w:sz w:val="20"/>
          <w:szCs w:val="20"/>
          <w:color w:val="auto"/>
        </w:rPr>
      </w:pPr>
      <w:r>
        <w:rPr>
          <w:rFonts w:ascii="Arial" w:cs="Arial" w:eastAsia="Arial" w:hAnsi="Arial"/>
          <w:sz w:val="18"/>
          <w:szCs w:val="18"/>
          <w:color w:val="auto"/>
        </w:rPr>
        <w:t>The estimated fair values of the identifiable intangible assets acquired (all considered Level 3 measurements), their weighted-average useful lives, the related valuation methodology and key assumptions are as follows (dollars in millions):</w:t>
      </w: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Weighted-average</w:t>
            </w:r>
          </w:p>
        </w:tc>
        <w:tc>
          <w:tcPr>
            <w:tcW w:w="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estimated useful life</w:t>
            </w:r>
          </w:p>
        </w:tc>
        <w:tc>
          <w:tcPr>
            <w:tcW w:w="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20" w:type="dxa"/>
            <w:vAlign w:val="bottom"/>
          </w:tcPr>
          <w:p>
            <w:pPr>
              <w:spacing w:after="0"/>
              <w:rPr>
                <w:sz w:val="14"/>
                <w:szCs w:val="14"/>
                <w:color w:val="auto"/>
              </w:rPr>
            </w:pPr>
          </w:p>
        </w:tc>
        <w:tc>
          <w:tcPr>
            <w:tcW w:w="25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Valuation Methodology</w:t>
            </w:r>
          </w:p>
        </w:tc>
        <w:tc>
          <w:tcPr>
            <w:tcW w:w="100" w:type="dxa"/>
            <w:vAlign w:val="bottom"/>
          </w:tcPr>
          <w:p>
            <w:pPr>
              <w:spacing w:after="0"/>
              <w:rPr>
                <w:sz w:val="14"/>
                <w:szCs w:val="14"/>
                <w:color w:val="auto"/>
              </w:rPr>
            </w:pPr>
          </w:p>
        </w:tc>
        <w:tc>
          <w:tcPr>
            <w:tcW w:w="264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Key Assumptions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1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540" w:type="dxa"/>
            <w:vAlign w:val="bottom"/>
            <w:shd w:val="clear" w:color="auto" w:fill="CCECFF"/>
          </w:tcPr>
          <w:p>
            <w:pPr>
              <w:spacing w:after="0"/>
              <w:rPr>
                <w:sz w:val="15"/>
                <w:szCs w:val="15"/>
                <w:color w:val="auto"/>
              </w:rPr>
            </w:pPr>
          </w:p>
        </w:tc>
        <w:tc>
          <w:tcPr>
            <w:tcW w:w="2740" w:type="dxa"/>
            <w:vAlign w:val="bottom"/>
            <w:gridSpan w:val="2"/>
            <w:shd w:val="clear" w:color="auto" w:fill="CCECFF"/>
          </w:tcPr>
          <w:p>
            <w:pPr>
              <w:ind w:left="100"/>
              <w:spacing w:after="0" w:line="177" w:lineRule="exact"/>
              <w:rPr>
                <w:sz w:val="20"/>
                <w:szCs w:val="20"/>
                <w:color w:val="auto"/>
              </w:rPr>
            </w:pPr>
            <w:r>
              <w:rPr>
                <w:rFonts w:ascii="Arial" w:cs="Arial" w:eastAsia="Arial" w:hAnsi="Arial"/>
                <w:sz w:val="18"/>
                <w:szCs w:val="18"/>
                <w:color w:val="auto"/>
              </w:rPr>
              <w:t>Revenue growth rates,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14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4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540" w:type="dxa"/>
            <w:vAlign w:val="bottom"/>
            <w:shd w:val="clear" w:color="auto" w:fill="CCECFF"/>
          </w:tcPr>
          <w:p>
            <w:pPr>
              <w:spacing w:after="0"/>
              <w:rPr>
                <w:sz w:val="17"/>
                <w:szCs w:val="17"/>
                <w:color w:val="auto"/>
              </w:rPr>
            </w:pPr>
          </w:p>
        </w:tc>
        <w:tc>
          <w:tcPr>
            <w:tcW w:w="2740" w:type="dxa"/>
            <w:vAlign w:val="bottom"/>
            <w:gridSpan w:val="2"/>
            <w:shd w:val="clear" w:color="auto" w:fill="CCECFF"/>
          </w:tcPr>
          <w:p>
            <w:pPr>
              <w:ind w:left="100"/>
              <w:spacing w:after="0" w:line="202" w:lineRule="exact"/>
              <w:rPr>
                <w:sz w:val="20"/>
                <w:szCs w:val="20"/>
                <w:color w:val="auto"/>
              </w:rPr>
            </w:pPr>
            <w:r>
              <w:rPr>
                <w:rFonts w:ascii="Arial" w:cs="Arial" w:eastAsia="Arial" w:hAnsi="Arial"/>
                <w:sz w:val="18"/>
                <w:szCs w:val="18"/>
                <w:color w:val="auto"/>
              </w:rPr>
              <w:t>estimated earnings, discount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20" w:type="dxa"/>
            <w:vAlign w:val="bottom"/>
            <w:shd w:val="clear" w:color="auto" w:fill="CCECFF"/>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CFF"/>
          </w:tcPr>
          <w:p>
            <w:pPr>
              <w:jc w:val="right"/>
              <w:ind w:right="54"/>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CFF"/>
          </w:tcPr>
          <w:p>
            <w:pPr>
              <w:spacing w:after="0"/>
              <w:rPr>
                <w:sz w:val="19"/>
                <w:szCs w:val="19"/>
                <w:color w:val="auto"/>
              </w:rPr>
            </w:pPr>
          </w:p>
        </w:tc>
        <w:tc>
          <w:tcPr>
            <w:tcW w:w="146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8"/>
              </w:rPr>
              <w:t>19 years</w:t>
            </w:r>
          </w:p>
        </w:tc>
        <w:tc>
          <w:tcPr>
            <w:tcW w:w="2660" w:type="dxa"/>
            <w:vAlign w:val="bottom"/>
            <w:gridSpan w:val="2"/>
            <w:shd w:val="clear" w:color="auto" w:fill="CCECFF"/>
          </w:tcPr>
          <w:p>
            <w:pPr>
              <w:ind w:left="100"/>
              <w:spacing w:after="0"/>
              <w:rPr>
                <w:sz w:val="20"/>
                <w:szCs w:val="20"/>
                <w:color w:val="auto"/>
              </w:rPr>
            </w:pPr>
            <w:r>
              <w:rPr>
                <w:rFonts w:ascii="Arial" w:cs="Arial" w:eastAsia="Arial" w:hAnsi="Arial"/>
                <w:sz w:val="18"/>
                <w:szCs w:val="18"/>
                <w:color w:val="auto"/>
              </w:rPr>
              <w:t>Multi-period excess earnings</w:t>
            </w:r>
          </w:p>
        </w:tc>
        <w:tc>
          <w:tcPr>
            <w:tcW w:w="2740" w:type="dxa"/>
            <w:vAlign w:val="bottom"/>
            <w:gridSpan w:val="2"/>
            <w:shd w:val="clear" w:color="auto" w:fill="CCECFF"/>
          </w:tcPr>
          <w:p>
            <w:pPr>
              <w:ind w:left="100"/>
              <w:spacing w:after="0"/>
              <w:rPr>
                <w:sz w:val="20"/>
                <w:szCs w:val="20"/>
                <w:color w:val="auto"/>
              </w:rPr>
            </w:pPr>
            <w:r>
              <w:rPr>
                <w:rFonts w:ascii="Arial" w:cs="Arial" w:eastAsia="Arial" w:hAnsi="Arial"/>
                <w:sz w:val="18"/>
                <w:szCs w:val="18"/>
                <w:color w:val="auto"/>
              </w:rPr>
              <w:t>rate, customer attrition rates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740" w:type="dxa"/>
            <w:vAlign w:val="bottom"/>
            <w:gridSpan w:val="2"/>
          </w:tcPr>
          <w:p>
            <w:pPr>
              <w:ind w:left="100"/>
              <w:spacing w:after="0" w:line="183" w:lineRule="exact"/>
              <w:rPr>
                <w:sz w:val="20"/>
                <w:szCs w:val="20"/>
                <w:color w:val="auto"/>
              </w:rPr>
            </w:pPr>
            <w:r>
              <w:rPr>
                <w:rFonts w:ascii="Arial" w:cs="Arial" w:eastAsia="Arial" w:hAnsi="Arial"/>
                <w:sz w:val="18"/>
                <w:szCs w:val="18"/>
                <w:color w:val="auto"/>
              </w:rPr>
              <w:t>Revenue growth rates, royalty</w:t>
            </w:r>
          </w:p>
        </w:tc>
        <w:tc>
          <w:tcPr>
            <w:tcW w:w="0" w:type="dxa"/>
            <w:vAlign w:val="bottom"/>
          </w:tcPr>
          <w:p>
            <w:pPr>
              <w:spacing w:after="0"/>
              <w:rPr>
                <w:sz w:val="1"/>
                <w:szCs w:val="1"/>
                <w:color w:val="auto"/>
              </w:rPr>
            </w:pPr>
          </w:p>
        </w:tc>
      </w:tr>
      <w:tr>
        <w:trPr>
          <w:trHeight w:val="221"/>
        </w:trPr>
        <w:tc>
          <w:tcPr>
            <w:tcW w:w="284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8 years</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Relief-from-royalty</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rates, discount rate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1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540" w:type="dxa"/>
            <w:vAlign w:val="bottom"/>
            <w:shd w:val="clear" w:color="auto" w:fill="CCECFF"/>
          </w:tcPr>
          <w:p>
            <w:pPr>
              <w:spacing w:after="0"/>
              <w:rPr>
                <w:sz w:val="15"/>
                <w:szCs w:val="15"/>
                <w:color w:val="auto"/>
              </w:rPr>
            </w:pPr>
          </w:p>
        </w:tc>
        <w:tc>
          <w:tcPr>
            <w:tcW w:w="2740" w:type="dxa"/>
            <w:vAlign w:val="bottom"/>
            <w:gridSpan w:val="2"/>
            <w:shd w:val="clear" w:color="auto" w:fill="CCECFF"/>
          </w:tcPr>
          <w:p>
            <w:pPr>
              <w:ind w:left="100"/>
              <w:spacing w:after="0" w:line="183" w:lineRule="exact"/>
              <w:rPr>
                <w:sz w:val="20"/>
                <w:szCs w:val="20"/>
                <w:color w:val="auto"/>
              </w:rPr>
            </w:pPr>
            <w:r>
              <w:rPr>
                <w:rFonts w:ascii="Arial" w:cs="Arial" w:eastAsia="Arial" w:hAnsi="Arial"/>
                <w:sz w:val="18"/>
                <w:szCs w:val="18"/>
                <w:color w:val="auto"/>
              </w:rPr>
              <w:t>Revenue growth rates, royalty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140" w:type="dxa"/>
            <w:vAlign w:val="bottom"/>
            <w:vMerge w:val="restart"/>
            <w:shd w:val="clear" w:color="auto" w:fill="CCECFF"/>
          </w:tcPr>
          <w:p>
            <w:pPr>
              <w:jc w:val="right"/>
              <w:ind w:right="54"/>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CFF"/>
          </w:tcPr>
          <w:p>
            <w:pPr>
              <w:spacing w:after="0"/>
              <w:rPr>
                <w:sz w:val="17"/>
                <w:szCs w:val="17"/>
                <w:color w:val="auto"/>
              </w:rPr>
            </w:pPr>
          </w:p>
        </w:tc>
        <w:tc>
          <w:tcPr>
            <w:tcW w:w="14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540" w:type="dxa"/>
            <w:vAlign w:val="bottom"/>
            <w:shd w:val="clear" w:color="auto" w:fill="CCECFF"/>
          </w:tcPr>
          <w:p>
            <w:pPr>
              <w:spacing w:after="0"/>
              <w:rPr>
                <w:sz w:val="17"/>
                <w:szCs w:val="17"/>
                <w:color w:val="auto"/>
              </w:rPr>
            </w:pPr>
          </w:p>
        </w:tc>
        <w:tc>
          <w:tcPr>
            <w:tcW w:w="2740" w:type="dxa"/>
            <w:vAlign w:val="bottom"/>
            <w:gridSpan w:val="2"/>
            <w:shd w:val="clear" w:color="auto" w:fill="CCECFF"/>
          </w:tcPr>
          <w:p>
            <w:pPr>
              <w:ind w:left="100"/>
              <w:spacing w:after="0" w:line="202" w:lineRule="exact"/>
              <w:rPr>
                <w:sz w:val="20"/>
                <w:szCs w:val="20"/>
                <w:color w:val="auto"/>
              </w:rPr>
            </w:pPr>
            <w:r>
              <w:rPr>
                <w:rFonts w:ascii="Arial" w:cs="Arial" w:eastAsia="Arial" w:hAnsi="Arial"/>
                <w:sz w:val="18"/>
                <w:szCs w:val="18"/>
                <w:color w:val="auto"/>
              </w:rPr>
              <w:t>rates, discount rate,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2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Developed technology</w:t>
            </w:r>
          </w:p>
        </w:tc>
        <w:tc>
          <w:tcPr>
            <w:tcW w:w="160" w:type="dxa"/>
            <w:vAlign w:val="bottom"/>
            <w:tcBorders>
              <w:bottom w:val="single" w:sz="8" w:color="auto"/>
            </w:tcBorders>
            <w:shd w:val="clear" w:color="auto" w:fill="CCECFF"/>
          </w:tcPr>
          <w:p>
            <w:pPr>
              <w:spacing w:after="0"/>
              <w:rPr>
                <w:sz w:val="18"/>
                <w:szCs w:val="18"/>
                <w:color w:val="auto"/>
              </w:rPr>
            </w:pPr>
          </w:p>
        </w:tc>
        <w:tc>
          <w:tcPr>
            <w:tcW w:w="1140" w:type="dxa"/>
            <w:vAlign w:val="bottom"/>
            <w:tcBorders>
              <w:bottom w:val="single" w:sz="8" w:color="auto"/>
            </w:tcBorders>
            <w:vMerge w:val="continue"/>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146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8"/>
                <w:szCs w:val="18"/>
                <w:color w:val="auto"/>
              </w:rPr>
              <w:t>6 years</w:t>
            </w:r>
          </w:p>
        </w:tc>
        <w:tc>
          <w:tcPr>
            <w:tcW w:w="2660" w:type="dxa"/>
            <w:vAlign w:val="bottom"/>
            <w:tcBorders>
              <w:bottom w:val="single" w:sz="8" w:color="CCECFF"/>
            </w:tcBorders>
            <w:gridSpan w:val="2"/>
            <w:shd w:val="clear" w:color="auto" w:fill="CCECFF"/>
          </w:tcPr>
          <w:p>
            <w:pPr>
              <w:ind w:left="100"/>
              <w:spacing w:after="0"/>
              <w:rPr>
                <w:sz w:val="20"/>
                <w:szCs w:val="20"/>
                <w:color w:val="auto"/>
              </w:rPr>
            </w:pPr>
            <w:r>
              <w:rPr>
                <w:rFonts w:ascii="Arial" w:cs="Arial" w:eastAsia="Arial" w:hAnsi="Arial"/>
                <w:sz w:val="18"/>
                <w:szCs w:val="18"/>
                <w:color w:val="auto"/>
              </w:rPr>
              <w:t>Relief-from-royalty</w:t>
            </w:r>
          </w:p>
        </w:tc>
        <w:tc>
          <w:tcPr>
            <w:tcW w:w="2740" w:type="dxa"/>
            <w:vAlign w:val="bottom"/>
            <w:tcBorders>
              <w:bottom w:val="single" w:sz="8" w:color="CCECFF"/>
            </w:tcBorders>
            <w:gridSpan w:val="2"/>
            <w:shd w:val="clear" w:color="auto" w:fill="CCECFF"/>
          </w:tcPr>
          <w:p>
            <w:pPr>
              <w:ind w:left="100"/>
              <w:spacing w:after="0"/>
              <w:rPr>
                <w:sz w:val="20"/>
                <w:szCs w:val="20"/>
                <w:color w:val="auto"/>
              </w:rPr>
            </w:pPr>
            <w:r>
              <w:rPr>
                <w:rFonts w:ascii="Arial" w:cs="Arial" w:eastAsia="Arial" w:hAnsi="Arial"/>
                <w:sz w:val="18"/>
                <w:szCs w:val="18"/>
                <w:color w:val="auto"/>
              </w:rPr>
              <w:t>obsolescence factors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20" w:type="dxa"/>
            <w:vAlign w:val="bottom"/>
          </w:tcPr>
          <w:p>
            <w:pPr>
              <w:spacing w:after="0" w:line="177" w:lineRule="exact"/>
              <w:rPr>
                <w:sz w:val="20"/>
                <w:szCs w:val="20"/>
                <w:color w:val="auto"/>
              </w:rPr>
            </w:pPr>
            <w:r>
              <w:rPr>
                <w:rFonts w:ascii="Arial" w:cs="Arial" w:eastAsia="Arial" w:hAnsi="Arial"/>
                <w:sz w:val="18"/>
                <w:szCs w:val="18"/>
                <w:color w:val="auto"/>
              </w:rPr>
              <w:t>Total identified intangible assets</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ind w:right="54"/>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840" w:type="dxa"/>
            <w:vAlign w:val="bottom"/>
            <w:gridSpan w:val="2"/>
          </w:tcPr>
          <w:p>
            <w:pPr>
              <w:spacing w:after="0" w:line="161" w:lineRule="exact"/>
              <w:rPr>
                <w:sz w:val="20"/>
                <w:szCs w:val="20"/>
                <w:color w:val="auto"/>
              </w:rPr>
            </w:pPr>
            <w:r>
              <w:rPr>
                <w:rFonts w:ascii="Arial" w:cs="Arial" w:eastAsia="Arial" w:hAnsi="Arial"/>
                <w:sz w:val="18"/>
                <w:szCs w:val="18"/>
                <w:color w:val="auto"/>
              </w:rPr>
              <w:t>acquired</w:t>
            </w:r>
          </w:p>
        </w:tc>
        <w:tc>
          <w:tcPr>
            <w:tcW w:w="16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-264795</wp:posOffset>
            </wp:positionV>
            <wp:extent cx="768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64" w:lineRule="exact"/>
        <w:rPr>
          <w:sz w:val="20"/>
          <w:szCs w:val="20"/>
          <w:color w:val="auto"/>
        </w:rPr>
      </w:pPr>
    </w:p>
    <w:p>
      <w:pPr>
        <w:ind w:right="20" w:firstLine="494"/>
        <w:spacing w:after="0" w:line="242" w:lineRule="auto"/>
        <w:rPr>
          <w:sz w:val="20"/>
          <w:szCs w:val="20"/>
          <w:color w:val="auto"/>
        </w:rPr>
      </w:pPr>
      <w:r>
        <w:rPr>
          <w:rFonts w:ascii="Arial" w:cs="Arial" w:eastAsia="Arial" w:hAnsi="Arial"/>
          <w:sz w:val="18"/>
          <w:szCs w:val="18"/>
          <w:color w:val="auto"/>
        </w:rPr>
        <w:t>Included in the Company's results for the three and nine months ended September 30, 2026 were Net sales of $653 million and $2,032 million, respectively, and $32 million and $58 million, respectively, of Operating income related to Allison Off-Highway. The Company recognized $4 million and $30 million of Acquisition-related expenses during the three and nine months ended September 30, 2026, respectively, and $14 million and $38 million during the three and nine months ended September 30, 2025, respectively, which were recorded in Selling, general and administrative in the Company's Condensed Consolidated Statements of Comprehensive Income and primarily consisted of consulting and legal fees.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Pro-Forma Information (unaudited)</w:t>
      </w:r>
    </w:p>
    <w:p>
      <w:pPr>
        <w:spacing w:after="0" w:line="14" w:lineRule="exact"/>
        <w:rPr>
          <w:sz w:val="20"/>
          <w:szCs w:val="20"/>
          <w:color w:val="auto"/>
        </w:rPr>
      </w:pPr>
    </w:p>
    <w:p>
      <w:pPr>
        <w:ind w:firstLine="494"/>
        <w:spacing w:after="0" w:line="237" w:lineRule="auto"/>
        <w:rPr>
          <w:sz w:val="20"/>
          <w:szCs w:val="20"/>
          <w:color w:val="auto"/>
        </w:rPr>
      </w:pPr>
      <w:r>
        <w:rPr>
          <w:rFonts w:ascii="Arial" w:cs="Arial" w:eastAsia="Arial" w:hAnsi="Arial"/>
          <w:sz w:val="18"/>
          <w:szCs w:val="18"/>
          <w:color w:val="auto"/>
        </w:rPr>
        <w:t>The following table presents supplemental pro-forma information for the three and nine months ended September 30, 2026 as if the Acquisition had occurred on January 1, 2025. These amounts have been calculated after applying the Company's accounting policies and are based upon currently available information. The primary adjustments reflected in the pro-forma results relate to increased interest expense for debt used to fund the Acquisition, inclusion of Acquisition-related costs and the impact of purchase accounting adjustments primarily related to amortization of intangibles, depreciation of fixed assets and inventory step-up. Pre-Acquisition net sales and net income amounts for the Acquisition were derived from the books and records of the Acquired Off-Highway Business prepared prior to the Acquisition, are presented for informational purposes only and do not purport to be indicative of the results of future operations or of the results that would have been achieved had the Acquired Off-Highway Business been combined with the Company during the pre-Acquisition period presented.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4"/>
                <w:szCs w:val="14"/>
                <w:color w:val="auto"/>
              </w:rPr>
            </w:pPr>
          </w:p>
        </w:tc>
      </w:tr>
      <w:tr>
        <w:trPr>
          <w:trHeight w:val="178"/>
        </w:trPr>
        <w:tc>
          <w:tcPr>
            <w:tcW w:w="36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5"/>
                <w:szCs w:val="15"/>
                <w:color w:val="auto"/>
              </w:rPr>
            </w:pPr>
          </w:p>
        </w:tc>
      </w:tr>
      <w:tr>
        <w:trPr>
          <w:trHeight w:val="216"/>
        </w:trPr>
        <w:tc>
          <w:tcPr>
            <w:tcW w:w="36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7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2026</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2025</w:t>
            </w:r>
          </w:p>
        </w:tc>
      </w:tr>
      <w:tr>
        <w:trPr>
          <w:trHeight w:val="196"/>
        </w:trPr>
        <w:tc>
          <w:tcPr>
            <w:tcW w:w="3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sales</w:t>
            </w:r>
          </w:p>
        </w:tc>
        <w:tc>
          <w:tcPr>
            <w:tcW w:w="1100" w:type="dxa"/>
            <w:vAlign w:val="bottom"/>
            <w:shd w:val="clear" w:color="auto" w:fill="CFF0FC"/>
          </w:tcPr>
          <w:p>
            <w:pPr>
              <w:jc w:val="right"/>
              <w:ind w:right="916"/>
              <w:spacing w:after="0" w:line="196" w:lineRule="exact"/>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1,534</w:t>
            </w:r>
          </w:p>
        </w:tc>
        <w:tc>
          <w:tcPr>
            <w:tcW w:w="840" w:type="dxa"/>
            <w:vAlign w:val="bottom"/>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1,320</w:t>
            </w:r>
          </w:p>
        </w:tc>
        <w:tc>
          <w:tcPr>
            <w:tcW w:w="6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FF0FC"/>
          </w:tcPr>
          <w:p>
            <w:pPr>
              <w:jc w:val="right"/>
              <w:ind w:right="61"/>
              <w:spacing w:after="0" w:line="196" w:lineRule="exact"/>
              <w:rPr>
                <w:sz w:val="20"/>
                <w:szCs w:val="20"/>
                <w:color w:val="auto"/>
              </w:rPr>
            </w:pPr>
            <w:r>
              <w:rPr>
                <w:rFonts w:ascii="Arial" w:cs="Arial" w:eastAsia="Arial" w:hAnsi="Arial"/>
                <w:sz w:val="18"/>
                <w:szCs w:val="18"/>
                <w:b w:val="1"/>
                <w:bCs w:val="1"/>
                <w:color w:val="auto"/>
              </w:rPr>
              <w:t>4,506</w:t>
            </w:r>
          </w:p>
        </w:tc>
        <w:tc>
          <w:tcPr>
            <w:tcW w:w="700" w:type="dxa"/>
            <w:vAlign w:val="bottom"/>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4,162</w:t>
            </w:r>
          </w:p>
        </w:tc>
      </w:tr>
      <w:tr>
        <w:trPr>
          <w:trHeight w:val="247"/>
        </w:trPr>
        <w:tc>
          <w:tcPr>
            <w:tcW w:w="362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ind w:right="916"/>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191</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158</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61"/>
              <w:spacing w:after="0"/>
              <w:rPr>
                <w:sz w:val="20"/>
                <w:szCs w:val="20"/>
                <w:color w:val="auto"/>
              </w:rPr>
            </w:pPr>
            <w:r>
              <w:rPr>
                <w:rFonts w:ascii="Arial" w:cs="Arial" w:eastAsia="Arial" w:hAnsi="Arial"/>
                <w:sz w:val="18"/>
                <w:szCs w:val="18"/>
                <w:b w:val="1"/>
                <w:bCs w:val="1"/>
                <w:color w:val="auto"/>
              </w:rPr>
              <w:t>562</w:t>
            </w:r>
          </w:p>
        </w:tc>
        <w:tc>
          <w:tcPr>
            <w:tcW w:w="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441</w:t>
            </w:r>
          </w:p>
        </w:tc>
      </w:tr>
      <w:tr>
        <w:trPr>
          <w:trHeight w:val="554"/>
        </w:trPr>
        <w:tc>
          <w:tcPr>
            <w:tcW w:w="3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jc w:val="right"/>
              <w:ind w:right="470"/>
              <w:spacing w:after="0"/>
              <w:rPr>
                <w:sz w:val="20"/>
                <w:szCs w:val="20"/>
                <w:color w:val="auto"/>
              </w:rPr>
            </w:pPr>
            <w:r>
              <w:rPr>
                <w:rFonts w:ascii="Arial" w:cs="Arial" w:eastAsia="Arial" w:hAnsi="Arial"/>
                <w:sz w:val="18"/>
                <w:szCs w:val="18"/>
                <w:color w:val="auto"/>
              </w:rPr>
              <w:t>11</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745"/>
        </w:trPr>
        <w:tc>
          <w:tcPr>
            <w:tcW w:w="36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4749800</wp:posOffset>
            </wp:positionH>
            <wp:positionV relativeFrom="paragraph">
              <wp:posOffset>-1289050</wp:posOffset>
            </wp:positionV>
            <wp:extent cx="179705"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9705" cy="1797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SUMMARY OF SIGNIFICANT ACCOUNTING POLICIES</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02" w:lineRule="exact"/>
        <w:rPr>
          <w:sz w:val="20"/>
          <w:szCs w:val="20"/>
          <w:color w:val="auto"/>
        </w:rPr>
      </w:pPr>
    </w:p>
    <w:p>
      <w:pPr>
        <w:ind w:right="80" w:firstLine="499"/>
        <w:spacing w:after="0" w:line="242" w:lineRule="auto"/>
        <w:rPr>
          <w:sz w:val="20"/>
          <w:szCs w:val="20"/>
          <w:color w:val="auto"/>
        </w:rPr>
      </w:pPr>
      <w:r>
        <w:rPr>
          <w:rFonts w:ascii="Arial" w:cs="Arial" w:eastAsia="Arial" w:hAnsi="Arial"/>
          <w:sz w:val="18"/>
          <w:szCs w:val="18"/>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71" w:lineRule="exact"/>
        <w:rPr>
          <w:sz w:val="20"/>
          <w:szCs w:val="20"/>
          <w:color w:val="auto"/>
        </w:rPr>
      </w:pPr>
    </w:p>
    <w:p>
      <w:pPr>
        <w:ind w:firstLine="499"/>
        <w:spacing w:after="0"/>
        <w:rPr>
          <w:sz w:val="20"/>
          <w:szCs w:val="20"/>
          <w:color w:val="auto"/>
        </w:rPr>
      </w:pPr>
      <w:r>
        <w:rPr>
          <w:rFonts w:ascii="Arial" w:cs="Arial" w:eastAsia="Arial" w:hAnsi="Arial"/>
          <w:sz w:val="18"/>
          <w:szCs w:val="18"/>
          <w:color w:val="auto"/>
        </w:rPr>
        <w:t>These condensed consolidated financial statements present the financial position, results of comprehensive income, cash flows and statements of stockholders’ equity of the Company. Certain immaterial reclassifications have been made in the condensed consolidated financial statements of prior periods to conform to the current period presentation. These reclassifications had no impact on previously reported net income, total stockholders’ equity or cash flows. The condensed consolidated financial statements should be read in conjunction with the audited consolidated financial statements included in our Annual Report on Form 10-K for the year ended December 31, 2025 as filed with the Securities and Exchange Commission on February 24, 2026. The interim period financial results for the three- and nine-month periods presented are not necessarily indicative of results to be expected for any other interim period or for the entire year.</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2"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incentives, government price adjustments, fair market values and future cash flows associated with goodwill, indefinite-lived intangibles, definite-lived intangibles, long-lived asset impairment tests, useful lives for depreciation and amortization, warranty liabilities, core deposit liabilities, determination of discount rate and other assumptions for pension and other post-retirement benefit ("OPEB") expense, income taxes and deferred tax valuation allowances, assumptions for business combinations and contingencies. The Company’s accounting policies involve the application of judgments and assumptions made by management that include inherent risks and uncertainties. Actual results could differ materially from these estimates and from the assumptions used in the preparation of the Company's financial statements. Changes in estimates are recorded in results of operations in the period that the events or circumstances giving rise to such changes occur.</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02" w:lineRule="exact"/>
        <w:rPr>
          <w:sz w:val="20"/>
          <w:szCs w:val="20"/>
          <w:color w:val="auto"/>
        </w:rPr>
      </w:pPr>
    </w:p>
    <w:p>
      <w:pPr>
        <w:ind w:right="120" w:firstLine="494"/>
        <w:spacing w:after="0"/>
        <w:rPr>
          <w:sz w:val="20"/>
          <w:szCs w:val="20"/>
          <w:color w:val="auto"/>
        </w:rPr>
      </w:pPr>
      <w:r>
        <w:rPr>
          <w:rFonts w:ascii="Arial" w:cs="Arial" w:eastAsia="Arial" w:hAnsi="Arial"/>
          <w:sz w:val="18"/>
          <w:szCs w:val="18"/>
          <w:color w:val="auto"/>
        </w:rPr>
        <w:t>In November 2025, the FASB issued authoritative accounting guidance to amend certain aspects of the existing hedge accounting guidance to more closely align hedge accounting with the economics of an entity's risk management activities. The amendments simplified the requirements to designate a group of individual forecasted transactions from having a shared risk exposure to having a similar risk exposure. In addition, the application of hedge accounting no longer is limited by whether the execution of the nonfinancial purchase or sale transaction is in the spot or forward market. The guidance permits early adoption, which management has elected, and it has been applied prospectively. The adoption of this guidance did not have an impact on the Company’s consolidated financial statements. See "Note H. Derivatives" and "Note P. Accumulated Other Comprehensive Loss" for more information on the Company's derivative instruments.</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2" w:lineRule="exact"/>
        <w:rPr>
          <w:sz w:val="20"/>
          <w:szCs w:val="20"/>
          <w:color w:val="auto"/>
        </w:rPr>
      </w:pPr>
    </w:p>
    <w:p>
      <w:pPr>
        <w:ind w:right="120" w:firstLine="494"/>
        <w:spacing w:after="0" w:line="244" w:lineRule="auto"/>
        <w:rPr>
          <w:sz w:val="20"/>
          <w:szCs w:val="20"/>
          <w:color w:val="auto"/>
        </w:rPr>
      </w:pPr>
      <w:r>
        <w:rPr>
          <w:rFonts w:ascii="Arial" w:cs="Arial" w:eastAsia="Arial" w:hAnsi="Arial"/>
          <w:sz w:val="18"/>
          <w:szCs w:val="18"/>
          <w:color w:val="auto"/>
        </w:rPr>
        <w:t>In November 2024, the FASB issued authoritative accounting guidance, which was subsequently amended, requiring additional disaggregation of certain expense and cost line items presented in the financial statements and in the notes to the financial statements. The guidance will become effective for the Company beginning with the fiscal year ending December 31, 2027 and the subsequent interim periods. Early adoption is permitted. Upon adoption, the guidance may be applied prospectively or retrospectively. Management is currently evaluating the impact of this guidance on the Company's consolidated financial statements.</w:t>
      </w:r>
    </w:p>
    <w:p>
      <w:pPr>
        <w:spacing w:after="0" w:line="68" w:lineRule="exact"/>
        <w:rPr>
          <w:sz w:val="20"/>
          <w:szCs w:val="20"/>
          <w:color w:val="auto"/>
        </w:rPr>
      </w:pPr>
    </w:p>
    <w:p>
      <w:pPr>
        <w:ind w:right="140" w:firstLine="494"/>
        <w:spacing w:after="0" w:line="244" w:lineRule="auto"/>
        <w:rPr>
          <w:sz w:val="20"/>
          <w:szCs w:val="20"/>
          <w:color w:val="auto"/>
        </w:rPr>
      </w:pPr>
      <w:r>
        <w:rPr>
          <w:rFonts w:ascii="Arial" w:cs="Arial" w:eastAsia="Arial" w:hAnsi="Arial"/>
          <w:sz w:val="18"/>
          <w:szCs w:val="18"/>
          <w:color w:val="auto"/>
        </w:rPr>
        <w:t>In September 2025, the FASB issued authoritative accounting guidance to modernize the accounting for costs related to internal-use software. The new guidance removes the software project development stages and provides new guidance on evaluating if the probable-to-complete recognition threshold has been met. The guidance will become effective for the Company beginning January 1, 2028 with early adoption permitted. Upon adoption, the guidance may be applied prospectively, retrospectively or using a modified transition approach. Management is currently evaluating the potential impact of this guidance on the Company's consolidated financial statements.</w:t>
      </w:r>
    </w:p>
    <w:p>
      <w:pPr>
        <w:spacing w:after="0" w:line="68" w:lineRule="exact"/>
        <w:rPr>
          <w:sz w:val="20"/>
          <w:szCs w:val="20"/>
          <w:color w:val="auto"/>
        </w:rPr>
      </w:pPr>
    </w:p>
    <w:p>
      <w:pPr>
        <w:ind w:right="120" w:firstLine="494"/>
        <w:spacing w:after="0" w:line="271" w:lineRule="auto"/>
        <w:rPr>
          <w:sz w:val="20"/>
          <w:szCs w:val="20"/>
          <w:color w:val="auto"/>
        </w:rPr>
      </w:pPr>
      <w:r>
        <w:rPr>
          <w:rFonts w:ascii="Arial" w:cs="Arial" w:eastAsia="Arial" w:hAnsi="Arial"/>
          <w:sz w:val="18"/>
          <w:szCs w:val="18"/>
          <w:color w:val="auto"/>
        </w:rPr>
        <w:t>All other recently issued accounting pronouncements were assessed as either not applicable to the Company or were not expected to have a material impact on the Company's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REVENUE</w:t>
      </w:r>
    </w:p>
    <w:p>
      <w:pPr>
        <w:spacing w:after="0" w:line="104"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71" w:lineRule="exact"/>
        <w:rPr>
          <w:sz w:val="20"/>
          <w:szCs w:val="20"/>
          <w:color w:val="auto"/>
        </w:rPr>
      </w:pPr>
    </w:p>
    <w:p>
      <w:pPr>
        <w:ind w:right="180" w:firstLine="494"/>
        <w:spacing w:after="0" w:line="253" w:lineRule="auto"/>
        <w:rPr>
          <w:sz w:val="20"/>
          <w:szCs w:val="20"/>
          <w:color w:val="auto"/>
        </w:rPr>
      </w:pPr>
      <w:r>
        <w:rPr>
          <w:rFonts w:ascii="Arial" w:cs="Arial" w:eastAsia="Arial" w:hAnsi="Arial"/>
          <w:sz w:val="18"/>
          <w:szCs w:val="18"/>
          <w:color w:val="auto"/>
        </w:rPr>
        <w:t>Some of the Company's contracts include multiple performance obligations, most commonly the sale of both a transmission and extended transmission coverage or similar service-type warranties ("ETC"). The Company allocates the contract’s transaction price to each performance obligation based on the standalone selling price of each distinct good or service in the contract.</w:t>
      </w:r>
    </w:p>
    <w:p>
      <w:pPr>
        <w:spacing w:after="0" w:line="61" w:lineRule="exact"/>
        <w:rPr>
          <w:sz w:val="20"/>
          <w:szCs w:val="20"/>
          <w:color w:val="auto"/>
        </w:rPr>
      </w:pPr>
    </w:p>
    <w:p>
      <w:pPr>
        <w:ind w:right="40" w:firstLine="494"/>
        <w:spacing w:after="0" w:line="244" w:lineRule="auto"/>
        <w:rPr>
          <w:sz w:val="20"/>
          <w:szCs w:val="20"/>
          <w:color w:val="auto"/>
        </w:rPr>
      </w:pPr>
      <w:r>
        <w:rPr>
          <w:rFonts w:ascii="Arial" w:cs="Arial" w:eastAsia="Arial" w:hAnsi="Arial"/>
          <w:sz w:val="18"/>
          <w:szCs w:val="18"/>
          <w:color w:val="auto"/>
        </w:rPr>
        <w:t>The Company may also use volume-based discounts and rebates as marketing incentives in the sales of both vehicle propulsion solutions and service parts, which are accounted for as variable consideration. The Company records the impact of the incentives as a reduction to revenue when it is determined that the adjustment is not likely to reverse. The Company estimates the impact of other incentives based on the related sales and market conditions in the end market vocation. Refund liabilities related to rebates and other incentives are included in other accrued liabilities on the Company's Condensed Consolidated Balance Sheets.</w:t>
      </w:r>
    </w:p>
    <w:p>
      <w:pPr>
        <w:spacing w:after="0" w:line="68" w:lineRule="exact"/>
        <w:rPr>
          <w:sz w:val="20"/>
          <w:szCs w:val="20"/>
          <w:color w:val="auto"/>
        </w:rPr>
      </w:pPr>
    </w:p>
    <w:p>
      <w:pPr>
        <w:ind w:right="660" w:firstLine="494"/>
        <w:spacing w:after="0" w:line="271" w:lineRule="auto"/>
        <w:rPr>
          <w:sz w:val="20"/>
          <w:szCs w:val="20"/>
          <w:color w:val="auto"/>
        </w:rPr>
      </w:pPr>
      <w:r>
        <w:rPr>
          <w:rFonts w:ascii="Arial" w:cs="Arial" w:eastAsia="Arial" w:hAnsi="Arial"/>
          <w:sz w:val="18"/>
          <w:szCs w:val="18"/>
          <w:color w:val="auto"/>
        </w:rPr>
        <w:t>The Company recorded no material adjustments based on variable consideration during any of the three or nine months ended September 30, 2026 or 2025.</w:t>
      </w:r>
    </w:p>
    <w:p>
      <w:pPr>
        <w:spacing w:after="0" w:line="46" w:lineRule="exact"/>
        <w:rPr>
          <w:sz w:val="20"/>
          <w:szCs w:val="20"/>
          <w:color w:val="auto"/>
        </w:rPr>
      </w:pPr>
    </w:p>
    <w:p>
      <w:pPr>
        <w:ind w:right="140" w:firstLine="494"/>
        <w:spacing w:after="0" w:line="242" w:lineRule="auto"/>
        <w:rPr>
          <w:sz w:val="20"/>
          <w:szCs w:val="20"/>
          <w:color w:val="auto"/>
        </w:rPr>
      </w:pPr>
      <w:r>
        <w:rPr>
          <w:rFonts w:ascii="Arial" w:cs="Arial" w:eastAsia="Arial" w:hAnsi="Arial"/>
          <w:sz w:val="18"/>
          <w:szCs w:val="18"/>
          <w:color w:val="auto"/>
        </w:rPr>
        <w:t>Payment terms with our customers are established based on an assessment of the customer's credit worthiness and industry and regional practices and generally do not exceed 180 days. For certain goods or services, the Company receives consideration prior to satisfying the related performance obligation. Such consideration is recorded as a contract liability in current and non-current deferred revenue as of September 30, 2026 and December 31, 2025. See "Note K. Deferred Revenue” for more information, including the amount of revenue earned during each of the three and nine months ended September 30, 2026 and 2025 that had been previously deferred. The Company had no material contract assets as of either September 30, 2026 or December 31, 2025.</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00" w:firstLine="494"/>
        <w:spacing w:after="0" w:line="253" w:lineRule="auto"/>
        <w:rPr>
          <w:sz w:val="20"/>
          <w:szCs w:val="20"/>
          <w:color w:val="auto"/>
        </w:rPr>
      </w:pPr>
      <w:r>
        <w:rPr>
          <w:rFonts w:ascii="Arial" w:cs="Arial" w:eastAsia="Arial" w:hAnsi="Arial"/>
          <w:sz w:val="18"/>
          <w:szCs w:val="18"/>
          <w:color w:val="auto"/>
        </w:rPr>
        <w:t>The following presents revenue from the Company's two reportable segments, Allison Transmission and Allison Off-Highway, disaggregated by each segment and its respective end markets that best depict how the nature, amount, timing and uncertainty of revenue and cash flows are affected by economic factors (dollars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r>
      <w:tr>
        <w:trPr>
          <w:trHeight w:val="155"/>
        </w:trPr>
        <w:tc>
          <w:tcPr>
            <w:tcW w:w="45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413"/>
              <w:spacing w:after="0" w:line="155" w:lineRule="exact"/>
              <w:rPr>
                <w:sz w:val="20"/>
                <w:szCs w:val="20"/>
                <w:color w:val="auto"/>
              </w:rPr>
            </w:pPr>
            <w:r>
              <w:rPr>
                <w:rFonts w:ascii="Arial" w:cs="Arial" w:eastAsia="Arial" w:hAnsi="Arial"/>
                <w:sz w:val="14"/>
                <w:szCs w:val="14"/>
                <w:b w:val="1"/>
                <w:bCs w:val="1"/>
                <w:color w:val="auto"/>
              </w:rPr>
              <w:t>2026</w:t>
            </w:r>
          </w:p>
        </w:tc>
        <w:tc>
          <w:tcPr>
            <w:tcW w:w="84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2025</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413"/>
              <w:spacing w:after="0" w:line="155" w:lineRule="exact"/>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jc w:val="right"/>
              <w:ind w:right="411"/>
              <w:spacing w:after="0" w:line="155" w:lineRule="exact"/>
              <w:rPr>
                <w:sz w:val="20"/>
                <w:szCs w:val="20"/>
                <w:color w:val="auto"/>
              </w:rPr>
            </w:pPr>
            <w:r>
              <w:rPr>
                <w:rFonts w:ascii="Arial" w:cs="Arial" w:eastAsia="Arial" w:hAnsi="Arial"/>
                <w:sz w:val="14"/>
                <w:szCs w:val="14"/>
                <w:b w:val="1"/>
                <w:bCs w:val="1"/>
                <w:color w:val="auto"/>
                <w:w w:val="96"/>
              </w:rPr>
              <w:t>2025</w:t>
            </w:r>
          </w:p>
        </w:tc>
      </w:tr>
      <w:tr>
        <w:trPr>
          <w:trHeight w:val="196"/>
        </w:trPr>
        <w:tc>
          <w:tcPr>
            <w:tcW w:w="4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Allison Transmission</w:t>
            </w:r>
          </w:p>
        </w:tc>
        <w:tc>
          <w:tcPr>
            <w:tcW w:w="15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r>
      <w:tr>
        <w:trPr>
          <w:trHeight w:val="203"/>
        </w:trPr>
        <w:tc>
          <w:tcPr>
            <w:tcW w:w="4580" w:type="dxa"/>
            <w:vAlign w:val="bottom"/>
          </w:tcPr>
          <w:p>
            <w:pPr>
              <w:ind w:left="80"/>
              <w:spacing w:after="0" w:line="202" w:lineRule="exact"/>
              <w:rPr>
                <w:sz w:val="20"/>
                <w:szCs w:val="20"/>
                <w:color w:val="auto"/>
              </w:rPr>
            </w:pPr>
            <w:r>
              <w:rPr>
                <w:rFonts w:ascii="Arial" w:cs="Arial" w:eastAsia="Arial" w:hAnsi="Arial"/>
                <w:sz w:val="18"/>
                <w:szCs w:val="18"/>
                <w:color w:val="auto"/>
              </w:rPr>
              <w:t>North America On-Highway</w:t>
            </w:r>
          </w:p>
        </w:tc>
        <w:tc>
          <w:tcPr>
            <w:tcW w:w="17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462</w:t>
            </w:r>
          </w:p>
        </w:tc>
        <w:tc>
          <w:tcPr>
            <w:tcW w:w="8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327</w:t>
            </w:r>
          </w:p>
        </w:tc>
        <w:tc>
          <w:tcPr>
            <w:tcW w:w="3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1,267</w:t>
            </w:r>
          </w:p>
        </w:tc>
        <w:tc>
          <w:tcPr>
            <w:tcW w:w="4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1,179</w:t>
            </w:r>
          </w:p>
        </w:tc>
      </w:tr>
      <w:tr>
        <w:trPr>
          <w:trHeight w:val="203"/>
        </w:trPr>
        <w:tc>
          <w:tcPr>
            <w:tcW w:w="45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Outside North America On-Highway</w:t>
            </w:r>
          </w:p>
        </w:tc>
        <w:tc>
          <w:tcPr>
            <w:tcW w:w="1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129</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122</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371</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376</w:t>
            </w:r>
          </w:p>
        </w:tc>
      </w:tr>
      <w:tr>
        <w:trPr>
          <w:trHeight w:val="203"/>
        </w:trPr>
        <w:tc>
          <w:tcPr>
            <w:tcW w:w="4580" w:type="dxa"/>
            <w:vAlign w:val="bottom"/>
          </w:tcPr>
          <w:p>
            <w:pPr>
              <w:ind w:left="80"/>
              <w:spacing w:after="0" w:line="202" w:lineRule="exact"/>
              <w:rPr>
                <w:sz w:val="20"/>
                <w:szCs w:val="20"/>
                <w:color w:val="auto"/>
              </w:rPr>
            </w:pPr>
            <w:r>
              <w:rPr>
                <w:rFonts w:ascii="Arial" w:cs="Arial" w:eastAsia="Arial" w:hAnsi="Arial"/>
                <w:sz w:val="18"/>
                <w:szCs w:val="18"/>
                <w:color w:val="auto"/>
              </w:rPr>
              <w:t>Global Off-Highway</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41</w:t>
            </w:r>
          </w:p>
        </w:tc>
      </w:tr>
      <w:tr>
        <w:trPr>
          <w:trHeight w:val="203"/>
        </w:trPr>
        <w:tc>
          <w:tcPr>
            <w:tcW w:w="45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Defense</w:t>
            </w:r>
          </w:p>
        </w:tc>
        <w:tc>
          <w:tcPr>
            <w:tcW w:w="1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94</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280</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194</w:t>
            </w:r>
          </w:p>
        </w:tc>
      </w:tr>
      <w:tr>
        <w:trPr>
          <w:trHeight w:val="203"/>
        </w:trPr>
        <w:tc>
          <w:tcPr>
            <w:tcW w:w="4580" w:type="dxa"/>
            <w:vAlign w:val="bottom"/>
          </w:tcPr>
          <w:p>
            <w:pPr>
              <w:ind w:left="80"/>
              <w:spacing w:after="0" w:line="202" w:lineRule="exact"/>
              <w:rPr>
                <w:sz w:val="20"/>
                <w:szCs w:val="20"/>
                <w:color w:val="auto"/>
              </w:rPr>
            </w:pPr>
            <w:r>
              <w:rPr>
                <w:rFonts w:ascii="Arial" w:cs="Arial" w:eastAsia="Arial" w:hAnsi="Arial"/>
                <w:sz w:val="18"/>
                <w:szCs w:val="18"/>
                <w:color w:val="auto"/>
              </w:rPr>
              <w:t>Service Parts, Support Equipment and Other</w:t>
            </w:r>
          </w:p>
        </w:tc>
        <w:tc>
          <w:tcPr>
            <w:tcW w:w="1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b w:val="1"/>
                <w:bCs w:val="1"/>
                <w:color w:val="auto"/>
              </w:rPr>
              <w:t>181</w:t>
            </w:r>
          </w:p>
        </w:tc>
        <w:tc>
          <w:tcPr>
            <w:tcW w:w="1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159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b w:val="1"/>
                <w:bCs w:val="1"/>
                <w:color w:val="auto"/>
              </w:rPr>
              <w:t>511</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483</w:t>
            </w:r>
          </w:p>
        </w:tc>
      </w:tr>
      <w:tr>
        <w:trPr>
          <w:trHeight w:val="196"/>
        </w:trPr>
        <w:tc>
          <w:tcPr>
            <w:tcW w:w="458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Allison Transmission</w:t>
            </w:r>
          </w:p>
        </w:tc>
        <w:tc>
          <w:tcPr>
            <w:tcW w:w="1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881</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693</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2,474</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2,273</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Allison Off-Highway</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5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Construction &amp; Material Handling</w:t>
            </w:r>
          </w:p>
        </w:tc>
        <w:tc>
          <w:tcPr>
            <w:tcW w:w="1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232</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708</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3"/>
        </w:trPr>
        <w:tc>
          <w:tcPr>
            <w:tcW w:w="4580" w:type="dxa"/>
            <w:vAlign w:val="bottom"/>
          </w:tcPr>
          <w:p>
            <w:pPr>
              <w:ind w:left="80"/>
              <w:spacing w:after="0" w:line="202" w:lineRule="exact"/>
              <w:rPr>
                <w:sz w:val="20"/>
                <w:szCs w:val="20"/>
                <w:color w:val="auto"/>
              </w:rPr>
            </w:pPr>
            <w:r>
              <w:rPr>
                <w:rFonts w:ascii="Arial" w:cs="Arial" w:eastAsia="Arial" w:hAnsi="Arial"/>
                <w:sz w:val="18"/>
                <w:szCs w:val="18"/>
                <w:color w:val="auto"/>
              </w:rPr>
              <w:t>Agriculture</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130</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436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3"/>
        </w:trPr>
        <w:tc>
          <w:tcPr>
            <w:tcW w:w="45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Industrial</w:t>
            </w:r>
          </w:p>
        </w:tc>
        <w:tc>
          <w:tcPr>
            <w:tcW w:w="1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92</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281</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3"/>
        </w:trPr>
        <w:tc>
          <w:tcPr>
            <w:tcW w:w="4580" w:type="dxa"/>
            <w:vAlign w:val="bottom"/>
          </w:tcPr>
          <w:p>
            <w:pPr>
              <w:ind w:left="80"/>
              <w:spacing w:after="0" w:line="202" w:lineRule="exact"/>
              <w:rPr>
                <w:sz w:val="20"/>
                <w:szCs w:val="20"/>
                <w:color w:val="auto"/>
              </w:rPr>
            </w:pPr>
            <w:r>
              <w:rPr>
                <w:rFonts w:ascii="Arial" w:cs="Arial" w:eastAsia="Arial" w:hAnsi="Arial"/>
                <w:sz w:val="18"/>
                <w:szCs w:val="18"/>
                <w:color w:val="auto"/>
              </w:rPr>
              <w:t>Mining</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157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3"/>
        </w:trPr>
        <w:tc>
          <w:tcPr>
            <w:tcW w:w="458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Service Parts, Specialty &amp; Other</w:t>
            </w:r>
          </w:p>
        </w:tc>
        <w:tc>
          <w:tcPr>
            <w:tcW w:w="15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146</w:t>
            </w:r>
          </w:p>
        </w:tc>
        <w:tc>
          <w:tcPr>
            <w:tcW w:w="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450</w:t>
            </w: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196"/>
        </w:trPr>
        <w:tc>
          <w:tcPr>
            <w:tcW w:w="4580" w:type="dxa"/>
            <w:vAlign w:val="bottom"/>
          </w:tcPr>
          <w:p>
            <w:pPr>
              <w:ind w:left="160"/>
              <w:spacing w:after="0" w:line="196" w:lineRule="exact"/>
              <w:rPr>
                <w:sz w:val="20"/>
                <w:szCs w:val="20"/>
                <w:color w:val="auto"/>
              </w:rPr>
            </w:pPr>
            <w:r>
              <w:rPr>
                <w:rFonts w:ascii="Arial" w:cs="Arial" w:eastAsia="Arial" w:hAnsi="Arial"/>
                <w:sz w:val="18"/>
                <w:szCs w:val="18"/>
                <w:color w:val="auto"/>
              </w:rPr>
              <w:t>Total Allison Off-Highway</w:t>
            </w:r>
          </w:p>
        </w:tc>
        <w:tc>
          <w:tcPr>
            <w:tcW w:w="1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b w:val="1"/>
                <w:bCs w:val="1"/>
                <w:color w:val="auto"/>
              </w:rPr>
              <w:t>653</w:t>
            </w:r>
          </w:p>
        </w:tc>
        <w:tc>
          <w:tcPr>
            <w:tcW w:w="1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2,032</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w:t>
            </w:r>
          </w:p>
        </w:tc>
      </w:tr>
      <w:tr>
        <w:trPr>
          <w:trHeight w:val="236"/>
        </w:trPr>
        <w:tc>
          <w:tcPr>
            <w:tcW w:w="4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Net Sales</w:t>
            </w:r>
          </w:p>
        </w:tc>
        <w:tc>
          <w:tcPr>
            <w:tcW w:w="17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1,534</w:t>
            </w:r>
          </w:p>
        </w:tc>
        <w:tc>
          <w:tcPr>
            <w:tcW w:w="840" w:type="dxa"/>
            <w:vAlign w:val="bottom"/>
            <w:gridSpan w:val="2"/>
            <w:shd w:val="clear" w:color="auto" w:fill="CFF0FC"/>
          </w:tcPr>
          <w:p>
            <w:pPr>
              <w:jc w:val="right"/>
              <w:ind w:right="620"/>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693</w:t>
            </w:r>
          </w:p>
        </w:tc>
        <w:tc>
          <w:tcPr>
            <w:tcW w:w="3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4,506</w:t>
            </w:r>
          </w:p>
        </w:tc>
        <w:tc>
          <w:tcPr>
            <w:tcW w:w="48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2,273</w:t>
            </w:r>
          </w:p>
        </w:tc>
      </w:tr>
      <w:tr>
        <w:trPr>
          <w:trHeight w:val="781"/>
        </w:trPr>
        <w:tc>
          <w:tcPr>
            <w:tcW w:w="4580" w:type="dxa"/>
            <w:vAlign w:val="bottom"/>
            <w:tcBorders>
              <w:top w:val="single" w:sz="8" w:color="CFF0FC"/>
            </w:tcBorders>
          </w:tcPr>
          <w:p>
            <w:pPr>
              <w:spacing w:after="0"/>
              <w:rPr>
                <w:sz w:val="24"/>
                <w:szCs w:val="24"/>
                <w:color w:val="auto"/>
              </w:rPr>
            </w:pPr>
          </w:p>
        </w:tc>
        <w:tc>
          <w:tcPr>
            <w:tcW w:w="1520" w:type="dxa"/>
            <w:vAlign w:val="bottom"/>
            <w:tcBorders>
              <w:top w:val="single" w:sz="8" w:color="CFF0FC"/>
            </w:tcBorders>
          </w:tcPr>
          <w:p>
            <w:pPr>
              <w:jc w:val="right"/>
              <w:ind w:right="290"/>
              <w:spacing w:after="0"/>
              <w:rPr>
                <w:sz w:val="20"/>
                <w:szCs w:val="20"/>
                <w:color w:val="auto"/>
              </w:rPr>
            </w:pPr>
            <w:r>
              <w:rPr>
                <w:rFonts w:ascii="Arial" w:cs="Arial" w:eastAsia="Arial" w:hAnsi="Arial"/>
                <w:sz w:val="18"/>
                <w:szCs w:val="18"/>
                <w:color w:val="auto"/>
              </w:rPr>
              <w:t>14</w:t>
            </w: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r>
        <w:trPr>
          <w:trHeight w:val="745"/>
        </w:trPr>
        <w:tc>
          <w:tcPr>
            <w:tcW w:w="45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-1294130</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-1294130</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-1294130</wp:posOffset>
            </wp:positionV>
            <wp:extent cx="768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-1019175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-1002665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-1019175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-1002665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-1019175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-1002665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INVENTORIES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316"/>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336"/>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2026</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2025</w:t>
            </w: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Purchased parts and raw materials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b w:val="1"/>
                <w:bCs w:val="1"/>
                <w:color w:val="auto"/>
              </w:rPr>
              <w:t>331</w:t>
            </w:r>
          </w:p>
        </w:tc>
        <w:tc>
          <w:tcPr>
            <w:tcW w:w="3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168</w:t>
            </w: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Work in progress</w:t>
            </w:r>
          </w:p>
        </w:tc>
        <w:tc>
          <w:tcPr>
            <w:tcW w:w="180" w:type="dxa"/>
            <w:vAlign w:val="bottom"/>
          </w:tcPr>
          <w:p>
            <w:pPr>
              <w:spacing w:after="0"/>
              <w:rPr>
                <w:sz w:val="17"/>
                <w:szCs w:val="17"/>
                <w:color w:val="auto"/>
              </w:rPr>
            </w:pPr>
          </w:p>
        </w:tc>
        <w:tc>
          <w:tcPr>
            <w:tcW w:w="148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247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19</w:t>
            </w:r>
          </w:p>
        </w:tc>
      </w:tr>
      <w:tr>
        <w:trPr>
          <w:trHeight w:val="203"/>
        </w:trPr>
        <w:tc>
          <w:tcPr>
            <w:tcW w:w="77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Finished goods and service parts</w:t>
            </w: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b w:val="1"/>
                <w:bCs w:val="1"/>
                <w:color w:val="auto"/>
              </w:rPr>
              <w:t>279</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129</w:t>
            </w:r>
          </w:p>
        </w:tc>
      </w:tr>
      <w:tr>
        <w:trPr>
          <w:trHeight w:val="196"/>
        </w:trPr>
        <w:tc>
          <w:tcPr>
            <w:tcW w:w="7760" w:type="dxa"/>
            <w:vAlign w:val="bottom"/>
          </w:tcPr>
          <w:p>
            <w:pPr>
              <w:ind w:left="200"/>
              <w:spacing w:after="0" w:line="196" w:lineRule="exact"/>
              <w:rPr>
                <w:sz w:val="20"/>
                <w:szCs w:val="20"/>
                <w:color w:val="auto"/>
              </w:rPr>
            </w:pPr>
            <w:r>
              <w:rPr>
                <w:rFonts w:ascii="Arial" w:cs="Arial" w:eastAsia="Arial" w:hAnsi="Arial"/>
                <w:sz w:val="18"/>
                <w:szCs w:val="18"/>
                <w:color w:val="auto"/>
              </w:rPr>
              <w:t>Total inventories</w:t>
            </w: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480" w:type="dxa"/>
            <w:vAlign w:val="bottom"/>
          </w:tcPr>
          <w:p>
            <w:pPr>
              <w:jc w:val="right"/>
              <w:ind w:right="36"/>
              <w:spacing w:after="0" w:line="196" w:lineRule="exact"/>
              <w:rPr>
                <w:sz w:val="20"/>
                <w:szCs w:val="20"/>
                <w:color w:val="auto"/>
              </w:rPr>
            </w:pPr>
            <w:r>
              <w:rPr>
                <w:rFonts w:ascii="Arial" w:cs="Arial" w:eastAsia="Arial" w:hAnsi="Arial"/>
                <w:sz w:val="18"/>
                <w:szCs w:val="18"/>
                <w:b w:val="1"/>
                <w:bCs w:val="1"/>
                <w:color w:val="auto"/>
              </w:rPr>
              <w:t>857</w:t>
            </w:r>
          </w:p>
        </w:tc>
        <w:tc>
          <w:tcPr>
            <w:tcW w:w="3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36"/>
              <w:spacing w:after="0" w:line="196" w:lineRule="exact"/>
              <w:rPr>
                <w:sz w:val="20"/>
                <w:szCs w:val="20"/>
                <w:color w:val="auto"/>
              </w:rPr>
            </w:pPr>
            <w:r>
              <w:rPr>
                <w:rFonts w:ascii="Arial" w:cs="Arial" w:eastAsia="Arial" w:hAnsi="Arial"/>
                <w:sz w:val="18"/>
                <w:szCs w:val="18"/>
                <w:color w:val="auto"/>
              </w:rPr>
              <w:t>316</w:t>
            </w:r>
          </w:p>
        </w:tc>
      </w:tr>
      <w:tr>
        <w:trPr>
          <w:trHeight w:val="20"/>
        </w:trPr>
        <w:tc>
          <w:tcPr>
            <w:tcW w:w="7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-162560</wp:posOffset>
            </wp:positionV>
            <wp:extent cx="1028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4" w:lineRule="exact"/>
        <w:rPr>
          <w:sz w:val="20"/>
          <w:szCs w:val="20"/>
          <w:color w:val="auto"/>
        </w:rPr>
      </w:pPr>
    </w:p>
    <w:p>
      <w:pPr>
        <w:ind w:right="200" w:firstLine="494"/>
        <w:spacing w:after="0" w:line="253"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M. Other Current Liabilities” for more information.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GOODWILL AND OTHER INTANGIBLE ASSETS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2026 and December 31, 2025, the carrying value of the Company’s Goodwill was $2,828 million and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respectively. As of September 30, 2026, the Company allocated the goodwill from the Acquisition to its reporting units, assigning</w:t>
      </w:r>
    </w:p>
    <w:p>
      <w:pPr>
        <w:spacing w:after="0" w:line="234" w:lineRule="auto"/>
        <w:rPr>
          <w:sz w:val="20"/>
          <w:szCs w:val="20"/>
          <w:color w:val="auto"/>
        </w:rPr>
      </w:pPr>
      <w:r>
        <w:rPr>
          <w:rFonts w:ascii="Arial" w:cs="Arial" w:eastAsia="Arial" w:hAnsi="Arial"/>
          <w:sz w:val="18"/>
          <w:szCs w:val="18"/>
          <w:color w:val="auto"/>
        </w:rPr>
        <w:t>$132 million of goodwill to the Allison Transmission reportable segment and $638 million to the Allison Off-Highway reportable segment.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following presents a summary of the changes in the carrying amount of Goodwill by reportable segment (dollars in millions):</w:t>
      </w:r>
    </w:p>
    <w:tbl>
      <w:tblPr>
        <w:tblLayout w:type="fixed"/>
        <w:tblInd w:w="0" w:type="dxa"/>
        <w:tblCellMar>
          <w:top w:w="0" w:type="dxa"/>
          <w:left w:w="0" w:type="dxa"/>
          <w:bottom w:w="0" w:type="dxa"/>
          <w:right w:w="0" w:type="dxa"/>
        </w:tblCellMar>
      </w:tblPr>
      <w:tr>
        <w:trPr>
          <w:trHeight w:val="149"/>
        </w:trPr>
        <w:tc>
          <w:tcPr>
            <w:tcW w:w="6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475"/>
              <w:spacing w:after="0" w:line="149" w:lineRule="exact"/>
              <w:rPr>
                <w:sz w:val="20"/>
                <w:szCs w:val="20"/>
                <w:color w:val="auto"/>
              </w:rPr>
            </w:pPr>
            <w:r>
              <w:rPr>
                <w:rFonts w:ascii="Arial" w:cs="Arial" w:eastAsia="Arial" w:hAnsi="Arial"/>
                <w:sz w:val="14"/>
                <w:szCs w:val="14"/>
                <w:b w:val="1"/>
                <w:bCs w:val="1"/>
                <w:color w:val="auto"/>
              </w:rPr>
              <w:t>Allison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ind w:right="295"/>
              <w:spacing w:after="0" w:line="149" w:lineRule="exact"/>
              <w:rPr>
                <w:sz w:val="20"/>
                <w:szCs w:val="20"/>
                <w:color w:val="auto"/>
              </w:rPr>
            </w:pPr>
            <w:r>
              <w:rPr>
                <w:rFonts w:ascii="Arial" w:cs="Arial" w:eastAsia="Arial" w:hAnsi="Arial"/>
                <w:sz w:val="14"/>
                <w:szCs w:val="14"/>
                <w:b w:val="1"/>
                <w:bCs w:val="1"/>
                <w:color w:val="auto"/>
              </w:rPr>
              <w:t>Allison Off-</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71"/>
        </w:trPr>
        <w:tc>
          <w:tcPr>
            <w:tcW w:w="6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Transmission</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Highway</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Goodwill</w:t>
            </w: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2025</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2,075</w:t>
            </w:r>
          </w:p>
        </w:tc>
        <w:tc>
          <w:tcPr>
            <w:tcW w:w="3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2,075</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Acquired Off-Highway business</w:t>
            </w:r>
          </w:p>
        </w:tc>
        <w:tc>
          <w:tcPr>
            <w:tcW w:w="160" w:type="dxa"/>
            <w:vAlign w:val="bottom"/>
          </w:tcPr>
          <w:p>
            <w:pPr>
              <w:spacing w:after="0"/>
              <w:rPr>
                <w:sz w:val="17"/>
                <w:szCs w:val="17"/>
                <w:color w:val="auto"/>
              </w:rPr>
            </w:pPr>
          </w:p>
        </w:tc>
        <w:tc>
          <w:tcPr>
            <w:tcW w:w="12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132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638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770</w:t>
            </w:r>
          </w:p>
        </w:tc>
      </w:tr>
      <w:tr>
        <w:trPr>
          <w:trHeight w:val="203"/>
        </w:trPr>
        <w:tc>
          <w:tcPr>
            <w:tcW w:w="6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(17)</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(17)</w:t>
            </w: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Net current period impact to goodwill</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132</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621</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753</w:t>
            </w:r>
          </w:p>
        </w:tc>
      </w:tr>
      <w:tr>
        <w:trPr>
          <w:trHeight w:val="216"/>
        </w:trPr>
        <w:tc>
          <w:tcPr>
            <w:tcW w:w="66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Balance at September 30, 2026</w:t>
            </w: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FF0FC"/>
          </w:tcPr>
          <w:p>
            <w:pPr>
              <w:jc w:val="right"/>
              <w:ind w:right="35"/>
              <w:spacing w:after="0" w:line="182" w:lineRule="exact"/>
              <w:rPr>
                <w:sz w:val="20"/>
                <w:szCs w:val="20"/>
                <w:color w:val="auto"/>
              </w:rPr>
            </w:pPr>
            <w:r>
              <w:rPr>
                <w:rFonts w:ascii="Arial" w:cs="Arial" w:eastAsia="Arial" w:hAnsi="Arial"/>
                <w:sz w:val="18"/>
                <w:szCs w:val="18"/>
                <w:b w:val="1"/>
                <w:bCs w:val="1"/>
                <w:color w:val="auto"/>
              </w:rPr>
              <w:t>2,207</w:t>
            </w:r>
          </w:p>
        </w:tc>
        <w:tc>
          <w:tcPr>
            <w:tcW w:w="32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FF0FC"/>
          </w:tcPr>
          <w:p>
            <w:pPr>
              <w:jc w:val="right"/>
              <w:ind w:right="35"/>
              <w:spacing w:after="0" w:line="182" w:lineRule="exact"/>
              <w:rPr>
                <w:sz w:val="20"/>
                <w:szCs w:val="20"/>
                <w:color w:val="auto"/>
              </w:rPr>
            </w:pPr>
            <w:r>
              <w:rPr>
                <w:rFonts w:ascii="Arial" w:cs="Arial" w:eastAsia="Arial" w:hAnsi="Arial"/>
                <w:sz w:val="18"/>
                <w:szCs w:val="18"/>
                <w:b w:val="1"/>
                <w:bCs w:val="1"/>
                <w:color w:val="auto"/>
              </w:rPr>
              <w:t>621</w:t>
            </w:r>
          </w:p>
        </w:tc>
        <w:tc>
          <w:tcPr>
            <w:tcW w:w="38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FF0FC"/>
          </w:tcPr>
          <w:p>
            <w:pPr>
              <w:jc w:val="right"/>
              <w:ind w:right="53"/>
              <w:spacing w:after="0" w:line="182" w:lineRule="exact"/>
              <w:rPr>
                <w:sz w:val="20"/>
                <w:szCs w:val="20"/>
                <w:color w:val="auto"/>
              </w:rPr>
            </w:pPr>
            <w:r>
              <w:rPr>
                <w:rFonts w:ascii="Arial" w:cs="Arial" w:eastAsia="Arial" w:hAnsi="Arial"/>
                <w:sz w:val="18"/>
                <w:szCs w:val="18"/>
                <w:b w:val="1"/>
                <w:bCs w:val="1"/>
                <w:color w:val="auto"/>
              </w:rPr>
              <w:t>2,828</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-299085</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-299085</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857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857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857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presents a summary of other intangible assets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center"/>
              <w:ind w:left="598"/>
              <w:spacing w:after="0"/>
              <w:rPr>
                <w:sz w:val="20"/>
                <w:szCs w:val="20"/>
                <w:color w:val="auto"/>
              </w:rPr>
            </w:pPr>
            <w:r>
              <w:rPr>
                <w:rFonts w:ascii="Arial" w:cs="Arial" w:eastAsia="Arial" w:hAnsi="Arial"/>
                <w:sz w:val="14"/>
                <w:szCs w:val="14"/>
                <w:b w:val="1"/>
                <w:bCs w:val="1"/>
                <w:color w:val="auto"/>
              </w:rPr>
              <w:t>September 30, 2026</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46"/>
        </w:trPr>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38"/>
              <w:spacing w:after="0" w:line="147" w:lineRule="exact"/>
              <w:rPr>
                <w:sz w:val="20"/>
                <w:szCs w:val="20"/>
                <w:color w:val="auto"/>
              </w:rPr>
            </w:pPr>
            <w:r>
              <w:rPr>
                <w:rFonts w:ascii="Arial" w:cs="Arial" w:eastAsia="Arial" w:hAnsi="Arial"/>
                <w:sz w:val="14"/>
                <w:szCs w:val="14"/>
                <w:b w:val="1"/>
                <w:bCs w:val="1"/>
                <w:color w:val="auto"/>
              </w:rPr>
              <w:t>Intangible</w:t>
            </w:r>
          </w:p>
        </w:tc>
        <w:tc>
          <w:tcPr>
            <w:tcW w:w="120" w:type="dxa"/>
            <w:vAlign w:val="bottom"/>
          </w:tcPr>
          <w:p>
            <w:pPr>
              <w:spacing w:after="0"/>
              <w:rPr>
                <w:sz w:val="12"/>
                <w:szCs w:val="12"/>
                <w:color w:val="auto"/>
              </w:rPr>
            </w:pPr>
          </w:p>
        </w:tc>
        <w:tc>
          <w:tcPr>
            <w:tcW w:w="1000" w:type="dxa"/>
            <w:vAlign w:val="bottom"/>
            <w:gridSpan w:val="2"/>
          </w:tcPr>
          <w:p>
            <w:pPr>
              <w:jc w:val="center"/>
              <w:ind w:right="53"/>
              <w:spacing w:after="0" w:line="147" w:lineRule="exact"/>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7"/>
              <w:spacing w:after="0" w:line="147" w:lineRule="exact"/>
              <w:rPr>
                <w:sz w:val="20"/>
                <w:szCs w:val="20"/>
                <w:color w:val="auto"/>
              </w:rPr>
            </w:pPr>
            <w:r>
              <w:rPr>
                <w:rFonts w:ascii="Arial" w:cs="Arial" w:eastAsia="Arial" w:hAnsi="Arial"/>
                <w:sz w:val="14"/>
                <w:szCs w:val="14"/>
                <w:b w:val="1"/>
                <w:bCs w:val="1"/>
                <w:color w:val="auto"/>
              </w:rPr>
              <w:t>Intangible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2"/>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78"/>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right="273"/>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133"/>
              <w:spacing w:after="0"/>
              <w:rPr>
                <w:sz w:val="20"/>
                <w:szCs w:val="20"/>
                <w:color w:val="auto"/>
              </w:rPr>
            </w:pPr>
            <w:r>
              <w:rPr>
                <w:rFonts w:ascii="Arial" w:cs="Arial" w:eastAsia="Arial" w:hAnsi="Arial"/>
                <w:sz w:val="14"/>
                <w:szCs w:val="14"/>
                <w:b w:val="1"/>
                <w:bCs w:val="1"/>
                <w:color w:val="auto"/>
                <w:w w:val="99"/>
              </w:rPr>
              <w:t>Intangible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77"/>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4"/>
                <w:szCs w:val="14"/>
                <w:color w:val="auto"/>
              </w:rPr>
            </w:pPr>
          </w:p>
        </w:tc>
        <w:tc>
          <w:tcPr>
            <w:tcW w:w="940" w:type="dxa"/>
            <w:vAlign w:val="bottom"/>
          </w:tcPr>
          <w:p>
            <w:pPr>
              <w:jc w:val="right"/>
              <w:ind w:right="153"/>
              <w:spacing w:after="0"/>
              <w:rPr>
                <w:sz w:val="20"/>
                <w:szCs w:val="20"/>
                <w:color w:val="auto"/>
              </w:rPr>
            </w:pPr>
            <w:r>
              <w:rPr>
                <w:rFonts w:ascii="Arial" w:cs="Arial" w:eastAsia="Arial" w:hAnsi="Arial"/>
                <w:sz w:val="14"/>
                <w:szCs w:val="14"/>
                <w:b w:val="1"/>
                <w:bCs w:val="1"/>
                <w:color w:val="auto"/>
              </w:rPr>
              <w:t>Intangible</w:t>
            </w:r>
          </w:p>
        </w:tc>
      </w:tr>
      <w:tr>
        <w:trPr>
          <w:trHeight w:val="171"/>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38"/>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1000" w:type="dxa"/>
            <w:vAlign w:val="bottom"/>
            <w:gridSpan w:val="2"/>
          </w:tcPr>
          <w:p>
            <w:pPr>
              <w:jc w:val="center"/>
              <w:ind w:right="53"/>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00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assets, net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104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rPr>
              <w:t>assets, net</w:t>
            </w:r>
          </w:p>
        </w:tc>
      </w:tr>
      <w:tr>
        <w:trPr>
          <w:trHeight w:val="196"/>
        </w:trPr>
        <w:tc>
          <w:tcPr>
            <w:tcW w:w="4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Other intangible assets:</w:t>
            </w: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Trade name - indefinite-lived</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38"/>
              <w:spacing w:after="0" w:line="202" w:lineRule="exact"/>
              <w:rPr>
                <w:sz w:val="20"/>
                <w:szCs w:val="20"/>
                <w:color w:val="auto"/>
              </w:rPr>
            </w:pPr>
            <w:r>
              <w:rPr>
                <w:rFonts w:ascii="Arial" w:cs="Arial" w:eastAsia="Arial" w:hAnsi="Arial"/>
                <w:sz w:val="18"/>
                <w:szCs w:val="18"/>
                <w:b w:val="1"/>
                <w:bCs w:val="1"/>
                <w:color w:val="auto"/>
              </w:rPr>
              <w:t>790</w:t>
            </w:r>
          </w:p>
        </w:tc>
        <w:tc>
          <w:tcPr>
            <w:tcW w:w="340" w:type="dxa"/>
            <w:vAlign w:val="bottom"/>
            <w:gridSpan w:val="2"/>
          </w:tcPr>
          <w:p>
            <w:pPr>
              <w:jc w:val="right"/>
              <w:ind w:right="48"/>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790</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790</w:t>
            </w:r>
          </w:p>
        </w:tc>
        <w:tc>
          <w:tcPr>
            <w:tcW w:w="440" w:type="dxa"/>
            <w:vAlign w:val="bottom"/>
            <w:gridSpan w:val="3"/>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790</w:t>
            </w:r>
          </w:p>
        </w:tc>
      </w:tr>
      <w:tr>
        <w:trPr>
          <w:trHeight w:val="203"/>
        </w:trPr>
        <w:tc>
          <w:tcPr>
            <w:tcW w:w="4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Trade name - definite-lived</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b w:val="1"/>
                <w:bCs w:val="1"/>
                <w:color w:val="auto"/>
              </w:rPr>
              <w:t>123</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113</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1</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Customer relationships — commercial</w:t>
            </w:r>
          </w:p>
        </w:tc>
        <w:tc>
          <w:tcPr>
            <w:tcW w:w="100" w:type="dxa"/>
            <w:vAlign w:val="bottom"/>
          </w:tcPr>
          <w:p>
            <w:pPr>
              <w:spacing w:after="0"/>
              <w:rPr>
                <w:sz w:val="17"/>
                <w:szCs w:val="17"/>
                <w:color w:val="auto"/>
              </w:rPr>
            </w:pPr>
          </w:p>
        </w:tc>
        <w:tc>
          <w:tcPr>
            <w:tcW w:w="900" w:type="dxa"/>
            <w:vAlign w:val="bottom"/>
          </w:tcPr>
          <w:p>
            <w:pPr>
              <w:jc w:val="right"/>
              <w:ind w:right="38"/>
              <w:spacing w:after="0" w:line="202" w:lineRule="exact"/>
              <w:rPr>
                <w:sz w:val="20"/>
                <w:szCs w:val="20"/>
                <w:color w:val="auto"/>
              </w:rPr>
            </w:pPr>
            <w:r>
              <w:rPr>
                <w:rFonts w:ascii="Arial" w:cs="Arial" w:eastAsia="Arial" w:hAnsi="Arial"/>
                <w:sz w:val="18"/>
                <w:szCs w:val="18"/>
                <w:b w:val="1"/>
                <w:bCs w:val="1"/>
                <w:color w:val="auto"/>
              </w:rPr>
              <w:t>1,336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478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r>
      <w:tr>
        <w:trPr>
          <w:trHeight w:val="203"/>
        </w:trPr>
        <w:tc>
          <w:tcPr>
            <w:tcW w:w="46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Proprietary technology</w:t>
            </w: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8"/>
              <w:spacing w:after="0" w:line="202" w:lineRule="exact"/>
              <w:rPr>
                <w:sz w:val="20"/>
                <w:szCs w:val="20"/>
                <w:color w:val="auto"/>
              </w:rPr>
            </w:pPr>
            <w:r>
              <w:rPr>
                <w:rFonts w:ascii="Arial" w:cs="Arial" w:eastAsia="Arial" w:hAnsi="Arial"/>
                <w:sz w:val="18"/>
                <w:szCs w:val="18"/>
                <w:b w:val="1"/>
                <w:bCs w:val="1"/>
                <w:color w:val="auto"/>
              </w:rPr>
              <w:t>718</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(517)</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201</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484</w:t>
            </w: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(481)</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3</w:t>
            </w:r>
          </w:p>
        </w:tc>
      </w:tr>
      <w:tr>
        <w:trPr>
          <w:trHeight w:val="196"/>
        </w:trPr>
        <w:tc>
          <w:tcPr>
            <w:tcW w:w="4660" w:type="dxa"/>
            <w:vAlign w:val="bottom"/>
          </w:tcPr>
          <w:p>
            <w:pPr>
              <w:ind w:left="120"/>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38"/>
              <w:spacing w:after="0" w:line="196" w:lineRule="exact"/>
              <w:rPr>
                <w:sz w:val="20"/>
                <w:szCs w:val="20"/>
                <w:color w:val="auto"/>
              </w:rPr>
            </w:pPr>
            <w:r>
              <w:rPr>
                <w:rFonts w:ascii="Arial" w:cs="Arial" w:eastAsia="Arial" w:hAnsi="Arial"/>
                <w:sz w:val="18"/>
                <w:szCs w:val="18"/>
                <w:b w:val="1"/>
                <w:bCs w:val="1"/>
                <w:color w:val="auto"/>
              </w:rPr>
              <w:t>2,967</w:t>
            </w:r>
          </w:p>
        </w:tc>
        <w:tc>
          <w:tcPr>
            <w:tcW w:w="340" w:type="dxa"/>
            <w:vAlign w:val="bottom"/>
            <w:gridSpan w:val="2"/>
          </w:tcPr>
          <w:p>
            <w:pPr>
              <w:jc w:val="right"/>
              <w:ind w:right="48"/>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(1,385)</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rPr>
              <w:t>1,582</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2,114</w:t>
            </w:r>
          </w:p>
        </w:tc>
        <w:tc>
          <w:tcPr>
            <w:tcW w:w="440" w:type="dxa"/>
            <w:vAlign w:val="bottom"/>
            <w:gridSpan w:val="3"/>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(1,320)</w:t>
            </w:r>
          </w:p>
        </w:tc>
        <w:tc>
          <w:tcPr>
            <w:tcW w:w="1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794</w:t>
            </w:r>
          </w:p>
        </w:tc>
      </w:tr>
      <w:tr>
        <w:trPr>
          <w:trHeight w:val="20"/>
        </w:trPr>
        <w:tc>
          <w:tcPr>
            <w:tcW w:w="4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-162560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-162560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-162560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-162560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-162560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related to other intangible assets for the next five fiscal years is expected to be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2028</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2029</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2030</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2031</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9"/>
              </w:rPr>
              <w:t>Thereafter</w:t>
            </w:r>
          </w:p>
        </w:tc>
      </w:tr>
      <w:tr>
        <w:trPr>
          <w:trHeight w:val="216"/>
        </w:trPr>
        <w:tc>
          <w:tcPr>
            <w:tcW w:w="3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Amortization expense</w:t>
            </w:r>
          </w:p>
        </w:tc>
        <w:tc>
          <w:tcPr>
            <w:tcW w:w="14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81</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81</w:t>
            </w:r>
          </w:p>
        </w:tc>
        <w:tc>
          <w:tcPr>
            <w:tcW w:w="2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80</w:t>
            </w:r>
          </w:p>
        </w:tc>
        <w:tc>
          <w:tcPr>
            <w:tcW w:w="3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80</w:t>
            </w: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74</w:t>
            </w: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375</w:t>
            </w:r>
          </w:p>
        </w:tc>
      </w:tr>
      <w:tr>
        <w:trPr>
          <w:trHeight w:val="20"/>
        </w:trPr>
        <w:tc>
          <w:tcPr>
            <w:tcW w:w="32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r>
      <w:tr>
        <w:trPr>
          <w:trHeight w:val="578"/>
        </w:trPr>
        <w:tc>
          <w:tcPr>
            <w:tcW w:w="3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45"/>
        </w:trPr>
        <w:tc>
          <w:tcPr>
            <w:tcW w:w="3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-890905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-873760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-890905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-873760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-890905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-873760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-890905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-873760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-890905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-873760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FAIR VALUE OF FINANCIAL INSTRUMENTS</w:t>
      </w:r>
    </w:p>
    <w:p>
      <w:pPr>
        <w:spacing w:after="0" w:line="158"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w:t>
      </w:r>
    </w:p>
    <w:p>
      <w:pPr>
        <w:spacing w:after="0" w:line="104" w:lineRule="exact"/>
        <w:rPr>
          <w:sz w:val="20"/>
          <w:szCs w:val="20"/>
          <w:color w:val="auto"/>
        </w:rPr>
      </w:pPr>
    </w:p>
    <w:p>
      <w:pPr>
        <w:ind w:right="20" w:firstLine="494"/>
        <w:spacing w:after="0" w:line="247" w:lineRule="auto"/>
        <w:rPr>
          <w:sz w:val="20"/>
          <w:szCs w:val="20"/>
          <w:color w:val="auto"/>
        </w:rPr>
      </w:pPr>
      <w:r>
        <w:rPr>
          <w:rFonts w:ascii="Arial" w:cs="Arial" w:eastAsia="Arial" w:hAnsi="Arial"/>
          <w:sz w:val="18"/>
          <w:szCs w:val="18"/>
          <w:color w:val="auto"/>
        </w:rPr>
        <w:t>Level 2 — Inputs are other than quoted prices in active markets included in Level 1, which are either directly or indirectly observable as of the reporting date. Level 2 includes financial instruments that are valued using quoted prices in markets that are not active and those financial instruments that are valued using models or other valuation methodologies in which all significant value-drivers are observable in active markets or are supported by observable levels at which transactions are executed in the marketplace.</w:t>
      </w:r>
    </w:p>
    <w:p>
      <w:pPr>
        <w:spacing w:after="0" w:line="66" w:lineRule="exact"/>
        <w:rPr>
          <w:sz w:val="20"/>
          <w:szCs w:val="20"/>
          <w:color w:val="auto"/>
        </w:rPr>
      </w:pPr>
    </w:p>
    <w:p>
      <w:pPr>
        <w:ind w:right="140" w:firstLine="494"/>
        <w:spacing w:after="0" w:line="244" w:lineRule="auto"/>
        <w:rPr>
          <w:sz w:val="20"/>
          <w:szCs w:val="20"/>
          <w:color w:val="auto"/>
        </w:rPr>
      </w:pPr>
      <w:r>
        <w:rPr>
          <w:rFonts w:ascii="Arial" w:cs="Arial" w:eastAsia="Arial" w:hAnsi="Arial"/>
          <w:sz w:val="18"/>
          <w:szCs w:val="18"/>
          <w:color w:val="auto"/>
        </w:rPr>
        <w:t>Level 3 — Certain inputs are unobservable or have little or no market data available.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September 30, 2026 and December 31, 2025, the Company did not have any Level 3 financial assets or liabilities.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(liabilities) measured at fair value as of September 30, 2026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 Measurements Using</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46"/>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3"/>
          </w:tcPr>
          <w:p>
            <w:pPr>
              <w:jc w:val="center"/>
              <w:ind w:left="157"/>
              <w:spacing w:after="0" w:line="147" w:lineRule="exact"/>
              <w:rPr>
                <w:sz w:val="20"/>
                <w:szCs w:val="20"/>
                <w:color w:val="auto"/>
              </w:rPr>
            </w:pPr>
            <w:r>
              <w:rPr>
                <w:rFonts w:ascii="Arial" w:cs="Arial" w:eastAsia="Arial" w:hAnsi="Arial"/>
                <w:sz w:val="14"/>
                <w:szCs w:val="14"/>
                <w:b w:val="1"/>
                <w:bCs w:val="1"/>
                <w:color w:val="auto"/>
              </w:rPr>
              <w:t>Quoted Prices in Active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rPr>
              <w:t>Significant Other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62"/>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center"/>
              <w:ind w:left="137"/>
              <w:spacing w:after="0"/>
              <w:rPr>
                <w:sz w:val="20"/>
                <w:szCs w:val="20"/>
                <w:color w:val="auto"/>
              </w:rPr>
            </w:pPr>
            <w:r>
              <w:rPr>
                <w:rFonts w:ascii="Arial" w:cs="Arial" w:eastAsia="Arial" w:hAnsi="Arial"/>
                <w:sz w:val="14"/>
                <w:szCs w:val="14"/>
                <w:b w:val="1"/>
                <w:bCs w:val="1"/>
                <w:color w:val="auto"/>
              </w:rPr>
              <w:t>Markets for Identical</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3"/>
          </w:tcPr>
          <w:p>
            <w:pPr>
              <w:jc w:val="center"/>
              <w:spacing w:after="0"/>
              <w:rPr>
                <w:sz w:val="20"/>
                <w:szCs w:val="20"/>
                <w:color w:val="auto"/>
              </w:rPr>
            </w:pPr>
            <w:r>
              <w:rPr>
                <w:rFonts w:ascii="Arial" w:cs="Arial" w:eastAsia="Arial" w:hAnsi="Arial"/>
                <w:sz w:val="14"/>
                <w:szCs w:val="14"/>
                <w:b w:val="1"/>
                <w:bCs w:val="1"/>
                <w:color w:val="auto"/>
              </w:rPr>
              <w:t>Observable Inputs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center"/>
              <w:ind w:left="157"/>
              <w:spacing w:after="0"/>
              <w:rPr>
                <w:sz w:val="20"/>
                <w:szCs w:val="20"/>
                <w:color w:val="auto"/>
              </w:rPr>
            </w:pPr>
            <w:r>
              <w:rPr>
                <w:rFonts w:ascii="Arial" w:cs="Arial" w:eastAsia="Arial" w:hAnsi="Arial"/>
                <w:sz w:val="14"/>
                <w:szCs w:val="14"/>
                <w:b w:val="1"/>
                <w:bCs w:val="1"/>
                <w:color w:val="auto"/>
              </w:rPr>
              <w:t>Assets (Level 1)</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center"/>
              <w:ind w:left="18"/>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tcPr>
          <w:p>
            <w:pPr>
              <w:spacing w:after="0"/>
              <w:rPr>
                <w:sz w:val="14"/>
                <w:szCs w:val="14"/>
                <w:color w:val="auto"/>
              </w:rPr>
            </w:pPr>
          </w:p>
        </w:tc>
      </w:tr>
      <w:tr>
        <w:trPr>
          <w:trHeight w:val="146"/>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ind w:right="157"/>
              <w:spacing w:after="0" w:line="147"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1240" w:type="dxa"/>
            <w:vAlign w:val="bottom"/>
            <w:gridSpan w:val="2"/>
          </w:tcPr>
          <w:p>
            <w:pPr>
              <w:jc w:val="right"/>
              <w:ind w:right="110"/>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138"/>
              <w:spacing w:after="0" w:line="147"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1240" w:type="dxa"/>
            <w:vAlign w:val="bottom"/>
            <w:gridSpan w:val="2"/>
          </w:tcPr>
          <w:p>
            <w:pPr>
              <w:jc w:val="right"/>
              <w:ind w:right="130"/>
              <w:spacing w:after="0" w:line="147"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135"/>
              <w:spacing w:after="0" w:line="147"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1240" w:type="dxa"/>
            <w:vAlign w:val="bottom"/>
            <w:gridSpan w:val="2"/>
          </w:tcPr>
          <w:p>
            <w:pPr>
              <w:jc w:val="right"/>
              <w:ind w:right="132"/>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3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2025</w:t>
            </w:r>
          </w:p>
        </w:tc>
      </w:tr>
      <w:tr>
        <w:trPr>
          <w:trHeight w:val="196"/>
        </w:trPr>
        <w:tc>
          <w:tcPr>
            <w:tcW w:w="3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equivalents</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FF0FC"/>
          </w:tcPr>
          <w:p>
            <w:pPr>
              <w:jc w:val="right"/>
              <w:ind w:right="57"/>
              <w:spacing w:after="0" w:line="196" w:lineRule="exact"/>
              <w:rPr>
                <w:sz w:val="20"/>
                <w:szCs w:val="20"/>
                <w:color w:val="auto"/>
              </w:rPr>
            </w:pPr>
            <w:r>
              <w:rPr>
                <w:rFonts w:ascii="Arial" w:cs="Arial" w:eastAsia="Arial" w:hAnsi="Arial"/>
                <w:sz w:val="18"/>
                <w:szCs w:val="18"/>
                <w:b w:val="1"/>
                <w:bCs w:val="1"/>
                <w:color w:val="auto"/>
              </w:rPr>
              <w:t>117</w:t>
            </w:r>
          </w:p>
        </w:tc>
        <w:tc>
          <w:tcPr>
            <w:tcW w:w="900" w:type="dxa"/>
            <w:vAlign w:val="bottom"/>
            <w:gridSpan w:val="2"/>
            <w:shd w:val="clear" w:color="auto" w:fill="CFF0FC"/>
          </w:tcPr>
          <w:p>
            <w:pPr>
              <w:jc w:val="right"/>
              <w:ind w:right="608"/>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134</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ind w:right="38"/>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FF0FC"/>
          </w:tcPr>
          <w:p>
            <w:pPr>
              <w:jc w:val="right"/>
              <w:ind w:right="748"/>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b w:val="1"/>
                <w:bCs w:val="1"/>
                <w:color w:val="auto"/>
              </w:rPr>
              <w:t>117</w:t>
            </w:r>
          </w:p>
        </w:tc>
        <w:tc>
          <w:tcPr>
            <w:tcW w:w="360" w:type="dxa"/>
            <w:vAlign w:val="bottom"/>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134</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7"/>
                <w:szCs w:val="17"/>
                <w:color w:val="auto"/>
              </w:rPr>
            </w:pPr>
          </w:p>
        </w:tc>
        <w:tc>
          <w:tcPr>
            <w:tcW w:w="1240" w:type="dxa"/>
            <w:vAlign w:val="bottom"/>
          </w:tcPr>
          <w:p>
            <w:pPr>
              <w:jc w:val="right"/>
              <w:ind w:right="57"/>
              <w:spacing w:after="0" w:line="202" w:lineRule="exact"/>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38"/>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24</w:t>
            </w:r>
          </w:p>
        </w:tc>
      </w:tr>
      <w:tr>
        <w:trPr>
          <w:trHeight w:val="203"/>
        </w:trPr>
        <w:tc>
          <w:tcPr>
            <w:tcW w:w="3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Rabbi trust assets</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7"/>
              <w:spacing w:after="0" w:line="202" w:lineRule="exact"/>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24</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Deferred compensation obligation</w:t>
            </w:r>
          </w:p>
        </w:tc>
        <w:tc>
          <w:tcPr>
            <w:tcW w:w="1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38"/>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3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Derivative assets</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7"/>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Derivative liabilities</w:t>
            </w:r>
          </w:p>
        </w:tc>
        <w:tc>
          <w:tcPr>
            <w:tcW w:w="100" w:type="dxa"/>
            <w:vAlign w:val="bottom"/>
          </w:tcPr>
          <w:p>
            <w:pPr>
              <w:spacing w:after="0"/>
              <w:rPr>
                <w:sz w:val="17"/>
                <w:szCs w:val="17"/>
                <w:color w:val="auto"/>
              </w:rPr>
            </w:pPr>
          </w:p>
        </w:tc>
        <w:tc>
          <w:tcPr>
            <w:tcW w:w="1240" w:type="dxa"/>
            <w:vAlign w:val="bottom"/>
          </w:tcPr>
          <w:p>
            <w:pPr>
              <w:jc w:val="right"/>
              <w:ind w:right="57"/>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3"/>
        </w:trPr>
        <w:tc>
          <w:tcPr>
            <w:tcW w:w="30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Debt securities</w:t>
            </w:r>
          </w:p>
        </w:tc>
        <w:tc>
          <w:tcPr>
            <w:tcW w:w="1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57"/>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8"/>
              <w:spacing w:after="0" w:line="202" w:lineRule="exact"/>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w:t>
            </w:r>
          </w:p>
        </w:tc>
      </w:tr>
      <w:tr>
        <w:trPr>
          <w:trHeight w:val="196"/>
        </w:trPr>
        <w:tc>
          <w:tcPr>
            <w:tcW w:w="3000" w:type="dxa"/>
            <w:vAlign w:val="bottom"/>
          </w:tcPr>
          <w:p>
            <w:pPr>
              <w:ind w:left="80"/>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ind w:right="57"/>
              <w:spacing w:after="0" w:line="196" w:lineRule="exact"/>
              <w:rPr>
                <w:sz w:val="20"/>
                <w:szCs w:val="20"/>
                <w:color w:val="auto"/>
              </w:rPr>
            </w:pPr>
            <w:r>
              <w:rPr>
                <w:rFonts w:ascii="Arial" w:cs="Arial" w:eastAsia="Arial" w:hAnsi="Arial"/>
                <w:sz w:val="18"/>
                <w:szCs w:val="18"/>
                <w:b w:val="1"/>
                <w:bCs w:val="1"/>
                <w:color w:val="auto"/>
              </w:rPr>
              <w:t>131</w:t>
            </w:r>
          </w:p>
        </w:tc>
        <w:tc>
          <w:tcPr>
            <w:tcW w:w="900" w:type="dxa"/>
            <w:vAlign w:val="bottom"/>
            <w:gridSpan w:val="2"/>
          </w:tcPr>
          <w:p>
            <w:pPr>
              <w:jc w:val="right"/>
              <w:ind w:right="608"/>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158</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8"/>
              <w:spacing w:after="0" w:line="196" w:lineRule="exact"/>
              <w:rPr>
                <w:sz w:val="20"/>
                <w:szCs w:val="20"/>
                <w:color w:val="auto"/>
              </w:rPr>
            </w:pPr>
            <w:r>
              <w:rPr>
                <w:rFonts w:ascii="Arial" w:cs="Arial" w:eastAsia="Arial" w:hAnsi="Arial"/>
                <w:sz w:val="18"/>
                <w:szCs w:val="18"/>
                <w:b w:val="1"/>
                <w:bCs w:val="1"/>
                <w:color w:val="auto"/>
              </w:rPr>
              <w:t>4</w:t>
            </w:r>
          </w:p>
        </w:tc>
        <w:tc>
          <w:tcPr>
            <w:tcW w:w="1040" w:type="dxa"/>
            <w:vAlign w:val="bottom"/>
            <w:gridSpan w:val="2"/>
          </w:tcPr>
          <w:p>
            <w:pPr>
              <w:jc w:val="right"/>
              <w:ind w:right="748"/>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5"/>
              <w:spacing w:after="0" w:line="196" w:lineRule="exact"/>
              <w:rPr>
                <w:sz w:val="20"/>
                <w:szCs w:val="20"/>
                <w:color w:val="auto"/>
              </w:rPr>
            </w:pPr>
            <w:r>
              <w:rPr>
                <w:rFonts w:ascii="Arial" w:cs="Arial" w:eastAsia="Arial" w:hAnsi="Arial"/>
                <w:sz w:val="18"/>
                <w:szCs w:val="18"/>
                <w:b w:val="1"/>
                <w:bCs w:val="1"/>
                <w:color w:val="auto"/>
              </w:rPr>
              <w:t>135</w:t>
            </w:r>
          </w:p>
        </w:tc>
        <w:tc>
          <w:tcPr>
            <w:tcW w:w="360" w:type="dxa"/>
            <w:vAlign w:val="bottom"/>
            <w:gridSpan w:val="2"/>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161</w:t>
            </w:r>
          </w:p>
        </w:tc>
      </w:tr>
      <w:tr>
        <w:trPr>
          <w:trHeight w:val="20"/>
        </w:trPr>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-161925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-161925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-161925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-161925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-161925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140" w:firstLine="494"/>
        <w:spacing w:after="0" w:line="253" w:lineRule="auto"/>
        <w:rPr>
          <w:sz w:val="20"/>
          <w:szCs w:val="20"/>
          <w:color w:val="auto"/>
        </w:rPr>
      </w:pPr>
      <w:r>
        <w:rPr>
          <w:rFonts w:ascii="Arial" w:cs="Arial" w:eastAsia="Arial" w:hAnsi="Arial"/>
          <w:sz w:val="18"/>
          <w:szCs w:val="18"/>
          <w:color w:val="auto"/>
        </w:rPr>
        <w:t>The Company’s valuation techniques used to calculate the fair value of cash equivalents, marketable securities, assets held in the rabbi trust and the deferred compensation obligation represent a market approach in active markets for identical assets that qualify as Level 1 in the fair value hierarchy. A description of the Company’s Level 1 assets and liabilities is as follows:</w:t>
      </w:r>
    </w:p>
    <w:p>
      <w:pPr>
        <w:spacing w:after="0" w:line="61" w:lineRule="exact"/>
        <w:rPr>
          <w:sz w:val="20"/>
          <w:szCs w:val="20"/>
          <w:color w:val="auto"/>
        </w:rPr>
      </w:pPr>
    </w:p>
    <w:p>
      <w:pPr>
        <w:ind w:left="1260" w:hanging="384"/>
        <w:spacing w:after="0"/>
        <w:tabs>
          <w:tab w:leader="none" w:pos="12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Cash equivalents consist primarily of short-term U.S. government backed securities and time deposits.</w:t>
      </w:r>
    </w:p>
    <w:p>
      <w:pPr>
        <w:spacing w:after="0" w:line="116" w:lineRule="exact"/>
        <w:rPr>
          <w:rFonts w:ascii="Times New Roman" w:cs="Times New Roman" w:eastAsia="Times New Roman" w:hAnsi="Times New Roman"/>
          <w:sz w:val="18"/>
          <w:szCs w:val="18"/>
          <w:color w:val="auto"/>
        </w:rPr>
      </w:pPr>
    </w:p>
    <w:p>
      <w:pPr>
        <w:ind w:left="1260" w:right="860" w:hanging="384"/>
        <w:spacing w:after="0" w:line="270" w:lineRule="auto"/>
        <w:tabs>
          <w:tab w:leader="none" w:pos="12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Marketable securities consist of publicly traded stock of Jing-Jin Electric Technologies Co. Ltd., which has a readily determinable fair value.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hanging="384"/>
        <w:spacing w:after="0"/>
        <w:tabs>
          <w:tab w:leader="none" w:pos="12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Rabbi trust assets consist principally of publicly available mutual funds and target date retirement funds.</w:t>
      </w:r>
    </w:p>
    <w:p>
      <w:pPr>
        <w:spacing w:after="0" w:line="116" w:lineRule="exact"/>
        <w:rPr>
          <w:rFonts w:ascii="Times New Roman" w:cs="Times New Roman" w:eastAsia="Times New Roman" w:hAnsi="Times New Roman"/>
          <w:sz w:val="18"/>
          <w:szCs w:val="18"/>
          <w:color w:val="auto"/>
        </w:rPr>
      </w:pPr>
    </w:p>
    <w:p>
      <w:pPr>
        <w:ind w:left="1260" w:hanging="384"/>
        <w:spacing w:after="0"/>
        <w:tabs>
          <w:tab w:leader="none" w:pos="12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Deferred compensation obligation is directly related to the fair value of assets held in the rabbi trust.</w:t>
      </w:r>
    </w:p>
    <w:p>
      <w:pPr>
        <w:spacing w:after="0" w:line="3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description of the Company’s Level 2 assets and liabilities is as follows:</w:t>
      </w:r>
    </w:p>
    <w:p>
      <w:pPr>
        <w:spacing w:after="0" w:line="104" w:lineRule="exact"/>
        <w:rPr>
          <w:sz w:val="20"/>
          <w:szCs w:val="20"/>
          <w:color w:val="auto"/>
        </w:rPr>
      </w:pPr>
    </w:p>
    <w:p>
      <w:pPr>
        <w:ind w:left="1260" w:right="80" w:hanging="384"/>
        <w:spacing w:after="0"/>
        <w:tabs>
          <w:tab w:leader="none" w:pos="12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Derivative assets and liabilities consist of cross-currency swaps and foreign exchange forward contracts. The cross-currency swaps are designated as hedging instruments against a net investment in the Company's euro-functional subsidiaries. The Company measures the fair value of its cross-currency swaps using discounted cash flow calculations based upon observable forward interest-rate yield curves. Certain of the foreign exchange forward contracts are cash flow hedges and others are non-designated hedges. The Company measures the fair value of its foreign exchange forward contracts using discounted cash flow calculations based upon observable forward interest-rate yield curves. See "Note H. Derivatives" for more information regarding the Company's cross-currency swaps and foreign exchange forward contracts.</w:t>
      </w:r>
    </w:p>
    <w:p>
      <w:pPr>
        <w:spacing w:after="0" w:line="75" w:lineRule="exact"/>
        <w:rPr>
          <w:rFonts w:ascii="Times New Roman" w:cs="Times New Roman" w:eastAsia="Times New Roman" w:hAnsi="Times New Roman"/>
          <w:sz w:val="18"/>
          <w:szCs w:val="18"/>
          <w:color w:val="auto"/>
        </w:rPr>
      </w:pPr>
    </w:p>
    <w:p>
      <w:pPr>
        <w:ind w:left="1260" w:hanging="384"/>
        <w:spacing w:after="0"/>
        <w:tabs>
          <w:tab w:leader="none" w:pos="12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Debt securities are classified as available-for-sale and qualify as Level 2 in the fair value hierarchy.</w:t>
      </w:r>
    </w:p>
    <w:p>
      <w:pPr>
        <w:spacing w:after="0" w:line="116"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The Company holds equity securities in unconsolidated entities without a readily determinable fair value. Each of these investments represents a less than 20% ownership interest in the respective privately-held entity, and the Company does not maintain significant influence over or control of any of the entities. The Company has elected the measurement alternative and measures the investments at cost, less any impairment, plus or minus adjustments related to observable price changes in orderly transactions for identical or similar investments of the same issuer. These equity investments are recorded in Other non-current assets in the Condensed Consolidated Balance Sheets, with changes in the value recorded in Other (expense) income, net in the Condensed Consolidated Statements of Comprehensive Income. As of September 30, 2026 and December 31, 2025, the Company held equity securities without a readily determinable fair value of $10 million and $8 million, respectively. During the three and nine months ended September 30, 2026, no impairment charges or adjustments resulting from observable price changes in orderly transactions for identical or similar investments of the same issuer occurred for any of these investments.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DERIVATIVES</w:t>
      </w:r>
    </w:p>
    <w:p>
      <w:pPr>
        <w:spacing w:after="0" w:line="104" w:lineRule="exact"/>
        <w:rPr>
          <w:sz w:val="20"/>
          <w:szCs w:val="20"/>
          <w:color w:val="auto"/>
        </w:rPr>
      </w:pPr>
    </w:p>
    <w:p>
      <w:pPr>
        <w:ind w:right="20" w:firstLine="494"/>
        <w:spacing w:after="0" w:line="210" w:lineRule="exact"/>
        <w:rPr>
          <w:sz w:val="20"/>
          <w:szCs w:val="20"/>
          <w:color w:val="auto"/>
        </w:rPr>
      </w:pPr>
      <w:r>
        <w:rPr>
          <w:rFonts w:ascii="Arial" w:cs="Arial" w:eastAsia="Arial" w:hAnsi="Arial"/>
          <w:sz w:val="18"/>
          <w:szCs w:val="18"/>
          <w:color w:val="auto"/>
        </w:rPr>
        <w:t>The Company’s global operations expose it to fluctuations in foreign currency exchange rates. To manage this exposure, the Company uses cross</w:t>
      </w:r>
      <w:r>
        <w:rPr>
          <w:rFonts w:ascii="MS PGothic" w:cs="MS PGothic" w:eastAsia="MS PGothic" w:hAnsi="MS PGothic"/>
          <w:sz w:val="18"/>
          <w:szCs w:val="18"/>
          <w:color w:val="auto"/>
        </w:rPr>
        <w:t>‑</w:t>
      </w:r>
      <w:r>
        <w:rPr>
          <w:rFonts w:ascii="Arial" w:cs="Arial" w:eastAsia="Arial" w:hAnsi="Arial"/>
          <w:sz w:val="18"/>
          <w:szCs w:val="18"/>
          <w:color w:val="auto"/>
        </w:rPr>
        <w:t xml:space="preserve"> currency swap contracts that are designated as net investment hedges and foreign exchange forward contracts, which are either designated as cash flow hedges or non-designated hedges. These derivative instruments are used in accordance with the Company's risk management strategy to reduce foreign currency exchange risk and are not intended to be speculative in nature. Hedge effectiveness is assessed at inception and quarterly thereafter.</w:t>
      </w:r>
    </w:p>
    <w:p>
      <w:pPr>
        <w:spacing w:after="0" w:line="73" w:lineRule="exact"/>
        <w:rPr>
          <w:sz w:val="20"/>
          <w:szCs w:val="20"/>
          <w:color w:val="auto"/>
        </w:rPr>
      </w:pPr>
    </w:p>
    <w:p>
      <w:pPr>
        <w:ind w:right="140" w:firstLine="494"/>
        <w:spacing w:after="0" w:line="271" w:lineRule="auto"/>
        <w:rPr>
          <w:sz w:val="20"/>
          <w:szCs w:val="20"/>
          <w:color w:val="auto"/>
        </w:rPr>
      </w:pPr>
      <w:r>
        <w:rPr>
          <w:rFonts w:ascii="Arial" w:cs="Arial" w:eastAsia="Arial" w:hAnsi="Arial"/>
          <w:sz w:val="18"/>
          <w:szCs w:val="18"/>
          <w:color w:val="auto"/>
        </w:rPr>
        <w:t>The following table presents the fair value of the Company's derivative instruments and their location in the Condensed Consolidated Balance Sheets (dollars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Fair Value</w:t>
            </w:r>
          </w:p>
        </w:tc>
        <w:tc>
          <w:tcPr>
            <w:tcW w:w="1480" w:type="dxa"/>
            <w:vAlign w:val="bottom"/>
            <w:tcBorders>
              <w:bottom w:val="single" w:sz="8" w:color="auto"/>
            </w:tcBorders>
          </w:tcPr>
          <w:p>
            <w:pPr>
              <w:spacing w:after="0"/>
              <w:rPr>
                <w:sz w:val="14"/>
                <w:szCs w:val="14"/>
                <w:color w:val="auto"/>
              </w:rPr>
            </w:pPr>
          </w:p>
        </w:tc>
      </w:tr>
      <w:tr>
        <w:trPr>
          <w:trHeight w:val="146"/>
        </w:trPr>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0" w:type="dxa"/>
            <w:vAlign w:val="bottom"/>
            <w:gridSpan w:val="2"/>
          </w:tcPr>
          <w:p>
            <w:pPr>
              <w:ind w:left="900"/>
              <w:spacing w:after="0"/>
              <w:rPr>
                <w:sz w:val="20"/>
                <w:szCs w:val="20"/>
                <w:color w:val="auto"/>
              </w:rPr>
            </w:pPr>
            <w:r>
              <w:rPr>
                <w:rFonts w:ascii="Arial" w:cs="Arial" w:eastAsia="Arial" w:hAnsi="Arial"/>
                <w:sz w:val="14"/>
                <w:szCs w:val="14"/>
                <w:b w:val="1"/>
                <w:bCs w:val="1"/>
                <w:color w:val="auto"/>
              </w:rPr>
              <w:t>Balance Sheet Location</w:t>
            </w:r>
          </w:p>
        </w:tc>
        <w:tc>
          <w:tcPr>
            <w:tcW w:w="1360" w:type="dxa"/>
            <w:vAlign w:val="bottom"/>
          </w:tcPr>
          <w:p>
            <w:pPr>
              <w:jc w:val="right"/>
              <w:ind w:right="295"/>
              <w:spacing w:after="0"/>
              <w:rPr>
                <w:sz w:val="20"/>
                <w:szCs w:val="20"/>
                <w:color w:val="auto"/>
              </w:rPr>
            </w:pPr>
            <w:r>
              <w:rPr>
                <w:rFonts w:ascii="Arial" w:cs="Arial" w:eastAsia="Arial" w:hAnsi="Arial"/>
                <w:sz w:val="14"/>
                <w:szCs w:val="14"/>
                <w:b w:val="1"/>
                <w:bCs w:val="1"/>
                <w:color w:val="auto"/>
              </w:rPr>
              <w:t>2026</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ind w:left="380"/>
              <w:spacing w:after="0"/>
              <w:rPr>
                <w:sz w:val="20"/>
                <w:szCs w:val="20"/>
                <w:color w:val="auto"/>
              </w:rPr>
            </w:pPr>
            <w:r>
              <w:rPr>
                <w:rFonts w:ascii="Arial" w:cs="Arial" w:eastAsia="Arial" w:hAnsi="Arial"/>
                <w:sz w:val="14"/>
                <w:szCs w:val="14"/>
                <w:b w:val="1"/>
                <w:bCs w:val="1"/>
                <w:color w:val="auto"/>
              </w:rPr>
              <w:t>2025</w:t>
            </w:r>
          </w:p>
        </w:tc>
      </w:tr>
      <w:tr>
        <w:trPr>
          <w:trHeight w:val="196"/>
        </w:trPr>
        <w:tc>
          <w:tcPr>
            <w:tcW w:w="35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Designated as hedging instruments:</w:t>
            </w:r>
          </w:p>
        </w:tc>
        <w:tc>
          <w:tcPr>
            <w:tcW w:w="420" w:type="dxa"/>
            <w:vAlign w:val="bottom"/>
            <w:shd w:val="clear" w:color="auto" w:fill="CFF0FC"/>
          </w:tcPr>
          <w:p>
            <w:pPr>
              <w:spacing w:after="0"/>
              <w:rPr>
                <w:sz w:val="17"/>
                <w:szCs w:val="17"/>
                <w:color w:val="auto"/>
              </w:rPr>
            </w:pPr>
          </w:p>
        </w:tc>
        <w:tc>
          <w:tcPr>
            <w:tcW w:w="344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Foreign exchange forward contracts</w:t>
            </w:r>
          </w:p>
        </w:tc>
        <w:tc>
          <w:tcPr>
            <w:tcW w:w="402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Other current assets</w:t>
            </w:r>
          </w:p>
        </w:tc>
        <w:tc>
          <w:tcPr>
            <w:tcW w:w="1360" w:type="dxa"/>
            <w:vAlign w:val="bottom"/>
          </w:tcPr>
          <w:p>
            <w:pPr>
              <w:jc w:val="right"/>
              <w:ind w:right="1175"/>
              <w:spacing w:after="0" w:line="202" w:lineRule="exact"/>
              <w:rPr>
                <w:sz w:val="20"/>
                <w:szCs w:val="20"/>
                <w:color w:val="auto"/>
              </w:rPr>
            </w:pPr>
            <w:r>
              <w:rPr>
                <w:rFonts w:ascii="Arial" w:cs="Arial" w:eastAsia="Arial" w:hAnsi="Arial"/>
                <w:sz w:val="18"/>
                <w:szCs w:val="18"/>
                <w:b w:val="1"/>
                <w:bCs w:val="1"/>
                <w:color w:val="auto"/>
                <w:w w:val="79"/>
              </w:rPr>
              <w:t>$</w:t>
            </w:r>
          </w:p>
        </w:tc>
        <w:tc>
          <w:tcPr>
            <w:tcW w:w="3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1</w:t>
            </w:r>
          </w:p>
        </w:tc>
        <w:tc>
          <w:tcPr>
            <w:tcW w:w="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ind w:left="1180"/>
              <w:spacing w:after="0" w:line="202" w:lineRule="exact"/>
              <w:rPr>
                <w:sz w:val="20"/>
                <w:szCs w:val="20"/>
                <w:color w:val="auto"/>
              </w:rPr>
            </w:pPr>
            <w:r>
              <w:rPr>
                <w:rFonts w:ascii="Arial" w:cs="Arial" w:eastAsia="Arial" w:hAnsi="Arial"/>
                <w:sz w:val="18"/>
                <w:szCs w:val="18"/>
                <w:color w:val="auto"/>
              </w:rPr>
              <w:t>—</w:t>
            </w:r>
          </w:p>
        </w:tc>
      </w:tr>
      <w:tr>
        <w:trPr>
          <w:trHeight w:val="203"/>
        </w:trPr>
        <w:tc>
          <w:tcPr>
            <w:tcW w:w="3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Cross-currency swaps</w:t>
            </w:r>
          </w:p>
        </w:tc>
        <w:tc>
          <w:tcPr>
            <w:tcW w:w="4020" w:type="dxa"/>
            <w:vAlign w:val="bottom"/>
            <w:gridSpan w:val="3"/>
            <w:shd w:val="clear" w:color="auto" w:fill="CFF0FC"/>
          </w:tcPr>
          <w:p>
            <w:pPr>
              <w:ind w:left="420"/>
              <w:spacing w:after="0" w:line="202" w:lineRule="exact"/>
              <w:rPr>
                <w:sz w:val="20"/>
                <w:szCs w:val="20"/>
                <w:color w:val="auto"/>
              </w:rPr>
            </w:pPr>
            <w:r>
              <w:rPr>
                <w:rFonts w:ascii="Arial" w:cs="Arial" w:eastAsia="Arial" w:hAnsi="Arial"/>
                <w:sz w:val="18"/>
                <w:szCs w:val="18"/>
                <w:color w:val="auto"/>
              </w:rPr>
              <w:t>Other current assets</w:t>
            </w:r>
          </w:p>
        </w:tc>
        <w:tc>
          <w:tcPr>
            <w:tcW w:w="1360" w:type="dxa"/>
            <w:vAlign w:val="bottom"/>
            <w:shd w:val="clear" w:color="auto" w:fill="CFF0FC"/>
          </w:tcPr>
          <w:p>
            <w:pPr>
              <w:jc w:val="right"/>
              <w:ind w:right="1175"/>
              <w:spacing w:after="0" w:line="202" w:lineRule="exact"/>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12</w:t>
            </w:r>
          </w:p>
        </w:tc>
        <w:tc>
          <w:tcPr>
            <w:tcW w:w="4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ind w:left="1180"/>
              <w:spacing w:after="0" w:line="202" w:lineRule="exact"/>
              <w:rPr>
                <w:sz w:val="20"/>
                <w:szCs w:val="20"/>
                <w:color w:val="auto"/>
              </w:rPr>
            </w:pPr>
            <w:r>
              <w:rPr>
                <w:rFonts w:ascii="Arial" w:cs="Arial" w:eastAsia="Arial" w:hAnsi="Arial"/>
                <w:sz w:val="18"/>
                <w:szCs w:val="18"/>
                <w:color w:val="auto"/>
              </w:rPr>
              <w:t>—</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Foreign exchange forward contracts</w:t>
            </w:r>
          </w:p>
        </w:tc>
        <w:tc>
          <w:tcPr>
            <w:tcW w:w="402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Other current liabilities</w:t>
            </w:r>
          </w:p>
        </w:tc>
        <w:tc>
          <w:tcPr>
            <w:tcW w:w="1360" w:type="dxa"/>
            <w:vAlign w:val="bottom"/>
          </w:tcPr>
          <w:p>
            <w:pPr>
              <w:jc w:val="right"/>
              <w:ind w:right="1175"/>
              <w:spacing w:after="0" w:line="202" w:lineRule="exact"/>
              <w:rPr>
                <w:sz w:val="20"/>
                <w:szCs w:val="20"/>
                <w:color w:val="auto"/>
              </w:rPr>
            </w:pPr>
            <w:r>
              <w:rPr>
                <w:rFonts w:ascii="Arial" w:cs="Arial" w:eastAsia="Arial" w:hAnsi="Arial"/>
                <w:sz w:val="18"/>
                <w:szCs w:val="18"/>
                <w:b w:val="1"/>
                <w:bCs w:val="1"/>
                <w:color w:val="auto"/>
                <w:w w:val="79"/>
              </w:rPr>
              <w:t>$</w:t>
            </w:r>
          </w:p>
        </w:tc>
        <w:tc>
          <w:tcPr>
            <w:tcW w:w="3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2</w:t>
            </w:r>
          </w:p>
        </w:tc>
        <w:tc>
          <w:tcPr>
            <w:tcW w:w="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ind w:left="1180"/>
              <w:spacing w:after="0" w:line="202" w:lineRule="exact"/>
              <w:rPr>
                <w:sz w:val="20"/>
                <w:szCs w:val="20"/>
                <w:color w:val="auto"/>
              </w:rPr>
            </w:pPr>
            <w:r>
              <w:rPr>
                <w:rFonts w:ascii="Arial" w:cs="Arial" w:eastAsia="Arial" w:hAnsi="Arial"/>
                <w:sz w:val="18"/>
                <w:szCs w:val="18"/>
                <w:color w:val="auto"/>
              </w:rPr>
              <w:t>—</w:t>
            </w:r>
          </w:p>
        </w:tc>
      </w:tr>
      <w:tr>
        <w:trPr>
          <w:trHeight w:val="203"/>
        </w:trPr>
        <w:tc>
          <w:tcPr>
            <w:tcW w:w="3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Cross-currency swaps</w:t>
            </w:r>
          </w:p>
        </w:tc>
        <w:tc>
          <w:tcPr>
            <w:tcW w:w="4020" w:type="dxa"/>
            <w:vAlign w:val="bottom"/>
            <w:gridSpan w:val="3"/>
            <w:shd w:val="clear" w:color="auto" w:fill="CFF0FC"/>
          </w:tcPr>
          <w:p>
            <w:pPr>
              <w:ind w:left="420"/>
              <w:spacing w:after="0" w:line="202" w:lineRule="exact"/>
              <w:rPr>
                <w:sz w:val="20"/>
                <w:szCs w:val="20"/>
                <w:color w:val="auto"/>
              </w:rPr>
            </w:pPr>
            <w:r>
              <w:rPr>
                <w:rFonts w:ascii="Arial" w:cs="Arial" w:eastAsia="Arial" w:hAnsi="Arial"/>
                <w:sz w:val="18"/>
                <w:szCs w:val="18"/>
                <w:color w:val="auto"/>
              </w:rPr>
              <w:t>Other non-current liabilities</w:t>
            </w:r>
          </w:p>
        </w:tc>
        <w:tc>
          <w:tcPr>
            <w:tcW w:w="1360" w:type="dxa"/>
            <w:vAlign w:val="bottom"/>
            <w:shd w:val="clear" w:color="auto" w:fill="CFF0FC"/>
          </w:tcPr>
          <w:p>
            <w:pPr>
              <w:jc w:val="right"/>
              <w:ind w:right="1175"/>
              <w:spacing w:after="0" w:line="202" w:lineRule="exact"/>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11</w:t>
            </w:r>
          </w:p>
        </w:tc>
        <w:tc>
          <w:tcPr>
            <w:tcW w:w="4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ind w:left="1180"/>
              <w:spacing w:after="0" w:line="202" w:lineRule="exact"/>
              <w:rPr>
                <w:sz w:val="20"/>
                <w:szCs w:val="20"/>
                <w:color w:val="auto"/>
              </w:rPr>
            </w:pPr>
            <w:r>
              <w:rPr>
                <w:rFonts w:ascii="Arial" w:cs="Arial" w:eastAsia="Arial" w:hAnsi="Arial"/>
                <w:sz w:val="18"/>
                <w:szCs w:val="18"/>
                <w:color w:val="auto"/>
              </w:rPr>
              <w:t>—</w:t>
            </w:r>
          </w:p>
        </w:tc>
      </w:tr>
      <w:tr>
        <w:trPr>
          <w:trHeight w:val="203"/>
        </w:trPr>
        <w:tc>
          <w:tcPr>
            <w:tcW w:w="3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5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Non-designated:</w:t>
            </w:r>
          </w:p>
        </w:tc>
        <w:tc>
          <w:tcPr>
            <w:tcW w:w="420" w:type="dxa"/>
            <w:vAlign w:val="bottom"/>
            <w:shd w:val="clear" w:color="auto" w:fill="CFF0FC"/>
          </w:tcPr>
          <w:p>
            <w:pPr>
              <w:spacing w:after="0"/>
              <w:rPr>
                <w:sz w:val="17"/>
                <w:szCs w:val="17"/>
                <w:color w:val="auto"/>
              </w:rPr>
            </w:pPr>
          </w:p>
        </w:tc>
        <w:tc>
          <w:tcPr>
            <w:tcW w:w="3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Foreign exchange forward contracts</w:t>
            </w:r>
          </w:p>
        </w:tc>
        <w:tc>
          <w:tcPr>
            <w:tcW w:w="402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Other current assets</w:t>
            </w:r>
          </w:p>
        </w:tc>
        <w:tc>
          <w:tcPr>
            <w:tcW w:w="1360" w:type="dxa"/>
            <w:vAlign w:val="bottom"/>
          </w:tcPr>
          <w:p>
            <w:pPr>
              <w:jc w:val="right"/>
              <w:ind w:right="1175"/>
              <w:spacing w:after="0" w:line="202" w:lineRule="exact"/>
              <w:rPr>
                <w:sz w:val="20"/>
                <w:szCs w:val="20"/>
                <w:color w:val="auto"/>
              </w:rPr>
            </w:pPr>
            <w:r>
              <w:rPr>
                <w:rFonts w:ascii="Arial" w:cs="Arial" w:eastAsia="Arial" w:hAnsi="Arial"/>
                <w:sz w:val="18"/>
                <w:szCs w:val="18"/>
                <w:b w:val="1"/>
                <w:bCs w:val="1"/>
                <w:color w:val="auto"/>
                <w:w w:val="79"/>
              </w:rPr>
              <w:t>$</w:t>
            </w:r>
          </w:p>
        </w:tc>
        <w:tc>
          <w:tcPr>
            <w:tcW w:w="3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2</w:t>
            </w:r>
          </w:p>
        </w:tc>
        <w:tc>
          <w:tcPr>
            <w:tcW w:w="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ind w:left="1180"/>
              <w:spacing w:after="0" w:line="202" w:lineRule="exact"/>
              <w:rPr>
                <w:sz w:val="20"/>
                <w:szCs w:val="20"/>
                <w:color w:val="auto"/>
              </w:rPr>
            </w:pPr>
            <w:r>
              <w:rPr>
                <w:rFonts w:ascii="Arial" w:cs="Arial" w:eastAsia="Arial" w:hAnsi="Arial"/>
                <w:sz w:val="18"/>
                <w:szCs w:val="18"/>
                <w:color w:val="auto"/>
              </w:rPr>
              <w:t>—</w:t>
            </w:r>
          </w:p>
        </w:tc>
      </w:tr>
      <w:tr>
        <w:trPr>
          <w:trHeight w:val="203"/>
        </w:trPr>
        <w:tc>
          <w:tcPr>
            <w:tcW w:w="3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 exchange forward contracts</w:t>
            </w:r>
          </w:p>
        </w:tc>
        <w:tc>
          <w:tcPr>
            <w:tcW w:w="4020" w:type="dxa"/>
            <w:vAlign w:val="bottom"/>
            <w:gridSpan w:val="3"/>
            <w:shd w:val="clear" w:color="auto" w:fill="CFF0FC"/>
          </w:tcPr>
          <w:p>
            <w:pPr>
              <w:ind w:left="420"/>
              <w:spacing w:after="0" w:line="202" w:lineRule="exact"/>
              <w:rPr>
                <w:sz w:val="20"/>
                <w:szCs w:val="20"/>
                <w:color w:val="auto"/>
              </w:rPr>
            </w:pPr>
            <w:r>
              <w:rPr>
                <w:rFonts w:ascii="Arial" w:cs="Arial" w:eastAsia="Arial" w:hAnsi="Arial"/>
                <w:sz w:val="18"/>
                <w:szCs w:val="18"/>
                <w:color w:val="auto"/>
              </w:rPr>
              <w:t>Other current liabilities</w:t>
            </w:r>
          </w:p>
        </w:tc>
        <w:tc>
          <w:tcPr>
            <w:tcW w:w="1360" w:type="dxa"/>
            <w:vAlign w:val="bottom"/>
            <w:shd w:val="clear" w:color="auto" w:fill="CFF0FC"/>
          </w:tcPr>
          <w:p>
            <w:pPr>
              <w:jc w:val="right"/>
              <w:ind w:right="1175"/>
              <w:spacing w:after="0" w:line="202" w:lineRule="exact"/>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1</w:t>
            </w:r>
          </w:p>
        </w:tc>
        <w:tc>
          <w:tcPr>
            <w:tcW w:w="4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ind w:left="1180"/>
              <w:spacing w:after="0" w:line="202" w:lineRule="exact"/>
              <w:rPr>
                <w:sz w:val="20"/>
                <w:szCs w:val="20"/>
                <w:color w:val="auto"/>
              </w:rPr>
            </w:pPr>
            <w:r>
              <w:rPr>
                <w:rFonts w:ascii="Arial" w:cs="Arial" w:eastAsia="Arial" w:hAnsi="Arial"/>
                <w:sz w:val="18"/>
                <w:szCs w:val="18"/>
                <w:color w:val="auto"/>
              </w:rPr>
              <w:t>—</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04" w:lineRule="exact"/>
        <w:rPr>
          <w:sz w:val="20"/>
          <w:szCs w:val="20"/>
          <w:color w:val="auto"/>
        </w:rPr>
      </w:pPr>
    </w:p>
    <w:p>
      <w:pPr>
        <w:ind w:right="140" w:firstLine="494"/>
        <w:spacing w:after="0" w:line="244" w:lineRule="auto"/>
        <w:rPr>
          <w:sz w:val="20"/>
          <w:szCs w:val="20"/>
          <w:color w:val="auto"/>
        </w:rPr>
      </w:pPr>
      <w:r>
        <w:rPr>
          <w:rFonts w:ascii="Arial" w:cs="Arial" w:eastAsia="Arial" w:hAnsi="Arial"/>
          <w:sz w:val="18"/>
          <w:szCs w:val="18"/>
          <w:color w:val="auto"/>
        </w:rPr>
        <w:t>The Company's foreign exchange forward contracts designated as cash flow hedges effectively hedge forecasted foreign currency cash flows over a rolling 15-month horizon, with hedge ratios declining from approximately 75% for the nearest months to 25% for the furthest months. As of September 30, 2026, the Company held foreign exchange forward contracts designated as cash flow hedges with an aggregate notional amount of $435 million in the following currencies: Hungarian forint, Indian rupee, United States dollar, euro, Chinese yuan, Norwegian krone and the offshore Chinese yuan.</w:t>
      </w:r>
    </w:p>
    <w:p>
      <w:pPr>
        <w:spacing w:after="0" w:line="68" w:lineRule="exact"/>
        <w:rPr>
          <w:sz w:val="20"/>
          <w:szCs w:val="20"/>
          <w:color w:val="auto"/>
        </w:rPr>
      </w:pPr>
    </w:p>
    <w:p>
      <w:pPr>
        <w:ind w:right="180" w:firstLine="494"/>
        <w:spacing w:after="0" w:line="255" w:lineRule="auto"/>
        <w:rPr>
          <w:sz w:val="20"/>
          <w:szCs w:val="20"/>
          <w:color w:val="auto"/>
        </w:rPr>
      </w:pPr>
      <w:r>
        <w:rPr>
          <w:rFonts w:ascii="Arial" w:cs="Arial" w:eastAsia="Arial" w:hAnsi="Arial"/>
          <w:sz w:val="17"/>
          <w:szCs w:val="17"/>
          <w:color w:val="auto"/>
        </w:rPr>
        <w:t>Gains and losses on these foreign exchange forward contracts offset gains and losses of the underlying foreign currency exposures. These foreign exchange forward contracts are designated as cash flow hedges. Any unrealized changes in fair value are recorded in Accumulated Other Comprehensive Loss, net of tax (AOCL), within the Condensed Consolidated Balance Sheets. These amounts are reclassified into earnings when the hedged transactions occur and affect the same line in the Condensed Consolidated Statements of Comprehensive Income as the hedged item of Net sales, Cost of sales, Selling, general and administrative or Other (expense) income, net. All of these foreign exchange forward contracts were highly effective in hedging the variability in future cash flows attributable to changes in currency exchange rates at September 30, 2026. The balance of foreign exchange forward derivative net losses recorded in AOCL as of September 30, 2026 was $1 million and none as of December 31, 2025. See "Note P. Accumulated Other Comprehensive Loss” for information regarding activity recorded as a component of AOCL during the three and nine months ended September 30, 2026 and 2025.</w:t>
      </w:r>
    </w:p>
    <w:p>
      <w:pPr>
        <w:spacing w:after="0" w:line="61" w:lineRule="exact"/>
        <w:rPr>
          <w:sz w:val="20"/>
          <w:szCs w:val="20"/>
          <w:color w:val="auto"/>
        </w:rPr>
      </w:pPr>
    </w:p>
    <w:p>
      <w:pPr>
        <w:ind w:right="100" w:firstLine="494"/>
        <w:spacing w:after="0" w:line="247" w:lineRule="auto"/>
        <w:rPr>
          <w:sz w:val="20"/>
          <w:szCs w:val="20"/>
          <w:color w:val="auto"/>
        </w:rPr>
      </w:pPr>
      <w:r>
        <w:rPr>
          <w:rFonts w:ascii="Arial" w:cs="Arial" w:eastAsia="Arial" w:hAnsi="Arial"/>
          <w:sz w:val="18"/>
          <w:szCs w:val="18"/>
          <w:color w:val="auto"/>
        </w:rPr>
        <w:t>During the next twelve months, $1 million of pretax gains on cash flow hedges are expected to be reclassified from AOCL into the correlated line in the Condensed Consolidated Statements of Comprehensive Income as the hedged forecasted transactions. No amounts were reclassified from AOCL into earnings during the three and nine months ended September 30, 2026 as a result of the discontinuance of cash flow hedges because the forecasted transactions were no longer probable of occurring.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Investment Hedges</w:t>
      </w:r>
    </w:p>
    <w:p>
      <w:pPr>
        <w:spacing w:after="0" w:line="104" w:lineRule="exact"/>
        <w:rPr>
          <w:sz w:val="20"/>
          <w:szCs w:val="20"/>
          <w:color w:val="auto"/>
        </w:rPr>
      </w:pPr>
    </w:p>
    <w:p>
      <w:pPr>
        <w:ind w:right="60" w:firstLine="544"/>
        <w:spacing w:after="0" w:line="255" w:lineRule="auto"/>
        <w:rPr>
          <w:sz w:val="20"/>
          <w:szCs w:val="20"/>
          <w:color w:val="auto"/>
        </w:rPr>
      </w:pPr>
      <w:r>
        <w:rPr>
          <w:rFonts w:ascii="Arial" w:cs="Arial" w:eastAsia="Arial" w:hAnsi="Arial"/>
          <w:sz w:val="17"/>
          <w:szCs w:val="17"/>
          <w:color w:val="auto"/>
        </w:rPr>
        <w:t>The Company held cross-currency swap contracts that, in the aggregate, effectively hedge $1,000 million of the euro exposure associated with the Company's net investment in its euro-functional subsidiaries and expire over a seven-year period. The cross-currency swaps are a portfolio of designated hedging instruments that qualify for hedge accounting under the net investment hedge model using the spot method. Fair value adjustments of the Company's cross-currency swaps are recorded as foreign currency translation, a component of AOCL. Under the spot method, the hedge effectiveness is based solely on the changes in the spot foreign exchange rates, and it excludes the interest rate differential of the receive-fixed, pay-fixed cross-currency swaps. These amounts will remain in AOCL until the corresponding net investments are sold or substantially liquidated. The initial value of the excluded portion, the interest rate differential, is amortized into earnings using a systematic and rational method over the life of the derivative instrument, and any difference between the change in fair value of the excluded component and the amount recognized in earnings is recorded in foreign currency translation, a component of AOCL.</w:t>
      </w:r>
    </w:p>
    <w:p>
      <w:pPr>
        <w:spacing w:after="0" w:line="61"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During the nine months ended September 30, 2026, the Company received $21 million and paid $17 million of cash interest rate settlements. The Company records these interest rate settlements as investing activities in the Condensed Consolidated Statements of Cash Flows, consistent with the nature of the derivative instruments. The Company recognizes the amounts excluded from the assessment of hedge effectiveness in Interest expense, net. During the three and nine months ended September 30, 2026, the Company recognized $3 million and $4 million, respectively, of interest income in Interest expense, net, related to these amounts. The Company did not have any cross-currency swaps in 2025. See "Note G. Fair Value of Financial Instruments” for information regarding the fair value of the Company’s cross-currency swaps.</w:t>
      </w:r>
    </w:p>
    <w:p>
      <w:pPr>
        <w:spacing w:after="0" w:line="77" w:lineRule="exact"/>
        <w:rPr>
          <w:sz w:val="20"/>
          <w:szCs w:val="20"/>
          <w:color w:val="auto"/>
        </w:rPr>
      </w:pPr>
    </w:p>
    <w:p>
      <w:pPr>
        <w:ind w:right="100" w:firstLine="544"/>
        <w:spacing w:after="0" w:line="247" w:lineRule="auto"/>
        <w:rPr>
          <w:sz w:val="20"/>
          <w:szCs w:val="20"/>
          <w:color w:val="auto"/>
        </w:rPr>
      </w:pPr>
      <w:r>
        <w:rPr>
          <w:rFonts w:ascii="Arial" w:cs="Arial" w:eastAsia="Arial" w:hAnsi="Arial"/>
          <w:sz w:val="18"/>
          <w:szCs w:val="18"/>
          <w:color w:val="auto"/>
        </w:rPr>
        <w:t>During the three and nine months ended September 30, 2026, the Company recognized pretax gains of $8 million and $1 million, respectively, on the cross-currency swaps in foreign currency translation, a component of AOCL. The Company did not have any cross-currency swaps in 2025. See "Note P. Accumulated Other Comprehensive Loss” for information regarding activity recorded as a component of AOCL during the three and nine months ended September 30, 2026 and 2025.</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Non-designated Hedges</w:t>
      </w:r>
    </w:p>
    <w:p>
      <w:pPr>
        <w:spacing w:after="0" w:line="104" w:lineRule="exact"/>
        <w:rPr>
          <w:sz w:val="20"/>
          <w:szCs w:val="20"/>
          <w:color w:val="auto"/>
        </w:rPr>
      </w:pPr>
    </w:p>
    <w:p>
      <w:pPr>
        <w:ind w:right="160" w:firstLine="494"/>
        <w:spacing w:after="0" w:line="247" w:lineRule="auto"/>
        <w:rPr>
          <w:sz w:val="20"/>
          <w:szCs w:val="20"/>
          <w:color w:val="auto"/>
        </w:rPr>
      </w:pPr>
      <w:r>
        <w:rPr>
          <w:rFonts w:ascii="Arial" w:cs="Arial" w:eastAsia="Arial" w:hAnsi="Arial"/>
          <w:sz w:val="18"/>
          <w:szCs w:val="18"/>
          <w:color w:val="auto"/>
        </w:rPr>
        <w:t>The Company's non-designated foreign exchange forward contracts hedge foreign currency exposure on the Company's Condensed Consolidated Balance Sheets. As of September 30, 2026, the Company held non-designated foreign exchange forward contracts with an aggregate notional amount of $80 million in the following currencies: Hungarian forint, Indian rupee, United States dollar, euro, Norwegian krone and the offshore Chinese yuan,.</w:t>
      </w:r>
    </w:p>
    <w:p>
      <w:pPr>
        <w:spacing w:after="0" w:line="66"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Gains and losses resulting from changes in fair value and trade settlements for the Company's foreign exchange forward contracts, not designated for hedge accounting, are recorded in Other (expense) income, net in the Condensed Consolidated Statements of Comprehensive Income. During each of the three and nine months ended September 30, 2026, net gains of $2 million were recorded on these contracts. The Company did not have any foreign exchange forward contracts in 2025.</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DEBT</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313"/>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333"/>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2026</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2025</w:t>
            </w: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Long-term debt:</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Senior Notes, fixed 4.75%, due 2027</w:t>
            </w:r>
          </w:p>
        </w:tc>
        <w:tc>
          <w:tcPr>
            <w:tcW w:w="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4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300</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400</w:t>
            </w: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Senior Notes, fixed 5.875%, due 2029</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500</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500</w:t>
            </w: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Senior Notes, fixed 3.75%, due 2031</w:t>
            </w:r>
          </w:p>
        </w:tc>
        <w:tc>
          <w:tcPr>
            <w:tcW w:w="180" w:type="dxa"/>
            <w:vAlign w:val="bottom"/>
          </w:tcPr>
          <w:p>
            <w:pPr>
              <w:spacing w:after="0"/>
              <w:rPr>
                <w:sz w:val="17"/>
                <w:szCs w:val="17"/>
                <w:color w:val="auto"/>
              </w:rPr>
            </w:pPr>
          </w:p>
        </w:tc>
        <w:tc>
          <w:tcPr>
            <w:tcW w:w="14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Senior Secured Credit Facility Term Loan, variable, due 2031</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505</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509</w:t>
            </w: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Senior Notes, fixed 5.875%, due 2033</w:t>
            </w:r>
          </w:p>
        </w:tc>
        <w:tc>
          <w:tcPr>
            <w:tcW w:w="180" w:type="dxa"/>
            <w:vAlign w:val="bottom"/>
          </w:tcPr>
          <w:p>
            <w:pPr>
              <w:spacing w:after="0"/>
              <w:rPr>
                <w:sz w:val="17"/>
                <w:szCs w:val="17"/>
                <w:color w:val="auto"/>
              </w:rPr>
            </w:pPr>
          </w:p>
        </w:tc>
        <w:tc>
          <w:tcPr>
            <w:tcW w:w="14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500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500</w:t>
            </w: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Senior Secured Credit Facility Term Loan, variable, due 2033</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1,194</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Finance lease liabilities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b w:val="1"/>
                <w:bCs w:val="1"/>
                <w:color w:val="auto"/>
              </w:rPr>
              <w:t>38</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w:t>
            </w:r>
          </w:p>
        </w:tc>
      </w:tr>
      <w:tr>
        <w:trPr>
          <w:trHeight w:val="196"/>
        </w:trPr>
        <w:tc>
          <w:tcPr>
            <w:tcW w:w="77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long-term debt</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4,037</w:t>
            </w:r>
          </w:p>
        </w:tc>
        <w:tc>
          <w:tcPr>
            <w:tcW w:w="3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2,909</w:t>
            </w: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180" w:type="dxa"/>
            <w:vAlign w:val="bottom"/>
          </w:tcPr>
          <w:p>
            <w:pPr>
              <w:spacing w:after="0"/>
              <w:rPr>
                <w:sz w:val="17"/>
                <w:szCs w:val="17"/>
                <w:color w:val="auto"/>
              </w:rPr>
            </w:pPr>
          </w:p>
        </w:tc>
        <w:tc>
          <w:tcPr>
            <w:tcW w:w="14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w:t>
            </w:r>
          </w:p>
        </w:tc>
      </w:tr>
      <w:tr>
        <w:trPr>
          <w:trHeight w:val="203"/>
        </w:trPr>
        <w:tc>
          <w:tcPr>
            <w:tcW w:w="7760" w:type="dxa"/>
            <w:vAlign w:val="bottom"/>
            <w:tcBorders>
              <w:bottom w:val="single" w:sz="8" w:color="CFF0FC"/>
            </w:tcBorders>
            <w:shd w:val="clear" w:color="auto" w:fill="CFF0FC"/>
          </w:tcPr>
          <w:p>
            <w:pPr>
              <w:ind w:left="400"/>
              <w:spacing w:after="0" w:line="202" w:lineRule="exact"/>
              <w:rPr>
                <w:sz w:val="20"/>
                <w:szCs w:val="20"/>
                <w:color w:val="auto"/>
              </w:rPr>
            </w:pPr>
            <w:r>
              <w:rPr>
                <w:rFonts w:ascii="Arial" w:cs="Arial" w:eastAsia="Arial" w:hAnsi="Arial"/>
                <w:sz w:val="18"/>
                <w:szCs w:val="18"/>
                <w:color w:val="auto"/>
              </w:rPr>
              <w:t>Deferred financing costs, net</w:t>
            </w: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25</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19</w:t>
            </w:r>
          </w:p>
        </w:tc>
      </w:tr>
      <w:tr>
        <w:trPr>
          <w:trHeight w:val="196"/>
        </w:trPr>
        <w:tc>
          <w:tcPr>
            <w:tcW w:w="7760" w:type="dxa"/>
            <w:vAlign w:val="bottom"/>
          </w:tcPr>
          <w:p>
            <w:pPr>
              <w:ind w:left="200"/>
              <w:spacing w:after="0" w:line="196" w:lineRule="exact"/>
              <w:rPr>
                <w:sz w:val="20"/>
                <w:szCs w:val="20"/>
                <w:color w:val="auto"/>
              </w:rPr>
            </w:pPr>
            <w:r>
              <w:rPr>
                <w:rFonts w:ascii="Arial" w:cs="Arial" w:eastAsia="Arial" w:hAnsi="Arial"/>
                <w:sz w:val="18"/>
                <w:szCs w:val="18"/>
                <w:color w:val="auto"/>
              </w:rPr>
              <w:t>Total long-term debt, net</w:t>
            </w: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48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rPr>
              <w:t>3,992</w:t>
            </w:r>
          </w:p>
        </w:tc>
        <w:tc>
          <w:tcPr>
            <w:tcW w:w="3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33"/>
              <w:spacing w:after="0" w:line="196" w:lineRule="exact"/>
              <w:rPr>
                <w:sz w:val="20"/>
                <w:szCs w:val="20"/>
                <w:color w:val="auto"/>
              </w:rPr>
            </w:pPr>
            <w:r>
              <w:rPr>
                <w:rFonts w:ascii="Arial" w:cs="Arial" w:eastAsia="Arial" w:hAnsi="Arial"/>
                <w:sz w:val="18"/>
                <w:szCs w:val="18"/>
                <w:color w:val="auto"/>
              </w:rPr>
              <w:t>2,885</w:t>
            </w:r>
          </w:p>
        </w:tc>
      </w:tr>
      <w:tr>
        <w:trPr>
          <w:trHeight w:val="20"/>
        </w:trPr>
        <w:tc>
          <w:tcPr>
            <w:tcW w:w="7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-162560</wp:posOffset>
            </wp:positionV>
            <wp:extent cx="1028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4"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As of September 30, 2026, the Company had $4,037 million of indebtedness associated with ATI's 4.75% Senior Notes due October 2027 (“4.75% Senior Notes 2027”), ATI’s 5.875% Senior Notes due June 2029 (“5.875% Senior Notes 2029”), ATI’s 3.75% Senior Notes due January 2031 (“3.75% Senior Notes 2031”), ATI's 5.875% Senior Notes due December 2033 ("5.875% Senior Notes 2033" and, together with the 4.75% Senior Notes 2027, 5.875% Senior Notes 2029 and 3.75% Senior Notes 2031, the “Senior Notes”), the Second Amended and Restated Credit Agreement dated as of March 29, 2019, as amended (the “Credit Agreement”), governing ATI’s term loan facility in the amount of $505 million due March 2031 (“Term Loan”), ATI's incremental term loan in the amount of $1,194 million due January 2033 ("Incremental Term Loan"), ATI’s revolving credit facility with commitments in the amount of $1,000 million due January 2031 (the "Revolving Credit Facility" and, together with the Term Loan and Incremental Term Loan, the “Senior Secured Credit Facility”) and the Company's finance lease liabilities.</w:t>
      </w:r>
    </w:p>
    <w:p>
      <w:pPr>
        <w:spacing w:after="0" w:line="75" w:lineRule="exact"/>
        <w:rPr>
          <w:sz w:val="20"/>
          <w:szCs w:val="20"/>
          <w:color w:val="auto"/>
        </w:rPr>
      </w:pPr>
    </w:p>
    <w:p>
      <w:pPr>
        <w:jc w:val="both"/>
        <w:ind w:right="160" w:firstLine="494"/>
        <w:spacing w:after="0" w:line="253" w:lineRule="auto"/>
        <w:rPr>
          <w:sz w:val="20"/>
          <w:szCs w:val="20"/>
          <w:color w:val="auto"/>
        </w:rPr>
      </w:pPr>
      <w:r>
        <w:rPr>
          <w:rFonts w:ascii="Arial" w:cs="Arial" w:eastAsia="Arial" w:hAnsi="Arial"/>
          <w:sz w:val="18"/>
          <w:szCs w:val="18"/>
          <w:color w:val="auto"/>
        </w:rPr>
        <w:t>The fair value of the Company’s long-term debt obligations as of September 30, 2026 was $3,898 million. The fair value is based on quoted Level 2 market prices of the Company’s debt as of September 30, 2026. The difference between the fair value and carrying value of the long-term debt is driven primarily by trends in the financial markets.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02" w:lineRule="exact"/>
        <w:rPr>
          <w:sz w:val="20"/>
          <w:szCs w:val="20"/>
          <w:color w:val="auto"/>
        </w:rPr>
      </w:pPr>
    </w:p>
    <w:p>
      <w:pPr>
        <w:ind w:right="40" w:firstLine="494"/>
        <w:spacing w:after="0" w:line="239" w:lineRule="auto"/>
        <w:rPr>
          <w:sz w:val="20"/>
          <w:szCs w:val="20"/>
          <w:color w:val="auto"/>
        </w:rPr>
      </w:pPr>
      <w:r>
        <w:rPr>
          <w:rFonts w:ascii="Arial" w:cs="Arial" w:eastAsia="Arial" w:hAnsi="Arial"/>
          <w:sz w:val="18"/>
          <w:szCs w:val="18"/>
          <w:color w:val="auto"/>
        </w:rPr>
        <w:t>In January 2026, the Company and ATI entered into Amendment No. 5 ("Amendment No. 5") to the Credit Agreement to increase the commitments under the existing Revolving Credit Facility from $750 million to $1,000 million and provide for the Incremental Term Loan in an aggregate principal amount equal to $1,200 million, which matures on January 2, 2033 with a springing maturity to the maturity date of the Term Loan in the event the Term Loan matures on any date prior to January 2, 2033. With the exception of the items noted above, the terms of the Revolving Credit Facility were materially the same as they were prior to Amendment No. 5. The amendment to increase the commitments under the existing Revolving Credit Facility was treated as a modification under GAAP and the Incremental Term Loan was treated as new debt. The Company recorded $3 million and $12 million of deferred financing fees in the Condensed Consolidated Balance Sheet in the first quarter of 2026 associated with the amendment to increase the commitments under the existing Revolving Credit Facility and provide for the Incremental Term Loan, respectively.</w:t>
      </w:r>
    </w:p>
    <w:p>
      <w:pPr>
        <w:spacing w:after="0" w:line="75" w:lineRule="exact"/>
        <w:rPr>
          <w:sz w:val="20"/>
          <w:szCs w:val="20"/>
          <w:color w:val="auto"/>
        </w:rPr>
      </w:pPr>
    </w:p>
    <w:p>
      <w:pPr>
        <w:ind w:right="660" w:firstLine="494"/>
        <w:spacing w:after="0" w:line="271" w:lineRule="auto"/>
        <w:rPr>
          <w:sz w:val="20"/>
          <w:szCs w:val="20"/>
          <w:color w:val="auto"/>
        </w:rPr>
      </w:pPr>
      <w:r>
        <w:rPr>
          <w:rFonts w:ascii="Arial" w:cs="Arial" w:eastAsia="Arial" w:hAnsi="Arial"/>
          <w:sz w:val="18"/>
          <w:szCs w:val="18"/>
          <w:color w:val="auto"/>
        </w:rPr>
        <w:t>In June 2026, the Company and ATI entered into Amendment No. 6 ("Amendment No. 6") to the Credit Agreement to lower the applicable margin on the Term Loan by 0.25%. Amendment No. 6 was treated as a modification to the Term Loan under GAAP.</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The borrowings under the Senior Secured Credit Facility are collateralized by a lien on substantially all assets of the Company, ATI and certain existing and future U.S. subsidiary guarantors, as provided in the Credit Agreement. Interest on the Incremental Term Loan, as of September 30, 2026, is either (a) 1.75% over a SOFR rate on deposits in U.S. dollars for one-, three- or six-month periods (or a twelve-month period if, at the time of the borrowing, consented to by all relevant lenders and the administrative agent) ("Term SOFR"), or (b) 0.75% over the greater of the prime lending rate as quoted by the administrative agent, the Term SOFR rate for an interest period of one month plus 1.00% and the federal funds effective rate published by the Federal Reserve Bank of New York plus 0.50%, subject to a 1.00% floor (the "Base Rate"). As of September 30, 2026, the Company elected to pay the lowest all-in rate of Term SOFR plus the applicable margin, or 5.54%, on the Incremental Term Loan.</w:t>
      </w:r>
    </w:p>
    <w:p>
      <w:pPr>
        <w:spacing w:after="0" w:line="72" w:lineRule="exact"/>
        <w:rPr>
          <w:sz w:val="20"/>
          <w:szCs w:val="20"/>
          <w:color w:val="auto"/>
        </w:rPr>
      </w:pPr>
    </w:p>
    <w:p>
      <w:pPr>
        <w:ind w:right="100" w:firstLine="494"/>
        <w:spacing w:after="0" w:line="253" w:lineRule="auto"/>
        <w:rPr>
          <w:sz w:val="20"/>
          <w:szCs w:val="20"/>
          <w:color w:val="auto"/>
        </w:rPr>
      </w:pPr>
      <w:r>
        <w:rPr>
          <w:rFonts w:ascii="Arial" w:cs="Arial" w:eastAsia="Arial" w:hAnsi="Arial"/>
          <w:sz w:val="18"/>
          <w:szCs w:val="18"/>
          <w:color w:val="auto"/>
        </w:rPr>
        <w:t>Interest on the Term Loan, as of September 30, 2026, is either (a) 1.50% over the Term SOFR rate, or (b) 0.50% over the Base Rate. As of September 30, 2026, the Company elected to pay the lowest all-in rate of Term SOFR plus the applicable margin, or 5.29%, on the Term Loan.</w:t>
      </w:r>
    </w:p>
    <w:p>
      <w:pPr>
        <w:spacing w:after="0" w:line="61" w:lineRule="exact"/>
        <w:rPr>
          <w:sz w:val="20"/>
          <w:szCs w:val="20"/>
          <w:color w:val="auto"/>
        </w:rPr>
      </w:pPr>
    </w:p>
    <w:p>
      <w:pPr>
        <w:ind w:right="120" w:firstLine="494"/>
        <w:spacing w:after="0"/>
        <w:rPr>
          <w:sz w:val="20"/>
          <w:szCs w:val="20"/>
          <w:color w:val="auto"/>
        </w:rPr>
      </w:pPr>
      <w:r>
        <w:rPr>
          <w:rFonts w:ascii="Arial" w:cs="Arial" w:eastAsia="Arial" w:hAnsi="Arial"/>
          <w:sz w:val="18"/>
          <w:szCs w:val="18"/>
          <w:color w:val="auto"/>
        </w:rPr>
        <w:t>The Credit Agreement requires minimum quarterly principal payments on the Term Loan and Incremental Term Loan, as well as prepayments from certain net cash proceeds of non-ordinary course asset sales and casualty and condemnation events, the incurrence of certain debt and from a percentage of excess cash flow, if applicable. The minimum required quarterly principal payment on the Term Loan through its maturity date of March 2031 is $1 million and the minimum required quarterly payment on the Incremental Term Loan through its maturity date of January 2033 is $3 million. As of September 30, 2026, there had been no payments required for certain net cash proceeds of non-ordinary course asset sales and casualty and condemnation events. The remaining principal balances are due upon maturity of the Term Loan and the Incremental Term Loan.</w:t>
      </w:r>
    </w:p>
    <w:p>
      <w:pPr>
        <w:spacing w:after="0" w:line="77"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The Senior Secured Credit Facility also provides a Revolving Credit Facility, net of an allowance for up to $75 million in outstanding letters of credit commitments. During the nine months ended September 30, 2026, the Company withdrew $300 million to partially fund the Acquisition and fully repaid the outstanding balance on the Revolving Credit Facility. The maximum amount outstanding at any time during the nine months ended September 30, 2026 was $300 million. As of September 30, 2026, the Company had $996 million available under the Revolving Credit Facility, net of $4 million in letters of credit. Borrowings under the Revolving Credit Facility bear interest at a variable base rate plus an applicable margin based on the Company’s first lien net leverage ratio. When the Company’s first lien net leverage ratio is above 4.00x, interest on the Revolving Credit Facility is (a) 0.75% over the Base Rate or (b) 1.75% over the Term SOFR rate; when the Company’s first lien net leverage ratio is equal to or less than 4.00x and above 3.50x, interest on the Revolving Credit Facility is (i) 0.50% over the Base Rate or (ii) 1.50% over the Term SOFR rate; and when the Company’s first lien net leverage ratio is equal to or below 3.50x, interest on the Revolving Credit Facility is (y) 0.25% over the Base Rate or (z) 1.25% over the Term SOFR rate. In addition, there is an annual commitment fee, based on the Company’s first lien net leverage ratio, on the average unused revolving credit borrowings available under the Revolving Credit Facility. As of September 30, 2026, the commitment fee was 0.25%. Borrowings under the Revolving Credit Facility are payable at the option of the Company throughout the term of the Revolving Credit Facility with the balance due in January 2031.</w:t>
      </w:r>
    </w:p>
    <w:p>
      <w:pPr>
        <w:spacing w:after="0" w:line="72" w:lineRule="exact"/>
        <w:rPr>
          <w:sz w:val="20"/>
          <w:szCs w:val="20"/>
          <w:color w:val="auto"/>
        </w:rPr>
      </w:pPr>
    </w:p>
    <w:p>
      <w:pPr>
        <w:ind w:right="60" w:firstLine="494"/>
        <w:spacing w:after="0" w:line="244" w:lineRule="auto"/>
        <w:rPr>
          <w:sz w:val="20"/>
          <w:szCs w:val="20"/>
          <w:color w:val="auto"/>
        </w:rPr>
      </w:pPr>
      <w:r>
        <w:rPr>
          <w:rFonts w:ascii="Arial" w:cs="Arial" w:eastAsia="Arial" w:hAnsi="Arial"/>
          <w:sz w:val="18"/>
          <w:szCs w:val="18"/>
          <w:color w:val="auto"/>
        </w:rPr>
        <w:t>The Senior Secured Credit Facility requires the Company to maintain a specified maximum first lien net leverage ratio of 5.50x when revolving loan commitments remain outstanding on the Revolving Credit Facility at the end of a fiscal quarter. As of September 30, 2026, the Company was in compliance with the maximum first lien net leverage ratio, achieving a 0.84x ratio. Additionally, within the terms of the Senior Secured Credit Facility, a first lien net leverage ratio at or below 4.00x results in the elimination of excess cash flow payments on the Senior Secured Credit Facility for the applicable year.</w:t>
      </w:r>
    </w:p>
    <w:p>
      <w:pPr>
        <w:spacing w:after="0" w:line="68" w:lineRule="exact"/>
        <w:rPr>
          <w:sz w:val="20"/>
          <w:szCs w:val="20"/>
          <w:color w:val="auto"/>
        </w:rPr>
      </w:pPr>
    </w:p>
    <w:p>
      <w:pPr>
        <w:ind w:right="320" w:firstLine="494"/>
        <w:spacing w:after="0" w:line="253" w:lineRule="auto"/>
        <w:rPr>
          <w:sz w:val="20"/>
          <w:szCs w:val="20"/>
          <w:color w:val="auto"/>
        </w:rPr>
      </w:pPr>
      <w:r>
        <w:rPr>
          <w:rFonts w:ascii="Arial" w:cs="Arial" w:eastAsia="Arial" w:hAnsi="Arial"/>
          <w:sz w:val="18"/>
          <w:szCs w:val="18"/>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Company’s common stock. As of September 30, 2026, the Company was in compliance with all covenants under the Credit Agreement.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September 2026, the Company made a $100 million redemption payment on the 4.75% Senior Notes.</w:t>
      </w:r>
    </w:p>
    <w:p>
      <w:pPr>
        <w:spacing w:after="0" w:line="104"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Each series of the Senior Notes is unsecured and is guaranteed by each of ATI’s domestic subsidiaries that is a borrower under or guarantees the Senior Secured Credit Facility and is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any series of the Senior Notes. The indentures governing the Senior Notes contain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September 30, 2026, the Company was in compliance with all covenants under the indentures governing the Senior Notes.</w:t>
      </w:r>
    </w:p>
    <w:p>
      <w:pPr>
        <w:spacing w:after="0" w:line="75"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ATI may from time to time seek to retire its Senior Notes through cash purchases, exchanges for equity securities, open market purchases, privately negotiated transactions, contractual redemptions or otherwise. Such repurchases or exchanges, if any, will depend on prevailing market conditions, liquidity requirements, contractual restrictions and other factors and will be in accordance with the respective indenture governing such notes. The amounts involved may be material. Some or all of the 4.75% Senior Notes 2027, the 5.875% Senior Notes 2029 and the 3.75% Senior Notes 2031 may be redeemed at any time at redemption prices specified in the indentures governing such notes. Prior to December 1, 2028, ATI may redeem some or all of the 5.875% Senior Notes 2033 by paying a price equal to 100.00% of the principal amount being redeemed, plus an “applicable premium”. At any time on or after December 1, 2028, ATI may redeem some or all of the 5.875% Senior Notes 2033 at redemption prices specified in the indenture governing such notes.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PRODUCT WARRANTY LIABILITIES</w:t>
      </w:r>
    </w:p>
    <w:p>
      <w:pPr>
        <w:spacing w:after="0" w:line="104" w:lineRule="exact"/>
        <w:rPr>
          <w:sz w:val="20"/>
          <w:szCs w:val="20"/>
          <w:color w:val="auto"/>
        </w:rPr>
      </w:pPr>
    </w:p>
    <w:p>
      <w:pPr>
        <w:ind w:right="380" w:firstLine="494"/>
        <w:spacing w:after="0" w:line="271" w:lineRule="auto"/>
        <w:rPr>
          <w:sz w:val="20"/>
          <w:szCs w:val="20"/>
          <w:color w:val="auto"/>
        </w:rPr>
      </w:pPr>
      <w:r>
        <w:rPr>
          <w:rFonts w:ascii="Arial" w:cs="Arial" w:eastAsia="Arial" w:hAnsi="Arial"/>
          <w:sz w:val="18"/>
          <w:szCs w:val="18"/>
          <w:color w:val="auto"/>
        </w:rPr>
        <w:t>As of September 30, 2026, current and non-current product warranty liabilities were $61 million and $66 million, respectively. As of September 30, 2025, current and non-current product warranty liabilities were $34 million and $47 million, respectively.</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Product warranty liability activities consisted of the following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214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Nine Months Ended</w:t>
            </w:r>
          </w:p>
        </w:tc>
      </w:tr>
      <w:tr>
        <w:trPr>
          <w:trHeight w:val="162"/>
        </w:trPr>
        <w:tc>
          <w:tcPr>
            <w:tcW w:w="6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4"/>
                <w:szCs w:val="14"/>
                <w:color w:val="auto"/>
              </w:rPr>
            </w:pPr>
          </w:p>
        </w:tc>
      </w:tr>
      <w:tr>
        <w:trPr>
          <w:trHeight w:val="171"/>
        </w:trPr>
        <w:tc>
          <w:tcPr>
            <w:tcW w:w="60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2025</w:t>
            </w:r>
          </w:p>
        </w:tc>
      </w:tr>
      <w:tr>
        <w:trPr>
          <w:trHeight w:val="196"/>
        </w:trPr>
        <w:tc>
          <w:tcPr>
            <w:tcW w:w="6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Beginning balance</w:t>
            </w:r>
          </w:p>
        </w:tc>
        <w:tc>
          <w:tcPr>
            <w:tcW w:w="720" w:type="dxa"/>
            <w:vAlign w:val="bottom"/>
            <w:shd w:val="clear" w:color="auto" w:fill="CFF0FC"/>
          </w:tcPr>
          <w:p>
            <w:pPr>
              <w:jc w:val="right"/>
              <w:ind w:right="539"/>
              <w:spacing w:after="0" w:line="196" w:lineRule="exact"/>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128</w:t>
            </w:r>
          </w:p>
        </w:tc>
        <w:tc>
          <w:tcPr>
            <w:tcW w:w="920" w:type="dxa"/>
            <w:vAlign w:val="bottom"/>
            <w:gridSpan w:val="2"/>
            <w:shd w:val="clear" w:color="auto" w:fill="CFF0FC"/>
          </w:tcPr>
          <w:p>
            <w:pPr>
              <w:jc w:val="right"/>
              <w:ind w:right="628"/>
              <w:spacing w:after="0" w:line="196"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79</w:t>
            </w:r>
          </w:p>
        </w:tc>
        <w:tc>
          <w:tcPr>
            <w:tcW w:w="3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b w:val="1"/>
                <w:bCs w:val="1"/>
                <w:color w:val="auto"/>
              </w:rPr>
              <w:t>84</w:t>
            </w:r>
          </w:p>
        </w:tc>
        <w:tc>
          <w:tcPr>
            <w:tcW w:w="50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67</w:t>
            </w: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Acquired warranty liabilities</w:t>
            </w:r>
          </w:p>
        </w:tc>
        <w:tc>
          <w:tcPr>
            <w:tcW w:w="720" w:type="dxa"/>
            <w:vAlign w:val="bottom"/>
          </w:tcPr>
          <w:p>
            <w:pPr>
              <w:spacing w:after="0"/>
              <w:rPr>
                <w:sz w:val="17"/>
                <w:szCs w:val="17"/>
                <w:color w:val="auto"/>
              </w:rPr>
            </w:pPr>
          </w:p>
        </w:tc>
        <w:tc>
          <w:tcPr>
            <w:tcW w:w="5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38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r>
      <w:tr>
        <w:trPr>
          <w:trHeight w:val="203"/>
        </w:trPr>
        <w:tc>
          <w:tcPr>
            <w:tcW w:w="6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Increase in liability (warranty issued during period)</w:t>
            </w:r>
          </w:p>
        </w:tc>
        <w:tc>
          <w:tcPr>
            <w:tcW w:w="72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b w:val="1"/>
                <w:bCs w:val="1"/>
                <w:color w:val="auto"/>
              </w:rPr>
              <w:t>40</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26</w:t>
            </w: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Payments</w:t>
            </w:r>
          </w:p>
        </w:tc>
        <w:tc>
          <w:tcPr>
            <w:tcW w:w="7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03"/>
        </w:trPr>
        <w:tc>
          <w:tcPr>
            <w:tcW w:w="60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adjustments to liability</w:t>
            </w:r>
          </w:p>
        </w:tc>
        <w:tc>
          <w:tcPr>
            <w:tcW w:w="72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15</w:t>
            </w:r>
          </w:p>
        </w:tc>
      </w:tr>
      <w:tr>
        <w:trPr>
          <w:trHeight w:val="196"/>
        </w:trPr>
        <w:tc>
          <w:tcPr>
            <w:tcW w:w="6020" w:type="dxa"/>
            <w:vAlign w:val="bottom"/>
          </w:tcPr>
          <w:p>
            <w:pPr>
              <w:spacing w:after="0" w:line="196" w:lineRule="exact"/>
              <w:rPr>
                <w:sz w:val="20"/>
                <w:szCs w:val="20"/>
                <w:color w:val="auto"/>
              </w:rPr>
            </w:pPr>
            <w:r>
              <w:rPr>
                <w:rFonts w:ascii="Arial" w:cs="Arial" w:eastAsia="Arial" w:hAnsi="Arial"/>
                <w:sz w:val="18"/>
                <w:szCs w:val="18"/>
                <w:color w:val="auto"/>
              </w:rPr>
              <w:t>Ending balance</w:t>
            </w:r>
          </w:p>
        </w:tc>
        <w:tc>
          <w:tcPr>
            <w:tcW w:w="720" w:type="dxa"/>
            <w:vAlign w:val="bottom"/>
          </w:tcPr>
          <w:p>
            <w:pPr>
              <w:jc w:val="right"/>
              <w:ind w:right="539"/>
              <w:spacing w:after="0" w:line="196" w:lineRule="exact"/>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ind w:right="53"/>
              <w:spacing w:after="0" w:line="196" w:lineRule="exact"/>
              <w:rPr>
                <w:sz w:val="20"/>
                <w:szCs w:val="20"/>
                <w:color w:val="auto"/>
              </w:rPr>
            </w:pPr>
            <w:r>
              <w:rPr>
                <w:rFonts w:ascii="Arial" w:cs="Arial" w:eastAsia="Arial" w:hAnsi="Arial"/>
                <w:sz w:val="18"/>
                <w:szCs w:val="18"/>
                <w:b w:val="1"/>
                <w:bCs w:val="1"/>
                <w:color w:val="auto"/>
              </w:rPr>
              <w:t>127</w:t>
            </w:r>
          </w:p>
        </w:tc>
        <w:tc>
          <w:tcPr>
            <w:tcW w:w="920" w:type="dxa"/>
            <w:vAlign w:val="bottom"/>
            <w:gridSpan w:val="2"/>
          </w:tcPr>
          <w:p>
            <w:pPr>
              <w:jc w:val="right"/>
              <w:ind w:right="628"/>
              <w:spacing w:after="0" w:line="196"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81</w:t>
            </w:r>
          </w:p>
        </w:tc>
        <w:tc>
          <w:tcPr>
            <w:tcW w:w="380" w:type="dxa"/>
            <w:vAlign w:val="bottom"/>
            <w:gridSpan w:val="2"/>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6"/>
              <w:spacing w:after="0" w:line="196" w:lineRule="exact"/>
              <w:rPr>
                <w:sz w:val="20"/>
                <w:szCs w:val="20"/>
                <w:color w:val="auto"/>
              </w:rPr>
            </w:pPr>
            <w:r>
              <w:rPr>
                <w:rFonts w:ascii="Arial" w:cs="Arial" w:eastAsia="Arial" w:hAnsi="Arial"/>
                <w:sz w:val="18"/>
                <w:szCs w:val="18"/>
                <w:b w:val="1"/>
                <w:bCs w:val="1"/>
                <w:color w:val="auto"/>
              </w:rPr>
              <w:t>127</w:t>
            </w:r>
          </w:p>
        </w:tc>
        <w:tc>
          <w:tcPr>
            <w:tcW w:w="5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line="196" w:lineRule="exact"/>
              <w:rPr>
                <w:sz w:val="20"/>
                <w:szCs w:val="20"/>
                <w:color w:val="auto"/>
              </w:rPr>
            </w:pPr>
            <w:r>
              <w:rPr>
                <w:rFonts w:ascii="Arial" w:cs="Arial" w:eastAsia="Arial" w:hAnsi="Arial"/>
                <w:sz w:val="18"/>
                <w:szCs w:val="18"/>
                <w:color w:val="auto"/>
              </w:rPr>
              <w:t>81</w:t>
            </w:r>
          </w:p>
        </w:tc>
      </w:tr>
      <w:tr>
        <w:trPr>
          <w:trHeight w:val="20"/>
        </w:trPr>
        <w:tc>
          <w:tcPr>
            <w:tcW w:w="6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-162560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-162560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-162560</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DEFERRED REVENUE</w:t>
      </w:r>
    </w:p>
    <w:p>
      <w:pPr>
        <w:spacing w:after="0" w:line="104" w:lineRule="exact"/>
        <w:rPr>
          <w:sz w:val="20"/>
          <w:szCs w:val="20"/>
          <w:color w:val="auto"/>
        </w:rPr>
      </w:pPr>
    </w:p>
    <w:p>
      <w:pPr>
        <w:jc w:val="both"/>
        <w:ind w:right="40" w:firstLine="494"/>
        <w:spacing w:after="0" w:line="271" w:lineRule="auto"/>
        <w:rPr>
          <w:sz w:val="20"/>
          <w:szCs w:val="20"/>
          <w:color w:val="auto"/>
        </w:rPr>
      </w:pPr>
      <w:r>
        <w:rPr>
          <w:rFonts w:ascii="Arial" w:cs="Arial" w:eastAsia="Arial" w:hAnsi="Arial"/>
          <w:sz w:val="18"/>
          <w:szCs w:val="18"/>
          <w:color w:val="auto"/>
        </w:rPr>
        <w:t>As of September 30, 2026, current and non-current deferred revenue were $74 million and $105 million, respectively. As of September 30, 2025, current and non-current deferred revenue were $35 million and $101 million, respectively.</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revenue activity consisted of the following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4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r>
      <w:tr>
        <w:trPr>
          <w:trHeight w:val="162"/>
        </w:trPr>
        <w:tc>
          <w:tcPr>
            <w:tcW w:w="3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60" w:type="dxa"/>
            <w:vAlign w:val="bottom"/>
            <w:gridSpan w:val="3"/>
          </w:tcPr>
          <w:p>
            <w:pPr>
              <w:jc w:val="right"/>
              <w:ind w:right="588"/>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Pr>
          <w:p>
            <w:pPr>
              <w:spacing w:after="0"/>
              <w:rPr>
                <w:sz w:val="14"/>
                <w:szCs w:val="14"/>
                <w:color w:val="auto"/>
              </w:rPr>
            </w:pPr>
          </w:p>
        </w:tc>
      </w:tr>
      <w:tr>
        <w:trPr>
          <w:trHeight w:val="171"/>
        </w:trPr>
        <w:tc>
          <w:tcPr>
            <w:tcW w:w="3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2026</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2025</w:t>
            </w:r>
          </w:p>
        </w:tc>
      </w:tr>
      <w:tr>
        <w:trPr>
          <w:trHeight w:val="196"/>
        </w:trPr>
        <w:tc>
          <w:tcPr>
            <w:tcW w:w="3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Beginning balance</w:t>
            </w:r>
          </w:p>
        </w:tc>
        <w:tc>
          <w:tcPr>
            <w:tcW w:w="2160" w:type="dxa"/>
            <w:vAlign w:val="bottom"/>
            <w:gridSpan w:val="2"/>
            <w:shd w:val="clear" w:color="auto" w:fill="CFF0FC"/>
          </w:tcPr>
          <w:p>
            <w:pPr>
              <w:jc w:val="right"/>
              <w:ind w:right="808"/>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178</w:t>
            </w:r>
          </w:p>
        </w:tc>
        <w:tc>
          <w:tcPr>
            <w:tcW w:w="1180" w:type="dxa"/>
            <w:vAlign w:val="bottom"/>
            <w:gridSpan w:val="2"/>
            <w:shd w:val="clear" w:color="auto" w:fill="CFF0FC"/>
          </w:tcPr>
          <w:p>
            <w:pPr>
              <w:jc w:val="right"/>
              <w:ind w:right="848"/>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136</w:t>
            </w:r>
          </w:p>
        </w:tc>
        <w:tc>
          <w:tcPr>
            <w:tcW w:w="1040" w:type="dxa"/>
            <w:vAlign w:val="bottom"/>
            <w:gridSpan w:val="2"/>
            <w:shd w:val="clear" w:color="auto" w:fill="CFF0FC"/>
          </w:tcPr>
          <w:p>
            <w:pPr>
              <w:jc w:val="right"/>
              <w:ind w:right="728"/>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b w:val="1"/>
                <w:bCs w:val="1"/>
                <w:color w:val="auto"/>
              </w:rPr>
              <w:t>137</w:t>
            </w:r>
          </w:p>
        </w:tc>
        <w:tc>
          <w:tcPr>
            <w:tcW w:w="700" w:type="dxa"/>
            <w:vAlign w:val="bottom"/>
            <w:gridSpan w:val="2"/>
            <w:shd w:val="clear" w:color="auto" w:fill="CFF0FC"/>
          </w:tcPr>
          <w:p>
            <w:pPr>
              <w:jc w:val="right"/>
              <w:ind w:right="46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136</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Increases</w:t>
            </w: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19</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9</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66</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36</w:t>
            </w:r>
          </w:p>
        </w:tc>
      </w:tr>
      <w:tr>
        <w:trPr>
          <w:trHeight w:val="203"/>
        </w:trPr>
        <w:tc>
          <w:tcPr>
            <w:tcW w:w="3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 earned</w:t>
            </w:r>
          </w:p>
        </w:tc>
        <w:tc>
          <w:tcPr>
            <w:tcW w:w="1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(18)</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(55)</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Acquired deferred revenue</w:t>
            </w:r>
          </w:p>
        </w:tc>
        <w:tc>
          <w:tcPr>
            <w:tcW w:w="11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b w:val="1"/>
                <w:bCs w:val="1"/>
                <w:color w:val="auto"/>
              </w:rPr>
              <w:t>31</w:t>
            </w:r>
          </w:p>
        </w:tc>
        <w:tc>
          <w:tcPr>
            <w:tcW w:w="1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w:t>
            </w:r>
          </w:p>
        </w:tc>
      </w:tr>
      <w:tr>
        <w:trPr>
          <w:trHeight w:val="216"/>
        </w:trPr>
        <w:tc>
          <w:tcPr>
            <w:tcW w:w="3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Ending balance</w:t>
            </w:r>
          </w:p>
        </w:tc>
        <w:tc>
          <w:tcPr>
            <w:tcW w:w="2160" w:type="dxa"/>
            <w:vAlign w:val="bottom"/>
            <w:gridSpan w:val="2"/>
            <w:shd w:val="clear" w:color="auto" w:fill="CFF0FC"/>
          </w:tcPr>
          <w:p>
            <w:pPr>
              <w:jc w:val="right"/>
              <w:ind w:right="808"/>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179</w:t>
            </w:r>
          </w:p>
        </w:tc>
        <w:tc>
          <w:tcPr>
            <w:tcW w:w="1180" w:type="dxa"/>
            <w:vAlign w:val="bottom"/>
            <w:gridSpan w:val="2"/>
            <w:shd w:val="clear" w:color="auto" w:fill="CFF0FC"/>
          </w:tcPr>
          <w:p>
            <w:pPr>
              <w:jc w:val="right"/>
              <w:ind w:right="848"/>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136</w:t>
            </w:r>
          </w:p>
        </w:tc>
        <w:tc>
          <w:tcPr>
            <w:tcW w:w="1040" w:type="dxa"/>
            <w:vAlign w:val="bottom"/>
            <w:gridSpan w:val="2"/>
            <w:shd w:val="clear" w:color="auto" w:fill="CFF0FC"/>
          </w:tcPr>
          <w:p>
            <w:pPr>
              <w:jc w:val="right"/>
              <w:ind w:right="728"/>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b w:val="1"/>
                <w:bCs w:val="1"/>
                <w:color w:val="auto"/>
              </w:rPr>
              <w:t>179</w:t>
            </w:r>
          </w:p>
        </w:tc>
        <w:tc>
          <w:tcPr>
            <w:tcW w:w="700" w:type="dxa"/>
            <w:vAlign w:val="bottom"/>
            <w:gridSpan w:val="2"/>
            <w:shd w:val="clear" w:color="auto" w:fill="CFF0FC"/>
          </w:tcPr>
          <w:p>
            <w:pPr>
              <w:jc w:val="right"/>
              <w:ind w:right="46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136</w:t>
            </w:r>
          </w:p>
        </w:tc>
      </w:tr>
      <w:tr>
        <w:trPr>
          <w:trHeight w:val="20"/>
        </w:trPr>
        <w:tc>
          <w:tcPr>
            <w:tcW w:w="33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-24765</wp:posOffset>
            </wp:positionV>
            <wp:extent cx="939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939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939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939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939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939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64" w:lineRule="exact"/>
        <w:rPr>
          <w:sz w:val="20"/>
          <w:szCs w:val="20"/>
          <w:color w:val="auto"/>
        </w:rPr>
      </w:pPr>
    </w:p>
    <w:p>
      <w:pPr>
        <w:ind w:right="320" w:firstLine="494"/>
        <w:spacing w:after="0" w:line="253" w:lineRule="auto"/>
        <w:rPr>
          <w:sz w:val="20"/>
          <w:szCs w:val="20"/>
          <w:color w:val="auto"/>
        </w:rPr>
      </w:pPr>
      <w:r>
        <w:rPr>
          <w:rFonts w:ascii="Arial" w:cs="Arial" w:eastAsia="Arial" w:hAnsi="Arial"/>
          <w:sz w:val="18"/>
          <w:szCs w:val="18"/>
          <w:color w:val="auto"/>
        </w:rPr>
        <w:t>Deferred revenue recorded in current and non-current liabilities related to ETC as of September 30, 2026 was $33 million and $104 million, respectively. Deferred revenue recorded in current and non-current liabilities related to ETC as of September 30, 2025 was $29 million and $101 million, respectively.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LEASES</w:t>
      </w:r>
    </w:p>
    <w:p>
      <w:pPr>
        <w:spacing w:after="0" w:line="104"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Contracts are assessed by the Company to determine if the contract conveys the right to control an identified asset in exchange for consideration during a period of time. The Company classifies all identified leases as either operating or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77" w:lineRule="exact"/>
        <w:rPr>
          <w:sz w:val="20"/>
          <w:szCs w:val="20"/>
          <w:color w:val="auto"/>
        </w:rPr>
      </w:pPr>
    </w:p>
    <w:p>
      <w:pPr>
        <w:ind w:right="320" w:firstLine="494"/>
        <w:spacing w:after="0" w:line="253" w:lineRule="auto"/>
        <w:rPr>
          <w:sz w:val="20"/>
          <w:szCs w:val="20"/>
          <w:color w:val="auto"/>
        </w:rPr>
      </w:pPr>
      <w:r>
        <w:rPr>
          <w:rFonts w:ascii="Arial" w:cs="Arial" w:eastAsia="Arial" w:hAnsi="Arial"/>
          <w:sz w:val="18"/>
          <w:szCs w:val="18"/>
          <w:color w:val="auto"/>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at inception of the contract.</w:t>
      </w:r>
    </w:p>
    <w:p>
      <w:pPr>
        <w:spacing w:after="0" w:line="61"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ROU assets are calculated as the related lease liability adjusted for lease incentives, any initial direct costs, prepayments and the effect of escalating lease payments on period expense. During the nine months ended September 30, 2026, the Company recorded $76 million and $39 million of new ROU assets obtained in exchange for operating lease obligations and financing lease obligations, respectively, of which $53 million of the operating leases and $35 million of the finance leases were acquired in the Acquisition. The Company also acquired a below market lease in the Acquisition, resulting in the recognition of a favorable lease asset of $36 million. During the nine months ended September 30, 2025, the Company recorded $2 million of new ROU assets obtained in exchange for operating lease obligations and no financing lease obligations.</w:t>
      </w:r>
    </w:p>
    <w:p>
      <w:pPr>
        <w:spacing w:after="0" w:line="77" w:lineRule="exact"/>
        <w:rPr>
          <w:sz w:val="20"/>
          <w:szCs w:val="20"/>
          <w:color w:val="auto"/>
        </w:rPr>
      </w:pPr>
    </w:p>
    <w:p>
      <w:pPr>
        <w:ind w:right="100" w:firstLine="494"/>
        <w:spacing w:after="0" w:line="247" w:lineRule="auto"/>
        <w:rPr>
          <w:sz w:val="20"/>
          <w:szCs w:val="20"/>
          <w:color w:val="auto"/>
        </w:rPr>
      </w:pPr>
      <w:r>
        <w:rPr>
          <w:rFonts w:ascii="Arial" w:cs="Arial" w:eastAsia="Arial" w:hAnsi="Arial"/>
          <w:sz w:val="18"/>
          <w:szCs w:val="18"/>
          <w:color w:val="auto"/>
        </w:rPr>
        <w:t>The Company's lease liability is determined by discounting the future cash flows over the lease period using incremental borrowing rates. The incremental borrowing rates are determined using rates specific to the term of the lease, the economic environments where lease activity is concentrated and the value of the lease portfolio, and assuming full collateralization of the loans. Lease liabilities are classified between current and non-current liabilities based on the terms of the underlying leases.</w:t>
      </w:r>
    </w:p>
    <w:p>
      <w:pPr>
        <w:spacing w:after="0" w:line="66" w:lineRule="exact"/>
        <w:rPr>
          <w:sz w:val="20"/>
          <w:szCs w:val="20"/>
          <w:color w:val="auto"/>
        </w:rPr>
      </w:pPr>
    </w:p>
    <w:p>
      <w:pPr>
        <w:ind w:right="280" w:firstLine="494"/>
        <w:spacing w:after="0" w:line="271" w:lineRule="auto"/>
        <w:rPr>
          <w:sz w:val="20"/>
          <w:szCs w:val="20"/>
          <w:color w:val="auto"/>
        </w:rPr>
      </w:pPr>
      <w:r>
        <w:rPr>
          <w:rFonts w:ascii="Arial" w:cs="Arial" w:eastAsia="Arial" w:hAnsi="Arial"/>
          <w:sz w:val="18"/>
          <w:szCs w:val="18"/>
          <w:color w:val="auto"/>
        </w:rPr>
        <w:t>The balances for the operating and finance leases where the Company is the lessee are presented as follows within the Company’s Condensed Consolidated Balance Sheets (dollars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314"/>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33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2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2026</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2025</w:t>
            </w:r>
          </w:p>
        </w:tc>
      </w:tr>
      <w:tr>
        <w:trPr>
          <w:trHeight w:val="196"/>
        </w:trPr>
        <w:tc>
          <w:tcPr>
            <w:tcW w:w="42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Operating leases:</w:t>
            </w:r>
          </w:p>
        </w:tc>
        <w:tc>
          <w:tcPr>
            <w:tcW w:w="3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03"/>
        </w:trPr>
        <w:tc>
          <w:tcPr>
            <w:tcW w:w="4240" w:type="dxa"/>
            <w:vAlign w:val="bottom"/>
          </w:tcPr>
          <w:p>
            <w:pPr>
              <w:ind w:left="200"/>
              <w:spacing w:after="0" w:line="202" w:lineRule="exact"/>
              <w:rPr>
                <w:sz w:val="20"/>
                <w:szCs w:val="20"/>
                <w:color w:val="auto"/>
              </w:rPr>
            </w:pPr>
            <w:r>
              <w:rPr>
                <w:rFonts w:ascii="Arial" w:cs="Arial" w:eastAsia="Arial" w:hAnsi="Arial"/>
                <w:sz w:val="18"/>
                <w:szCs w:val="18"/>
                <w:color w:val="auto"/>
              </w:rPr>
              <w:t>Other non-current assets</w:t>
            </w:r>
          </w:p>
        </w:tc>
        <w:tc>
          <w:tcPr>
            <w:tcW w:w="37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112</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18</w:t>
            </w:r>
          </w:p>
        </w:tc>
      </w:tr>
      <w:tr>
        <w:trPr>
          <w:trHeight w:val="203"/>
        </w:trPr>
        <w:tc>
          <w:tcPr>
            <w:tcW w:w="4240" w:type="dxa"/>
            <w:vAlign w:val="bottom"/>
            <w:shd w:val="clear" w:color="auto" w:fill="CFF0FC"/>
          </w:tcPr>
          <w:p>
            <w:pPr>
              <w:spacing w:after="0"/>
              <w:rPr>
                <w:sz w:val="17"/>
                <w:szCs w:val="17"/>
                <w:color w:val="auto"/>
              </w:rPr>
            </w:pPr>
          </w:p>
        </w:tc>
        <w:tc>
          <w:tcPr>
            <w:tcW w:w="3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03"/>
        </w:trPr>
        <w:tc>
          <w:tcPr>
            <w:tcW w:w="4240" w:type="dxa"/>
            <w:vAlign w:val="bottom"/>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37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15</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w:t>
            </w:r>
          </w:p>
        </w:tc>
      </w:tr>
      <w:tr>
        <w:trPr>
          <w:trHeight w:val="203"/>
        </w:trPr>
        <w:tc>
          <w:tcPr>
            <w:tcW w:w="42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non-current liabilities</w:t>
            </w:r>
          </w:p>
        </w:tc>
        <w:tc>
          <w:tcPr>
            <w:tcW w:w="35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b w:val="1"/>
                <w:bCs w:val="1"/>
                <w:color w:val="auto"/>
              </w:rPr>
              <w:t>64</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13</w:t>
            </w:r>
          </w:p>
        </w:tc>
      </w:tr>
      <w:tr>
        <w:trPr>
          <w:trHeight w:val="196"/>
        </w:trPr>
        <w:tc>
          <w:tcPr>
            <w:tcW w:w="4240" w:type="dxa"/>
            <w:vAlign w:val="bottom"/>
          </w:tcPr>
          <w:p>
            <w:pPr>
              <w:ind w:left="400"/>
              <w:spacing w:after="0" w:line="196" w:lineRule="exact"/>
              <w:rPr>
                <w:sz w:val="20"/>
                <w:szCs w:val="20"/>
                <w:color w:val="auto"/>
              </w:rPr>
            </w:pPr>
            <w:r>
              <w:rPr>
                <w:rFonts w:ascii="Arial" w:cs="Arial" w:eastAsia="Arial" w:hAnsi="Arial"/>
                <w:sz w:val="18"/>
                <w:szCs w:val="18"/>
                <w:color w:val="auto"/>
              </w:rPr>
              <w:t>Total operating lease liabilities</w:t>
            </w:r>
          </w:p>
        </w:tc>
        <w:tc>
          <w:tcPr>
            <w:tcW w:w="3700" w:type="dxa"/>
            <w:vAlign w:val="bottom"/>
            <w:gridSpan w:val="2"/>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34"/>
              <w:spacing w:after="0" w:line="196" w:lineRule="exact"/>
              <w:rPr>
                <w:sz w:val="20"/>
                <w:szCs w:val="20"/>
                <w:color w:val="auto"/>
              </w:rPr>
            </w:pPr>
            <w:r>
              <w:rPr>
                <w:rFonts w:ascii="Arial" w:cs="Arial" w:eastAsia="Arial" w:hAnsi="Arial"/>
                <w:sz w:val="18"/>
                <w:szCs w:val="18"/>
                <w:b w:val="1"/>
                <w:bCs w:val="1"/>
                <w:color w:val="auto"/>
              </w:rPr>
              <w:t>79</w:t>
            </w:r>
          </w:p>
        </w:tc>
        <w:tc>
          <w:tcPr>
            <w:tcW w:w="3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line="196" w:lineRule="exact"/>
              <w:rPr>
                <w:sz w:val="20"/>
                <w:szCs w:val="20"/>
                <w:color w:val="auto"/>
              </w:rPr>
            </w:pPr>
            <w:r>
              <w:rPr>
                <w:rFonts w:ascii="Arial" w:cs="Arial" w:eastAsia="Arial" w:hAnsi="Arial"/>
                <w:sz w:val="18"/>
                <w:szCs w:val="18"/>
                <w:color w:val="auto"/>
              </w:rPr>
              <w:t>18</w:t>
            </w:r>
          </w:p>
        </w:tc>
      </w:tr>
      <w:tr>
        <w:trPr>
          <w:trHeight w:val="20"/>
        </w:trPr>
        <w:tc>
          <w:tcPr>
            <w:tcW w:w="42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4240" w:type="dxa"/>
            <w:vAlign w:val="bottom"/>
            <w:shd w:val="clear" w:color="auto" w:fill="CFF0FC"/>
          </w:tcPr>
          <w:p>
            <w:pPr>
              <w:spacing w:after="0"/>
              <w:rPr>
                <w:sz w:val="15"/>
                <w:szCs w:val="15"/>
                <w:color w:val="auto"/>
              </w:rPr>
            </w:pPr>
          </w:p>
        </w:tc>
        <w:tc>
          <w:tcPr>
            <w:tcW w:w="3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b w:val="1"/>
                <w:bCs w:val="1"/>
                <w:color w:val="auto"/>
              </w:rPr>
              <w:t>Finance leases:</w:t>
            </w:r>
          </w:p>
        </w:tc>
        <w:tc>
          <w:tcPr>
            <w:tcW w:w="3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Property, plant and equipment, net</w:t>
            </w:r>
          </w:p>
        </w:tc>
        <w:tc>
          <w:tcPr>
            <w:tcW w:w="37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b w:val="1"/>
                <w:bCs w:val="1"/>
                <w:color w:val="auto"/>
              </w:rPr>
              <w:t>37</w:t>
            </w:r>
          </w:p>
        </w:tc>
        <w:tc>
          <w:tcPr>
            <w:tcW w:w="3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r>
      <w:tr>
        <w:trPr>
          <w:trHeight w:val="203"/>
        </w:trPr>
        <w:tc>
          <w:tcPr>
            <w:tcW w:w="42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Current portion of long-term debt</w:t>
            </w:r>
          </w:p>
        </w:tc>
        <w:tc>
          <w:tcPr>
            <w:tcW w:w="37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b w:val="1"/>
                <w:bCs w:val="1"/>
                <w:color w:val="auto"/>
              </w:rPr>
              <w:t>3</w:t>
            </w:r>
          </w:p>
        </w:tc>
        <w:tc>
          <w:tcPr>
            <w:tcW w:w="3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r>
      <w:tr>
        <w:trPr>
          <w:trHeight w:val="203"/>
        </w:trPr>
        <w:tc>
          <w:tcPr>
            <w:tcW w:w="4240" w:type="dxa"/>
            <w:vAlign w:val="bottom"/>
          </w:tcPr>
          <w:p>
            <w:pPr>
              <w:ind w:left="200"/>
              <w:spacing w:after="0" w:line="202" w:lineRule="exact"/>
              <w:rPr>
                <w:sz w:val="20"/>
                <w:szCs w:val="20"/>
                <w:color w:val="auto"/>
              </w:rPr>
            </w:pPr>
            <w:r>
              <w:rPr>
                <w:rFonts w:ascii="Arial" w:cs="Arial" w:eastAsia="Arial" w:hAnsi="Arial"/>
                <w:sz w:val="18"/>
                <w:szCs w:val="18"/>
                <w:color w:val="auto"/>
              </w:rPr>
              <w:t>Long-term debt</w:t>
            </w:r>
          </w:p>
        </w:tc>
        <w:tc>
          <w:tcPr>
            <w:tcW w:w="3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b w:val="1"/>
                <w:bCs w:val="1"/>
                <w:color w:val="auto"/>
              </w:rPr>
              <w:t>35</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w:t>
            </w:r>
          </w:p>
        </w:tc>
      </w:tr>
      <w:tr>
        <w:trPr>
          <w:trHeight w:val="236"/>
        </w:trPr>
        <w:tc>
          <w:tcPr>
            <w:tcW w:w="4240" w:type="dxa"/>
            <w:vAlign w:val="bottom"/>
            <w:shd w:val="clear" w:color="auto" w:fill="CFF0FC"/>
          </w:tcPr>
          <w:p>
            <w:pPr>
              <w:ind w:left="400"/>
              <w:spacing w:after="0" w:line="196" w:lineRule="exact"/>
              <w:rPr>
                <w:sz w:val="20"/>
                <w:szCs w:val="20"/>
                <w:color w:val="auto"/>
              </w:rPr>
            </w:pPr>
            <w:r>
              <w:rPr>
                <w:rFonts w:ascii="Arial" w:cs="Arial" w:eastAsia="Arial" w:hAnsi="Arial"/>
                <w:sz w:val="18"/>
                <w:szCs w:val="18"/>
                <w:color w:val="auto"/>
              </w:rPr>
              <w:t>Total finance lease liabilities</w:t>
            </w:r>
          </w:p>
        </w:tc>
        <w:tc>
          <w:tcPr>
            <w:tcW w:w="37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b w:val="1"/>
                <w:bCs w:val="1"/>
                <w:color w:val="auto"/>
              </w:rPr>
              <w:t>38</w:t>
            </w:r>
          </w:p>
        </w:tc>
        <w:tc>
          <w:tcPr>
            <w:tcW w:w="3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w:t>
            </w:r>
          </w:p>
        </w:tc>
      </w:tr>
      <w:tr>
        <w:trPr>
          <w:trHeight w:val="686"/>
        </w:trPr>
        <w:tc>
          <w:tcPr>
            <w:tcW w:w="4240" w:type="dxa"/>
            <w:vAlign w:val="bottom"/>
            <w:tcBorders>
              <w:top w:val="single" w:sz="8" w:color="CFF0FC"/>
            </w:tcBorders>
          </w:tcPr>
          <w:p>
            <w:pPr>
              <w:spacing w:after="0"/>
              <w:rPr>
                <w:sz w:val="24"/>
                <w:szCs w:val="24"/>
                <w:color w:val="auto"/>
              </w:rPr>
            </w:pPr>
          </w:p>
        </w:tc>
        <w:tc>
          <w:tcPr>
            <w:tcW w:w="3520" w:type="dxa"/>
            <w:vAlign w:val="bottom"/>
            <w:tcBorders>
              <w:top w:val="single" w:sz="8" w:color="CFF0FC"/>
            </w:tcBorders>
          </w:tcPr>
          <w:p>
            <w:pPr>
              <w:jc w:val="right"/>
              <w:ind w:right="1950"/>
              <w:spacing w:after="0"/>
              <w:rPr>
                <w:sz w:val="20"/>
                <w:szCs w:val="20"/>
                <w:color w:val="auto"/>
              </w:rPr>
            </w:pPr>
            <w:r>
              <w:rPr>
                <w:rFonts w:ascii="Arial" w:cs="Arial" w:eastAsia="Arial" w:hAnsi="Arial"/>
                <w:sz w:val="18"/>
                <w:szCs w:val="18"/>
                <w:color w:val="auto"/>
              </w:rPr>
              <w:t>24</w:t>
            </w:r>
          </w:p>
        </w:tc>
        <w:tc>
          <w:tcPr>
            <w:tcW w:w="1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r>
      <w:tr>
        <w:trPr>
          <w:trHeight w:val="746"/>
        </w:trPr>
        <w:tc>
          <w:tcPr>
            <w:tcW w:w="424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-2031365</wp:posOffset>
            </wp:positionV>
            <wp:extent cx="1028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-959485</wp:posOffset>
            </wp:positionV>
            <wp:extent cx="1028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-942340</wp:posOffset>
            </wp:positionV>
            <wp:extent cx="1028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400" w:firstLine="494"/>
        <w:spacing w:after="0" w:line="271" w:lineRule="auto"/>
        <w:rPr>
          <w:sz w:val="20"/>
          <w:szCs w:val="20"/>
          <w:color w:val="auto"/>
        </w:rPr>
      </w:pPr>
      <w:r>
        <w:rPr>
          <w:rFonts w:ascii="Arial" w:cs="Arial" w:eastAsia="Arial" w:hAnsi="Arial"/>
          <w:sz w:val="18"/>
          <w:szCs w:val="18"/>
          <w:color w:val="auto"/>
        </w:rPr>
        <w:t>The components of lease expense were as follows within the Company’s Condensed Consolidated Statements of Comprehensive Income (dollars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640" w:type="dxa"/>
            <w:vAlign w:val="bottom"/>
            <w:gridSpan w:val="7"/>
          </w:tcPr>
          <w:p>
            <w:pPr>
              <w:jc w:val="right"/>
              <w:ind w:right="11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21"/>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Operating lease expense:</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96"/>
              <w:spacing w:after="0"/>
              <w:rPr>
                <w:sz w:val="20"/>
                <w:szCs w:val="20"/>
                <w:color w:val="auto"/>
              </w:rPr>
            </w:pPr>
            <w:r>
              <w:rPr>
                <w:rFonts w:ascii="Arial" w:cs="Arial" w:eastAsia="Arial" w:hAnsi="Arial"/>
                <w:sz w:val="18"/>
                <w:szCs w:val="18"/>
                <w:b w:val="1"/>
                <w:bCs w:val="1"/>
                <w:color w:val="auto"/>
              </w:rPr>
              <w:t>2026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396"/>
              <w:spacing w:after="0"/>
              <w:rPr>
                <w:sz w:val="20"/>
                <w:szCs w:val="20"/>
                <w:color w:val="auto"/>
              </w:rPr>
            </w:pPr>
            <w:r>
              <w:rPr>
                <w:rFonts w:ascii="Arial" w:cs="Arial" w:eastAsia="Arial" w:hAnsi="Arial"/>
                <w:sz w:val="18"/>
                <w:szCs w:val="18"/>
                <w:b w:val="1"/>
                <w:bCs w:val="1"/>
                <w:color w:val="auto"/>
                <w:w w:val="94"/>
              </w:rPr>
              <w:t>2025</w:t>
            </w:r>
          </w:p>
        </w:tc>
        <w:tc>
          <w:tcPr>
            <w:tcW w:w="10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2026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09"/>
        </w:trPr>
        <w:tc>
          <w:tcPr>
            <w:tcW w:w="50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Operating lease expense</w:t>
            </w:r>
          </w:p>
        </w:tc>
        <w:tc>
          <w:tcPr>
            <w:tcW w:w="10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5</w:t>
            </w:r>
          </w:p>
        </w:tc>
        <w:tc>
          <w:tcPr>
            <w:tcW w:w="5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CFF0FC"/>
          </w:tcPr>
          <w:p>
            <w:pPr>
              <w:jc w:val="right"/>
              <w:ind w:right="575"/>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Finance lease expense:</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8"/>
                <w:szCs w:val="18"/>
                <w:color w:val="auto"/>
              </w:rPr>
              <w:t>Amortization of leased assets</w:t>
            </w:r>
          </w:p>
        </w:tc>
        <w:tc>
          <w:tcPr>
            <w:tcW w:w="10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b w:val="1"/>
                <w:bCs w:val="1"/>
                <w:color w:val="auto"/>
              </w:rPr>
              <w:t>1</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ind w:right="575"/>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080" w:type="dxa"/>
            <w:vAlign w:val="bottom"/>
            <w:tcBorders>
              <w:top w:val="single" w:sz="8" w:color="CFF0FC"/>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lease expense</w:t>
            </w:r>
          </w:p>
        </w:tc>
        <w:tc>
          <w:tcPr>
            <w:tcW w:w="78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FF0FC"/>
          </w:tcPr>
          <w:p>
            <w:pPr>
              <w:jc w:val="right"/>
              <w:ind w:right="36"/>
              <w:spacing w:after="0" w:line="196" w:lineRule="exact"/>
              <w:rPr>
                <w:sz w:val="20"/>
                <w:szCs w:val="20"/>
                <w:color w:val="auto"/>
              </w:rPr>
            </w:pPr>
            <w:r>
              <w:rPr>
                <w:rFonts w:ascii="Arial" w:cs="Arial" w:eastAsia="Arial" w:hAnsi="Arial"/>
                <w:sz w:val="18"/>
                <w:szCs w:val="18"/>
                <w:b w:val="1"/>
                <w:bCs w:val="1"/>
                <w:color w:val="auto"/>
              </w:rPr>
              <w:t>6</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ind w:right="575"/>
              <w:spacing w:after="0" w:line="196" w:lineRule="exact"/>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18</w:t>
            </w: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7"/>
        </w:trPr>
        <w:tc>
          <w:tcPr>
            <w:tcW w:w="7600" w:type="dxa"/>
            <w:vAlign w:val="bottom"/>
            <w:gridSpan w:val="6"/>
          </w:tcPr>
          <w:p>
            <w:pPr>
              <w:ind w:left="500"/>
              <w:spacing w:after="0"/>
              <w:rPr>
                <w:sz w:val="20"/>
                <w:szCs w:val="20"/>
                <w:color w:val="auto"/>
              </w:rPr>
            </w:pPr>
            <w:r>
              <w:rPr>
                <w:rFonts w:ascii="Arial" w:cs="Arial" w:eastAsia="Arial" w:hAnsi="Arial"/>
                <w:sz w:val="18"/>
                <w:szCs w:val="18"/>
                <w:color w:val="auto"/>
              </w:rPr>
              <w:t>Other information related to leases where the Company is the lessee was as follows: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21"/>
                <w:szCs w:val="21"/>
                <w:color w:val="auto"/>
              </w:rPr>
            </w:pPr>
          </w:p>
        </w:tc>
        <w:tc>
          <w:tcPr>
            <w:tcW w:w="148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2026</w:t>
            </w: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w w:val="96"/>
              </w:rPr>
              <w:t>2025</w:t>
            </w:r>
          </w:p>
        </w:tc>
        <w:tc>
          <w:tcPr>
            <w:tcW w:w="0" w:type="dxa"/>
            <w:vAlign w:val="bottom"/>
          </w:tcPr>
          <w:p>
            <w:pPr>
              <w:spacing w:after="0"/>
              <w:rPr>
                <w:sz w:val="1"/>
                <w:szCs w:val="1"/>
                <w:color w:val="auto"/>
              </w:rPr>
            </w:pPr>
          </w:p>
        </w:tc>
      </w:tr>
      <w:tr>
        <w:trPr>
          <w:trHeight w:val="196"/>
        </w:trPr>
        <w:tc>
          <w:tcPr>
            <w:tcW w:w="508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leases</w:t>
            </w: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95"/>
              <w:spacing w:after="0" w:line="202" w:lineRule="exact"/>
              <w:rPr>
                <w:sz w:val="20"/>
                <w:szCs w:val="20"/>
                <w:color w:val="auto"/>
              </w:rPr>
            </w:pPr>
            <w:r>
              <w:rPr>
                <w:rFonts w:ascii="Arial" w:cs="Arial" w:eastAsia="Arial" w:hAnsi="Arial"/>
                <w:sz w:val="18"/>
                <w:szCs w:val="18"/>
                <w:b w:val="1"/>
                <w:bCs w:val="1"/>
                <w:color w:val="auto"/>
              </w:rPr>
              <w:t>8.6</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92"/>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5080" w:type="dxa"/>
            <w:vAlign w:val="bottom"/>
          </w:tcPr>
          <w:p>
            <w:pPr>
              <w:ind w:left="200"/>
              <w:spacing w:after="0" w:line="202" w:lineRule="exact"/>
              <w:rPr>
                <w:sz w:val="20"/>
                <w:szCs w:val="20"/>
                <w:color w:val="auto"/>
              </w:rPr>
            </w:pPr>
            <w:r>
              <w:rPr>
                <w:rFonts w:ascii="Arial" w:cs="Arial" w:eastAsia="Arial" w:hAnsi="Arial"/>
                <w:sz w:val="18"/>
                <w:szCs w:val="18"/>
                <w:color w:val="auto"/>
              </w:rPr>
              <w:t>Finance leases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95"/>
              <w:spacing w:after="0" w:line="202" w:lineRule="exact"/>
              <w:rPr>
                <w:sz w:val="20"/>
                <w:szCs w:val="20"/>
                <w:color w:val="auto"/>
              </w:rPr>
            </w:pPr>
            <w:r>
              <w:rPr>
                <w:rFonts w:ascii="Arial" w:cs="Arial" w:eastAsia="Arial" w:hAnsi="Arial"/>
                <w:sz w:val="18"/>
                <w:szCs w:val="18"/>
                <w:b w:val="1"/>
                <w:bCs w:val="1"/>
                <w:color w:val="auto"/>
              </w:rPr>
              <w:t>16.1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50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b w:val="1"/>
                <w:bCs w:val="1"/>
                <w:color w:val="auto"/>
              </w:rPr>
              <w:t>Weighted-average discount rate:</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leases</w:t>
            </w: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5.65%</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47"/>
        </w:trPr>
        <w:tc>
          <w:tcPr>
            <w:tcW w:w="5080" w:type="dxa"/>
            <w:vAlign w:val="bottom"/>
          </w:tcPr>
          <w:p>
            <w:pPr>
              <w:ind w:left="200"/>
              <w:spacing w:after="0"/>
              <w:rPr>
                <w:sz w:val="20"/>
                <w:szCs w:val="20"/>
                <w:color w:val="auto"/>
              </w:rPr>
            </w:pPr>
            <w:r>
              <w:rPr>
                <w:rFonts w:ascii="Arial" w:cs="Arial" w:eastAsia="Arial" w:hAnsi="Arial"/>
                <w:sz w:val="18"/>
                <w:szCs w:val="18"/>
                <w:color w:val="auto"/>
              </w:rPr>
              <w:t>Finance leases</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3.28%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-1501775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-1484630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-1647825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-1501775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-1484630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-1647825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reconciles future undiscounted cash flows for operating leases and financing leases to total lease liabilities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2026 (dollars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Operating Leases</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Finance Leases</w:t>
            </w:r>
          </w:p>
        </w:tc>
      </w:tr>
      <w:tr>
        <w:trPr>
          <w:trHeight w:val="196"/>
        </w:trPr>
        <w:tc>
          <w:tcPr>
            <w:tcW w:w="4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For the remainder of 2026</w:t>
            </w:r>
          </w:p>
        </w:tc>
        <w:tc>
          <w:tcPr>
            <w:tcW w:w="4060" w:type="dxa"/>
            <w:vAlign w:val="bottom"/>
            <w:gridSpan w:val="2"/>
            <w:shd w:val="clear" w:color="auto" w:fill="CFF0FC"/>
          </w:tcPr>
          <w:p>
            <w:pPr>
              <w:ind w:left="3400"/>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5</w:t>
            </w: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1</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3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4</w:t>
            </w:r>
          </w:p>
        </w:tc>
      </w:tr>
      <w:tr>
        <w:trPr>
          <w:trHeight w:val="203"/>
        </w:trPr>
        <w:tc>
          <w:tcPr>
            <w:tcW w:w="4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34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15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4</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3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4</w:t>
            </w:r>
          </w:p>
        </w:tc>
      </w:tr>
      <w:tr>
        <w:trPr>
          <w:trHeight w:val="203"/>
        </w:trPr>
        <w:tc>
          <w:tcPr>
            <w:tcW w:w="4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2030</w:t>
            </w:r>
          </w:p>
        </w:tc>
        <w:tc>
          <w:tcPr>
            <w:tcW w:w="34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3</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34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51</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33</w:t>
            </w:r>
          </w:p>
        </w:tc>
      </w:tr>
      <w:tr>
        <w:trPr>
          <w:trHeight w:val="196"/>
        </w:trPr>
        <w:tc>
          <w:tcPr>
            <w:tcW w:w="43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lease payments</w:t>
            </w:r>
          </w:p>
        </w:tc>
        <w:tc>
          <w:tcPr>
            <w:tcW w:w="34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107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49</w:t>
            </w:r>
          </w:p>
        </w:tc>
      </w:tr>
      <w:tr>
        <w:trPr>
          <w:trHeight w:val="203"/>
        </w:trPr>
        <w:tc>
          <w:tcPr>
            <w:tcW w:w="4360" w:type="dxa"/>
            <w:vAlign w:val="bottom"/>
          </w:tcPr>
          <w:p>
            <w:pPr>
              <w:ind w:left="400"/>
              <w:spacing w:after="0" w:line="202" w:lineRule="exact"/>
              <w:rPr>
                <w:sz w:val="20"/>
                <w:szCs w:val="20"/>
                <w:color w:val="auto"/>
              </w:rPr>
            </w:pPr>
            <w:r>
              <w:rPr>
                <w:rFonts w:ascii="Arial" w:cs="Arial" w:eastAsia="Arial" w:hAnsi="Arial"/>
                <w:sz w:val="18"/>
                <w:szCs w:val="18"/>
                <w:color w:val="auto"/>
              </w:rPr>
              <w:t>Less: Interest</w:t>
            </w:r>
          </w:p>
        </w:tc>
        <w:tc>
          <w:tcPr>
            <w:tcW w:w="34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28</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11</w:t>
            </w:r>
          </w:p>
        </w:tc>
      </w:tr>
      <w:tr>
        <w:trPr>
          <w:trHeight w:val="196"/>
        </w:trPr>
        <w:tc>
          <w:tcPr>
            <w:tcW w:w="43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Present value of lease liabilities</w:t>
            </w:r>
          </w:p>
        </w:tc>
        <w:tc>
          <w:tcPr>
            <w:tcW w:w="34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79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38</w:t>
            </w:r>
          </w:p>
        </w:tc>
      </w:tr>
      <w:tr>
        <w:trPr>
          <w:trHeight w:val="203"/>
        </w:trPr>
        <w:tc>
          <w:tcPr>
            <w:tcW w:w="4360" w:type="dxa"/>
            <w:vAlign w:val="bottom"/>
          </w:tcPr>
          <w:p>
            <w:pPr>
              <w:ind w:left="400"/>
              <w:spacing w:after="0" w:line="202" w:lineRule="exact"/>
              <w:rPr>
                <w:sz w:val="20"/>
                <w:szCs w:val="20"/>
                <w:color w:val="auto"/>
              </w:rPr>
            </w:pPr>
            <w:r>
              <w:rPr>
                <w:rFonts w:ascii="Arial" w:cs="Arial" w:eastAsia="Arial" w:hAnsi="Arial"/>
                <w:sz w:val="18"/>
                <w:szCs w:val="18"/>
                <w:color w:val="auto"/>
              </w:rPr>
              <w:t>Less: Current portion</w:t>
            </w:r>
          </w:p>
        </w:tc>
        <w:tc>
          <w:tcPr>
            <w:tcW w:w="34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15</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3</w:t>
            </w:r>
          </w:p>
        </w:tc>
      </w:tr>
      <w:tr>
        <w:trPr>
          <w:trHeight w:val="236"/>
        </w:trPr>
        <w:tc>
          <w:tcPr>
            <w:tcW w:w="43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Long-term portion of lease obligations</w:t>
            </w:r>
          </w:p>
        </w:tc>
        <w:tc>
          <w:tcPr>
            <w:tcW w:w="4060" w:type="dxa"/>
            <w:vAlign w:val="bottom"/>
            <w:gridSpan w:val="2"/>
            <w:shd w:val="clear" w:color="auto" w:fill="CFF0FC"/>
          </w:tcPr>
          <w:p>
            <w:pPr>
              <w:ind w:left="3400"/>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64</w:t>
            </w: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35</w:t>
            </w:r>
          </w:p>
        </w:tc>
      </w:tr>
      <w:tr>
        <w:trPr>
          <w:trHeight w:val="686"/>
        </w:trPr>
        <w:tc>
          <w:tcPr>
            <w:tcW w:w="4360" w:type="dxa"/>
            <w:vAlign w:val="bottom"/>
            <w:tcBorders>
              <w:top w:val="single" w:sz="8" w:color="CFF0FC"/>
            </w:tcBorders>
          </w:tcPr>
          <w:p>
            <w:pPr>
              <w:spacing w:after="0"/>
              <w:rPr>
                <w:sz w:val="24"/>
                <w:szCs w:val="24"/>
                <w:color w:val="auto"/>
              </w:rPr>
            </w:pPr>
          </w:p>
        </w:tc>
        <w:tc>
          <w:tcPr>
            <w:tcW w:w="3400" w:type="dxa"/>
            <w:vAlign w:val="bottom"/>
            <w:tcBorders>
              <w:top w:val="single" w:sz="8" w:color="CFF0FC"/>
            </w:tcBorders>
          </w:tcPr>
          <w:p>
            <w:pPr>
              <w:jc w:val="right"/>
              <w:ind w:right="1950"/>
              <w:spacing w:after="0"/>
              <w:rPr>
                <w:sz w:val="20"/>
                <w:szCs w:val="20"/>
                <w:color w:val="auto"/>
              </w:rPr>
            </w:pPr>
            <w:r>
              <w:rPr>
                <w:rFonts w:ascii="Arial" w:cs="Arial" w:eastAsia="Arial" w:hAnsi="Arial"/>
                <w:sz w:val="18"/>
                <w:szCs w:val="18"/>
                <w:color w:val="auto"/>
              </w:rPr>
              <w:t>25</w:t>
            </w:r>
          </w:p>
        </w:tc>
        <w:tc>
          <w:tcPr>
            <w:tcW w:w="6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r>
      <w:tr>
        <w:trPr>
          <w:trHeight w:val="745"/>
        </w:trPr>
        <w:tc>
          <w:tcPr>
            <w:tcW w:w="43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-959485</wp:posOffset>
            </wp:positionV>
            <wp:extent cx="1028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-942340</wp:posOffset>
            </wp:positionV>
            <wp:extent cx="1028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OTHER CURRENT LIABILITIES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liabilities consisted of the following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314"/>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33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2026</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2025</w:t>
            </w: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Payroll and related costs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b w:val="1"/>
                <w:bCs w:val="1"/>
                <w:color w:val="auto"/>
              </w:rPr>
              <w:t>190</w:t>
            </w:r>
          </w:p>
        </w:tc>
        <w:tc>
          <w:tcPr>
            <w:tcW w:w="3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34</w:t>
            </w: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Sales incentives</w:t>
            </w:r>
          </w:p>
        </w:tc>
        <w:tc>
          <w:tcPr>
            <w:tcW w:w="180" w:type="dxa"/>
            <w:vAlign w:val="bottom"/>
          </w:tcPr>
          <w:p>
            <w:pPr>
              <w:spacing w:after="0"/>
              <w:rPr>
                <w:sz w:val="17"/>
                <w:szCs w:val="17"/>
                <w:color w:val="auto"/>
              </w:rPr>
            </w:pPr>
          </w:p>
        </w:tc>
        <w:tc>
          <w:tcPr>
            <w:tcW w:w="14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74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47</w:t>
            </w: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interest payable</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b w:val="1"/>
                <w:bCs w:val="1"/>
                <w:color w:val="auto"/>
              </w:rPr>
              <w:t>38</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28</w:t>
            </w: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Taxes payable</w:t>
            </w:r>
          </w:p>
        </w:tc>
        <w:tc>
          <w:tcPr>
            <w:tcW w:w="180" w:type="dxa"/>
            <w:vAlign w:val="bottom"/>
          </w:tcPr>
          <w:p>
            <w:pPr>
              <w:spacing w:after="0"/>
              <w:rPr>
                <w:sz w:val="17"/>
                <w:szCs w:val="17"/>
                <w:color w:val="auto"/>
              </w:rPr>
            </w:pPr>
          </w:p>
        </w:tc>
        <w:tc>
          <w:tcPr>
            <w:tcW w:w="14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47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21</w:t>
            </w: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Vendor buyback obligation</w:t>
            </w: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b w:val="1"/>
                <w:bCs w:val="1"/>
                <w:color w:val="auto"/>
              </w:rPr>
              <w:t>21</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21</w:t>
            </w: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Other accruals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b w:val="1"/>
                <w:bCs w:val="1"/>
                <w:color w:val="auto"/>
              </w:rPr>
              <w:t>84</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46</w:t>
            </w:r>
          </w:p>
        </w:tc>
      </w:tr>
      <w:tr>
        <w:trPr>
          <w:trHeight w:val="216"/>
        </w:trPr>
        <w:tc>
          <w:tcPr>
            <w:tcW w:w="77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b w:val="1"/>
                <w:bCs w:val="1"/>
                <w:color w:val="auto"/>
              </w:rPr>
              <w:t>454</w:t>
            </w:r>
          </w:p>
        </w:tc>
        <w:tc>
          <w:tcPr>
            <w:tcW w:w="3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197</w:t>
            </w:r>
          </w:p>
        </w:tc>
      </w:tr>
      <w:tr>
        <w:trPr>
          <w:trHeight w:val="20"/>
        </w:trPr>
        <w:tc>
          <w:tcPr>
            <w:tcW w:w="77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-25400</wp:posOffset>
            </wp:positionV>
            <wp:extent cx="1028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1028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EMPLOYEE BENEFIT PLANS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Components of net periodic benefit cost (credit) consisted of the following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0" w:type="dxa"/>
            <w:vAlign w:val="bottom"/>
            <w:tcBorders>
              <w:bottom w:val="single" w:sz="8" w:color="auto"/>
            </w:tcBorders>
            <w:gridSpan w:val="4"/>
          </w:tcPr>
          <w:p>
            <w:pPr>
              <w:jc w:val="center"/>
              <w:ind w:left="148"/>
              <w:spacing w:after="0"/>
              <w:rPr>
                <w:sz w:val="20"/>
                <w:szCs w:val="20"/>
                <w:color w:val="auto"/>
              </w:rPr>
            </w:pPr>
            <w:r>
              <w:rPr>
                <w:rFonts w:ascii="Arial" w:cs="Arial" w:eastAsia="Arial" w:hAnsi="Arial"/>
                <w:sz w:val="14"/>
                <w:szCs w:val="14"/>
                <w:b w:val="1"/>
                <w:bCs w:val="1"/>
                <w:color w:val="auto"/>
              </w:rPr>
              <w:t>Pension Plans</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center"/>
              <w:ind w:right="313"/>
              <w:spacing w:after="0"/>
              <w:rPr>
                <w:sz w:val="20"/>
                <w:szCs w:val="20"/>
                <w:color w:val="auto"/>
              </w:rPr>
            </w:pPr>
            <w:r>
              <w:rPr>
                <w:rFonts w:ascii="Arial" w:cs="Arial" w:eastAsia="Arial" w:hAnsi="Arial"/>
                <w:sz w:val="14"/>
                <w:szCs w:val="14"/>
                <w:b w:val="1"/>
                <w:bCs w:val="1"/>
                <w:color w:val="auto"/>
              </w:rPr>
              <w:t>Post-retirement Benefits</w:t>
            </w:r>
          </w:p>
        </w:tc>
      </w:tr>
      <w:tr>
        <w:trPr>
          <w:trHeight w:val="146"/>
        </w:trPr>
        <w:tc>
          <w:tcPr>
            <w:tcW w:w="4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0" w:type="dxa"/>
            <w:vAlign w:val="bottom"/>
            <w:gridSpan w:val="4"/>
          </w:tcPr>
          <w:p>
            <w:pPr>
              <w:jc w:val="center"/>
              <w:ind w:left="148"/>
              <w:spacing w:after="0" w:line="147" w:lineRule="exact"/>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0" w:type="dxa"/>
            <w:vAlign w:val="bottom"/>
            <w:gridSpan w:val="4"/>
          </w:tcPr>
          <w:p>
            <w:pPr>
              <w:jc w:val="center"/>
              <w:ind w:right="293"/>
              <w:spacing w:after="0" w:line="147" w:lineRule="exact"/>
              <w:rPr>
                <w:sz w:val="20"/>
                <w:szCs w:val="20"/>
                <w:color w:val="auto"/>
              </w:rPr>
            </w:pPr>
            <w:r>
              <w:rPr>
                <w:rFonts w:ascii="Arial" w:cs="Arial" w:eastAsia="Arial" w:hAnsi="Arial"/>
                <w:sz w:val="14"/>
                <w:szCs w:val="14"/>
                <w:b w:val="1"/>
                <w:bCs w:val="1"/>
                <w:color w:val="auto"/>
              </w:rPr>
              <w:t>Three Months Ended</w:t>
            </w:r>
          </w:p>
        </w:tc>
      </w:tr>
      <w:tr>
        <w:trPr>
          <w:trHeight w:val="162"/>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0" w:type="dxa"/>
            <w:vAlign w:val="bottom"/>
            <w:gridSpan w:val="4"/>
          </w:tcPr>
          <w:p>
            <w:pPr>
              <w:jc w:val="center"/>
              <w:ind w:left="148"/>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jc w:val="center"/>
              <w:ind w:left="417"/>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4"/>
                <w:szCs w:val="14"/>
                <w:color w:val="auto"/>
              </w:rPr>
            </w:pPr>
          </w:p>
        </w:tc>
      </w:tr>
      <w:tr>
        <w:trPr>
          <w:trHeight w:val="171"/>
        </w:trPr>
        <w:tc>
          <w:tcPr>
            <w:tcW w:w="4200" w:type="dxa"/>
            <w:vAlign w:val="bottom"/>
          </w:tcPr>
          <w:p>
            <w:pPr>
              <w:spacing w:after="0"/>
              <w:rPr>
                <w:sz w:val="14"/>
                <w:szCs w:val="14"/>
                <w:color w:val="auto"/>
              </w:rPr>
            </w:pPr>
          </w:p>
        </w:tc>
        <w:tc>
          <w:tcPr>
            <w:tcW w:w="24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2026</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477"/>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453"/>
              <w:spacing w:after="0"/>
              <w:rPr>
                <w:sz w:val="20"/>
                <w:szCs w:val="20"/>
                <w:color w:val="auto"/>
              </w:rPr>
            </w:pPr>
            <w:r>
              <w:rPr>
                <w:rFonts w:ascii="Arial" w:cs="Arial" w:eastAsia="Arial" w:hAnsi="Arial"/>
                <w:sz w:val="14"/>
                <w:szCs w:val="14"/>
                <w:b w:val="1"/>
                <w:bCs w:val="1"/>
                <w:color w:val="auto"/>
              </w:rPr>
              <w:t>2025</w:t>
            </w:r>
          </w:p>
        </w:tc>
      </w:tr>
      <w:tr>
        <w:trPr>
          <w:trHeight w:val="196"/>
        </w:trPr>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periodic benefit cost (credit):</w:t>
            </w:r>
          </w:p>
        </w:tc>
        <w:tc>
          <w:tcPr>
            <w:tcW w:w="1660" w:type="dxa"/>
            <w:vAlign w:val="bottom"/>
            <w:tcBorders>
              <w:right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right w:val="single" w:sz="8" w:color="CFF0FC"/>
            </w:tcBorders>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right w:val="single" w:sz="8" w:color="CFF0FC"/>
            </w:tcBorders>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2400" w:type="dxa"/>
            <w:vAlign w:val="bottom"/>
            <w:gridSpan w:val="2"/>
          </w:tcPr>
          <w:p>
            <w:pPr>
              <w:jc w:val="right"/>
              <w:ind w:right="628"/>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7"/>
                <w:szCs w:val="17"/>
                <w:color w:val="auto"/>
              </w:rPr>
            </w:pPr>
          </w:p>
        </w:tc>
        <w:tc>
          <w:tcPr>
            <w:tcW w:w="820" w:type="dxa"/>
            <w:vAlign w:val="bottom"/>
          </w:tcPr>
          <w:p>
            <w:pPr>
              <w:jc w:val="right"/>
              <w:ind w:right="689"/>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57"/>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r>
      <w:tr>
        <w:trPr>
          <w:trHeight w:val="203"/>
        </w:trPr>
        <w:tc>
          <w:tcPr>
            <w:tcW w:w="4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cost</w:t>
            </w:r>
          </w:p>
        </w:tc>
        <w:tc>
          <w:tcPr>
            <w:tcW w:w="1660" w:type="dxa"/>
            <w:vAlign w:val="bottom"/>
            <w:tcBorders>
              <w:right w:val="single" w:sz="8" w:color="CFF0FC"/>
            </w:tcBorders>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00" w:type="dxa"/>
            <w:vAlign w:val="bottom"/>
            <w:tcBorders>
              <w:right w:val="single" w:sz="8" w:color="CFF0FC"/>
            </w:tcBorders>
            <w:shd w:val="clear" w:color="auto" w:fill="CFF0FC"/>
          </w:tcPr>
          <w:p>
            <w:pPr>
              <w:jc w:val="right"/>
              <w:ind w:right="73"/>
              <w:spacing w:after="0" w:line="202" w:lineRule="exact"/>
              <w:rPr>
                <w:sz w:val="20"/>
                <w:szCs w:val="20"/>
                <w:color w:val="auto"/>
              </w:rPr>
            </w:pPr>
            <w:r>
              <w:rPr>
                <w:rFonts w:ascii="Arial" w:cs="Arial" w:eastAsia="Arial" w:hAnsi="Arial"/>
                <w:sz w:val="18"/>
                <w:szCs w:val="18"/>
                <w:b w:val="1"/>
                <w:bCs w:val="1"/>
                <w:color w:val="auto"/>
              </w:rPr>
              <w:t>4</w:t>
            </w:r>
          </w:p>
        </w:tc>
        <w:tc>
          <w:tcPr>
            <w:tcW w:w="140" w:type="dxa"/>
            <w:vAlign w:val="bottom"/>
            <w:tcBorders>
              <w:right w:val="single" w:sz="8" w:color="CFF0FC"/>
            </w:tcBorders>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20" w:type="dxa"/>
            <w:vAlign w:val="bottom"/>
            <w:tcBorders>
              <w:right w:val="single" w:sz="8" w:color="CFF0FC"/>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w:t>
            </w:r>
          </w:p>
        </w:tc>
        <w:tc>
          <w:tcPr>
            <w:tcW w:w="12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ind w:right="57"/>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w:t>
            </w:r>
          </w:p>
        </w:tc>
      </w:tr>
      <w:tr>
        <w:trPr>
          <w:trHeight w:val="202"/>
        </w:trPr>
        <w:tc>
          <w:tcPr>
            <w:tcW w:w="4200" w:type="dxa"/>
            <w:vAlign w:val="bottom"/>
          </w:tcPr>
          <w:p>
            <w:pPr>
              <w:spacing w:after="0" w:line="202" w:lineRule="exact"/>
              <w:rPr>
                <w:sz w:val="20"/>
                <w:szCs w:val="20"/>
                <w:color w:val="auto"/>
              </w:rPr>
            </w:pPr>
            <w:r>
              <w:rPr>
                <w:rFonts w:ascii="Arial" w:cs="Arial" w:eastAsia="Arial" w:hAnsi="Arial"/>
                <w:sz w:val="18"/>
                <w:szCs w:val="18"/>
                <w:color w:val="auto"/>
              </w:rPr>
              <w:t>Expected return on assets</w:t>
            </w: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57"/>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r>
      <w:tr>
        <w:trPr>
          <w:trHeight w:val="203"/>
        </w:trPr>
        <w:tc>
          <w:tcPr>
            <w:tcW w:w="4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Prior service credit</w:t>
            </w:r>
          </w:p>
        </w:tc>
        <w:tc>
          <w:tcPr>
            <w:tcW w:w="1660" w:type="dxa"/>
            <w:vAlign w:val="bottom"/>
            <w:tcBorders>
              <w:right w:val="single" w:sz="8" w:color="CFF0FC"/>
            </w:tcBorders>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40" w:type="dxa"/>
            <w:vAlign w:val="bottom"/>
            <w:tcBorders>
              <w:right w:val="single" w:sz="8" w:color="CFF0FC"/>
            </w:tcBorders>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spacing w:after="0"/>
              <w:rPr>
                <w:sz w:val="17"/>
                <w:szCs w:val="17"/>
                <w:color w:val="auto"/>
              </w:rPr>
            </w:pPr>
          </w:p>
        </w:tc>
        <w:tc>
          <w:tcPr>
            <w:tcW w:w="420" w:type="dxa"/>
            <w:vAlign w:val="bottom"/>
            <w:tcBorders>
              <w:right w:val="single" w:sz="8" w:color="CFF0FC"/>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Recognized actuarial gain</w:t>
            </w:r>
          </w:p>
        </w:tc>
        <w:tc>
          <w:tcPr>
            <w:tcW w:w="16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73"/>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7"/>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r>
      <w:tr>
        <w:trPr>
          <w:trHeight w:val="216"/>
        </w:trPr>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periodic benefit cost (credit)</w:t>
            </w:r>
          </w:p>
        </w:tc>
        <w:tc>
          <w:tcPr>
            <w:tcW w:w="2400" w:type="dxa"/>
            <w:vAlign w:val="bottom"/>
            <w:gridSpan w:val="2"/>
            <w:shd w:val="clear" w:color="auto" w:fill="CFF0FC"/>
          </w:tcPr>
          <w:p>
            <w:pPr>
              <w:jc w:val="right"/>
              <w:ind w:right="628"/>
              <w:spacing w:after="0" w:line="196" w:lineRule="exact"/>
              <w:rPr>
                <w:sz w:val="20"/>
                <w:szCs w:val="20"/>
                <w:color w:val="auto"/>
              </w:rPr>
            </w:pPr>
            <w:r>
              <w:rPr>
                <w:rFonts w:ascii="Arial" w:cs="Arial" w:eastAsia="Arial" w:hAnsi="Arial"/>
                <w:sz w:val="18"/>
                <w:szCs w:val="18"/>
                <w:b w:val="1"/>
                <w:bCs w:val="1"/>
                <w:color w:val="auto"/>
              </w:rPr>
              <w:t>$</w:t>
            </w:r>
          </w:p>
        </w:tc>
        <w:tc>
          <w:tcPr>
            <w:tcW w:w="500" w:type="dxa"/>
            <w:vAlign w:val="bottom"/>
            <w:tcBorders>
              <w:right w:val="single" w:sz="8" w:color="CFF0FC"/>
            </w:tcBorders>
            <w:shd w:val="clear" w:color="auto" w:fill="CFF0FC"/>
          </w:tcPr>
          <w:p>
            <w:pPr>
              <w:jc w:val="right"/>
              <w:ind w:right="73"/>
              <w:spacing w:after="0" w:line="196" w:lineRule="exact"/>
              <w:rPr>
                <w:sz w:val="20"/>
                <w:szCs w:val="20"/>
                <w:color w:val="auto"/>
              </w:rPr>
            </w:pPr>
            <w:r>
              <w:rPr>
                <w:rFonts w:ascii="Arial" w:cs="Arial" w:eastAsia="Arial" w:hAnsi="Arial"/>
                <w:sz w:val="18"/>
                <w:szCs w:val="18"/>
                <w:b w:val="1"/>
                <w:bCs w:val="1"/>
                <w:color w:val="auto"/>
              </w:rPr>
              <w:t>2</w:t>
            </w:r>
          </w:p>
        </w:tc>
        <w:tc>
          <w:tcPr>
            <w:tcW w:w="140" w:type="dxa"/>
            <w:vAlign w:val="bottom"/>
            <w:tcBorders>
              <w:right w:val="single" w:sz="8" w:color="CFF0FC"/>
            </w:tcBorders>
            <w:shd w:val="clear" w:color="auto" w:fill="CFF0FC"/>
          </w:tcPr>
          <w:p>
            <w:pPr>
              <w:spacing w:after="0"/>
              <w:rPr>
                <w:sz w:val="18"/>
                <w:szCs w:val="18"/>
                <w:color w:val="auto"/>
              </w:rPr>
            </w:pPr>
          </w:p>
        </w:tc>
        <w:tc>
          <w:tcPr>
            <w:tcW w:w="820" w:type="dxa"/>
            <w:vAlign w:val="bottom"/>
            <w:shd w:val="clear" w:color="auto" w:fill="CFF0FC"/>
          </w:tcPr>
          <w:p>
            <w:pPr>
              <w:jc w:val="right"/>
              <w:ind w:right="689"/>
              <w:spacing w:after="0"/>
              <w:rPr>
                <w:sz w:val="20"/>
                <w:szCs w:val="20"/>
                <w:color w:val="auto"/>
              </w:rPr>
            </w:pPr>
            <w:r>
              <w:rPr>
                <w:rFonts w:ascii="Arial" w:cs="Arial" w:eastAsia="Arial" w:hAnsi="Arial"/>
                <w:sz w:val="10"/>
                <w:szCs w:val="10"/>
                <w:color w:val="auto"/>
                <w:w w:val="71"/>
              </w:rPr>
              <w:t>$</w:t>
            </w:r>
          </w:p>
        </w:tc>
        <w:tc>
          <w:tcPr>
            <w:tcW w:w="420" w:type="dxa"/>
            <w:vAlign w:val="bottom"/>
            <w:tcBorders>
              <w:right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tcBorders>
              <w:right w:val="single" w:sz="8" w:color="CFF0FC"/>
            </w:tcBorders>
            <w:shd w:val="clear" w:color="auto" w:fill="CFF0FC"/>
          </w:tcPr>
          <w:p>
            <w:pPr>
              <w:jc w:val="right"/>
              <w:ind w:right="57"/>
              <w:spacing w:after="0" w:line="196" w:lineRule="exact"/>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420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r>
      <w:tr>
        <w:trPr>
          <w:trHeight w:val="345"/>
        </w:trPr>
        <w:tc>
          <w:tcPr>
            <w:tcW w:w="4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right="369"/>
              <w:spacing w:after="0"/>
              <w:rPr>
                <w:sz w:val="20"/>
                <w:szCs w:val="20"/>
                <w:color w:val="auto"/>
              </w:rPr>
            </w:pPr>
            <w:r>
              <w:rPr>
                <w:rFonts w:ascii="Arial" w:cs="Arial" w:eastAsia="Arial" w:hAnsi="Arial"/>
                <w:sz w:val="14"/>
                <w:szCs w:val="14"/>
                <w:b w:val="1"/>
                <w:bCs w:val="1"/>
                <w:color w:val="auto"/>
              </w:rPr>
              <w:t>Pension Plans</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center"/>
              <w:ind w:right="273"/>
              <w:spacing w:after="0"/>
              <w:rPr>
                <w:sz w:val="20"/>
                <w:szCs w:val="20"/>
                <w:color w:val="auto"/>
              </w:rPr>
            </w:pPr>
            <w:r>
              <w:rPr>
                <w:rFonts w:ascii="Arial" w:cs="Arial" w:eastAsia="Arial" w:hAnsi="Arial"/>
                <w:sz w:val="14"/>
                <w:szCs w:val="14"/>
                <w:b w:val="1"/>
                <w:bCs w:val="1"/>
                <w:color w:val="auto"/>
              </w:rPr>
              <w:t>Post-retirement Benefits</w:t>
            </w:r>
          </w:p>
        </w:tc>
      </w:tr>
      <w:tr>
        <w:trPr>
          <w:trHeight w:val="146"/>
        </w:trPr>
        <w:tc>
          <w:tcPr>
            <w:tcW w:w="4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0" w:type="dxa"/>
            <w:vAlign w:val="bottom"/>
            <w:gridSpan w:val="4"/>
          </w:tcPr>
          <w:p>
            <w:pPr>
              <w:jc w:val="center"/>
              <w:ind w:left="228"/>
              <w:spacing w:after="0" w:line="147" w:lineRule="exact"/>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0" w:type="dxa"/>
            <w:vAlign w:val="bottom"/>
            <w:gridSpan w:val="4"/>
          </w:tcPr>
          <w:p>
            <w:pPr>
              <w:jc w:val="center"/>
              <w:ind w:right="253"/>
              <w:spacing w:after="0" w:line="147" w:lineRule="exact"/>
              <w:rPr>
                <w:sz w:val="20"/>
                <w:szCs w:val="20"/>
                <w:color w:val="auto"/>
              </w:rPr>
            </w:pPr>
            <w:r>
              <w:rPr>
                <w:rFonts w:ascii="Arial" w:cs="Arial" w:eastAsia="Arial" w:hAnsi="Arial"/>
                <w:sz w:val="14"/>
                <w:szCs w:val="14"/>
                <w:b w:val="1"/>
                <w:bCs w:val="1"/>
                <w:color w:val="auto"/>
              </w:rPr>
              <w:t>Nine Months Ended</w:t>
            </w:r>
          </w:p>
        </w:tc>
      </w:tr>
      <w:tr>
        <w:trPr>
          <w:trHeight w:val="162"/>
        </w:trPr>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60" w:type="dxa"/>
            <w:vAlign w:val="bottom"/>
            <w:gridSpan w:val="3"/>
          </w:tcPr>
          <w:p>
            <w:pPr>
              <w:jc w:val="center"/>
              <w:ind w:right="369"/>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4"/>
                <w:szCs w:val="14"/>
                <w:color w:val="auto"/>
              </w:rPr>
            </w:pPr>
          </w:p>
        </w:tc>
      </w:tr>
      <w:tr>
        <w:trPr>
          <w:trHeight w:val="171"/>
        </w:trPr>
        <w:tc>
          <w:tcPr>
            <w:tcW w:w="4200" w:type="dxa"/>
            <w:vAlign w:val="bottom"/>
          </w:tcPr>
          <w:p>
            <w:pPr>
              <w:spacing w:after="0"/>
              <w:rPr>
                <w:sz w:val="14"/>
                <w:szCs w:val="14"/>
                <w:color w:val="auto"/>
              </w:rPr>
            </w:pPr>
          </w:p>
        </w:tc>
        <w:tc>
          <w:tcPr>
            <w:tcW w:w="2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2026</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437"/>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433"/>
              <w:spacing w:after="0"/>
              <w:rPr>
                <w:sz w:val="20"/>
                <w:szCs w:val="20"/>
                <w:color w:val="auto"/>
              </w:rPr>
            </w:pPr>
            <w:r>
              <w:rPr>
                <w:rFonts w:ascii="Arial" w:cs="Arial" w:eastAsia="Arial" w:hAnsi="Arial"/>
                <w:sz w:val="14"/>
                <w:szCs w:val="14"/>
                <w:b w:val="1"/>
                <w:bCs w:val="1"/>
                <w:color w:val="auto"/>
              </w:rPr>
              <w:t>2025</w:t>
            </w:r>
          </w:p>
        </w:tc>
      </w:tr>
      <w:tr>
        <w:trPr>
          <w:trHeight w:val="196"/>
        </w:trPr>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periodic benefit cost (credit):</w:t>
            </w:r>
          </w:p>
        </w:tc>
        <w:tc>
          <w:tcPr>
            <w:tcW w:w="1660" w:type="dxa"/>
            <w:vAlign w:val="bottom"/>
            <w:tcBorders>
              <w:right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right w:val="single" w:sz="8" w:color="CFF0FC"/>
            </w:tcBorders>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right w:val="single" w:sz="8" w:color="CFF0FC"/>
            </w:tcBorders>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2400" w:type="dxa"/>
            <w:vAlign w:val="bottom"/>
            <w:gridSpan w:val="2"/>
          </w:tcPr>
          <w:p>
            <w:pPr>
              <w:jc w:val="right"/>
              <w:ind w:right="568"/>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17"/>
                <w:szCs w:val="17"/>
                <w:color w:val="auto"/>
              </w:rPr>
            </w:pPr>
          </w:p>
        </w:tc>
        <w:tc>
          <w:tcPr>
            <w:tcW w:w="820" w:type="dxa"/>
            <w:vAlign w:val="bottom"/>
          </w:tcPr>
          <w:p>
            <w:pPr>
              <w:jc w:val="right"/>
              <w:ind w:right="649"/>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3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7"/>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r>
      <w:tr>
        <w:trPr>
          <w:trHeight w:val="203"/>
        </w:trPr>
        <w:tc>
          <w:tcPr>
            <w:tcW w:w="4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cost</w:t>
            </w:r>
          </w:p>
        </w:tc>
        <w:tc>
          <w:tcPr>
            <w:tcW w:w="1660" w:type="dxa"/>
            <w:vAlign w:val="bottom"/>
            <w:tcBorders>
              <w:right w:val="single" w:sz="8" w:color="CFF0FC"/>
            </w:tcBorders>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00" w:type="dxa"/>
            <w:vAlign w:val="bottom"/>
            <w:tcBorders>
              <w:right w:val="single" w:sz="8" w:color="CFF0FC"/>
            </w:tcBorders>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12</w:t>
            </w:r>
          </w:p>
        </w:tc>
        <w:tc>
          <w:tcPr>
            <w:tcW w:w="140" w:type="dxa"/>
            <w:vAlign w:val="bottom"/>
            <w:tcBorders>
              <w:right w:val="single" w:sz="8" w:color="CFF0FC"/>
            </w:tcBorders>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20" w:type="dxa"/>
            <w:vAlign w:val="bottom"/>
            <w:tcBorders>
              <w:right w:val="single" w:sz="8" w:color="CFF0FC"/>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w:t>
            </w:r>
          </w:p>
        </w:tc>
        <w:tc>
          <w:tcPr>
            <w:tcW w:w="12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ind w:right="37"/>
              <w:spacing w:after="0" w:line="202" w:lineRule="exact"/>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w:t>
            </w: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Expected return on assets</w:t>
            </w: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7"/>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r>
      <w:tr>
        <w:trPr>
          <w:trHeight w:val="203"/>
        </w:trPr>
        <w:tc>
          <w:tcPr>
            <w:tcW w:w="4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Prior service credit</w:t>
            </w:r>
          </w:p>
        </w:tc>
        <w:tc>
          <w:tcPr>
            <w:tcW w:w="1660" w:type="dxa"/>
            <w:vAlign w:val="bottom"/>
            <w:tcBorders>
              <w:right w:val="single" w:sz="8" w:color="CFF0FC"/>
            </w:tcBorders>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40" w:type="dxa"/>
            <w:vAlign w:val="bottom"/>
            <w:tcBorders>
              <w:right w:val="single" w:sz="8" w:color="CFF0FC"/>
            </w:tcBorders>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spacing w:after="0"/>
              <w:rPr>
                <w:sz w:val="17"/>
                <w:szCs w:val="17"/>
                <w:color w:val="auto"/>
              </w:rPr>
            </w:pPr>
          </w:p>
        </w:tc>
        <w:tc>
          <w:tcPr>
            <w:tcW w:w="420" w:type="dxa"/>
            <w:vAlign w:val="bottom"/>
            <w:tcBorders>
              <w:right w:val="single" w:sz="8" w:color="CFF0FC"/>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Recognized actuarial gain</w:t>
            </w:r>
          </w:p>
        </w:tc>
        <w:tc>
          <w:tcPr>
            <w:tcW w:w="16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r>
      <w:tr>
        <w:trPr>
          <w:trHeight w:val="216"/>
        </w:trPr>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periodic benefit cost (credit)</w:t>
            </w:r>
          </w:p>
        </w:tc>
        <w:tc>
          <w:tcPr>
            <w:tcW w:w="2400" w:type="dxa"/>
            <w:vAlign w:val="bottom"/>
            <w:gridSpan w:val="2"/>
            <w:shd w:val="clear" w:color="auto" w:fill="CFF0FC"/>
          </w:tcPr>
          <w:p>
            <w:pPr>
              <w:jc w:val="right"/>
              <w:ind w:right="568"/>
              <w:spacing w:after="0" w:line="196" w:lineRule="exact"/>
              <w:rPr>
                <w:sz w:val="20"/>
                <w:szCs w:val="20"/>
                <w:color w:val="auto"/>
              </w:rPr>
            </w:pPr>
            <w:r>
              <w:rPr>
                <w:rFonts w:ascii="Arial" w:cs="Arial" w:eastAsia="Arial" w:hAnsi="Arial"/>
                <w:sz w:val="18"/>
                <w:szCs w:val="18"/>
                <w:b w:val="1"/>
                <w:bCs w:val="1"/>
                <w:color w:val="auto"/>
              </w:rPr>
              <w:t>$</w:t>
            </w:r>
          </w:p>
        </w:tc>
        <w:tc>
          <w:tcPr>
            <w:tcW w:w="500" w:type="dxa"/>
            <w:vAlign w:val="bottom"/>
            <w:tcBorders>
              <w:right w:val="single" w:sz="8" w:color="CFF0FC"/>
            </w:tcBorders>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6</w:t>
            </w:r>
          </w:p>
        </w:tc>
        <w:tc>
          <w:tcPr>
            <w:tcW w:w="140" w:type="dxa"/>
            <w:vAlign w:val="bottom"/>
            <w:tcBorders>
              <w:right w:val="single" w:sz="8" w:color="CFF0FC"/>
            </w:tcBorders>
            <w:shd w:val="clear" w:color="auto" w:fill="CFF0FC"/>
          </w:tcPr>
          <w:p>
            <w:pPr>
              <w:spacing w:after="0"/>
              <w:rPr>
                <w:sz w:val="18"/>
                <w:szCs w:val="18"/>
                <w:color w:val="auto"/>
              </w:rPr>
            </w:pPr>
          </w:p>
        </w:tc>
        <w:tc>
          <w:tcPr>
            <w:tcW w:w="820" w:type="dxa"/>
            <w:vAlign w:val="bottom"/>
            <w:shd w:val="clear" w:color="auto" w:fill="CFF0FC"/>
          </w:tcPr>
          <w:p>
            <w:pPr>
              <w:jc w:val="right"/>
              <w:ind w:right="64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right w:val="single" w:sz="8" w:color="CFF0FC"/>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w:t>
            </w:r>
          </w:p>
        </w:tc>
        <w:tc>
          <w:tcPr>
            <w:tcW w:w="3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tcBorders>
              <w:right w:val="single" w:sz="8" w:color="CFF0FC"/>
            </w:tcBorders>
            <w:shd w:val="clear" w:color="auto" w:fill="CFF0FC"/>
          </w:tcPr>
          <w:p>
            <w:pPr>
              <w:jc w:val="right"/>
              <w:ind w:right="37"/>
              <w:spacing w:after="0" w:line="196" w:lineRule="exact"/>
              <w:rPr>
                <w:sz w:val="20"/>
                <w:szCs w:val="20"/>
                <w:color w:val="auto"/>
              </w:rPr>
            </w:pPr>
            <w:r>
              <w:rPr>
                <w:rFonts w:ascii="Arial" w:cs="Arial" w:eastAsia="Arial" w:hAnsi="Arial"/>
                <w:sz w:val="18"/>
                <w:szCs w:val="18"/>
                <w:b w:val="1"/>
                <w:bCs w:val="1"/>
                <w:color w:val="auto"/>
              </w:rPr>
              <w:t>1</w:t>
            </w:r>
          </w:p>
        </w:tc>
        <w:tc>
          <w:tcPr>
            <w:tcW w:w="50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420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-1516380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-1499235</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-1516380</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-1499235</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-1516380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-1499235</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69" w:lineRule="exact"/>
        <w:rPr>
          <w:sz w:val="20"/>
          <w:szCs w:val="20"/>
          <w:color w:val="auto"/>
        </w:rPr>
      </w:pPr>
    </w:p>
    <w:p>
      <w:pPr>
        <w:ind w:right="280" w:firstLine="494"/>
        <w:spacing w:after="0" w:line="271" w:lineRule="auto"/>
        <w:rPr>
          <w:sz w:val="20"/>
          <w:szCs w:val="20"/>
          <w:color w:val="auto"/>
        </w:rPr>
      </w:pPr>
      <w:r>
        <w:rPr>
          <w:rFonts w:ascii="Arial" w:cs="Arial" w:eastAsia="Arial" w:hAnsi="Arial"/>
          <w:sz w:val="18"/>
          <w:szCs w:val="18"/>
          <w:color w:val="auto"/>
        </w:rPr>
        <w:t>The components of net periodic benefit cost (credit) other than the service cost component are included in Other (expense) income, net in the Condensed Consolidated Statements of Comprehensive Income.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INCOME TAXES</w:t>
      </w:r>
    </w:p>
    <w:p>
      <w:pPr>
        <w:spacing w:after="0" w:line="104"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For the three and nine months ended September 30, 2026, the Company recorded total income tax expense of $47 million and $114 million, respectively. The effective tax rate for the three and nine months ended September 30, 2026 was 20% and 19%, respectively. For the three and nine months ended September 30, 2025, the Company recorded total income tax expense of $45 million and $133 million, respectively. The effective tax rate for each of the three and nine months ended September 30, 2025 was 25% and 20%, respectively. The decrease in income tax expense for the nine months ended September 30, 2026 compared to the nine months ended September 30, 2025 was principally driven by lower taxable income. The decrease in the effective tax rate for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three months ended September 30, 2026 compared to the three months ended September 30,2025 was principally driven by impacts related to the One Big Beautiful Bill Act passed in 2025.</w:t>
      </w:r>
    </w:p>
    <w:p>
      <w:pPr>
        <w:spacing w:after="0" w:line="46" w:lineRule="exact"/>
        <w:rPr>
          <w:sz w:val="20"/>
          <w:szCs w:val="20"/>
          <w:color w:val="auto"/>
        </w:rPr>
      </w:pPr>
    </w:p>
    <w:p>
      <w:pPr>
        <w:ind w:right="40" w:firstLine="494"/>
        <w:spacing w:after="0" w:line="247"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Management has determined, based on an evaluation of available objective and subjective evidence, that it is more likely than not that certain federal, state and foreign deferred tax assets will not be realized; therefore, these deferred tax assets are offset with a valuation allowance.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ACCUMULATED OTHER COMPREHENSIVE LOSS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components of AOCL consisted of the following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34"/>
              <w:spacing w:after="0" w:line="147" w:lineRule="exact"/>
              <w:rPr>
                <w:sz w:val="20"/>
                <w:szCs w:val="20"/>
                <w:color w:val="auto"/>
              </w:rPr>
            </w:pPr>
            <w:r>
              <w:rPr>
                <w:rFonts w:ascii="Arial" w:cs="Arial" w:eastAsia="Arial" w:hAnsi="Arial"/>
                <w:sz w:val="14"/>
                <w:szCs w:val="14"/>
                <w:b w:val="1"/>
                <w:bCs w:val="1"/>
                <w:color w:val="auto"/>
              </w:rPr>
              <w:t>Pension</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34"/>
              <w:spacing w:after="0"/>
              <w:rPr>
                <w:sz w:val="20"/>
                <w:szCs w:val="20"/>
                <w:color w:val="auto"/>
              </w:rPr>
            </w:pPr>
            <w:r>
              <w:rPr>
                <w:rFonts w:ascii="Arial" w:cs="Arial" w:eastAsia="Arial" w:hAnsi="Arial"/>
                <w:sz w:val="14"/>
                <w:szCs w:val="14"/>
                <w:b w:val="1"/>
                <w:bCs w:val="1"/>
                <w:color w:val="auto"/>
              </w:rPr>
              <w:t>and OPEB</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55"/>
              <w:spacing w:after="0"/>
              <w:rPr>
                <w:sz w:val="20"/>
                <w:szCs w:val="20"/>
                <w:color w:val="auto"/>
              </w:rPr>
            </w:pPr>
            <w:r>
              <w:rPr>
                <w:rFonts w:ascii="Arial" w:cs="Arial" w:eastAsia="Arial" w:hAnsi="Arial"/>
                <w:sz w:val="14"/>
                <w:szCs w:val="14"/>
                <w:b w:val="1"/>
                <w:bCs w:val="1"/>
                <w:color w:val="auto"/>
              </w:rPr>
              <w:t>Cross-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74"/>
              <w:spacing w:after="0"/>
              <w:rPr>
                <w:sz w:val="20"/>
                <w:szCs w:val="20"/>
                <w:color w:val="auto"/>
              </w:rPr>
            </w:pPr>
            <w:r>
              <w:rPr>
                <w:rFonts w:ascii="Arial" w:cs="Arial" w:eastAsia="Arial" w:hAnsi="Arial"/>
                <w:sz w:val="14"/>
                <w:szCs w:val="14"/>
                <w:b w:val="1"/>
                <w:bCs w:val="1"/>
                <w:color w:val="auto"/>
              </w:rPr>
              <w:t>Foreign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214"/>
              <w:spacing w:after="0"/>
              <w:rPr>
                <w:sz w:val="20"/>
                <w:szCs w:val="20"/>
                <w:color w:val="auto"/>
              </w:rPr>
            </w:pPr>
            <w:r>
              <w:rPr>
                <w:rFonts w:ascii="Arial" w:cs="Arial" w:eastAsia="Arial" w:hAnsi="Arial"/>
                <w:sz w:val="14"/>
                <w:szCs w:val="14"/>
                <w:b w:val="1"/>
                <w:bCs w:val="1"/>
                <w:color w:val="auto"/>
              </w:rPr>
              <w:t>Foreign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74"/>
              <w:spacing w:after="0"/>
              <w:rPr>
                <w:sz w:val="20"/>
                <w:szCs w:val="20"/>
                <w:color w:val="auto"/>
              </w:rPr>
            </w:pPr>
            <w:r>
              <w:rPr>
                <w:rFonts w:ascii="Arial" w:cs="Arial" w:eastAsia="Arial" w:hAnsi="Arial"/>
                <w:sz w:val="14"/>
                <w:szCs w:val="14"/>
                <w:b w:val="1"/>
                <w:bCs w:val="1"/>
                <w:color w:val="auto"/>
                <w:w w:val="99"/>
              </w:rPr>
              <w:t>liability</w:t>
            </w:r>
          </w:p>
        </w:tc>
        <w:tc>
          <w:tcPr>
            <w:tcW w:w="120" w:type="dxa"/>
            <w:vAlign w:val="bottom"/>
          </w:tcPr>
          <w:p>
            <w:pPr>
              <w:spacing w:after="0"/>
              <w:rPr>
                <w:sz w:val="14"/>
                <w:szCs w:val="14"/>
                <w:color w:val="auto"/>
              </w:rPr>
            </w:pPr>
          </w:p>
        </w:tc>
        <w:tc>
          <w:tcPr>
            <w:tcW w:w="10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Interest rate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95"/>
              <w:spacing w:after="0"/>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94"/>
              <w:spacing w:after="0"/>
              <w:rPr>
                <w:sz w:val="20"/>
                <w:szCs w:val="20"/>
                <w:color w:val="auto"/>
              </w:rPr>
            </w:pPr>
            <w:r>
              <w:rPr>
                <w:rFonts w:ascii="Arial" w:cs="Arial" w:eastAsia="Arial" w:hAnsi="Arial"/>
                <w:sz w:val="14"/>
                <w:szCs w:val="14"/>
                <w:b w:val="1"/>
                <w:bCs w:val="1"/>
                <w:color w:val="auto"/>
              </w:rPr>
              <w:t>exchange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214"/>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gridSpan w:val="2"/>
          </w:tcPr>
          <w:p>
            <w:pPr>
              <w:jc w:val="center"/>
              <w:ind w:right="34"/>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swaps</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swaps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forwards</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AOCL as of June 30, 2025</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840" w:type="dxa"/>
            <w:vAlign w:val="bottom"/>
            <w:gridSpan w:val="2"/>
            <w:shd w:val="clear" w:color="auto" w:fill="CFF0FC"/>
          </w:tcPr>
          <w:p>
            <w:pPr>
              <w:jc w:val="right"/>
              <w:ind w:right="542"/>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w:t>
            </w:r>
          </w:p>
        </w:tc>
        <w:tc>
          <w:tcPr>
            <w:tcW w:w="3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4200" w:type="dxa"/>
            <w:vAlign w:val="bottom"/>
          </w:tcPr>
          <w:p>
            <w:pPr>
              <w:ind w:left="120"/>
              <w:spacing w:after="0" w:line="202" w:lineRule="exact"/>
              <w:rPr>
                <w:sz w:val="20"/>
                <w:szCs w:val="20"/>
                <w:color w:val="auto"/>
              </w:rPr>
            </w:pPr>
            <w:r>
              <w:rPr>
                <w:rFonts w:ascii="Arial" w:cs="Arial" w:eastAsia="Arial" w:hAnsi="Arial"/>
                <w:sz w:val="18"/>
                <w:szCs w:val="18"/>
                <w:color w:val="auto"/>
              </w:rPr>
              <w:t>Other comprehensive loss before reclassifications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Amounts reclassified from AOCL</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4200" w:type="dxa"/>
            <w:vAlign w:val="bottom"/>
          </w:tcPr>
          <w:p>
            <w:pPr>
              <w:ind w:left="120"/>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current period other comprehensive loss</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840" w:type="dxa"/>
            <w:vAlign w:val="bottom"/>
            <w:gridSpan w:val="2"/>
            <w:shd w:val="clear" w:color="auto" w:fill="CFF0FC"/>
          </w:tcPr>
          <w:p>
            <w:pPr>
              <w:jc w:val="right"/>
              <w:ind w:right="542"/>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tcPr>
          <w:p>
            <w:pPr>
              <w:spacing w:after="0" w:line="196" w:lineRule="exact"/>
              <w:rPr>
                <w:sz w:val="20"/>
                <w:szCs w:val="20"/>
                <w:color w:val="auto"/>
              </w:rPr>
            </w:pPr>
            <w:r>
              <w:rPr>
                <w:rFonts w:ascii="Arial" w:cs="Arial" w:eastAsia="Arial" w:hAnsi="Arial"/>
                <w:sz w:val="18"/>
                <w:szCs w:val="18"/>
                <w:color w:val="auto"/>
              </w:rPr>
              <w:t>AOCL as of September 30, 2025</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840" w:type="dxa"/>
            <w:vAlign w:val="bottom"/>
            <w:gridSpan w:val="2"/>
          </w:tcPr>
          <w:p>
            <w:pPr>
              <w:jc w:val="right"/>
              <w:ind w:right="542"/>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5"/>
              <w:spacing w:after="0" w:line="196"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3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AOCL as of June 30, 2026</w:t>
            </w:r>
          </w:p>
        </w:tc>
        <w:tc>
          <w:tcPr>
            <w:tcW w:w="2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(22)</w:t>
            </w:r>
          </w:p>
        </w:tc>
        <w:tc>
          <w:tcPr>
            <w:tcW w:w="840" w:type="dxa"/>
            <w:vAlign w:val="bottom"/>
            <w:gridSpan w:val="2"/>
            <w:shd w:val="clear" w:color="auto" w:fill="CFF0FC"/>
          </w:tcPr>
          <w:p>
            <w:pPr>
              <w:jc w:val="right"/>
              <w:ind w:right="542"/>
              <w:spacing w:after="0" w:line="183"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w w:val="99"/>
              </w:rPr>
              <w:t>—</w:t>
            </w:r>
          </w:p>
        </w:tc>
        <w:tc>
          <w:tcPr>
            <w:tcW w:w="24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(6)</w:t>
            </w:r>
          </w:p>
        </w:tc>
        <w:tc>
          <w:tcPr>
            <w:tcW w:w="2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4"/>
              <w:spacing w:after="0" w:line="183"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(106)</w:t>
            </w:r>
          </w:p>
        </w:tc>
        <w:tc>
          <w:tcPr>
            <w:tcW w:w="3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84"/>
        </w:trPr>
        <w:tc>
          <w:tcPr>
            <w:tcW w:w="4200" w:type="dxa"/>
            <w:vAlign w:val="bottom"/>
          </w:tcPr>
          <w:p>
            <w:pPr>
              <w:ind w:left="120"/>
              <w:spacing w:after="0" w:line="183" w:lineRule="exact"/>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200" w:type="dxa"/>
            <w:vAlign w:val="bottom"/>
          </w:tcPr>
          <w:p>
            <w:pPr>
              <w:ind w:left="120"/>
              <w:spacing w:after="0"/>
              <w:rPr>
                <w:sz w:val="20"/>
                <w:szCs w:val="20"/>
                <w:color w:val="auto"/>
              </w:rPr>
            </w:pPr>
            <w:r>
              <w:rPr>
                <w:rFonts w:ascii="Arial" w:cs="Arial" w:eastAsia="Arial" w:hAnsi="Arial"/>
                <w:sz w:val="18"/>
                <w:szCs w:val="18"/>
                <w:color w:val="auto"/>
              </w:rPr>
              <w:t>reclassifications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03"/>
        </w:trPr>
        <w:tc>
          <w:tcPr>
            <w:tcW w:w="420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77"/>
        </w:trPr>
        <w:tc>
          <w:tcPr>
            <w:tcW w:w="4200" w:type="dxa"/>
            <w:vAlign w:val="bottom"/>
          </w:tcPr>
          <w:p>
            <w:pPr>
              <w:spacing w:after="0" w:line="177" w:lineRule="exact"/>
              <w:rPr>
                <w:sz w:val="20"/>
                <w:szCs w:val="20"/>
                <w:color w:val="auto"/>
              </w:rPr>
            </w:pPr>
            <w:r>
              <w:rPr>
                <w:rFonts w:ascii="Arial" w:cs="Arial" w:eastAsia="Arial" w:hAnsi="Arial"/>
                <w:sz w:val="18"/>
                <w:szCs w:val="18"/>
                <w:color w:val="auto"/>
              </w:rPr>
              <w:t>Net current period other comprehensive income</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vMerge w:val="restart"/>
          </w:tcPr>
          <w:p>
            <w:pPr>
              <w:jc w:val="right"/>
              <w:ind w:right="542"/>
              <w:spacing w:after="0"/>
              <w:rPr>
                <w:sz w:val="20"/>
                <w:szCs w:val="20"/>
                <w:color w:val="auto"/>
              </w:rPr>
            </w:pPr>
            <w:r>
              <w:rPr>
                <w:rFonts w:ascii="Arial" w:cs="Arial" w:eastAsia="Arial" w:hAnsi="Arial"/>
                <w:sz w:val="18"/>
                <w:szCs w:val="18"/>
                <w:b w:val="1"/>
                <w:bCs w:val="1"/>
                <w:color w:val="auto"/>
              </w:rPr>
              <w:t>$</w:t>
            </w:r>
          </w:p>
        </w:tc>
        <w:tc>
          <w:tcPr>
            <w:tcW w:w="3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7</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w:t>
            </w: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20"/>
                <w:szCs w:val="20"/>
                <w:color w:val="auto"/>
              </w:rPr>
            </w:pPr>
            <w:r>
              <w:rPr>
                <w:rFonts w:ascii="Arial" w:cs="Arial" w:eastAsia="Arial" w:hAnsi="Arial"/>
                <w:sz w:val="18"/>
                <w:szCs w:val="18"/>
                <w:color w:val="auto"/>
              </w:rPr>
              <w:t>(loss)</w:t>
            </w:r>
          </w:p>
        </w:tc>
        <w:tc>
          <w:tcPr>
            <w:tcW w:w="2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AOCL as of September 30, 2026</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(22)</w:t>
            </w:r>
          </w:p>
        </w:tc>
        <w:tc>
          <w:tcPr>
            <w:tcW w:w="840" w:type="dxa"/>
            <w:vAlign w:val="bottom"/>
            <w:gridSpan w:val="2"/>
            <w:shd w:val="clear" w:color="auto" w:fill="CFF0FC"/>
          </w:tcPr>
          <w:p>
            <w:pPr>
              <w:jc w:val="right"/>
              <w:ind w:right="542"/>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99"/>
              </w:rPr>
              <w:t>—</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b w:val="1"/>
                <w:bCs w:val="1"/>
                <w:color w:val="auto"/>
              </w:rPr>
              <w:t>1</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(132)</w:t>
            </w:r>
          </w:p>
        </w:tc>
        <w:tc>
          <w:tcPr>
            <w:tcW w:w="3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(154)</w:t>
            </w:r>
          </w:p>
        </w:tc>
        <w:tc>
          <w:tcPr>
            <w:tcW w:w="0" w:type="dxa"/>
            <w:vAlign w:val="bottom"/>
          </w:tcPr>
          <w:p>
            <w:pPr>
              <w:spacing w:after="0"/>
              <w:rPr>
                <w:sz w:val="1"/>
                <w:szCs w:val="1"/>
                <w:color w:val="auto"/>
              </w:rPr>
            </w:pPr>
          </w:p>
        </w:tc>
      </w:tr>
      <w:tr>
        <w:trPr>
          <w:trHeight w:val="578"/>
        </w:trPr>
        <w:tc>
          <w:tcPr>
            <w:tcW w:w="42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720" w:type="dxa"/>
            <w:vAlign w:val="bottom"/>
            <w:tcBorders>
              <w:top w:val="single" w:sz="8" w:color="auto"/>
            </w:tcBorders>
          </w:tcPr>
          <w:p>
            <w:pPr>
              <w:jc w:val="right"/>
              <w:ind w:right="402"/>
              <w:spacing w:after="0"/>
              <w:rPr>
                <w:sz w:val="20"/>
                <w:szCs w:val="20"/>
                <w:color w:val="auto"/>
              </w:rPr>
            </w:pPr>
            <w:r>
              <w:rPr>
                <w:rFonts w:ascii="Arial" w:cs="Arial" w:eastAsia="Arial" w:hAnsi="Arial"/>
                <w:sz w:val="18"/>
                <w:szCs w:val="18"/>
                <w:color w:val="auto"/>
              </w:rPr>
              <w:t>27</w:t>
            </w:r>
          </w:p>
        </w:tc>
        <w:tc>
          <w:tcPr>
            <w:tcW w:w="3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-1962150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-1962150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-1962150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-1962150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-1962150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-1285240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-1285240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-1285240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-1285240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-1285240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-890905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-873760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-890905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-873760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-890905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-873760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-890905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-873760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-890905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-873760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46"/>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53"/>
              <w:spacing w:after="0" w:line="147" w:lineRule="exact"/>
              <w:rPr>
                <w:sz w:val="20"/>
                <w:szCs w:val="20"/>
                <w:color w:val="auto"/>
              </w:rPr>
            </w:pPr>
            <w:r>
              <w:rPr>
                <w:rFonts w:ascii="Arial" w:cs="Arial" w:eastAsia="Arial" w:hAnsi="Arial"/>
                <w:sz w:val="14"/>
                <w:szCs w:val="14"/>
                <w:b w:val="1"/>
                <w:bCs w:val="1"/>
                <w:color w:val="auto"/>
              </w:rPr>
              <w:t>Pension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62"/>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33"/>
              <w:spacing w:after="0"/>
              <w:rPr>
                <w:sz w:val="20"/>
                <w:szCs w:val="20"/>
                <w:color w:val="auto"/>
              </w:rPr>
            </w:pPr>
            <w:r>
              <w:rPr>
                <w:rFonts w:ascii="Arial" w:cs="Arial" w:eastAsia="Arial" w:hAnsi="Arial"/>
                <w:sz w:val="14"/>
                <w:szCs w:val="14"/>
                <w:b w:val="1"/>
                <w:bCs w:val="1"/>
                <w:color w:val="auto"/>
              </w:rPr>
              <w:t>and OPEB</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35"/>
              <w:spacing w:after="0"/>
              <w:rPr>
                <w:sz w:val="20"/>
                <w:szCs w:val="20"/>
                <w:color w:val="auto"/>
              </w:rPr>
            </w:pPr>
            <w:r>
              <w:rPr>
                <w:rFonts w:ascii="Arial" w:cs="Arial" w:eastAsia="Arial" w:hAnsi="Arial"/>
                <w:sz w:val="14"/>
                <w:szCs w:val="14"/>
                <w:b w:val="1"/>
                <w:bCs w:val="1"/>
                <w:color w:val="auto"/>
                <w:w w:val="99"/>
              </w:rPr>
              <w:t>Cross-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173"/>
              <w:spacing w:after="0"/>
              <w:rPr>
                <w:sz w:val="20"/>
                <w:szCs w:val="20"/>
                <w:color w:val="auto"/>
              </w:rPr>
            </w:pPr>
            <w:r>
              <w:rPr>
                <w:rFonts w:ascii="Arial" w:cs="Arial" w:eastAsia="Arial" w:hAnsi="Arial"/>
                <w:sz w:val="14"/>
                <w:szCs w:val="14"/>
                <w:b w:val="1"/>
                <w:bCs w:val="1"/>
                <w:color w:val="auto"/>
              </w:rPr>
              <w:t>Foreign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94"/>
              <w:spacing w:after="0"/>
              <w:rPr>
                <w:sz w:val="20"/>
                <w:szCs w:val="20"/>
                <w:color w:val="auto"/>
              </w:rPr>
            </w:pPr>
            <w:r>
              <w:rPr>
                <w:rFonts w:ascii="Arial" w:cs="Arial" w:eastAsia="Arial" w:hAnsi="Arial"/>
                <w:sz w:val="14"/>
                <w:szCs w:val="14"/>
                <w:b w:val="1"/>
                <w:bCs w:val="1"/>
                <w:color w:val="auto"/>
              </w:rPr>
              <w:t>Foreign</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193"/>
              <w:spacing w:after="0"/>
              <w:rPr>
                <w:sz w:val="20"/>
                <w:szCs w:val="20"/>
                <w:color w:val="auto"/>
              </w:rPr>
            </w:pPr>
            <w:r>
              <w:rPr>
                <w:rFonts w:ascii="Arial" w:cs="Arial" w:eastAsia="Arial" w:hAnsi="Arial"/>
                <w:sz w:val="14"/>
                <w:szCs w:val="14"/>
                <w:b w:val="1"/>
                <w:bCs w:val="1"/>
                <w:color w:val="auto"/>
                <w:w w:val="99"/>
              </w:rPr>
              <w:t>liability</w:t>
            </w:r>
          </w:p>
        </w:tc>
        <w:tc>
          <w:tcPr>
            <w:tcW w:w="1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75"/>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4"/>
                <w:szCs w:val="14"/>
                <w:color w:val="auto"/>
              </w:rPr>
            </w:pPr>
          </w:p>
        </w:tc>
        <w:tc>
          <w:tcPr>
            <w:tcW w:w="1000" w:type="dxa"/>
            <w:vAlign w:val="bottom"/>
            <w:gridSpan w:val="2"/>
          </w:tcPr>
          <w:p>
            <w:pPr>
              <w:jc w:val="center"/>
              <w:ind w:right="53"/>
              <w:spacing w:after="0"/>
              <w:rPr>
                <w:sz w:val="20"/>
                <w:szCs w:val="20"/>
                <w:color w:val="auto"/>
              </w:rPr>
            </w:pPr>
            <w:r>
              <w:rPr>
                <w:rFonts w:ascii="Arial" w:cs="Arial" w:eastAsia="Arial" w:hAnsi="Arial"/>
                <w:sz w:val="14"/>
                <w:szCs w:val="14"/>
                <w:b w:val="1"/>
                <w:bCs w:val="1"/>
                <w:color w:val="auto"/>
              </w:rPr>
              <w:t>exchange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94"/>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swaps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swaps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forwards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r>
      <w:tr>
        <w:trPr>
          <w:trHeight w:val="196"/>
        </w:trPr>
        <w:tc>
          <w:tcPr>
            <w:tcW w:w="4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AOCL as of December 31, 2024</w:t>
            </w:r>
          </w:p>
        </w:tc>
        <w:tc>
          <w:tcPr>
            <w:tcW w:w="300" w:type="dxa"/>
            <w:vAlign w:val="bottom"/>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w:t>
            </w:r>
          </w:p>
        </w:tc>
        <w:tc>
          <w:tcPr>
            <w:tcW w:w="28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5</w:t>
            </w: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w:t>
            </w:r>
          </w:p>
        </w:tc>
        <w:tc>
          <w:tcPr>
            <w:tcW w:w="2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3"/>
        </w:trPr>
        <w:tc>
          <w:tcPr>
            <w:tcW w:w="4520" w:type="dxa"/>
            <w:vAlign w:val="bottom"/>
          </w:tcPr>
          <w:p>
            <w:pPr>
              <w:ind w:left="120"/>
              <w:spacing w:after="0" w:line="202" w:lineRule="exact"/>
              <w:rPr>
                <w:sz w:val="20"/>
                <w:szCs w:val="20"/>
                <w:color w:val="auto"/>
              </w:rPr>
            </w:pPr>
            <w:r>
              <w:rPr>
                <w:rFonts w:ascii="Arial" w:cs="Arial" w:eastAsia="Arial" w:hAnsi="Arial"/>
                <w:sz w:val="18"/>
                <w:szCs w:val="18"/>
                <w:color w:val="auto"/>
              </w:rPr>
              <w:t>Other comprehensive income before reclassifications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19</w:t>
            </w:r>
          </w:p>
        </w:tc>
      </w:tr>
      <w:tr>
        <w:trPr>
          <w:trHeight w:val="203"/>
        </w:trPr>
        <w:tc>
          <w:tcPr>
            <w:tcW w:w="45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Amounts reclassified from AOCL</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4520" w:type="dxa"/>
            <w:vAlign w:val="bottom"/>
          </w:tcPr>
          <w:p>
            <w:pPr>
              <w:ind w:left="120"/>
              <w:spacing w:after="0" w:line="202" w:lineRule="exact"/>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w:t>
            </w:r>
          </w:p>
        </w:tc>
      </w:tr>
      <w:tr>
        <w:trPr>
          <w:trHeight w:val="196"/>
        </w:trPr>
        <w:tc>
          <w:tcPr>
            <w:tcW w:w="4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current period other comprehensive (loss) income</w:t>
            </w:r>
          </w:p>
        </w:tc>
        <w:tc>
          <w:tcPr>
            <w:tcW w:w="300" w:type="dxa"/>
            <w:vAlign w:val="bottom"/>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w:t>
            </w:r>
          </w:p>
        </w:tc>
        <w:tc>
          <w:tcPr>
            <w:tcW w:w="28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w:t>
            </w: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18</w:t>
            </w:r>
          </w:p>
        </w:tc>
        <w:tc>
          <w:tcPr>
            <w:tcW w:w="2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8</w:t>
            </w:r>
          </w:p>
        </w:tc>
      </w:tr>
      <w:tr>
        <w:trPr>
          <w:trHeight w:val="20"/>
        </w:trPr>
        <w:tc>
          <w:tcPr>
            <w:tcW w:w="45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196"/>
        </w:trPr>
        <w:tc>
          <w:tcPr>
            <w:tcW w:w="4520" w:type="dxa"/>
            <w:vAlign w:val="bottom"/>
          </w:tcPr>
          <w:p>
            <w:pPr>
              <w:spacing w:after="0" w:line="196" w:lineRule="exact"/>
              <w:rPr>
                <w:sz w:val="20"/>
                <w:szCs w:val="20"/>
                <w:color w:val="auto"/>
              </w:rPr>
            </w:pPr>
            <w:r>
              <w:rPr>
                <w:rFonts w:ascii="Arial" w:cs="Arial" w:eastAsia="Arial" w:hAnsi="Arial"/>
                <w:sz w:val="18"/>
                <w:szCs w:val="18"/>
                <w:color w:val="auto"/>
              </w:rPr>
              <w:t>AOCL as of September 30, 2025</w:t>
            </w:r>
          </w:p>
        </w:tc>
        <w:tc>
          <w:tcPr>
            <w:tcW w:w="300" w:type="dxa"/>
            <w:vAlign w:val="bottom"/>
            <w:gridSpan w:val="2"/>
          </w:tcPr>
          <w:p>
            <w:pPr>
              <w:ind w:left="18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28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5"/>
              <w:spacing w:after="0" w:line="196"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line="196"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45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AOCL as of December 31, 2025</w:t>
            </w:r>
          </w:p>
        </w:tc>
        <w:tc>
          <w:tcPr>
            <w:tcW w:w="300" w:type="dxa"/>
            <w:vAlign w:val="bottom"/>
            <w:gridSpan w:val="2"/>
            <w:shd w:val="clear" w:color="auto" w:fill="CFF0FC"/>
          </w:tcPr>
          <w:p>
            <w:pPr>
              <w:ind w:left="180"/>
              <w:spacing w:after="0" w:line="183"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(20)</w:t>
            </w:r>
          </w:p>
        </w:tc>
        <w:tc>
          <w:tcPr>
            <w:tcW w:w="28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2"/>
              <w:spacing w:after="0" w:line="183"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5"/>
              <w:spacing w:after="0" w:line="183"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3"/>
              <w:spacing w:after="0" w:line="183"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(36)</w:t>
            </w:r>
          </w:p>
        </w:tc>
        <w:tc>
          <w:tcPr>
            <w:tcW w:w="28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(56)</w:t>
            </w:r>
          </w:p>
        </w:tc>
      </w:tr>
      <w:tr>
        <w:trPr>
          <w:trHeight w:val="184"/>
        </w:trPr>
        <w:tc>
          <w:tcPr>
            <w:tcW w:w="4520" w:type="dxa"/>
            <w:vAlign w:val="bottom"/>
          </w:tcPr>
          <w:p>
            <w:pPr>
              <w:ind w:left="120"/>
              <w:spacing w:after="0" w:line="183" w:lineRule="exact"/>
              <w:rPr>
                <w:sz w:val="20"/>
                <w:szCs w:val="20"/>
                <w:color w:val="auto"/>
              </w:rPr>
            </w:pPr>
            <w:r>
              <w:rPr>
                <w:rFonts w:ascii="Arial" w:cs="Arial" w:eastAsia="Arial" w:hAnsi="Arial"/>
                <w:sz w:val="18"/>
                <w:szCs w:val="18"/>
                <w:color w:val="auto"/>
              </w:rPr>
              <w:t>Other comprehensive income (loss) before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1"/>
        </w:trPr>
        <w:tc>
          <w:tcPr>
            <w:tcW w:w="4520" w:type="dxa"/>
            <w:vAlign w:val="bottom"/>
          </w:tcPr>
          <w:p>
            <w:pPr>
              <w:ind w:left="120"/>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(96)</w:t>
            </w:r>
          </w:p>
        </w:tc>
      </w:tr>
      <w:tr>
        <w:trPr>
          <w:trHeight w:val="203"/>
        </w:trPr>
        <w:tc>
          <w:tcPr>
            <w:tcW w:w="452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Amounts reclassified from AOCL</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w:t>
            </w:r>
          </w:p>
        </w:tc>
      </w:tr>
      <w:tr>
        <w:trPr>
          <w:trHeight w:val="196"/>
        </w:trPr>
        <w:tc>
          <w:tcPr>
            <w:tcW w:w="4520" w:type="dxa"/>
            <w:vAlign w:val="bottom"/>
          </w:tcPr>
          <w:p>
            <w:pPr>
              <w:spacing w:after="0" w:line="196" w:lineRule="exact"/>
              <w:rPr>
                <w:sz w:val="20"/>
                <w:szCs w:val="20"/>
                <w:color w:val="auto"/>
              </w:rPr>
            </w:pPr>
            <w:r>
              <w:rPr>
                <w:rFonts w:ascii="Arial" w:cs="Arial" w:eastAsia="Arial" w:hAnsi="Arial"/>
                <w:sz w:val="18"/>
                <w:szCs w:val="18"/>
                <w:color w:val="auto"/>
              </w:rPr>
              <w:t>Net current period other comprehensive (loss) income</w:t>
            </w:r>
          </w:p>
        </w:tc>
        <w:tc>
          <w:tcPr>
            <w:tcW w:w="300" w:type="dxa"/>
            <w:vAlign w:val="bottom"/>
            <w:gridSpan w:val="2"/>
          </w:tcPr>
          <w:p>
            <w:pPr>
              <w:ind w:left="180"/>
              <w:spacing w:after="0" w:line="196" w:lineRule="exact"/>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c>
          <w:tcPr>
            <w:tcW w:w="28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5"/>
              <w:spacing w:after="0" w:line="196" w:lineRule="exact"/>
              <w:rPr>
                <w:sz w:val="20"/>
                <w:szCs w:val="20"/>
                <w:color w:val="auto"/>
              </w:rPr>
            </w:pPr>
            <w:r>
              <w:rPr>
                <w:rFonts w:ascii="Arial" w:cs="Arial" w:eastAsia="Arial" w:hAnsi="Arial"/>
                <w:sz w:val="18"/>
                <w:szCs w:val="18"/>
                <w:b w:val="1"/>
                <w:bCs w:val="1"/>
                <w:color w:val="auto"/>
              </w:rPr>
              <w:t>1</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(96)</w:t>
            </w:r>
          </w:p>
        </w:tc>
        <w:tc>
          <w:tcPr>
            <w:tcW w:w="280" w:type="dxa"/>
            <w:vAlign w:val="bottom"/>
            <w:gridSpan w:val="2"/>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(98)</w:t>
            </w:r>
          </w:p>
        </w:tc>
      </w:tr>
      <w:tr>
        <w:trPr>
          <w:trHeight w:val="20"/>
        </w:trPr>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16"/>
        </w:trPr>
        <w:tc>
          <w:tcPr>
            <w:tcW w:w="4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AOCL as of September 30, 2026</w:t>
            </w:r>
          </w:p>
        </w:tc>
        <w:tc>
          <w:tcPr>
            <w:tcW w:w="300" w:type="dxa"/>
            <w:vAlign w:val="bottom"/>
            <w:gridSpan w:val="2"/>
            <w:shd w:val="clear" w:color="auto" w:fill="CFF0FC"/>
          </w:tcPr>
          <w:p>
            <w:pPr>
              <w:ind w:left="180"/>
              <w:spacing w:after="0" w:line="196" w:lineRule="exact"/>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(22)</w:t>
            </w:r>
          </w:p>
        </w:tc>
        <w:tc>
          <w:tcPr>
            <w:tcW w:w="28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b w:val="1"/>
                <w:bCs w:val="1"/>
                <w:color w:val="auto"/>
              </w:rPr>
              <w:t>1</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(132)</w:t>
            </w:r>
          </w:p>
        </w:tc>
        <w:tc>
          <w:tcPr>
            <w:tcW w:w="2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(154)</w:t>
            </w: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-976630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-976630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-976630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-976630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-976630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-299720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-299720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-299720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-299720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-299720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-25400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-25400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-25400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right="1100" w:firstLine="499"/>
        <w:spacing w:after="0" w:line="271" w:lineRule="auto"/>
        <w:rPr>
          <w:sz w:val="20"/>
          <w:szCs w:val="20"/>
          <w:color w:val="auto"/>
        </w:rPr>
      </w:pPr>
      <w:r>
        <w:rPr>
          <w:rFonts w:ascii="Arial" w:cs="Arial" w:eastAsia="Arial" w:hAnsi="Arial"/>
          <w:sz w:val="18"/>
          <w:szCs w:val="18"/>
          <w:color w:val="auto"/>
        </w:rPr>
        <w:t>The following table shows the location in the Condensed Consolidated Statements of Comprehensive Income affected by reclassifications from AOCL (dollars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5"/>
          </w:tcPr>
          <w:p>
            <w:pPr>
              <w:jc w:val="right"/>
              <w:ind w:right="544"/>
              <w:spacing w:after="0"/>
              <w:rPr>
                <w:sz w:val="20"/>
                <w:szCs w:val="20"/>
                <w:color w:val="auto"/>
              </w:rPr>
            </w:pPr>
            <w:r>
              <w:rPr>
                <w:rFonts w:ascii="Arial" w:cs="Arial" w:eastAsia="Arial" w:hAnsi="Arial"/>
                <w:sz w:val="14"/>
                <w:szCs w:val="14"/>
                <w:b w:val="1"/>
                <w:bCs w:val="1"/>
                <w:color w:val="auto"/>
              </w:rPr>
              <w:t>Amounts reclassified from AOCL</w:t>
            </w:r>
          </w:p>
        </w:tc>
        <w:tc>
          <w:tcPr>
            <w:tcW w:w="320" w:type="dxa"/>
            <w:vAlign w:val="bottom"/>
            <w:tcBorders>
              <w:bottom w:val="single" w:sz="8" w:color="auto"/>
            </w:tcBorders>
          </w:tcPr>
          <w:p>
            <w:pPr>
              <w:spacing w:after="0"/>
              <w:rPr>
                <w:sz w:val="14"/>
                <w:szCs w:val="14"/>
                <w:color w:val="auto"/>
              </w:rPr>
            </w:pPr>
          </w:p>
        </w:tc>
        <w:tc>
          <w:tcPr>
            <w:tcW w:w="3340" w:type="dxa"/>
            <w:vAlign w:val="bottom"/>
            <w:vMerge w:val="restart"/>
          </w:tcPr>
          <w:p>
            <w:pPr>
              <w:jc w:val="center"/>
              <w:ind w:left="97"/>
              <w:spacing w:after="0"/>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46"/>
        </w:trPr>
        <w:tc>
          <w:tcPr>
            <w:tcW w:w="3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center"/>
              <w:ind w:left="8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2"/>
                <w:szCs w:val="12"/>
                <w:color w:val="auto"/>
              </w:rPr>
            </w:pPr>
          </w:p>
        </w:tc>
        <w:tc>
          <w:tcPr>
            <w:tcW w:w="3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tcPr>
          <w:p>
            <w:pPr>
              <w:jc w:val="center"/>
              <w:ind w:left="77"/>
              <w:spacing w:after="0" w:line="149"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20"/>
                <w:szCs w:val="20"/>
                <w:color w:val="auto"/>
              </w:rPr>
            </w:pPr>
            <w:r>
              <w:rPr>
                <w:rFonts w:ascii="Arial" w:cs="Arial" w:eastAsia="Arial" w:hAnsi="Arial"/>
                <w:sz w:val="14"/>
                <w:szCs w:val="14"/>
                <w:b w:val="1"/>
                <w:bCs w:val="1"/>
                <w:color w:val="auto"/>
              </w:rPr>
              <w:t>AOCL Components</w:t>
            </w:r>
          </w:p>
        </w:tc>
        <w:tc>
          <w:tcPr>
            <w:tcW w:w="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September 30, 2026</w:t>
            </w: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Borders>
              <w:bottom w:val="single" w:sz="8" w:color="auto"/>
            </w:tcBorders>
          </w:tcPr>
          <w:p>
            <w:pPr>
              <w:jc w:val="center"/>
              <w:ind w:left="124"/>
              <w:spacing w:after="0"/>
              <w:rPr>
                <w:sz w:val="20"/>
                <w:szCs w:val="20"/>
                <w:color w:val="auto"/>
              </w:rPr>
            </w:pPr>
            <w:r>
              <w:rPr>
                <w:rFonts w:ascii="Arial" w:cs="Arial" w:eastAsia="Arial" w:hAnsi="Arial"/>
                <w:sz w:val="14"/>
                <w:szCs w:val="14"/>
                <w:b w:val="1"/>
                <w:bCs w:val="1"/>
                <w:color w:val="auto"/>
              </w:rPr>
              <w:t>September 30, 2025</w:t>
            </w:r>
          </w:p>
        </w:tc>
        <w:tc>
          <w:tcPr>
            <w:tcW w:w="320" w:type="dxa"/>
            <w:vAlign w:val="bottom"/>
            <w:tcBorders>
              <w:bottom w:val="single" w:sz="8" w:color="auto"/>
            </w:tcBorders>
          </w:tcPr>
          <w:p>
            <w:pPr>
              <w:spacing w:after="0"/>
              <w:rPr>
                <w:sz w:val="14"/>
                <w:szCs w:val="14"/>
                <w:color w:val="auto"/>
              </w:rPr>
            </w:pPr>
          </w:p>
        </w:tc>
        <w:tc>
          <w:tcPr>
            <w:tcW w:w="3340" w:type="dxa"/>
            <w:vAlign w:val="bottom"/>
          </w:tcPr>
          <w:p>
            <w:pPr>
              <w:jc w:val="center"/>
              <w:ind w:left="77"/>
              <w:spacing w:after="0"/>
              <w:rPr>
                <w:sz w:val="20"/>
                <w:szCs w:val="20"/>
                <w:color w:val="auto"/>
              </w:rPr>
            </w:pPr>
            <w:r>
              <w:rPr>
                <w:rFonts w:ascii="Arial" w:cs="Arial" w:eastAsia="Arial" w:hAnsi="Arial"/>
                <w:sz w:val="14"/>
                <w:szCs w:val="14"/>
                <w:b w:val="1"/>
                <w:bCs w:val="1"/>
                <w:color w:val="auto"/>
              </w:rPr>
              <w:t>Comprehensive Income</w:t>
            </w:r>
          </w:p>
        </w:tc>
        <w:tc>
          <w:tcPr>
            <w:tcW w:w="0" w:type="dxa"/>
            <w:vAlign w:val="bottom"/>
          </w:tcPr>
          <w:p>
            <w:pPr>
              <w:spacing w:after="0"/>
              <w:rPr>
                <w:sz w:val="1"/>
                <w:szCs w:val="1"/>
                <w:color w:val="auto"/>
              </w:rPr>
            </w:pPr>
          </w:p>
        </w:tc>
      </w:tr>
      <w:tr>
        <w:trPr>
          <w:trHeight w:val="196"/>
        </w:trPr>
        <w:tc>
          <w:tcPr>
            <w:tcW w:w="386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Prior service credit</w:t>
            </w:r>
          </w:p>
        </w:tc>
        <w:tc>
          <w:tcPr>
            <w:tcW w:w="1620" w:type="dxa"/>
            <w:vAlign w:val="bottom"/>
            <w:gridSpan w:val="2"/>
            <w:shd w:val="clear" w:color="auto" w:fill="CFF0FC"/>
          </w:tcPr>
          <w:p>
            <w:pPr>
              <w:jc w:val="right"/>
              <w:ind w:right="1445"/>
              <w:spacing w:after="0" w:line="196" w:lineRule="exact"/>
              <w:rPr>
                <w:sz w:val="20"/>
                <w:szCs w:val="20"/>
                <w:color w:val="auto"/>
              </w:rPr>
            </w:pPr>
            <w:r>
              <w:rPr>
                <w:rFonts w:ascii="Arial" w:cs="Arial" w:eastAsia="Arial" w:hAnsi="Arial"/>
                <w:sz w:val="18"/>
                <w:szCs w:val="18"/>
                <w:b w:val="1"/>
                <w:bCs w:val="1"/>
                <w:color w:val="auto"/>
                <w:w w:val="79"/>
              </w:rPr>
              <w:t>$</w:t>
            </w:r>
          </w:p>
        </w:tc>
        <w:tc>
          <w:tcPr>
            <w:tcW w:w="3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99"/>
              </w:rPr>
              <w:t>—</w:t>
            </w:r>
          </w:p>
        </w:tc>
        <w:tc>
          <w:tcPr>
            <w:tcW w:w="1780" w:type="dxa"/>
            <w:vAlign w:val="bottom"/>
            <w:gridSpan w:val="3"/>
            <w:shd w:val="clear" w:color="auto" w:fill="CFF0FC"/>
          </w:tcPr>
          <w:p>
            <w:pPr>
              <w:jc w:val="right"/>
              <w:ind w:right="1424"/>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w:t>
            </w:r>
          </w:p>
        </w:tc>
        <w:tc>
          <w:tcPr>
            <w:tcW w:w="334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03"/>
        </w:trPr>
        <w:tc>
          <w:tcPr>
            <w:tcW w:w="3860" w:type="dxa"/>
            <w:vAlign w:val="bottom"/>
          </w:tcPr>
          <w:p>
            <w:pPr>
              <w:ind w:left="100"/>
              <w:spacing w:after="0" w:line="202" w:lineRule="exact"/>
              <w:rPr>
                <w:sz w:val="20"/>
                <w:szCs w:val="20"/>
                <w:color w:val="auto"/>
              </w:rPr>
            </w:pPr>
            <w:r>
              <w:rPr>
                <w:rFonts w:ascii="Arial" w:cs="Arial" w:eastAsia="Arial" w:hAnsi="Arial"/>
                <w:sz w:val="18"/>
                <w:szCs w:val="18"/>
                <w:color w:val="auto"/>
              </w:rPr>
              <w:t>Recognized actuarial gain</w:t>
            </w: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3340" w:type="dxa"/>
            <w:vAlign w:val="bottom"/>
          </w:tcPr>
          <w:p>
            <w:pPr>
              <w:ind w:left="180"/>
              <w:spacing w:after="0" w:line="202" w:lineRule="exact"/>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Interest rate swaps</w:t>
            </w:r>
          </w:p>
        </w:tc>
        <w:tc>
          <w:tcPr>
            <w:tcW w:w="2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w w:val="99"/>
              </w:rPr>
              <w:t>—</w:t>
            </w:r>
          </w:p>
        </w:tc>
        <w:tc>
          <w:tcPr>
            <w:tcW w:w="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33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196"/>
        </w:trPr>
        <w:tc>
          <w:tcPr>
            <w:tcW w:w="3860" w:type="dxa"/>
            <w:vAlign w:val="bottom"/>
          </w:tcPr>
          <w:p>
            <w:pPr>
              <w:spacing w:after="0" w:line="196" w:lineRule="exact"/>
              <w:rPr>
                <w:sz w:val="20"/>
                <w:szCs w:val="20"/>
                <w:color w:val="auto"/>
              </w:rPr>
            </w:pPr>
            <w:r>
              <w:rPr>
                <w:rFonts w:ascii="Arial" w:cs="Arial" w:eastAsia="Arial" w:hAnsi="Arial"/>
                <w:sz w:val="18"/>
                <w:szCs w:val="18"/>
                <w:color w:val="auto"/>
              </w:rPr>
              <w:t>Total reclassifications, before tax</w:t>
            </w:r>
          </w:p>
        </w:tc>
        <w:tc>
          <w:tcPr>
            <w:tcW w:w="1620" w:type="dxa"/>
            <w:vAlign w:val="bottom"/>
            <w:gridSpan w:val="2"/>
          </w:tcPr>
          <w:p>
            <w:pPr>
              <w:jc w:val="right"/>
              <w:ind w:right="1445"/>
              <w:spacing w:after="0" w:line="196" w:lineRule="exact"/>
              <w:rPr>
                <w:sz w:val="20"/>
                <w:szCs w:val="20"/>
                <w:color w:val="auto"/>
              </w:rPr>
            </w:pPr>
            <w:r>
              <w:rPr>
                <w:rFonts w:ascii="Arial" w:cs="Arial" w:eastAsia="Arial" w:hAnsi="Arial"/>
                <w:sz w:val="18"/>
                <w:szCs w:val="18"/>
                <w:b w:val="1"/>
                <w:bCs w:val="1"/>
                <w:color w:val="auto"/>
                <w:w w:val="79"/>
              </w:rPr>
              <w:t>$</w:t>
            </w:r>
          </w:p>
        </w:tc>
        <w:tc>
          <w:tcPr>
            <w:tcW w:w="32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w w:val="99"/>
              </w:rPr>
              <w:t>—</w:t>
            </w:r>
          </w:p>
        </w:tc>
        <w:tc>
          <w:tcPr>
            <w:tcW w:w="1780" w:type="dxa"/>
            <w:vAlign w:val="bottom"/>
            <w:gridSpan w:val="3"/>
          </w:tcPr>
          <w:p>
            <w:pPr>
              <w:jc w:val="right"/>
              <w:ind w:right="1424"/>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4</w:t>
            </w:r>
          </w:p>
        </w:tc>
        <w:tc>
          <w:tcPr>
            <w:tcW w:w="3340" w:type="dxa"/>
            <w:vAlign w:val="bottom"/>
          </w:tcPr>
          <w:p>
            <w:pPr>
              <w:ind w:left="180"/>
              <w:spacing w:after="0" w:line="196" w:lineRule="exact"/>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w w:val="99"/>
              </w:rPr>
              <w:t>—</w:t>
            </w:r>
          </w:p>
        </w:tc>
        <w:tc>
          <w:tcPr>
            <w:tcW w:w="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33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196"/>
        </w:trPr>
        <w:tc>
          <w:tcPr>
            <w:tcW w:w="3860" w:type="dxa"/>
            <w:vAlign w:val="bottom"/>
          </w:tcPr>
          <w:p>
            <w:pPr>
              <w:spacing w:after="0" w:line="196" w:lineRule="exact"/>
              <w:rPr>
                <w:sz w:val="20"/>
                <w:szCs w:val="20"/>
                <w:color w:val="auto"/>
              </w:rPr>
            </w:pPr>
            <w:r>
              <w:rPr>
                <w:rFonts w:ascii="Arial" w:cs="Arial" w:eastAsia="Arial" w:hAnsi="Arial"/>
                <w:sz w:val="18"/>
                <w:szCs w:val="18"/>
                <w:color w:val="auto"/>
              </w:rPr>
              <w:t>Total reclassifications, net of tax</w:t>
            </w:r>
          </w:p>
        </w:tc>
        <w:tc>
          <w:tcPr>
            <w:tcW w:w="1620" w:type="dxa"/>
            <w:vAlign w:val="bottom"/>
            <w:gridSpan w:val="2"/>
          </w:tcPr>
          <w:p>
            <w:pPr>
              <w:jc w:val="right"/>
              <w:ind w:right="1445"/>
              <w:spacing w:after="0" w:line="196" w:lineRule="exact"/>
              <w:rPr>
                <w:sz w:val="20"/>
                <w:szCs w:val="20"/>
                <w:color w:val="auto"/>
              </w:rPr>
            </w:pPr>
            <w:r>
              <w:rPr>
                <w:rFonts w:ascii="Arial" w:cs="Arial" w:eastAsia="Arial" w:hAnsi="Arial"/>
                <w:sz w:val="18"/>
                <w:szCs w:val="18"/>
                <w:b w:val="1"/>
                <w:bCs w:val="1"/>
                <w:color w:val="auto"/>
                <w:w w:val="79"/>
              </w:rPr>
              <w:t>$</w:t>
            </w:r>
          </w:p>
        </w:tc>
        <w:tc>
          <w:tcPr>
            <w:tcW w:w="32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w w:val="99"/>
              </w:rPr>
              <w:t>—</w:t>
            </w:r>
          </w:p>
        </w:tc>
        <w:tc>
          <w:tcPr>
            <w:tcW w:w="1780" w:type="dxa"/>
            <w:vAlign w:val="bottom"/>
            <w:gridSpan w:val="3"/>
          </w:tcPr>
          <w:p>
            <w:pPr>
              <w:jc w:val="right"/>
              <w:ind w:right="1424"/>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w:t>
            </w: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tcBorders>
              <w:bottom w:val="single" w:sz="8" w:color="auto"/>
            </w:tcBorders>
            <w:gridSpan w:val="5"/>
          </w:tcPr>
          <w:p>
            <w:pPr>
              <w:jc w:val="right"/>
              <w:ind w:right="544"/>
              <w:spacing w:after="0"/>
              <w:rPr>
                <w:sz w:val="20"/>
                <w:szCs w:val="20"/>
                <w:color w:val="auto"/>
              </w:rPr>
            </w:pPr>
            <w:r>
              <w:rPr>
                <w:rFonts w:ascii="Arial" w:cs="Arial" w:eastAsia="Arial" w:hAnsi="Arial"/>
                <w:sz w:val="14"/>
                <w:szCs w:val="14"/>
                <w:b w:val="1"/>
                <w:bCs w:val="1"/>
                <w:color w:val="auto"/>
              </w:rPr>
              <w:t>Amounts reclassified from AOCL</w:t>
            </w:r>
          </w:p>
        </w:tc>
        <w:tc>
          <w:tcPr>
            <w:tcW w:w="320" w:type="dxa"/>
            <w:vAlign w:val="bottom"/>
            <w:tcBorders>
              <w:bottom w:val="single" w:sz="8" w:color="auto"/>
            </w:tcBorders>
          </w:tcPr>
          <w:p>
            <w:pPr>
              <w:spacing w:after="0"/>
              <w:rPr>
                <w:sz w:val="24"/>
                <w:szCs w:val="24"/>
                <w:color w:val="auto"/>
              </w:rPr>
            </w:pPr>
          </w:p>
        </w:tc>
        <w:tc>
          <w:tcPr>
            <w:tcW w:w="3340" w:type="dxa"/>
            <w:vAlign w:val="bottom"/>
            <w:vMerge w:val="restart"/>
          </w:tcPr>
          <w:p>
            <w:pPr>
              <w:jc w:val="center"/>
              <w:ind w:left="77"/>
              <w:spacing w:after="0"/>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46"/>
        </w:trPr>
        <w:tc>
          <w:tcPr>
            <w:tcW w:w="3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center"/>
              <w:ind w:left="84"/>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2"/>
                <w:szCs w:val="12"/>
                <w:color w:val="auto"/>
              </w:rPr>
            </w:pPr>
          </w:p>
        </w:tc>
        <w:tc>
          <w:tcPr>
            <w:tcW w:w="3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tcPr>
          <w:p>
            <w:pPr>
              <w:ind w:left="760"/>
              <w:spacing w:after="0" w:line="149"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20"/>
                <w:szCs w:val="20"/>
                <w:color w:val="auto"/>
              </w:rPr>
            </w:pPr>
            <w:r>
              <w:rPr>
                <w:rFonts w:ascii="Arial" w:cs="Arial" w:eastAsia="Arial" w:hAnsi="Arial"/>
                <w:sz w:val="14"/>
                <w:szCs w:val="14"/>
                <w:b w:val="1"/>
                <w:bCs w:val="1"/>
                <w:color w:val="auto"/>
              </w:rPr>
              <w:t>AOCL Components</w:t>
            </w:r>
          </w:p>
        </w:tc>
        <w:tc>
          <w:tcPr>
            <w:tcW w:w="20" w:type="dxa"/>
            <w:vAlign w:val="bottom"/>
          </w:tcPr>
          <w:p>
            <w:pPr>
              <w:spacing w:after="0"/>
              <w:rPr>
                <w:sz w:val="14"/>
                <w:szCs w:val="14"/>
                <w:color w:val="auto"/>
              </w:rPr>
            </w:pPr>
          </w:p>
        </w:tc>
        <w:tc>
          <w:tcPr>
            <w:tcW w:w="16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September 30, 2026</w:t>
            </w: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Borders>
              <w:bottom w:val="single" w:sz="8" w:color="auto"/>
            </w:tcBorders>
          </w:tcPr>
          <w:p>
            <w:pPr>
              <w:jc w:val="center"/>
              <w:ind w:left="124"/>
              <w:spacing w:after="0"/>
              <w:rPr>
                <w:sz w:val="20"/>
                <w:szCs w:val="20"/>
                <w:color w:val="auto"/>
              </w:rPr>
            </w:pPr>
            <w:r>
              <w:rPr>
                <w:rFonts w:ascii="Arial" w:cs="Arial" w:eastAsia="Arial" w:hAnsi="Arial"/>
                <w:sz w:val="14"/>
                <w:szCs w:val="14"/>
                <w:b w:val="1"/>
                <w:bCs w:val="1"/>
                <w:color w:val="auto"/>
              </w:rPr>
              <w:t>September 30, 2025</w:t>
            </w:r>
          </w:p>
        </w:tc>
        <w:tc>
          <w:tcPr>
            <w:tcW w:w="320" w:type="dxa"/>
            <w:vAlign w:val="bottom"/>
            <w:tcBorders>
              <w:bottom w:val="single" w:sz="8" w:color="auto"/>
            </w:tcBorders>
          </w:tcPr>
          <w:p>
            <w:pPr>
              <w:spacing w:after="0"/>
              <w:rPr>
                <w:sz w:val="14"/>
                <w:szCs w:val="14"/>
                <w:color w:val="auto"/>
              </w:rPr>
            </w:pPr>
          </w:p>
        </w:tc>
        <w:tc>
          <w:tcPr>
            <w:tcW w:w="3340" w:type="dxa"/>
            <w:vAlign w:val="bottom"/>
          </w:tcPr>
          <w:p>
            <w:pPr>
              <w:jc w:val="center"/>
              <w:ind w:left="77"/>
              <w:spacing w:after="0"/>
              <w:rPr>
                <w:sz w:val="20"/>
                <w:szCs w:val="20"/>
                <w:color w:val="auto"/>
              </w:rPr>
            </w:pPr>
            <w:r>
              <w:rPr>
                <w:rFonts w:ascii="Arial" w:cs="Arial" w:eastAsia="Arial" w:hAnsi="Arial"/>
                <w:sz w:val="14"/>
                <w:szCs w:val="14"/>
                <w:b w:val="1"/>
                <w:bCs w:val="1"/>
                <w:color w:val="auto"/>
              </w:rPr>
              <w:t>Comprehensive Income</w:t>
            </w:r>
          </w:p>
        </w:tc>
        <w:tc>
          <w:tcPr>
            <w:tcW w:w="0" w:type="dxa"/>
            <w:vAlign w:val="bottom"/>
          </w:tcPr>
          <w:p>
            <w:pPr>
              <w:spacing w:after="0"/>
              <w:rPr>
                <w:sz w:val="1"/>
                <w:szCs w:val="1"/>
                <w:color w:val="auto"/>
              </w:rPr>
            </w:pPr>
          </w:p>
        </w:tc>
      </w:tr>
      <w:tr>
        <w:trPr>
          <w:trHeight w:val="196"/>
        </w:trPr>
        <w:tc>
          <w:tcPr>
            <w:tcW w:w="386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Prior service credit</w:t>
            </w:r>
          </w:p>
        </w:tc>
        <w:tc>
          <w:tcPr>
            <w:tcW w:w="1620" w:type="dxa"/>
            <w:vAlign w:val="bottom"/>
            <w:gridSpan w:val="2"/>
            <w:shd w:val="clear" w:color="auto" w:fill="CFF0FC"/>
          </w:tcPr>
          <w:p>
            <w:pPr>
              <w:jc w:val="right"/>
              <w:ind w:right="1425"/>
              <w:spacing w:after="0" w:line="196" w:lineRule="exact"/>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2</w:t>
            </w:r>
          </w:p>
        </w:tc>
        <w:tc>
          <w:tcPr>
            <w:tcW w:w="1780" w:type="dxa"/>
            <w:vAlign w:val="bottom"/>
            <w:gridSpan w:val="3"/>
            <w:shd w:val="clear" w:color="auto" w:fill="CFF0FC"/>
          </w:tcPr>
          <w:p>
            <w:pPr>
              <w:jc w:val="right"/>
              <w:ind w:right="1424"/>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w:t>
            </w:r>
          </w:p>
        </w:tc>
        <w:tc>
          <w:tcPr>
            <w:tcW w:w="334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03"/>
        </w:trPr>
        <w:tc>
          <w:tcPr>
            <w:tcW w:w="3860" w:type="dxa"/>
            <w:vAlign w:val="bottom"/>
          </w:tcPr>
          <w:p>
            <w:pPr>
              <w:ind w:left="100"/>
              <w:spacing w:after="0" w:line="202" w:lineRule="exact"/>
              <w:rPr>
                <w:sz w:val="20"/>
                <w:szCs w:val="20"/>
                <w:color w:val="auto"/>
              </w:rPr>
            </w:pPr>
            <w:r>
              <w:rPr>
                <w:rFonts w:ascii="Arial" w:cs="Arial" w:eastAsia="Arial" w:hAnsi="Arial"/>
                <w:sz w:val="18"/>
                <w:szCs w:val="18"/>
                <w:color w:val="auto"/>
              </w:rPr>
              <w:t>Recognized actuarial gain</w:t>
            </w: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3340" w:type="dxa"/>
            <w:vAlign w:val="bottom"/>
          </w:tcPr>
          <w:p>
            <w:pPr>
              <w:ind w:left="160"/>
              <w:spacing w:after="0" w:line="202" w:lineRule="exact"/>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03"/>
        </w:trPr>
        <w:tc>
          <w:tcPr>
            <w:tcW w:w="38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Interest rate swaps</w:t>
            </w:r>
          </w:p>
        </w:tc>
        <w:tc>
          <w:tcPr>
            <w:tcW w:w="20" w:type="dxa"/>
            <w:vAlign w:val="bottom"/>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w:t>
            </w:r>
          </w:p>
        </w:tc>
        <w:tc>
          <w:tcPr>
            <w:tcW w:w="33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196"/>
        </w:trPr>
        <w:tc>
          <w:tcPr>
            <w:tcW w:w="3860" w:type="dxa"/>
            <w:vAlign w:val="bottom"/>
          </w:tcPr>
          <w:p>
            <w:pPr>
              <w:spacing w:after="0" w:line="196" w:lineRule="exact"/>
              <w:rPr>
                <w:sz w:val="20"/>
                <w:szCs w:val="20"/>
                <w:color w:val="auto"/>
              </w:rPr>
            </w:pPr>
            <w:r>
              <w:rPr>
                <w:rFonts w:ascii="Arial" w:cs="Arial" w:eastAsia="Arial" w:hAnsi="Arial"/>
                <w:sz w:val="18"/>
                <w:szCs w:val="18"/>
                <w:color w:val="auto"/>
              </w:rPr>
              <w:t>Total reclassifications, before tax</w:t>
            </w:r>
          </w:p>
        </w:tc>
        <w:tc>
          <w:tcPr>
            <w:tcW w:w="20" w:type="dxa"/>
            <w:vAlign w:val="bottom"/>
          </w:tcPr>
          <w:p>
            <w:pPr>
              <w:spacing w:after="0"/>
              <w:rPr>
                <w:sz w:val="17"/>
                <w:szCs w:val="17"/>
                <w:color w:val="auto"/>
              </w:rPr>
            </w:pPr>
          </w:p>
        </w:tc>
        <w:tc>
          <w:tcPr>
            <w:tcW w:w="1600" w:type="dxa"/>
            <w:vAlign w:val="bottom"/>
          </w:tcPr>
          <w:p>
            <w:pPr>
              <w:jc w:val="right"/>
              <w:ind w:right="1425"/>
              <w:spacing w:after="0" w:line="196" w:lineRule="exact"/>
              <w:rPr>
                <w:sz w:val="20"/>
                <w:szCs w:val="20"/>
                <w:color w:val="auto"/>
              </w:rPr>
            </w:pPr>
            <w:r>
              <w:rPr>
                <w:rFonts w:ascii="Arial" w:cs="Arial" w:eastAsia="Arial" w:hAnsi="Arial"/>
                <w:sz w:val="18"/>
                <w:szCs w:val="18"/>
                <w:b w:val="1"/>
                <w:bCs w:val="1"/>
                <w:color w:val="auto"/>
                <w:w w:val="79"/>
              </w:rPr>
              <w:t>$</w:t>
            </w:r>
          </w:p>
        </w:tc>
        <w:tc>
          <w:tcPr>
            <w:tcW w:w="32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1424"/>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89"/>
              </w:rPr>
              <w:t>12</w:t>
            </w:r>
          </w:p>
        </w:tc>
        <w:tc>
          <w:tcPr>
            <w:tcW w:w="3340" w:type="dxa"/>
            <w:vAlign w:val="bottom"/>
          </w:tcPr>
          <w:p>
            <w:pPr>
              <w:ind w:left="160"/>
              <w:spacing w:after="0" w:line="196" w:lineRule="exact"/>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334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196"/>
        </w:trPr>
        <w:tc>
          <w:tcPr>
            <w:tcW w:w="3860" w:type="dxa"/>
            <w:vAlign w:val="bottom"/>
          </w:tcPr>
          <w:p>
            <w:pPr>
              <w:spacing w:after="0" w:line="196" w:lineRule="exact"/>
              <w:rPr>
                <w:sz w:val="20"/>
                <w:szCs w:val="20"/>
                <w:color w:val="auto"/>
              </w:rPr>
            </w:pPr>
            <w:r>
              <w:rPr>
                <w:rFonts w:ascii="Arial" w:cs="Arial" w:eastAsia="Arial" w:hAnsi="Arial"/>
                <w:sz w:val="18"/>
                <w:szCs w:val="18"/>
                <w:color w:val="auto"/>
              </w:rPr>
              <w:t>Total reclassifications, net of tax</w:t>
            </w:r>
          </w:p>
        </w:tc>
        <w:tc>
          <w:tcPr>
            <w:tcW w:w="1620" w:type="dxa"/>
            <w:vAlign w:val="bottom"/>
            <w:gridSpan w:val="2"/>
          </w:tcPr>
          <w:p>
            <w:pPr>
              <w:jc w:val="right"/>
              <w:ind w:right="1425"/>
              <w:spacing w:after="0" w:line="196" w:lineRule="exact"/>
              <w:rPr>
                <w:sz w:val="20"/>
                <w:szCs w:val="20"/>
                <w:color w:val="auto"/>
              </w:rPr>
            </w:pPr>
            <w:r>
              <w:rPr>
                <w:rFonts w:ascii="Arial" w:cs="Arial" w:eastAsia="Arial" w:hAnsi="Arial"/>
                <w:sz w:val="18"/>
                <w:szCs w:val="18"/>
                <w:b w:val="1"/>
                <w:bCs w:val="1"/>
                <w:color w:val="auto"/>
                <w:w w:val="99"/>
              </w:rPr>
              <w:t>$</w:t>
            </w:r>
          </w:p>
        </w:tc>
        <w:tc>
          <w:tcPr>
            <w:tcW w:w="32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2</w:t>
            </w:r>
          </w:p>
        </w:tc>
        <w:tc>
          <w:tcPr>
            <w:tcW w:w="1780" w:type="dxa"/>
            <w:vAlign w:val="bottom"/>
            <w:gridSpan w:val="3"/>
          </w:tcPr>
          <w:p>
            <w:pPr>
              <w:jc w:val="right"/>
              <w:ind w:right="1424"/>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9</w:t>
            </w: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-1790700</wp:posOffset>
            </wp:positionV>
            <wp:extent cx="1111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-1790700</wp:posOffset>
            </wp:positionV>
            <wp:extent cx="1111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-1525270</wp:posOffset>
            </wp:positionV>
            <wp:extent cx="1111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-1525270</wp:posOffset>
            </wp:positionV>
            <wp:extent cx="1111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-162560</wp:posOffset>
            </wp:positionV>
            <wp:extent cx="1028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-162560</wp:posOffset>
            </wp:positionV>
            <wp:extent cx="1028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69" w:lineRule="exact"/>
        <w:rPr>
          <w:sz w:val="20"/>
          <w:szCs w:val="20"/>
          <w:color w:val="auto"/>
        </w:rPr>
      </w:pPr>
    </w:p>
    <w:p>
      <w:pPr>
        <w:ind w:right="120" w:firstLine="494"/>
        <w:spacing w:after="0" w:line="271" w:lineRule="auto"/>
        <w:rPr>
          <w:sz w:val="20"/>
          <w:szCs w:val="20"/>
          <w:color w:val="auto"/>
        </w:rPr>
      </w:pPr>
      <w:r>
        <w:rPr>
          <w:rFonts w:ascii="Arial" w:cs="Arial" w:eastAsia="Arial" w:hAnsi="Arial"/>
          <w:sz w:val="18"/>
          <w:szCs w:val="18"/>
          <w:color w:val="auto"/>
        </w:rPr>
        <w:t>Prior service credits and actuarial gains are included in the computation of the Company’s net periodic benefit cost (credit). See "Note N. Employee Benefit Plans” for additional details.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COMMITMENTS AND CONTINGENCIES</w:t>
      </w:r>
    </w:p>
    <w:p>
      <w:pPr>
        <w:spacing w:after="0" w:line="104" w:lineRule="exact"/>
        <w:rPr>
          <w:sz w:val="20"/>
          <w:szCs w:val="20"/>
          <w:color w:val="auto"/>
        </w:rPr>
      </w:pPr>
    </w:p>
    <w:p>
      <w:pPr>
        <w:jc w:val="both"/>
        <w:ind w:right="420" w:firstLine="494"/>
        <w:spacing w:after="0" w:line="253"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740"/>
        <w:spacing w:after="0" w:line="253" w:lineRule="auto"/>
        <w:rPr>
          <w:sz w:val="20"/>
          <w:szCs w:val="20"/>
          <w:color w:val="auto"/>
        </w:rPr>
      </w:pPr>
      <w:r>
        <w:rPr>
          <w:rFonts w:ascii="Arial" w:cs="Arial" w:eastAsia="Arial" w:hAnsi="Arial"/>
          <w:sz w:val="18"/>
          <w:szCs w:val="18"/>
          <w:color w:val="auto"/>
        </w:rPr>
        <w:t>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EARNINGS PER SHARE</w:t>
      </w:r>
    </w:p>
    <w:p>
      <w:pPr>
        <w:spacing w:after="0" w:line="104" w:lineRule="exact"/>
        <w:rPr>
          <w:sz w:val="20"/>
          <w:szCs w:val="20"/>
          <w:color w:val="auto"/>
        </w:rPr>
      </w:pPr>
    </w:p>
    <w:p>
      <w:pPr>
        <w:ind w:right="160" w:firstLine="494"/>
        <w:spacing w:after="0" w:line="271" w:lineRule="auto"/>
        <w:rPr>
          <w:sz w:val="20"/>
          <w:szCs w:val="20"/>
          <w:color w:val="auto"/>
        </w:rPr>
      </w:pPr>
      <w:r>
        <w:rPr>
          <w:rFonts w:ascii="Arial" w:cs="Arial" w:eastAsia="Arial" w:hAnsi="Arial"/>
          <w:sz w:val="18"/>
          <w:szCs w:val="18"/>
          <w:color w:val="auto"/>
        </w:rPr>
        <w:t>The following table reconciles the numerators and denominators used to calculate basic EPS and diluted EPS (in millions,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210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8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r>
      <w:tr>
        <w:trPr>
          <w:trHeight w:val="156"/>
        </w:trPr>
        <w:tc>
          <w:tcPr>
            <w:tcW w:w="588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5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2025</w:t>
            </w:r>
          </w:p>
        </w:tc>
      </w:tr>
      <w:tr>
        <w:trPr>
          <w:trHeight w:val="236"/>
        </w:trPr>
        <w:tc>
          <w:tcPr>
            <w:tcW w:w="588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191</w:t>
            </w:r>
          </w:p>
        </w:tc>
        <w:tc>
          <w:tcPr>
            <w:tcW w:w="880" w:type="dxa"/>
            <w:vAlign w:val="bottom"/>
            <w:gridSpan w:val="2"/>
            <w:shd w:val="clear" w:color="auto" w:fill="CFF0FC"/>
          </w:tcPr>
          <w:p>
            <w:pPr>
              <w:jc w:val="right"/>
              <w:ind w:right="568"/>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137</w:t>
            </w:r>
          </w:p>
        </w:tc>
        <w:tc>
          <w:tcPr>
            <w:tcW w:w="3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b w:val="1"/>
                <w:bCs w:val="1"/>
                <w:color w:val="auto"/>
              </w:rPr>
              <w:t>484</w:t>
            </w:r>
          </w:p>
        </w:tc>
        <w:tc>
          <w:tcPr>
            <w:tcW w:w="52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524</w:t>
            </w:r>
          </w:p>
        </w:tc>
      </w:tr>
      <w:tr>
        <w:trPr>
          <w:trHeight w:val="183"/>
        </w:trPr>
        <w:tc>
          <w:tcPr>
            <w:tcW w:w="588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Weighted average shares of common stock outstanding</w:t>
            </w:r>
          </w:p>
        </w:tc>
        <w:tc>
          <w:tcPr>
            <w:tcW w:w="7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33"/>
              <w:spacing w:after="0" w:line="183" w:lineRule="exact"/>
              <w:rPr>
                <w:sz w:val="20"/>
                <w:szCs w:val="20"/>
                <w:color w:val="auto"/>
              </w:rPr>
            </w:pPr>
            <w:r>
              <w:rPr>
                <w:rFonts w:ascii="Arial" w:cs="Arial" w:eastAsia="Arial" w:hAnsi="Arial"/>
                <w:sz w:val="18"/>
                <w:szCs w:val="18"/>
                <w:b w:val="1"/>
                <w:bCs w:val="1"/>
                <w:color w:val="auto"/>
              </w:rPr>
              <w:t>83</w:t>
            </w:r>
          </w:p>
        </w:tc>
        <w:tc>
          <w:tcPr>
            <w:tcW w:w="14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rPr>
              <w:t>84</w:t>
            </w:r>
          </w:p>
        </w:tc>
        <w:tc>
          <w:tcPr>
            <w:tcW w:w="12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6"/>
              <w:spacing w:after="0" w:line="183" w:lineRule="exact"/>
              <w:rPr>
                <w:sz w:val="20"/>
                <w:szCs w:val="20"/>
                <w:color w:val="auto"/>
              </w:rPr>
            </w:pPr>
            <w:r>
              <w:rPr>
                <w:rFonts w:ascii="Arial" w:cs="Arial" w:eastAsia="Arial" w:hAnsi="Arial"/>
                <w:sz w:val="18"/>
                <w:szCs w:val="18"/>
                <w:b w:val="1"/>
                <w:bCs w:val="1"/>
                <w:color w:val="auto"/>
              </w:rPr>
              <w:t>83</w:t>
            </w:r>
          </w:p>
        </w:tc>
        <w:tc>
          <w:tcPr>
            <w:tcW w:w="120" w:type="dxa"/>
            <w:vAlign w:val="bottom"/>
            <w:tcBorders>
              <w:top w:val="single" w:sz="8" w:color="CFF0F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3"/>
              <w:spacing w:after="0" w:line="183" w:lineRule="exact"/>
              <w:rPr>
                <w:sz w:val="20"/>
                <w:szCs w:val="20"/>
                <w:color w:val="auto"/>
              </w:rPr>
            </w:pPr>
            <w:r>
              <w:rPr>
                <w:rFonts w:ascii="Arial" w:cs="Arial" w:eastAsia="Arial" w:hAnsi="Arial"/>
                <w:sz w:val="18"/>
                <w:szCs w:val="18"/>
                <w:color w:val="auto"/>
              </w:rPr>
              <w:t>84</w:t>
            </w:r>
          </w:p>
        </w:tc>
      </w:tr>
      <w:tr>
        <w:trPr>
          <w:trHeight w:val="203"/>
        </w:trPr>
        <w:tc>
          <w:tcPr>
            <w:tcW w:w="5880" w:type="dxa"/>
            <w:vAlign w:val="bottom"/>
            <w:tcBorders>
              <w:bottom w:val="single" w:sz="8" w:color="CFF0FC"/>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Dilutive effect of stock-based awards</w:t>
            </w:r>
          </w:p>
        </w:tc>
        <w:tc>
          <w:tcPr>
            <w:tcW w:w="72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w:t>
            </w:r>
          </w:p>
        </w:tc>
      </w:tr>
      <w:tr>
        <w:trPr>
          <w:trHeight w:val="196"/>
        </w:trPr>
        <w:tc>
          <w:tcPr>
            <w:tcW w:w="5880" w:type="dxa"/>
            <w:vAlign w:val="bottom"/>
          </w:tcPr>
          <w:p>
            <w:pPr>
              <w:ind w:left="160"/>
              <w:spacing w:after="0" w:line="196" w:lineRule="exact"/>
              <w:rPr>
                <w:sz w:val="20"/>
                <w:szCs w:val="20"/>
                <w:color w:val="auto"/>
              </w:rPr>
            </w:pPr>
            <w:r>
              <w:rPr>
                <w:rFonts w:ascii="Arial" w:cs="Arial" w:eastAsia="Arial" w:hAnsi="Arial"/>
                <w:sz w:val="18"/>
                <w:szCs w:val="18"/>
                <w:color w:val="auto"/>
              </w:rPr>
              <w:t>Diluted weighted average shares of common stock outstanding</w:t>
            </w:r>
          </w:p>
        </w:tc>
        <w:tc>
          <w:tcPr>
            <w:tcW w:w="7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b w:val="1"/>
                <w:bCs w:val="1"/>
                <w:color w:val="auto"/>
              </w:rPr>
              <w:t>83</w:t>
            </w:r>
          </w:p>
        </w:tc>
        <w:tc>
          <w:tcPr>
            <w:tcW w:w="1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84</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85</w:t>
            </w:r>
          </w:p>
        </w:tc>
      </w:tr>
      <w:tr>
        <w:trPr>
          <w:trHeight w:val="20"/>
        </w:trPr>
        <w:tc>
          <w:tcPr>
            <w:tcW w:w="5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3"/>
        </w:trPr>
        <w:tc>
          <w:tcPr>
            <w:tcW w:w="5880" w:type="dxa"/>
            <w:vAlign w:val="bottom"/>
            <w:tcBorders>
              <w:right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Basic earnings per share attributable to common stockholders</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FF0FC"/>
          </w:tcPr>
          <w:p>
            <w:pPr>
              <w:jc w:val="right"/>
              <w:ind w:right="33"/>
              <w:spacing w:after="0" w:line="182" w:lineRule="exact"/>
              <w:rPr>
                <w:sz w:val="20"/>
                <w:szCs w:val="20"/>
                <w:color w:val="auto"/>
              </w:rPr>
            </w:pPr>
            <w:r>
              <w:rPr>
                <w:rFonts w:ascii="Arial" w:cs="Arial" w:eastAsia="Arial" w:hAnsi="Arial"/>
                <w:sz w:val="18"/>
                <w:szCs w:val="18"/>
                <w:b w:val="1"/>
                <w:bCs w:val="1"/>
                <w:color w:val="auto"/>
              </w:rPr>
              <w:t>2.30</w:t>
            </w:r>
          </w:p>
        </w:tc>
        <w:tc>
          <w:tcPr>
            <w:tcW w:w="880" w:type="dxa"/>
            <w:vAlign w:val="bottom"/>
            <w:gridSpan w:val="2"/>
            <w:shd w:val="clear" w:color="auto" w:fill="CFF0FC"/>
          </w:tcPr>
          <w:p>
            <w:pPr>
              <w:jc w:val="right"/>
              <w:ind w:right="568"/>
              <w:spacing w:after="0" w:line="182" w:lineRule="exact"/>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1.63</w:t>
            </w:r>
          </w:p>
        </w:tc>
        <w:tc>
          <w:tcPr>
            <w:tcW w:w="38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ind w:right="36"/>
              <w:spacing w:after="0" w:line="182" w:lineRule="exact"/>
              <w:rPr>
                <w:sz w:val="20"/>
                <w:szCs w:val="20"/>
                <w:color w:val="auto"/>
              </w:rPr>
            </w:pPr>
            <w:r>
              <w:rPr>
                <w:rFonts w:ascii="Arial" w:cs="Arial" w:eastAsia="Arial" w:hAnsi="Arial"/>
                <w:sz w:val="18"/>
                <w:szCs w:val="18"/>
                <w:b w:val="1"/>
                <w:bCs w:val="1"/>
                <w:color w:val="auto"/>
              </w:rPr>
              <w:t>5.83</w:t>
            </w:r>
          </w:p>
        </w:tc>
        <w:tc>
          <w:tcPr>
            <w:tcW w:w="520" w:type="dxa"/>
            <w:vAlign w:val="bottom"/>
            <w:gridSpan w:val="2"/>
            <w:shd w:val="clear" w:color="auto" w:fill="CFF0FC"/>
          </w:tcPr>
          <w:p>
            <w:pPr>
              <w:jc w:val="right"/>
              <w:ind w:right="300"/>
              <w:spacing w:after="0" w:line="18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6.24</w:t>
            </w:r>
          </w:p>
        </w:tc>
      </w:tr>
      <w:tr>
        <w:trPr>
          <w:trHeight w:val="20"/>
        </w:trPr>
        <w:tc>
          <w:tcPr>
            <w:tcW w:w="58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r>
      <w:tr>
        <w:trPr>
          <w:trHeight w:val="183"/>
        </w:trPr>
        <w:tc>
          <w:tcPr>
            <w:tcW w:w="5880" w:type="dxa"/>
            <w:vAlign w:val="bottom"/>
          </w:tcPr>
          <w:p>
            <w:pPr>
              <w:ind w:left="160"/>
              <w:spacing w:after="0" w:line="182" w:lineRule="exact"/>
              <w:rPr>
                <w:sz w:val="20"/>
                <w:szCs w:val="20"/>
                <w:color w:val="auto"/>
              </w:rPr>
            </w:pPr>
            <w:r>
              <w:rPr>
                <w:rFonts w:ascii="Arial" w:cs="Arial" w:eastAsia="Arial" w:hAnsi="Arial"/>
                <w:sz w:val="18"/>
                <w:szCs w:val="18"/>
                <w:color w:val="auto"/>
              </w:rPr>
              <w:t>Diluted earnings per share attributable to common stockholders</w:t>
            </w:r>
          </w:p>
        </w:tc>
        <w:tc>
          <w:tcPr>
            <w:tcW w:w="720" w:type="dxa"/>
            <w:vAlign w:val="bottom"/>
          </w:tcPr>
          <w:p>
            <w:pPr>
              <w:jc w:val="right"/>
              <w:ind w:right="567"/>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ind w:right="33"/>
              <w:spacing w:after="0" w:line="182" w:lineRule="exact"/>
              <w:rPr>
                <w:sz w:val="20"/>
                <w:szCs w:val="20"/>
                <w:color w:val="auto"/>
              </w:rPr>
            </w:pPr>
            <w:r>
              <w:rPr>
                <w:rFonts w:ascii="Arial" w:cs="Arial" w:eastAsia="Arial" w:hAnsi="Arial"/>
                <w:sz w:val="18"/>
                <w:szCs w:val="18"/>
                <w:b w:val="1"/>
                <w:bCs w:val="1"/>
                <w:color w:val="auto"/>
              </w:rPr>
              <w:t>2.30</w:t>
            </w:r>
          </w:p>
        </w:tc>
        <w:tc>
          <w:tcPr>
            <w:tcW w:w="880" w:type="dxa"/>
            <w:vAlign w:val="bottom"/>
            <w:gridSpan w:val="2"/>
          </w:tcPr>
          <w:p>
            <w:pPr>
              <w:jc w:val="right"/>
              <w:ind w:right="568"/>
              <w:spacing w:after="0" w:line="182"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1.63</w:t>
            </w:r>
          </w:p>
        </w:tc>
        <w:tc>
          <w:tcPr>
            <w:tcW w:w="380" w:type="dxa"/>
            <w:vAlign w:val="bottom"/>
            <w:gridSpan w:val="2"/>
          </w:tcPr>
          <w:p>
            <w:pPr>
              <w:jc w:val="right"/>
              <w:ind w:right="160"/>
              <w:spacing w:after="0" w:line="18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6"/>
              <w:spacing w:after="0" w:line="182" w:lineRule="exact"/>
              <w:rPr>
                <w:sz w:val="20"/>
                <w:szCs w:val="20"/>
                <w:color w:val="auto"/>
              </w:rPr>
            </w:pPr>
            <w:r>
              <w:rPr>
                <w:rFonts w:ascii="Arial" w:cs="Arial" w:eastAsia="Arial" w:hAnsi="Arial"/>
                <w:sz w:val="18"/>
                <w:szCs w:val="18"/>
                <w:b w:val="1"/>
                <w:bCs w:val="1"/>
                <w:color w:val="auto"/>
              </w:rPr>
              <w:t>5.76</w:t>
            </w:r>
          </w:p>
        </w:tc>
        <w:tc>
          <w:tcPr>
            <w:tcW w:w="520" w:type="dxa"/>
            <w:vAlign w:val="bottom"/>
            <w:gridSpan w:val="2"/>
          </w:tcPr>
          <w:p>
            <w:pPr>
              <w:jc w:val="right"/>
              <w:ind w:right="300"/>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line="182" w:lineRule="exact"/>
              <w:rPr>
                <w:sz w:val="20"/>
                <w:szCs w:val="20"/>
                <w:color w:val="auto"/>
              </w:rPr>
            </w:pPr>
            <w:r>
              <w:rPr>
                <w:rFonts w:ascii="Arial" w:cs="Arial" w:eastAsia="Arial" w:hAnsi="Arial"/>
                <w:sz w:val="18"/>
                <w:szCs w:val="18"/>
                <w:color w:val="auto"/>
              </w:rPr>
              <w:t>6.16</w:t>
            </w:r>
          </w:p>
        </w:tc>
      </w:tr>
      <w:tr>
        <w:trPr>
          <w:trHeight w:val="20"/>
        </w:trPr>
        <w:tc>
          <w:tcPr>
            <w:tcW w:w="58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-753745</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-736600</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-753745</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-736600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-753745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-736600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-471170</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-471170</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-471170</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-179070</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-162560</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-179070</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-162560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-179070</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-162560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69" w:lineRule="exact"/>
        <w:rPr>
          <w:sz w:val="20"/>
          <w:szCs w:val="20"/>
          <w:color w:val="auto"/>
        </w:rPr>
      </w:pPr>
    </w:p>
    <w:p>
      <w:pPr>
        <w:ind w:right="20" w:firstLine="494"/>
        <w:spacing w:after="0" w:line="242" w:lineRule="auto"/>
        <w:rPr>
          <w:sz w:val="20"/>
          <w:szCs w:val="20"/>
          <w:color w:val="auto"/>
        </w:rPr>
      </w:pPr>
      <w:r>
        <w:rPr>
          <w:rFonts w:ascii="Arial" w:cs="Arial" w:eastAsia="Arial" w:hAnsi="Arial"/>
          <w:sz w:val="18"/>
          <w:szCs w:val="18"/>
          <w:color w:val="auto"/>
        </w:rPr>
        <w:t>The dilutive impact of stock-based compensation is calculated using the treasury stock method. The treasury stock method assumes that the Company uses the proceeds from the exercise of awards to repurchase common stock at the average market price during the period. For each of the three and nine months ended September 30, 2026 and 2025, there were no outstanding stock options that were anti-dilutive and excluded from the diluted EPS calculation. Basic and diluted EPS for the full-year are calculated using the weighted average shares of common stock outstanding during the year while quarterly basic and diluted EPS are calculated using the weighted average shares of common stock outstanding during the quarter; therefore, the sum of each quarter's EPS may not equal full-year EPS.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 COMMON STOCK</w:t>
      </w:r>
    </w:p>
    <w:p>
      <w:pPr>
        <w:spacing w:after="0" w:line="104"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The Board of Directors has authorized the Company to repurchase up to $5,000 million of its common stock pursuant to a stock repurchase program (the "Repurchase Program"). During the three and nine months ended September 30, 2026, the Company repurchased approximately $57 million and $124 million, respectively, of its common stock under the Repurchase Program, leaving $1,068 million of authorized repurchases remaining under the Repurchase Program as of September 30, 2026. The Repurchase Program has no termination date, and the timing and amount of stock purchases are subject to market conditions and corporate needs. The Repurchase Program may be modified, suspended or discontinued at any time at the Company’s discretion.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 SEGMENT INFORMATION</w:t>
      </w:r>
    </w:p>
    <w:p>
      <w:pPr>
        <w:spacing w:after="0" w:line="117"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The Company’s chief operating decision maker (“CODM”) is its Chair, President and Chief Executive Officer. The CODM evaluates the Company’s segment operating performance and makes decisions regarding the allocation of resources based on Segment Operating Profit.</w:t>
      </w:r>
    </w:p>
    <w:p>
      <w:pPr>
        <w:spacing w:after="0" w:line="46" w:lineRule="exact"/>
        <w:rPr>
          <w:sz w:val="20"/>
          <w:szCs w:val="20"/>
          <w:color w:val="auto"/>
        </w:rPr>
      </w:pPr>
    </w:p>
    <w:p>
      <w:pPr>
        <w:ind w:right="220" w:firstLine="494"/>
        <w:spacing w:after="0" w:line="214" w:lineRule="exact"/>
        <w:rPr>
          <w:sz w:val="20"/>
          <w:szCs w:val="20"/>
          <w:color w:val="auto"/>
        </w:rPr>
      </w:pPr>
      <w:r>
        <w:rPr>
          <w:rFonts w:ascii="Arial" w:cs="Arial" w:eastAsia="Arial" w:hAnsi="Arial"/>
          <w:sz w:val="18"/>
          <w:szCs w:val="18"/>
          <w:color w:val="auto"/>
        </w:rPr>
        <w:t>The CODM assesses segment performance utilizing Segment Operating Profit primarily through comparisons of budgeted results to actual results and period</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period variances. Certain variances identified through this analysis are evaluated to assist the CODM in assessing segment operating performance and making resource allocation decisions.</w:t>
      </w:r>
    </w:p>
    <w:p>
      <w:pPr>
        <w:spacing w:after="0" w:line="74" w:lineRule="exact"/>
        <w:rPr>
          <w:sz w:val="20"/>
          <w:szCs w:val="20"/>
          <w:color w:val="auto"/>
        </w:rPr>
      </w:pPr>
    </w:p>
    <w:p>
      <w:pPr>
        <w:ind w:right="120" w:firstLine="494"/>
        <w:spacing w:after="0" w:line="271" w:lineRule="auto"/>
        <w:rPr>
          <w:sz w:val="20"/>
          <w:szCs w:val="20"/>
          <w:color w:val="auto"/>
        </w:rPr>
      </w:pPr>
      <w:r>
        <w:rPr>
          <w:rFonts w:ascii="Arial" w:cs="Arial" w:eastAsia="Arial" w:hAnsi="Arial"/>
          <w:sz w:val="18"/>
          <w:szCs w:val="18"/>
          <w:color w:val="auto"/>
        </w:rPr>
        <w:t>The significant expenses that are regularly provided to the CODM and included in Segment Operating Profit are cost of sales, selling, general and administrative expenses, and engineering — research and development expenses.</w:t>
      </w:r>
    </w:p>
    <w:p>
      <w:pPr>
        <w:spacing w:after="0" w:line="46" w:lineRule="exact"/>
        <w:rPr>
          <w:sz w:val="20"/>
          <w:szCs w:val="20"/>
          <w:color w:val="auto"/>
        </w:rPr>
      </w:pPr>
    </w:p>
    <w:p>
      <w:pPr>
        <w:ind w:firstLine="494"/>
        <w:spacing w:after="0" w:line="210" w:lineRule="exact"/>
        <w:rPr>
          <w:sz w:val="20"/>
          <w:szCs w:val="20"/>
          <w:color w:val="auto"/>
        </w:rPr>
      </w:pPr>
      <w:r>
        <w:rPr>
          <w:rFonts w:ascii="Arial" w:cs="Arial" w:eastAsia="Arial" w:hAnsi="Arial"/>
          <w:sz w:val="18"/>
          <w:szCs w:val="18"/>
          <w:color w:val="auto"/>
        </w:rPr>
        <w:t>Corporate costs are presented separately from the Company’s reportable segments and consist primarily of centralized corporate functions. These costs also include non-recurring costs associated with the Acquisition, primarily integration</w:t>
      </w:r>
      <w:r>
        <w:rPr>
          <w:rFonts w:ascii="MS PGothic" w:cs="MS PGothic" w:eastAsia="MS PGothic" w:hAnsi="MS PGothic"/>
          <w:sz w:val="18"/>
          <w:szCs w:val="18"/>
          <w:color w:val="auto"/>
        </w:rPr>
        <w:t>‑</w:t>
      </w:r>
      <w:r>
        <w:rPr>
          <w:rFonts w:ascii="Arial" w:cs="Arial" w:eastAsia="Arial" w:hAnsi="Arial"/>
          <w:sz w:val="18"/>
          <w:szCs w:val="18"/>
          <w:color w:val="auto"/>
        </w:rPr>
        <w:t>related activities. Such costs are not allocated to the Company’s reportable segments, as they are not reviewed by the CODM on a segment basis when assessing performance or making resource allocation decisions. The Company does not present total assets by segment because the CODM is not regularly provided total assets by segment nor are they included in a segment measure utilized by the CODM.</w:t>
      </w:r>
    </w:p>
    <w:p>
      <w:pPr>
        <w:spacing w:after="0" w:line="73" w:lineRule="exact"/>
        <w:rPr>
          <w:sz w:val="20"/>
          <w:szCs w:val="20"/>
          <w:color w:val="auto"/>
        </w:rPr>
      </w:pPr>
    </w:p>
    <w:p>
      <w:pPr>
        <w:ind w:right="160" w:firstLine="494"/>
        <w:spacing w:after="0" w:line="212" w:lineRule="exact"/>
        <w:rPr>
          <w:sz w:val="20"/>
          <w:szCs w:val="20"/>
          <w:color w:val="auto"/>
        </w:rPr>
      </w:pPr>
      <w:r>
        <w:rPr>
          <w:rFonts w:ascii="Arial" w:cs="Arial" w:eastAsia="Arial" w:hAnsi="Arial"/>
          <w:sz w:val="18"/>
          <w:szCs w:val="18"/>
          <w:color w:val="auto"/>
        </w:rPr>
        <w:t>During the three months ended March 31, 2026, the Company changed its segment structure from one operating and reportable segment to two operating and reportable segments to align with the Acquisition and the manner in which the CODM now reviews operating results and allocates resources. Prior</w:t>
      </w:r>
      <w:r>
        <w:rPr>
          <w:rFonts w:ascii="MS PGothic" w:cs="MS PGothic" w:eastAsia="MS PGothic" w:hAnsi="MS PGothic"/>
          <w:sz w:val="18"/>
          <w:szCs w:val="18"/>
          <w:color w:val="auto"/>
        </w:rPr>
        <w:t>‑</w:t>
      </w:r>
      <w:r>
        <w:rPr>
          <w:rFonts w:ascii="Arial" w:cs="Arial" w:eastAsia="Arial" w:hAnsi="Arial"/>
          <w:sz w:val="18"/>
          <w:szCs w:val="18"/>
          <w:color w:val="auto"/>
        </w:rPr>
        <w:t>period segment information has been retrospectively adjusted to conform to the current period presentation. The Company’s two operating and reportable segments are: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Allison Transmission</w:t>
      </w:r>
    </w:p>
    <w:p>
      <w:pPr>
        <w:spacing w:after="0" w:line="156" w:lineRule="exact"/>
        <w:rPr>
          <w:sz w:val="20"/>
          <w:szCs w:val="20"/>
          <w:color w:val="auto"/>
        </w:rPr>
      </w:pPr>
    </w:p>
    <w:p>
      <w:pPr>
        <w:ind w:right="100" w:firstLine="494"/>
        <w:spacing w:after="0" w:line="244" w:lineRule="auto"/>
        <w:rPr>
          <w:sz w:val="20"/>
          <w:szCs w:val="20"/>
          <w:color w:val="auto"/>
        </w:rPr>
      </w:pPr>
      <w:r>
        <w:rPr>
          <w:rFonts w:ascii="Arial" w:cs="Arial" w:eastAsia="Arial" w:hAnsi="Arial"/>
          <w:sz w:val="18"/>
          <w:szCs w:val="18"/>
          <w:color w:val="auto"/>
        </w:rPr>
        <w:t>Allison Transmission serves customers through an independent global network of approximately 1,500 independent distributor and dealer locations worldwide and offers more than 200 different transmission models compatible with more than 500 combinations of engine brands, models and ratings, including diesel, gasoline, natural gas and other alternative fuels. In addition, Allison Transmission has developed thousands of proprietary calibrations available for use with its electronic control modules, enabling tailored performance across a broad range of customer applications.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Allison Off-Highway</w:t>
      </w:r>
    </w:p>
    <w:p>
      <w:pPr>
        <w:spacing w:after="0" w:line="102"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Allison Off-Highway provides drivetrain and motion solutions for a wide range of mobile and stationary off-highway equipment globally. These solutions include optimized drivetrain systems, propulsion components and motion technologies designed for industries such as construction, agriculture, mining, material handling and other industrial applications. The portfolio encompasses systems that manage power conveyance to machines and power work functions, including axles, gearboxes, transmissions and related components, as well as motion systems tailored to customer performance and efficiency requirements across both conventional and electrified powertrains. The global engineering, manufacturing and service footprint of Allison Off-Highway supports localized responsiveness and technical support for customers in key off-highway end markets.</w:t>
      </w:r>
    </w:p>
    <w:p>
      <w:pPr>
        <w:spacing w:after="0" w:line="77" w:lineRule="exact"/>
        <w:rPr>
          <w:sz w:val="20"/>
          <w:szCs w:val="20"/>
          <w:color w:val="auto"/>
        </w:rPr>
      </w:pPr>
    </w:p>
    <w:p>
      <w:pPr>
        <w:ind w:right="20" w:firstLine="494"/>
        <w:spacing w:after="0" w:line="253" w:lineRule="auto"/>
        <w:rPr>
          <w:sz w:val="20"/>
          <w:szCs w:val="20"/>
          <w:color w:val="auto"/>
        </w:rPr>
      </w:pPr>
      <w:r>
        <w:rPr>
          <w:rFonts w:ascii="Arial" w:cs="Arial" w:eastAsia="Arial" w:hAnsi="Arial"/>
          <w:sz w:val="18"/>
          <w:szCs w:val="18"/>
          <w:color w:val="auto"/>
        </w:rPr>
        <w:t>The accounting policies of the reportable segments are the same as those described in the summary of significant accounting policies. The Company’s segment information includes the measures reviewed by the CODM and is presented in a manner consistent with internal management reporting.</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a financial summary of the Company’s reportable segments (dollars in millions):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180" w:type="dxa"/>
            <w:vAlign w:val="bottom"/>
            <w:tcBorders>
              <w:bottom w:val="single" w:sz="8" w:color="auto"/>
            </w:tcBorders>
            <w:gridSpan w:val="7"/>
          </w:tcPr>
          <w:p>
            <w:pPr>
              <w:jc w:val="center"/>
              <w:ind w:left="1232"/>
              <w:spacing w:after="0"/>
              <w:rPr>
                <w:sz w:val="20"/>
                <w:szCs w:val="20"/>
                <w:color w:val="auto"/>
              </w:rPr>
            </w:pPr>
            <w:r>
              <w:rPr>
                <w:rFonts w:ascii="Arial" w:cs="Arial" w:eastAsia="Arial" w:hAnsi="Arial"/>
                <w:sz w:val="14"/>
                <w:szCs w:val="14"/>
                <w:b w:val="1"/>
                <w:bCs w:val="1"/>
                <w:color w:val="auto"/>
              </w:rPr>
              <w:t>Three Months Ended September 30, 2026</w:t>
            </w:r>
          </w:p>
        </w:tc>
        <w:tc>
          <w:tcPr>
            <w:tcW w:w="1560" w:type="dxa"/>
            <w:vAlign w:val="bottom"/>
            <w:tcBorders>
              <w:bottom w:val="single" w:sz="8" w:color="auto"/>
            </w:tcBorders>
          </w:tcPr>
          <w:p>
            <w:pPr>
              <w:spacing w:after="0"/>
              <w:rPr>
                <w:sz w:val="14"/>
                <w:szCs w:val="14"/>
                <w:color w:val="auto"/>
              </w:rPr>
            </w:pPr>
          </w:p>
        </w:tc>
      </w:tr>
      <w:tr>
        <w:trPr>
          <w:trHeight w:val="196"/>
        </w:trPr>
        <w:tc>
          <w:tcPr>
            <w:tcW w:w="5380" w:type="dxa"/>
            <w:vAlign w:val="bottom"/>
          </w:tcPr>
          <w:p>
            <w:pPr>
              <w:spacing w:after="0"/>
              <w:rPr>
                <w:sz w:val="17"/>
                <w:szCs w:val="17"/>
                <w:color w:val="auto"/>
              </w:rPr>
            </w:pPr>
          </w:p>
        </w:tc>
        <w:tc>
          <w:tcPr>
            <w:tcW w:w="17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Allison Transmission</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Allison Off-Highway</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 Segments</w:t>
            </w:r>
          </w:p>
        </w:tc>
      </w:tr>
      <w:tr>
        <w:trPr>
          <w:trHeight w:val="196"/>
        </w:trPr>
        <w:tc>
          <w:tcPr>
            <w:tcW w:w="5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sales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62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b w:val="1"/>
                <w:bCs w:val="1"/>
                <w:color w:val="auto"/>
              </w:rPr>
              <w:t>881</w:t>
            </w:r>
          </w:p>
        </w:tc>
        <w:tc>
          <w:tcPr>
            <w:tcW w:w="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ind w:left="180"/>
              <w:spacing w:after="0" w:line="196" w:lineRule="exact"/>
              <w:rPr>
                <w:sz w:val="20"/>
                <w:szCs w:val="20"/>
                <w:color w:val="auto"/>
              </w:rPr>
            </w:pPr>
            <w:r>
              <w:rPr>
                <w:rFonts w:ascii="Arial" w:cs="Arial" w:eastAsia="Arial" w:hAnsi="Arial"/>
                <w:sz w:val="18"/>
                <w:szCs w:val="18"/>
                <w:b w:val="1"/>
                <w:bCs w:val="1"/>
                <w:color w:val="auto"/>
              </w:rPr>
              <w:t>$</w:t>
            </w:r>
          </w:p>
        </w:tc>
        <w:tc>
          <w:tcPr>
            <w:tcW w:w="17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b w:val="1"/>
                <w:bCs w:val="1"/>
                <w:color w:val="auto"/>
              </w:rPr>
              <w:t>657</w:t>
            </w:r>
          </w:p>
        </w:tc>
        <w:tc>
          <w:tcPr>
            <w:tcW w:w="480" w:type="dxa"/>
            <w:vAlign w:val="bottom"/>
            <w:tcBorders>
              <w:left w:val="single" w:sz="8" w:color="CFF0FC"/>
            </w:tcBorders>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b w:val="1"/>
                <w:bCs w:val="1"/>
                <w:color w:val="auto"/>
              </w:rPr>
              <w:t>1,538</w:t>
            </w: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less: Intersegment sales</w:t>
            </w: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b w:val="1"/>
                <w:bCs w:val="1"/>
                <w:color w:val="auto"/>
              </w:rPr>
              <w:t>4</w:t>
            </w:r>
          </w:p>
        </w:tc>
      </w:tr>
      <w:tr>
        <w:trPr>
          <w:trHeight w:val="196"/>
        </w:trPr>
        <w:tc>
          <w:tcPr>
            <w:tcW w:w="5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Net Sales</w:t>
            </w: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b w:val="1"/>
                <w:bCs w:val="1"/>
                <w:color w:val="auto"/>
              </w:rPr>
              <w:t>881</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b w:val="1"/>
                <w:bCs w:val="1"/>
                <w:color w:val="auto"/>
              </w:rPr>
              <w:t>653</w:t>
            </w:r>
          </w:p>
        </w:tc>
        <w:tc>
          <w:tcPr>
            <w:tcW w:w="200" w:type="dxa"/>
            <w:vAlign w:val="bottom"/>
            <w:tcBorders>
              <w:lef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b w:val="1"/>
                <w:bCs w:val="1"/>
                <w:color w:val="auto"/>
              </w:rPr>
              <w:t>1,534</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3"/>
        </w:trPr>
        <w:tc>
          <w:tcPr>
            <w:tcW w:w="53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Cost of sales</w:t>
            </w: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474</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555</w:t>
            </w:r>
          </w:p>
        </w:tc>
        <w:tc>
          <w:tcPr>
            <w:tcW w:w="200" w:type="dxa"/>
            <w:vAlign w:val="bottom"/>
            <w:tcBorders>
              <w:lef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203"/>
        </w:trPr>
        <w:tc>
          <w:tcPr>
            <w:tcW w:w="5380" w:type="dxa"/>
            <w:vAlign w:val="bottom"/>
          </w:tcPr>
          <w:p>
            <w:pPr>
              <w:ind w:left="140"/>
              <w:spacing w:after="0" w:line="202"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16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62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52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538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Engineering — research and development</w:t>
            </w:r>
          </w:p>
        </w:tc>
        <w:tc>
          <w:tcPr>
            <w:tcW w:w="12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45</w:t>
            </w:r>
          </w:p>
        </w:tc>
        <w:tc>
          <w:tcPr>
            <w:tcW w:w="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14</w:t>
            </w:r>
          </w:p>
        </w:tc>
        <w:tc>
          <w:tcPr>
            <w:tcW w:w="200" w:type="dxa"/>
            <w:vAlign w:val="bottom"/>
            <w:tcBorders>
              <w:left w:val="single" w:sz="8" w:color="CFF0FC"/>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spacing w:after="0"/>
              <w:rPr>
                <w:sz w:val="17"/>
                <w:szCs w:val="17"/>
                <w:color w:val="auto"/>
              </w:rPr>
            </w:pPr>
          </w:p>
        </w:tc>
      </w:tr>
      <w:tr>
        <w:trPr>
          <w:trHeight w:val="196"/>
        </w:trPr>
        <w:tc>
          <w:tcPr>
            <w:tcW w:w="5380" w:type="dxa"/>
            <w:vAlign w:val="bottom"/>
          </w:tcPr>
          <w:p>
            <w:pPr>
              <w:ind w:left="140"/>
              <w:spacing w:after="0" w:line="196" w:lineRule="exact"/>
              <w:rPr>
                <w:sz w:val="20"/>
                <w:szCs w:val="20"/>
                <w:color w:val="auto"/>
              </w:rPr>
            </w:pPr>
            <w:r>
              <w:rPr>
                <w:rFonts w:ascii="Arial" w:cs="Arial" w:eastAsia="Arial" w:hAnsi="Arial"/>
                <w:sz w:val="18"/>
                <w:szCs w:val="18"/>
                <w:color w:val="auto"/>
              </w:rPr>
              <w:t>Segment Operating Profit</w:t>
            </w:r>
          </w:p>
        </w:tc>
        <w:tc>
          <w:tcPr>
            <w:tcW w:w="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62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300</w:t>
            </w:r>
          </w:p>
        </w:tc>
        <w:tc>
          <w:tcPr>
            <w:tcW w:w="20" w:type="dxa"/>
            <w:vAlign w:val="bottom"/>
          </w:tcPr>
          <w:p>
            <w:pPr>
              <w:spacing w:after="0"/>
              <w:rPr>
                <w:sz w:val="17"/>
                <w:szCs w:val="17"/>
                <w:color w:val="auto"/>
              </w:rPr>
            </w:pPr>
          </w:p>
        </w:tc>
        <w:tc>
          <w:tcPr>
            <w:tcW w:w="320" w:type="dxa"/>
            <w:vAlign w:val="bottom"/>
            <w:gridSpan w:val="2"/>
          </w:tcPr>
          <w:p>
            <w:pPr>
              <w:ind w:left="180"/>
              <w:spacing w:after="0" w:line="196" w:lineRule="exact"/>
              <w:rPr>
                <w:sz w:val="20"/>
                <w:szCs w:val="20"/>
                <w:color w:val="auto"/>
              </w:rPr>
            </w:pPr>
            <w:r>
              <w:rPr>
                <w:rFonts w:ascii="Arial" w:cs="Arial" w:eastAsia="Arial" w:hAnsi="Arial"/>
                <w:sz w:val="18"/>
                <w:szCs w:val="18"/>
                <w:b w:val="1"/>
                <w:bCs w:val="1"/>
                <w:color w:val="auto"/>
              </w:rPr>
              <w:t>$</w:t>
            </w:r>
          </w:p>
        </w:tc>
        <w:tc>
          <w:tcPr>
            <w:tcW w:w="174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32</w:t>
            </w:r>
          </w:p>
        </w:tc>
        <w:tc>
          <w:tcPr>
            <w:tcW w:w="480" w:type="dxa"/>
            <w:vAlign w:val="bottom"/>
            <w:gridSpan w:val="2"/>
          </w:tcPr>
          <w:p>
            <w:pPr>
              <w:jc w:val="right"/>
              <w:ind w:right="180"/>
              <w:spacing w:after="0" w:line="196" w:lineRule="exact"/>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34"/>
              <w:spacing w:after="0" w:line="196" w:lineRule="exact"/>
              <w:rPr>
                <w:sz w:val="20"/>
                <w:szCs w:val="20"/>
                <w:color w:val="auto"/>
              </w:rPr>
            </w:pPr>
            <w:r>
              <w:rPr>
                <w:rFonts w:ascii="Arial" w:cs="Arial" w:eastAsia="Arial" w:hAnsi="Arial"/>
                <w:sz w:val="18"/>
                <w:szCs w:val="18"/>
                <w:b w:val="1"/>
                <w:bCs w:val="1"/>
                <w:color w:val="auto"/>
              </w:rPr>
              <w:t>332</w:t>
            </w:r>
          </w:p>
        </w:tc>
      </w:tr>
      <w:tr>
        <w:trPr>
          <w:trHeight w:val="20"/>
        </w:trPr>
        <w:tc>
          <w:tcPr>
            <w:tcW w:w="5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3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Depreciation of property, plant and equipment</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b w:val="1"/>
                <w:bCs w:val="1"/>
                <w:color w:val="auto"/>
              </w:rPr>
              <w:t>31</w:t>
            </w:r>
          </w:p>
        </w:tc>
        <w:tc>
          <w:tcPr>
            <w:tcW w:w="2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w:t>
            </w:r>
          </w:p>
        </w:tc>
        <w:tc>
          <w:tcPr>
            <w:tcW w:w="174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b w:val="1"/>
                <w:bCs w:val="1"/>
                <w:color w:val="auto"/>
              </w:rPr>
              <w:t>25</w:t>
            </w:r>
          </w:p>
        </w:tc>
        <w:tc>
          <w:tcPr>
            <w:tcW w:w="200" w:type="dxa"/>
            <w:vAlign w:val="bottom"/>
            <w:tcBorders>
              <w:left w:val="single" w:sz="8" w:color="CFF0FC"/>
            </w:tcBorders>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197"/>
        </w:trPr>
        <w:tc>
          <w:tcPr>
            <w:tcW w:w="5380" w:type="dxa"/>
            <w:vAlign w:val="bottom"/>
          </w:tcPr>
          <w:p>
            <w:pPr>
              <w:spacing w:after="0" w:line="196" w:lineRule="exact"/>
              <w:rPr>
                <w:sz w:val="20"/>
                <w:szCs w:val="20"/>
                <w:color w:val="auto"/>
              </w:rPr>
            </w:pPr>
            <w:r>
              <w:rPr>
                <w:rFonts w:ascii="Arial" w:cs="Arial" w:eastAsia="Arial" w:hAnsi="Arial"/>
                <w:sz w:val="18"/>
                <w:szCs w:val="18"/>
                <w:color w:val="auto"/>
              </w:rPr>
              <w:t>Amortization expense</w:t>
            </w:r>
          </w:p>
        </w:tc>
        <w:tc>
          <w:tcPr>
            <w:tcW w:w="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62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7"/>
                <w:szCs w:val="17"/>
                <w:color w:val="auto"/>
              </w:rPr>
            </w:pPr>
          </w:p>
        </w:tc>
        <w:tc>
          <w:tcPr>
            <w:tcW w:w="320" w:type="dxa"/>
            <w:vAlign w:val="bottom"/>
            <w:gridSpan w:val="2"/>
          </w:tcPr>
          <w:p>
            <w:pPr>
              <w:ind w:left="180"/>
              <w:spacing w:after="0" w:line="196" w:lineRule="exact"/>
              <w:rPr>
                <w:sz w:val="20"/>
                <w:szCs w:val="20"/>
                <w:color w:val="auto"/>
              </w:rPr>
            </w:pPr>
            <w:r>
              <w:rPr>
                <w:rFonts w:ascii="Arial" w:cs="Arial" w:eastAsia="Arial" w:hAnsi="Arial"/>
                <w:sz w:val="18"/>
                <w:szCs w:val="18"/>
                <w:b w:val="1"/>
                <w:bCs w:val="1"/>
                <w:color w:val="auto"/>
              </w:rPr>
              <w:t>$</w:t>
            </w:r>
          </w:p>
        </w:tc>
        <w:tc>
          <w:tcPr>
            <w:tcW w:w="174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21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6"/>
        </w:trPr>
        <w:tc>
          <w:tcPr>
            <w:tcW w:w="5380" w:type="dxa"/>
            <w:vAlign w:val="bottom"/>
            <w:tcBorders>
              <w:bottom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color w:val="auto"/>
              </w:rPr>
              <w:t>Additions of long-lived assets</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b w:val="1"/>
                <w:bCs w:val="1"/>
                <w:color w:val="auto"/>
              </w:rPr>
              <w:t>52</w:t>
            </w:r>
          </w:p>
        </w:tc>
        <w:tc>
          <w:tcPr>
            <w:tcW w:w="2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w:t>
            </w:r>
          </w:p>
        </w:tc>
        <w:tc>
          <w:tcPr>
            <w:tcW w:w="174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b w:val="1"/>
                <w:bCs w:val="1"/>
                <w:color w:val="auto"/>
              </w:rPr>
              <w:t>13</w:t>
            </w:r>
          </w:p>
        </w:tc>
        <w:tc>
          <w:tcPr>
            <w:tcW w:w="200" w:type="dxa"/>
            <w:vAlign w:val="bottom"/>
            <w:tcBorders>
              <w:left w:val="single" w:sz="8" w:color="CFF0FC"/>
            </w:tcBorders>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86"/>
        </w:trPr>
        <w:tc>
          <w:tcPr>
            <w:tcW w:w="5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7"/>
          </w:tcPr>
          <w:p>
            <w:pPr>
              <w:jc w:val="center"/>
              <w:ind w:left="1232"/>
              <w:spacing w:after="0"/>
              <w:rPr>
                <w:sz w:val="20"/>
                <w:szCs w:val="20"/>
                <w:color w:val="auto"/>
              </w:rPr>
            </w:pPr>
            <w:r>
              <w:rPr>
                <w:rFonts w:ascii="Arial" w:cs="Arial" w:eastAsia="Arial" w:hAnsi="Arial"/>
                <w:sz w:val="14"/>
                <w:szCs w:val="14"/>
                <w:b w:val="1"/>
                <w:bCs w:val="1"/>
                <w:color w:val="auto"/>
              </w:rPr>
              <w:t>Three Months Ended September 30, 2025</w:t>
            </w:r>
          </w:p>
        </w:tc>
        <w:tc>
          <w:tcPr>
            <w:tcW w:w="1560" w:type="dxa"/>
            <w:vAlign w:val="bottom"/>
            <w:tcBorders>
              <w:bottom w:val="single" w:sz="8" w:color="auto"/>
            </w:tcBorders>
          </w:tcPr>
          <w:p>
            <w:pPr>
              <w:spacing w:after="0"/>
              <w:rPr>
                <w:sz w:val="24"/>
                <w:szCs w:val="24"/>
                <w:color w:val="auto"/>
              </w:rPr>
            </w:pPr>
          </w:p>
        </w:tc>
      </w:tr>
      <w:tr>
        <w:trPr>
          <w:trHeight w:val="196"/>
        </w:trPr>
        <w:tc>
          <w:tcPr>
            <w:tcW w:w="5380" w:type="dxa"/>
            <w:vAlign w:val="bottom"/>
          </w:tcPr>
          <w:p>
            <w:pPr>
              <w:spacing w:after="0"/>
              <w:rPr>
                <w:sz w:val="17"/>
                <w:szCs w:val="17"/>
                <w:color w:val="auto"/>
              </w:rPr>
            </w:pPr>
          </w:p>
        </w:tc>
        <w:tc>
          <w:tcPr>
            <w:tcW w:w="17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Allison Transmission</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Allison Off-Highway</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 Segments</w:t>
            </w:r>
          </w:p>
        </w:tc>
      </w:tr>
      <w:tr>
        <w:trPr>
          <w:trHeight w:val="196"/>
        </w:trPr>
        <w:tc>
          <w:tcPr>
            <w:tcW w:w="5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sales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693</w:t>
            </w:r>
          </w:p>
        </w:tc>
        <w:tc>
          <w:tcPr>
            <w:tcW w:w="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left w:val="single" w:sz="8" w:color="CFF0FC"/>
            </w:tcBorders>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693</w:t>
            </w: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less: Intersegment sales</w:t>
            </w: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w:t>
            </w:r>
          </w:p>
        </w:tc>
      </w:tr>
      <w:tr>
        <w:trPr>
          <w:trHeight w:val="196"/>
        </w:trPr>
        <w:tc>
          <w:tcPr>
            <w:tcW w:w="5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Net Sales</w:t>
            </w: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693</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lef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693</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3"/>
        </w:trPr>
        <w:tc>
          <w:tcPr>
            <w:tcW w:w="53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Cost of sales</w:t>
            </w: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363</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Borders>
              <w:lef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202"/>
        </w:trPr>
        <w:tc>
          <w:tcPr>
            <w:tcW w:w="5380" w:type="dxa"/>
            <w:vAlign w:val="bottom"/>
          </w:tcPr>
          <w:p>
            <w:pPr>
              <w:ind w:left="140"/>
              <w:spacing w:after="0" w:line="202"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16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55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538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Engineering — research and development</w:t>
            </w:r>
          </w:p>
        </w:tc>
        <w:tc>
          <w:tcPr>
            <w:tcW w:w="12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43</w:t>
            </w:r>
          </w:p>
        </w:tc>
        <w:tc>
          <w:tcPr>
            <w:tcW w:w="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Borders>
              <w:left w:val="single" w:sz="8" w:color="CFF0FC"/>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spacing w:after="0"/>
              <w:rPr>
                <w:sz w:val="17"/>
                <w:szCs w:val="17"/>
                <w:color w:val="auto"/>
              </w:rPr>
            </w:pPr>
          </w:p>
        </w:tc>
      </w:tr>
      <w:tr>
        <w:trPr>
          <w:trHeight w:val="196"/>
        </w:trPr>
        <w:tc>
          <w:tcPr>
            <w:tcW w:w="5380" w:type="dxa"/>
            <w:vAlign w:val="bottom"/>
          </w:tcPr>
          <w:p>
            <w:pPr>
              <w:ind w:left="140"/>
              <w:spacing w:after="0" w:line="196" w:lineRule="exact"/>
              <w:rPr>
                <w:sz w:val="20"/>
                <w:szCs w:val="20"/>
                <w:color w:val="auto"/>
              </w:rPr>
            </w:pPr>
            <w:r>
              <w:rPr>
                <w:rFonts w:ascii="Arial" w:cs="Arial" w:eastAsia="Arial" w:hAnsi="Arial"/>
                <w:sz w:val="18"/>
                <w:szCs w:val="18"/>
                <w:color w:val="auto"/>
              </w:rPr>
              <w:t>Segment Operating Profit</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2"/>
              <w:spacing w:after="0" w:line="196" w:lineRule="exact"/>
              <w:rPr>
                <w:sz w:val="20"/>
                <w:szCs w:val="20"/>
                <w:color w:val="auto"/>
              </w:rPr>
            </w:pPr>
            <w:r>
              <w:rPr>
                <w:rFonts w:ascii="Arial" w:cs="Arial" w:eastAsia="Arial" w:hAnsi="Arial"/>
                <w:sz w:val="18"/>
                <w:szCs w:val="18"/>
                <w:color w:val="auto"/>
              </w:rPr>
              <w:t>232</w:t>
            </w:r>
          </w:p>
        </w:tc>
        <w:tc>
          <w:tcPr>
            <w:tcW w:w="20" w:type="dxa"/>
            <w:vAlign w:val="bottom"/>
          </w:tcPr>
          <w:p>
            <w:pPr>
              <w:spacing w:after="0"/>
              <w:rPr>
                <w:sz w:val="17"/>
                <w:szCs w:val="17"/>
                <w:color w:val="auto"/>
              </w:rPr>
            </w:pPr>
          </w:p>
        </w:tc>
        <w:tc>
          <w:tcPr>
            <w:tcW w:w="3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34"/>
              <w:spacing w:after="0" w:line="196" w:lineRule="exact"/>
              <w:rPr>
                <w:sz w:val="20"/>
                <w:szCs w:val="20"/>
                <w:color w:val="auto"/>
              </w:rPr>
            </w:pPr>
            <w:r>
              <w:rPr>
                <w:rFonts w:ascii="Arial" w:cs="Arial" w:eastAsia="Arial" w:hAnsi="Arial"/>
                <w:sz w:val="18"/>
                <w:szCs w:val="18"/>
                <w:color w:val="auto"/>
              </w:rPr>
              <w:t>232</w:t>
            </w:r>
          </w:p>
        </w:tc>
      </w:tr>
      <w:tr>
        <w:trPr>
          <w:trHeight w:val="20"/>
        </w:trPr>
        <w:tc>
          <w:tcPr>
            <w:tcW w:w="5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53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Depreciation of property, plant and equipment</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30</w:t>
            </w:r>
          </w:p>
        </w:tc>
        <w:tc>
          <w:tcPr>
            <w:tcW w:w="2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left w:val="single" w:sz="8" w:color="CFF0FC"/>
            </w:tcBorders>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197"/>
        </w:trPr>
        <w:tc>
          <w:tcPr>
            <w:tcW w:w="5380" w:type="dxa"/>
            <w:vAlign w:val="bottom"/>
          </w:tcPr>
          <w:p>
            <w:pPr>
              <w:spacing w:after="0" w:line="196" w:lineRule="exact"/>
              <w:rPr>
                <w:sz w:val="20"/>
                <w:szCs w:val="20"/>
                <w:color w:val="auto"/>
              </w:rPr>
            </w:pPr>
            <w:r>
              <w:rPr>
                <w:rFonts w:ascii="Arial" w:cs="Arial" w:eastAsia="Arial" w:hAnsi="Arial"/>
                <w:sz w:val="18"/>
                <w:szCs w:val="18"/>
                <w:color w:val="auto"/>
              </w:rPr>
              <w:t>Amortization expense</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2"/>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3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6"/>
        </w:trPr>
        <w:tc>
          <w:tcPr>
            <w:tcW w:w="5380" w:type="dxa"/>
            <w:vAlign w:val="bottom"/>
            <w:tcBorders>
              <w:bottom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color w:val="auto"/>
              </w:rPr>
              <w:t>Additions of long-lived assets</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44</w:t>
            </w:r>
          </w:p>
        </w:tc>
        <w:tc>
          <w:tcPr>
            <w:tcW w:w="2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left w:val="single" w:sz="8" w:color="CFF0FC"/>
            </w:tcBorders>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85"/>
        </w:trPr>
        <w:tc>
          <w:tcPr>
            <w:tcW w:w="5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7"/>
          </w:tcPr>
          <w:p>
            <w:pPr>
              <w:jc w:val="center"/>
              <w:ind w:left="1232"/>
              <w:spacing w:after="0"/>
              <w:rPr>
                <w:sz w:val="20"/>
                <w:szCs w:val="20"/>
                <w:color w:val="auto"/>
              </w:rPr>
            </w:pPr>
            <w:r>
              <w:rPr>
                <w:rFonts w:ascii="Arial" w:cs="Arial" w:eastAsia="Arial" w:hAnsi="Arial"/>
                <w:sz w:val="14"/>
                <w:szCs w:val="14"/>
                <w:b w:val="1"/>
                <w:bCs w:val="1"/>
                <w:color w:val="auto"/>
              </w:rPr>
              <w:t>Nine Months Ended September 30, 2026</w:t>
            </w:r>
          </w:p>
        </w:tc>
        <w:tc>
          <w:tcPr>
            <w:tcW w:w="1560" w:type="dxa"/>
            <w:vAlign w:val="bottom"/>
            <w:tcBorders>
              <w:bottom w:val="single" w:sz="8" w:color="auto"/>
            </w:tcBorders>
          </w:tcPr>
          <w:p>
            <w:pPr>
              <w:spacing w:after="0"/>
              <w:rPr>
                <w:sz w:val="24"/>
                <w:szCs w:val="24"/>
                <w:color w:val="auto"/>
              </w:rPr>
            </w:pPr>
          </w:p>
        </w:tc>
      </w:tr>
      <w:tr>
        <w:trPr>
          <w:trHeight w:val="196"/>
        </w:trPr>
        <w:tc>
          <w:tcPr>
            <w:tcW w:w="5380" w:type="dxa"/>
            <w:vAlign w:val="bottom"/>
          </w:tcPr>
          <w:p>
            <w:pPr>
              <w:spacing w:after="0"/>
              <w:rPr>
                <w:sz w:val="17"/>
                <w:szCs w:val="17"/>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Allison Transmission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Allison Off-Highway</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 Segments</w:t>
            </w:r>
          </w:p>
        </w:tc>
      </w:tr>
      <w:tr>
        <w:trPr>
          <w:trHeight w:val="196"/>
        </w:trPr>
        <w:tc>
          <w:tcPr>
            <w:tcW w:w="5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sales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6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2,474</w:t>
            </w:r>
          </w:p>
        </w:tc>
        <w:tc>
          <w:tcPr>
            <w:tcW w:w="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7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2,042</w:t>
            </w:r>
          </w:p>
        </w:tc>
        <w:tc>
          <w:tcPr>
            <w:tcW w:w="480" w:type="dxa"/>
            <w:vAlign w:val="bottom"/>
            <w:tcBorders>
              <w:left w:val="single" w:sz="8" w:color="CFF0FC"/>
            </w:tcBorders>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b w:val="1"/>
                <w:bCs w:val="1"/>
                <w:color w:val="auto"/>
              </w:rPr>
              <w:t>4,516</w:t>
            </w: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less: Intersegment sales</w:t>
            </w:r>
          </w:p>
        </w:tc>
        <w:tc>
          <w:tcPr>
            <w:tcW w:w="120" w:type="dxa"/>
            <w:vAlign w:val="bottom"/>
          </w:tcPr>
          <w:p>
            <w:pPr>
              <w:spacing w:after="0"/>
              <w:rPr>
                <w:sz w:val="17"/>
                <w:szCs w:val="17"/>
                <w:color w:val="auto"/>
              </w:rPr>
            </w:pPr>
          </w:p>
        </w:tc>
        <w:tc>
          <w:tcPr>
            <w:tcW w:w="164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10</w:t>
            </w:r>
          </w:p>
        </w:tc>
      </w:tr>
      <w:tr>
        <w:trPr>
          <w:trHeight w:val="196"/>
        </w:trPr>
        <w:tc>
          <w:tcPr>
            <w:tcW w:w="5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Net Sales</w:t>
            </w:r>
          </w:p>
        </w:tc>
        <w:tc>
          <w:tcPr>
            <w:tcW w:w="12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2,474</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2,032</w:t>
            </w:r>
          </w:p>
        </w:tc>
        <w:tc>
          <w:tcPr>
            <w:tcW w:w="200" w:type="dxa"/>
            <w:vAlign w:val="bottom"/>
            <w:tcBorders>
              <w:left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b w:val="1"/>
                <w:bCs w:val="1"/>
                <w:color w:val="auto"/>
              </w:rPr>
              <w:t>4,506</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3"/>
        </w:trPr>
        <w:tc>
          <w:tcPr>
            <w:tcW w:w="53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Cost of sales</w:t>
            </w: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1,314</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1,766</w:t>
            </w:r>
          </w:p>
        </w:tc>
        <w:tc>
          <w:tcPr>
            <w:tcW w:w="200" w:type="dxa"/>
            <w:vAlign w:val="bottom"/>
            <w:tcBorders>
              <w:lef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203"/>
        </w:trPr>
        <w:tc>
          <w:tcPr>
            <w:tcW w:w="5380" w:type="dxa"/>
            <w:vAlign w:val="bottom"/>
          </w:tcPr>
          <w:p>
            <w:pPr>
              <w:ind w:left="140"/>
              <w:spacing w:after="0" w:line="202"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202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164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538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Engineering — research and development</w:t>
            </w:r>
          </w:p>
        </w:tc>
        <w:tc>
          <w:tcPr>
            <w:tcW w:w="12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125</w:t>
            </w: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44</w:t>
            </w:r>
          </w:p>
        </w:tc>
        <w:tc>
          <w:tcPr>
            <w:tcW w:w="200" w:type="dxa"/>
            <w:vAlign w:val="bottom"/>
            <w:tcBorders>
              <w:left w:val="single" w:sz="8" w:color="CFF0FC"/>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spacing w:after="0"/>
              <w:rPr>
                <w:sz w:val="17"/>
                <w:szCs w:val="17"/>
                <w:color w:val="auto"/>
              </w:rPr>
            </w:pPr>
          </w:p>
        </w:tc>
      </w:tr>
      <w:tr>
        <w:trPr>
          <w:trHeight w:val="196"/>
        </w:trPr>
        <w:tc>
          <w:tcPr>
            <w:tcW w:w="5380" w:type="dxa"/>
            <w:vAlign w:val="bottom"/>
          </w:tcPr>
          <w:p>
            <w:pPr>
              <w:ind w:left="140"/>
              <w:spacing w:after="0" w:line="196" w:lineRule="exact"/>
              <w:rPr>
                <w:sz w:val="20"/>
                <w:szCs w:val="20"/>
                <w:color w:val="auto"/>
              </w:rPr>
            </w:pPr>
            <w:r>
              <w:rPr>
                <w:rFonts w:ascii="Arial" w:cs="Arial" w:eastAsia="Arial" w:hAnsi="Arial"/>
                <w:sz w:val="18"/>
                <w:szCs w:val="18"/>
                <w:color w:val="auto"/>
              </w:rPr>
              <w:t>Segment Operating Profit</w:t>
            </w:r>
          </w:p>
        </w:tc>
        <w:tc>
          <w:tcPr>
            <w:tcW w:w="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62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833</w:t>
            </w:r>
          </w:p>
        </w:tc>
        <w:tc>
          <w:tcPr>
            <w:tcW w:w="20" w:type="dxa"/>
            <w:vAlign w:val="bottom"/>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74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58</w:t>
            </w:r>
          </w:p>
        </w:tc>
        <w:tc>
          <w:tcPr>
            <w:tcW w:w="480" w:type="dxa"/>
            <w:vAlign w:val="bottom"/>
            <w:gridSpan w:val="2"/>
          </w:tcPr>
          <w:p>
            <w:pPr>
              <w:jc w:val="right"/>
              <w:ind w:right="180"/>
              <w:spacing w:after="0" w:line="196" w:lineRule="exact"/>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34"/>
              <w:spacing w:after="0" w:line="196" w:lineRule="exact"/>
              <w:rPr>
                <w:sz w:val="20"/>
                <w:szCs w:val="20"/>
                <w:color w:val="auto"/>
              </w:rPr>
            </w:pPr>
            <w:r>
              <w:rPr>
                <w:rFonts w:ascii="Arial" w:cs="Arial" w:eastAsia="Arial" w:hAnsi="Arial"/>
                <w:sz w:val="18"/>
                <w:szCs w:val="18"/>
                <w:b w:val="1"/>
                <w:bCs w:val="1"/>
                <w:color w:val="auto"/>
              </w:rPr>
              <w:t>891</w:t>
            </w:r>
          </w:p>
        </w:tc>
      </w:tr>
      <w:tr>
        <w:trPr>
          <w:trHeight w:val="20"/>
        </w:trPr>
        <w:tc>
          <w:tcPr>
            <w:tcW w:w="5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3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Depreciation of property, plant and equipment</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92</w:t>
            </w: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w:t>
            </w:r>
          </w:p>
        </w:tc>
        <w:tc>
          <w:tcPr>
            <w:tcW w:w="174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85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196"/>
        </w:trPr>
        <w:tc>
          <w:tcPr>
            <w:tcW w:w="5380" w:type="dxa"/>
            <w:vAlign w:val="bottom"/>
          </w:tcPr>
          <w:p>
            <w:pPr>
              <w:spacing w:after="0" w:line="196" w:lineRule="exact"/>
              <w:rPr>
                <w:sz w:val="20"/>
                <w:szCs w:val="20"/>
                <w:color w:val="auto"/>
              </w:rPr>
            </w:pPr>
            <w:r>
              <w:rPr>
                <w:rFonts w:ascii="Arial" w:cs="Arial" w:eastAsia="Arial" w:hAnsi="Arial"/>
                <w:sz w:val="18"/>
                <w:szCs w:val="18"/>
                <w:color w:val="auto"/>
              </w:rPr>
              <w:t>Amortization expense</w:t>
            </w:r>
          </w:p>
        </w:tc>
        <w:tc>
          <w:tcPr>
            <w:tcW w:w="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62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74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64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7"/>
        </w:trPr>
        <w:tc>
          <w:tcPr>
            <w:tcW w:w="5380" w:type="dxa"/>
            <w:vAlign w:val="bottom"/>
            <w:tcBorders>
              <w:bottom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color w:val="auto"/>
              </w:rPr>
              <w:t>Additions of long-lived assets</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116</w:t>
            </w: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w:t>
            </w:r>
          </w:p>
        </w:tc>
        <w:tc>
          <w:tcPr>
            <w:tcW w:w="174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33</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578"/>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right"/>
              <w:ind w:right="1312"/>
              <w:spacing w:after="0"/>
              <w:rPr>
                <w:sz w:val="20"/>
                <w:szCs w:val="20"/>
                <w:color w:val="auto"/>
              </w:rPr>
            </w:pPr>
            <w:r>
              <w:rPr>
                <w:rFonts w:ascii="Arial" w:cs="Arial" w:eastAsia="Arial" w:hAnsi="Arial"/>
                <w:sz w:val="18"/>
                <w:szCs w:val="18"/>
                <w:color w:val="auto"/>
                <w:w w:val="99"/>
              </w:rPr>
              <w:t>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745"/>
        </w:trPr>
        <w:tc>
          <w:tcPr>
            <w:tcW w:w="5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-5459730</wp:posOffset>
            </wp:positionV>
            <wp:extent cx="1200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-5459730</wp:posOffset>
            </wp:positionV>
            <wp:extent cx="1200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-5160010</wp:posOffset>
            </wp:positionV>
            <wp:extent cx="1200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-5142865</wp:posOffset>
            </wp:positionV>
            <wp:extent cx="1200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-4834255</wp:posOffset>
            </wp:positionV>
            <wp:extent cx="12001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-4817110</wp:posOffset>
            </wp:positionV>
            <wp:extent cx="1200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-3488055</wp:posOffset>
            </wp:positionV>
            <wp:extent cx="12001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-3488055</wp:posOffset>
            </wp:positionV>
            <wp:extent cx="12001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-3188335</wp:posOffset>
            </wp:positionV>
            <wp:extent cx="12001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-3171190</wp:posOffset>
            </wp:positionV>
            <wp:extent cx="1200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-2862580</wp:posOffset>
            </wp:positionV>
            <wp:extent cx="12001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-2845435</wp:posOffset>
            </wp:positionV>
            <wp:extent cx="1200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-1516380</wp:posOffset>
            </wp:positionV>
            <wp:extent cx="1200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-1516380</wp:posOffset>
            </wp:positionV>
            <wp:extent cx="1200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-1216660</wp:posOffset>
            </wp:positionV>
            <wp:extent cx="1200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-1199515</wp:posOffset>
            </wp:positionV>
            <wp:extent cx="12001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-890905</wp:posOffset>
            </wp:positionV>
            <wp:extent cx="1200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-873760</wp:posOffset>
            </wp:positionV>
            <wp:extent cx="12001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Nine Months Ended September 30, 2025</w:t>
            </w:r>
          </w:p>
        </w:tc>
        <w:tc>
          <w:tcPr>
            <w:tcW w:w="1580" w:type="dxa"/>
            <w:vAlign w:val="bottom"/>
            <w:tcBorders>
              <w:bottom w:val="single" w:sz="8" w:color="auto"/>
            </w:tcBorders>
          </w:tcPr>
          <w:p>
            <w:pPr>
              <w:spacing w:after="0"/>
              <w:rPr>
                <w:sz w:val="14"/>
                <w:szCs w:val="14"/>
                <w:color w:val="auto"/>
              </w:rPr>
            </w:pPr>
          </w:p>
        </w:tc>
      </w:tr>
      <w:tr>
        <w:trPr>
          <w:trHeight w:val="196"/>
        </w:trPr>
        <w:tc>
          <w:tcPr>
            <w:tcW w:w="5380" w:type="dxa"/>
            <w:vAlign w:val="bottom"/>
          </w:tcPr>
          <w:p>
            <w:pPr>
              <w:spacing w:after="0"/>
              <w:rPr>
                <w:sz w:val="17"/>
                <w:szCs w:val="17"/>
                <w:color w:val="auto"/>
              </w:rPr>
            </w:pPr>
          </w:p>
        </w:tc>
        <w:tc>
          <w:tcPr>
            <w:tcW w:w="17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Allison Transmission</w:t>
            </w:r>
          </w:p>
        </w:tc>
        <w:tc>
          <w:tcPr>
            <w:tcW w:w="20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Allison Off-Highway</w:t>
            </w:r>
          </w:p>
        </w:tc>
        <w:tc>
          <w:tcPr>
            <w:tcW w:w="3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 Segments</w:t>
            </w:r>
          </w:p>
        </w:tc>
      </w:tr>
      <w:tr>
        <w:trPr>
          <w:trHeight w:val="196"/>
        </w:trPr>
        <w:tc>
          <w:tcPr>
            <w:tcW w:w="5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sales</w:t>
            </w:r>
          </w:p>
        </w:tc>
        <w:tc>
          <w:tcPr>
            <w:tcW w:w="640" w:type="dxa"/>
            <w:vAlign w:val="bottom"/>
            <w:shd w:val="clear" w:color="auto" w:fill="CFF0FC"/>
          </w:tcPr>
          <w:p>
            <w:pPr>
              <w:jc w:val="right"/>
              <w:ind w:right="453"/>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2,273</w:t>
            </w:r>
          </w:p>
        </w:tc>
        <w:tc>
          <w:tcPr>
            <w:tcW w:w="1780" w:type="dxa"/>
            <w:vAlign w:val="bottom"/>
            <w:gridSpan w:val="2"/>
            <w:shd w:val="clear" w:color="auto" w:fill="CFF0FC"/>
          </w:tcPr>
          <w:p>
            <w:pPr>
              <w:jc w:val="right"/>
              <w:ind w:right="1396"/>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2,273</w:t>
            </w: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less: Intersegment sales</w:t>
            </w:r>
          </w:p>
        </w:tc>
        <w:tc>
          <w:tcPr>
            <w:tcW w:w="6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w:t>
            </w:r>
          </w:p>
        </w:tc>
      </w:tr>
      <w:tr>
        <w:trPr>
          <w:trHeight w:val="196"/>
        </w:trPr>
        <w:tc>
          <w:tcPr>
            <w:tcW w:w="5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Net Sales</w:t>
            </w:r>
          </w:p>
        </w:tc>
        <w:tc>
          <w:tcPr>
            <w:tcW w:w="6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2,273</w:t>
            </w: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2,273</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less:</w:t>
            </w: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3"/>
        </w:trPr>
        <w:tc>
          <w:tcPr>
            <w:tcW w:w="53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Cost of sales</w:t>
            </w:r>
          </w:p>
        </w:tc>
        <w:tc>
          <w:tcPr>
            <w:tcW w:w="6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1,162</w:t>
            </w: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r>
      <w:tr>
        <w:trPr>
          <w:trHeight w:val="203"/>
        </w:trPr>
        <w:tc>
          <w:tcPr>
            <w:tcW w:w="5380" w:type="dxa"/>
            <w:vAlign w:val="bottom"/>
          </w:tcPr>
          <w:p>
            <w:pPr>
              <w:ind w:left="140"/>
              <w:spacing w:after="0" w:line="202" w:lineRule="exact"/>
              <w:rPr>
                <w:sz w:val="20"/>
                <w:szCs w:val="20"/>
                <w:color w:val="auto"/>
              </w:rPr>
            </w:pPr>
            <w:r>
              <w:rPr>
                <w:rFonts w:ascii="Arial" w:cs="Arial" w:eastAsia="Arial" w:hAnsi="Arial"/>
                <w:sz w:val="18"/>
                <w:szCs w:val="18"/>
                <w:color w:val="auto"/>
              </w:rPr>
              <w:t>Selling, general and administrative</w:t>
            </w:r>
          </w:p>
        </w:tc>
        <w:tc>
          <w:tcPr>
            <w:tcW w:w="640" w:type="dxa"/>
            <w:vAlign w:val="bottom"/>
          </w:tcPr>
          <w:p>
            <w:pPr>
              <w:spacing w:after="0"/>
              <w:rPr>
                <w:sz w:val="17"/>
                <w:szCs w:val="17"/>
                <w:color w:val="auto"/>
              </w:rPr>
            </w:pPr>
          </w:p>
        </w:tc>
        <w:tc>
          <w:tcPr>
            <w:tcW w:w="11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192</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38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Engineering — research and development</w:t>
            </w:r>
          </w:p>
        </w:tc>
        <w:tc>
          <w:tcPr>
            <w:tcW w:w="6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128</w:t>
            </w:r>
          </w:p>
        </w:tc>
        <w:tc>
          <w:tcPr>
            <w:tcW w:w="20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spacing w:after="0"/>
              <w:rPr>
                <w:sz w:val="17"/>
                <w:szCs w:val="17"/>
                <w:color w:val="auto"/>
              </w:rPr>
            </w:pPr>
          </w:p>
        </w:tc>
      </w:tr>
      <w:tr>
        <w:trPr>
          <w:trHeight w:val="196"/>
        </w:trPr>
        <w:tc>
          <w:tcPr>
            <w:tcW w:w="5380" w:type="dxa"/>
            <w:vAlign w:val="bottom"/>
          </w:tcPr>
          <w:p>
            <w:pPr>
              <w:ind w:left="140"/>
              <w:spacing w:after="0" w:line="196" w:lineRule="exact"/>
              <w:rPr>
                <w:sz w:val="20"/>
                <w:szCs w:val="20"/>
                <w:color w:val="auto"/>
              </w:rPr>
            </w:pPr>
            <w:r>
              <w:rPr>
                <w:rFonts w:ascii="Arial" w:cs="Arial" w:eastAsia="Arial" w:hAnsi="Arial"/>
                <w:sz w:val="18"/>
                <w:szCs w:val="18"/>
                <w:color w:val="auto"/>
              </w:rPr>
              <w:t>Segment Operating Profit</w:t>
            </w:r>
          </w:p>
        </w:tc>
        <w:tc>
          <w:tcPr>
            <w:tcW w:w="640" w:type="dxa"/>
            <w:vAlign w:val="bottom"/>
          </w:tcPr>
          <w:p>
            <w:pPr>
              <w:jc w:val="right"/>
              <w:ind w:right="453"/>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791</w:t>
            </w:r>
          </w:p>
        </w:tc>
        <w:tc>
          <w:tcPr>
            <w:tcW w:w="1780" w:type="dxa"/>
            <w:vAlign w:val="bottom"/>
            <w:gridSpan w:val="2"/>
          </w:tcPr>
          <w:p>
            <w:pPr>
              <w:jc w:val="right"/>
              <w:ind w:right="1396"/>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580" w:type="dxa"/>
            <w:vAlign w:val="bottom"/>
          </w:tcPr>
          <w:p>
            <w:pPr>
              <w:jc w:val="right"/>
              <w:ind w:right="34"/>
              <w:spacing w:after="0" w:line="196" w:lineRule="exact"/>
              <w:rPr>
                <w:sz w:val="20"/>
                <w:szCs w:val="20"/>
                <w:color w:val="auto"/>
              </w:rPr>
            </w:pPr>
            <w:r>
              <w:rPr>
                <w:rFonts w:ascii="Arial" w:cs="Arial" w:eastAsia="Arial" w:hAnsi="Arial"/>
                <w:sz w:val="18"/>
                <w:szCs w:val="18"/>
                <w:color w:val="auto"/>
              </w:rPr>
              <w:t>791</w:t>
            </w:r>
          </w:p>
        </w:tc>
      </w:tr>
      <w:tr>
        <w:trPr>
          <w:trHeight w:val="20"/>
        </w:trPr>
        <w:tc>
          <w:tcPr>
            <w:tcW w:w="5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3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Depreciation of property, plant and equipment</w:t>
            </w:r>
          </w:p>
        </w:tc>
        <w:tc>
          <w:tcPr>
            <w:tcW w:w="640" w:type="dxa"/>
            <w:vAlign w:val="bottom"/>
            <w:tcBorders>
              <w:bottom w:val="single" w:sz="8" w:color="auto"/>
            </w:tcBorders>
            <w:shd w:val="clear" w:color="auto" w:fill="CFF0FC"/>
          </w:tcPr>
          <w:p>
            <w:pPr>
              <w:jc w:val="right"/>
              <w:ind w:right="453"/>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87</w:t>
            </w:r>
          </w:p>
        </w:tc>
        <w:tc>
          <w:tcPr>
            <w:tcW w:w="20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ind w:right="1396"/>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196"/>
        </w:trPr>
        <w:tc>
          <w:tcPr>
            <w:tcW w:w="5380" w:type="dxa"/>
            <w:vAlign w:val="bottom"/>
          </w:tcPr>
          <w:p>
            <w:pPr>
              <w:spacing w:after="0" w:line="196" w:lineRule="exact"/>
              <w:rPr>
                <w:sz w:val="20"/>
                <w:szCs w:val="20"/>
                <w:color w:val="auto"/>
              </w:rPr>
            </w:pPr>
            <w:r>
              <w:rPr>
                <w:rFonts w:ascii="Arial" w:cs="Arial" w:eastAsia="Arial" w:hAnsi="Arial"/>
                <w:sz w:val="18"/>
                <w:szCs w:val="18"/>
                <w:color w:val="auto"/>
              </w:rPr>
              <w:t>Amortization expense</w:t>
            </w:r>
          </w:p>
        </w:tc>
        <w:tc>
          <w:tcPr>
            <w:tcW w:w="640" w:type="dxa"/>
            <w:vAlign w:val="bottom"/>
          </w:tcPr>
          <w:p>
            <w:pPr>
              <w:jc w:val="right"/>
              <w:ind w:right="453"/>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5</w:t>
            </w:r>
          </w:p>
        </w:tc>
        <w:tc>
          <w:tcPr>
            <w:tcW w:w="1780" w:type="dxa"/>
            <w:vAlign w:val="bottom"/>
            <w:gridSpan w:val="2"/>
          </w:tcPr>
          <w:p>
            <w:pPr>
              <w:jc w:val="right"/>
              <w:ind w:right="1396"/>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5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37"/>
        </w:trPr>
        <w:tc>
          <w:tcPr>
            <w:tcW w:w="5380" w:type="dxa"/>
            <w:vAlign w:val="bottom"/>
            <w:tcBorders>
              <w:bottom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color w:val="auto"/>
              </w:rPr>
              <w:t>Additions of long-lived assets</w:t>
            </w:r>
          </w:p>
        </w:tc>
        <w:tc>
          <w:tcPr>
            <w:tcW w:w="640" w:type="dxa"/>
            <w:vAlign w:val="bottom"/>
            <w:tcBorders>
              <w:bottom w:val="single" w:sz="8" w:color="auto"/>
            </w:tcBorders>
            <w:shd w:val="clear" w:color="auto" w:fill="CFF0FC"/>
          </w:tcPr>
          <w:p>
            <w:pPr>
              <w:jc w:val="right"/>
              <w:ind w:right="453"/>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101</w:t>
            </w:r>
          </w:p>
        </w:tc>
        <w:tc>
          <w:tcPr>
            <w:tcW w:w="20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ind w:right="1396"/>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-650875</wp:posOffset>
            </wp:positionV>
            <wp:extent cx="1200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-650875</wp:posOffset>
            </wp:positionV>
            <wp:extent cx="1200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-350520</wp:posOffset>
            </wp:positionV>
            <wp:extent cx="1200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-334010</wp:posOffset>
            </wp:positionV>
            <wp:extent cx="1200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-25400</wp:posOffset>
            </wp:positionV>
            <wp:extent cx="1200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12001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64" w:lineRule="exact"/>
        <w:rPr>
          <w:sz w:val="20"/>
          <w:szCs w:val="20"/>
          <w:color w:val="auto"/>
        </w:rPr>
      </w:pPr>
    </w:p>
    <w:p>
      <w:pPr>
        <w:ind w:right="360" w:firstLine="494"/>
        <w:spacing w:after="0" w:line="253" w:lineRule="auto"/>
        <w:rPr>
          <w:sz w:val="20"/>
          <w:szCs w:val="20"/>
          <w:color w:val="auto"/>
        </w:rPr>
      </w:pPr>
      <w:r>
        <w:rPr>
          <w:rFonts w:ascii="Arial" w:cs="Arial" w:eastAsia="Arial" w:hAnsi="Arial"/>
          <w:sz w:val="18"/>
          <w:szCs w:val="18"/>
          <w:color w:val="auto"/>
        </w:rPr>
        <w:t>A reconciliation of reportable segments’ Total Segment Operating Profit to Income before income taxes included in the Condensed Consolidated Statements of Comprehensive Income for the three and nine months ended September 30, 2026 and 2025 is as follows (dollars in millions):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Total Segment Operating Profit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group function costs (a)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4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7"/>
                <w:szCs w:val="17"/>
                <w:color w:val="auto"/>
              </w:rPr>
            </w:pPr>
          </w:p>
        </w:tc>
      </w:tr>
      <w:tr>
        <w:trPr>
          <w:trHeight w:val="191"/>
        </w:trPr>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2026</w:t>
            </w:r>
          </w:p>
        </w:tc>
        <w:tc>
          <w:tcPr>
            <w:tcW w:w="5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433"/>
              <w:spacing w:after="0"/>
              <w:rPr>
                <w:sz w:val="20"/>
                <w:szCs w:val="20"/>
                <w:color w:val="auto"/>
              </w:rPr>
            </w:pPr>
            <w:r>
              <w:rPr>
                <w:rFonts w:ascii="Arial" w:cs="Arial" w:eastAsia="Arial" w:hAnsi="Arial"/>
                <w:sz w:val="14"/>
                <w:szCs w:val="14"/>
                <w:b w:val="1"/>
                <w:bCs w:val="1"/>
                <w:color w:val="auto"/>
              </w:rPr>
              <w:t>2025</w:t>
            </w:r>
          </w:p>
        </w:tc>
      </w:tr>
      <w:tr>
        <w:trPr>
          <w:trHeight w:val="209"/>
        </w:trPr>
        <w:tc>
          <w:tcPr>
            <w:tcW w:w="20" w:type="dxa"/>
            <w:vAlign w:val="bottom"/>
          </w:tcPr>
          <w:p>
            <w:pPr>
              <w:spacing w:after="0"/>
              <w:rPr>
                <w:sz w:val="18"/>
                <w:szCs w:val="18"/>
                <w:color w:val="auto"/>
              </w:rPr>
            </w:pPr>
          </w:p>
        </w:tc>
        <w:tc>
          <w:tcPr>
            <w:tcW w:w="720" w:type="dxa"/>
            <w:vAlign w:val="bottom"/>
            <w:tcBorders>
              <w:top w:val="single" w:sz="8" w:color="auto"/>
            </w:tcBorders>
          </w:tcPr>
          <w:p>
            <w:pPr>
              <w:jc w:val="right"/>
              <w:ind w:right="567"/>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332</w:t>
            </w:r>
          </w:p>
        </w:tc>
        <w:tc>
          <w:tcPr>
            <w:tcW w:w="140" w:type="dxa"/>
            <w:vAlign w:val="bottom"/>
          </w:tcPr>
          <w:p>
            <w:pPr>
              <w:spacing w:after="0"/>
              <w:rPr>
                <w:sz w:val="18"/>
                <w:szCs w:val="18"/>
                <w:color w:val="auto"/>
              </w:rPr>
            </w:pPr>
          </w:p>
        </w:tc>
        <w:tc>
          <w:tcPr>
            <w:tcW w:w="78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891</w:t>
            </w:r>
          </w:p>
        </w:tc>
        <w:tc>
          <w:tcPr>
            <w:tcW w:w="12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791</w:t>
            </w: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50"/>
        </w:trPr>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238</w:t>
            </w:r>
          </w:p>
        </w:tc>
        <w:tc>
          <w:tcPr>
            <w:tcW w:w="140" w:type="dxa"/>
            <w:vAlign w:val="bottom"/>
          </w:tcPr>
          <w:p>
            <w:pPr>
              <w:spacing w:after="0"/>
              <w:rPr>
                <w:sz w:val="21"/>
                <w:szCs w:val="21"/>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598</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-719455</wp:posOffset>
            </wp:positionV>
            <wp:extent cx="538353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383530" cy="13716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-445135</wp:posOffset>
            </wp:positionV>
            <wp:extent cx="538353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383530" cy="13716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-161925</wp:posOffset>
            </wp:positionV>
            <wp:extent cx="6334760" cy="1625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334760" cy="16256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5140" w:space="720"/>
            <w:col w:w="5380"/>
          </w:cols>
          <w:pgMar w:left="320" w:top="117" w:right="339" w:bottom="1440" w:gutter="0" w:footer="0" w:header="0"/>
          <w:type w:val="continuous"/>
        </w:sectPr>
      </w:pPr>
    </w:p>
    <w:p>
      <w:pPr>
        <w:ind w:left="640" w:right="700" w:hanging="377"/>
        <w:spacing w:after="0" w:line="271"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Central group function costs not allocated to the segments include certain executive management, finance, legal, information technology and public company costs, Acquisition-related costs and other general administrative expenses.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81" w:lineRule="exact"/>
        <w:rPr>
          <w:sz w:val="20"/>
          <w:szCs w:val="20"/>
          <w:color w:val="auto"/>
        </w:rPr>
      </w:pPr>
    </w:p>
    <w:p>
      <w:pPr>
        <w:ind w:firstLine="494"/>
        <w:spacing w:after="0" w:line="252"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63" w:lineRule="exact"/>
        <w:rPr>
          <w:sz w:val="20"/>
          <w:szCs w:val="20"/>
          <w:color w:val="auto"/>
        </w:rPr>
      </w:pPr>
    </w:p>
    <w:p>
      <w:pPr>
        <w:ind w:right="160" w:firstLine="494"/>
        <w:spacing w:after="0" w:line="241" w:lineRule="auto"/>
        <w:rPr>
          <w:sz w:val="20"/>
          <w:szCs w:val="20"/>
          <w:color w:val="auto"/>
        </w:rPr>
      </w:pPr>
      <w:r>
        <w:rPr>
          <w:rFonts w:ascii="Arial" w:cs="Arial" w:eastAsia="Arial" w:hAnsi="Arial"/>
          <w:sz w:val="18"/>
          <w:szCs w:val="18"/>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and in Part I, Item 1A "Risk Factors" in our Annual Report on Form 10-K for the year ended December 31, 2025 as filed with the Securities and Exchange Commission ("SEC") on February 24, 2026 (the "2025 Annual Report on Form 10-K"). Our actual results may differ materially from those contained in or implied by any forward-looking statements.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jc w:val="both"/>
        <w:ind w:right="280" w:firstLine="494"/>
        <w:spacing w:after="0" w:line="253" w:lineRule="auto"/>
        <w:rPr>
          <w:sz w:val="20"/>
          <w:szCs w:val="20"/>
          <w:color w:val="auto"/>
        </w:rPr>
      </w:pPr>
      <w:r>
        <w:rPr>
          <w:rFonts w:ascii="Arial" w:cs="Arial" w:eastAsia="Arial" w:hAnsi="Arial"/>
          <w:sz w:val="18"/>
          <w:szCs w:val="18"/>
          <w:color w:val="auto"/>
        </w:rPr>
        <w:t>Allison Transmission Holdings, Inc. and its subsidiaries (“Allison,” “we,” “us” or “our”) is a global leader in high-performance mobility and work solutions built for the needs of the modern industrial world. The business was founded in 1915 and has been headquartered in Indianapolis, Indiana since inception. Allison is traded on the New York Stock Exchange under the symbol “ALSN”.</w:t>
      </w:r>
    </w:p>
    <w:p>
      <w:pPr>
        <w:spacing w:after="0" w:line="61" w:lineRule="exact"/>
        <w:rPr>
          <w:sz w:val="20"/>
          <w:szCs w:val="20"/>
          <w:color w:val="auto"/>
        </w:rPr>
      </w:pPr>
    </w:p>
    <w:p>
      <w:pPr>
        <w:ind w:right="60" w:firstLine="499"/>
        <w:spacing w:after="0" w:line="247" w:lineRule="auto"/>
        <w:rPr>
          <w:sz w:val="20"/>
          <w:szCs w:val="20"/>
          <w:color w:val="auto"/>
        </w:rPr>
      </w:pPr>
      <w:r>
        <w:rPr>
          <w:rFonts w:ascii="Arial" w:cs="Arial" w:eastAsia="Arial" w:hAnsi="Arial"/>
          <w:sz w:val="18"/>
          <w:szCs w:val="18"/>
          <w:color w:val="auto"/>
        </w:rPr>
        <w:t>On January 1, 2026 (the "Closing Date"), we completed the acquisition of Dana Incorporated's ("Dana") off-highway business (the "Acquired Off-Highway Business”) for a purchase price of approximately $2,628 million (the "Acquisition"). We have a global presence serving customers in North America, Asia, Europe, South America, and Africa and have further expanded our operations in these regions as a result of the Acquisition.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58" w:lineRule="exact"/>
        <w:rPr>
          <w:sz w:val="20"/>
          <w:szCs w:val="20"/>
          <w:color w:val="auto"/>
        </w:rPr>
      </w:pPr>
    </w:p>
    <w:p>
      <w:pPr>
        <w:ind w:right="120" w:firstLine="494"/>
        <w:spacing w:after="0" w:line="238" w:lineRule="auto"/>
        <w:rPr>
          <w:sz w:val="20"/>
          <w:szCs w:val="20"/>
          <w:color w:val="auto"/>
        </w:rPr>
      </w:pPr>
      <w:r>
        <w:rPr>
          <w:rFonts w:ascii="Arial" w:cs="Arial" w:eastAsia="Arial" w:hAnsi="Arial"/>
          <w:sz w:val="18"/>
          <w:szCs w:val="18"/>
          <w:color w:val="auto"/>
        </w:rPr>
        <w:t>The Acquisition was completed using a combination of cash on hand, $500 million of proceeds from the issuance of 5.875% Senior Notes due December 2033 by Allison Transmission, Inc. ("ATI"), our wholly-owned subsidiary (the "5.875% Senior Notes 2033"), proceeds from borrowings under an incremental term loan facility under the Second Amended and Restated Credit Agreement dated as of March 29, 2019, as amended (the “Credit Agreement”), in an aggregate principal amount equal to $1,200 million (the “Incremental Term Loan”), and $300 million of borrowings under ATI’s revolving credit facility with commitments in the amount of $ 1,000 million due January 2031 (the “Revolving Credit Facility”). In connection with the Acquisition, we entered into a commitment letter with a group of lenders (the "Lenders"), pursuant to which the Lenders committed to provide a 364-day senior unsecured bridge term loan facility (the “Bridge Facility”), in an aggregate principal amount of up to $2,000 million. As of December 31, 2025, the Bridge Facility aggregate commitment principal amount had been reduced to $500 million as a result of the issuance of the 5.875% Senior Notes 2033 and our election to voluntarily reduce the aggregate commitments under the Bridge Facility. No amount was drawn from the Bridge Facility, and it was terminated upon completion of the Acquisition on the Closing Date.</w:t>
      </w:r>
    </w:p>
    <w:p>
      <w:pPr>
        <w:spacing w:after="0" w:line="132" w:lineRule="exact"/>
        <w:rPr>
          <w:sz w:val="20"/>
          <w:szCs w:val="20"/>
          <w:color w:val="auto"/>
        </w:rPr>
      </w:pPr>
    </w:p>
    <w:p>
      <w:pPr>
        <w:ind w:right="100" w:firstLine="494"/>
        <w:spacing w:after="0" w:line="247" w:lineRule="auto"/>
        <w:rPr>
          <w:sz w:val="20"/>
          <w:szCs w:val="20"/>
          <w:color w:val="auto"/>
        </w:rPr>
      </w:pPr>
      <w:r>
        <w:rPr>
          <w:rFonts w:ascii="Arial" w:cs="Arial" w:eastAsia="Arial" w:hAnsi="Arial"/>
          <w:sz w:val="18"/>
          <w:szCs w:val="18"/>
          <w:color w:val="auto"/>
        </w:rPr>
        <w:t>As a result of the Acquisition, we now offer an expanded portfolio of drivetrain, motion and propulsion solutions, providing complementary product breadth and an enhanced ability to support customers across multiple end markets. The Acquired Off-Highway Business has historically served end markets with demand characteristics that differ from our traditional on-highway markets, contributing to a more diversified portfolio.</w:t>
      </w:r>
    </w:p>
    <w:p>
      <w:pPr>
        <w:spacing w:after="0" w:line="120" w:lineRule="exact"/>
        <w:rPr>
          <w:sz w:val="20"/>
          <w:szCs w:val="20"/>
          <w:color w:val="auto"/>
        </w:rPr>
      </w:pPr>
    </w:p>
    <w:p>
      <w:pPr>
        <w:ind w:right="100" w:firstLine="494"/>
        <w:spacing w:after="0" w:line="271" w:lineRule="auto"/>
        <w:rPr>
          <w:sz w:val="20"/>
          <w:szCs w:val="20"/>
          <w:color w:val="auto"/>
        </w:rPr>
      </w:pPr>
      <w:r>
        <w:rPr>
          <w:rFonts w:ascii="Arial" w:cs="Arial" w:eastAsia="Arial" w:hAnsi="Arial"/>
          <w:sz w:val="18"/>
          <w:szCs w:val="18"/>
          <w:color w:val="auto"/>
        </w:rPr>
        <w:t>Following the Acquisition, we continue to operate under the Allison name, but our operations are now comprised of two operating and reportable segments: Allison Transmission and Allison Off-Highway Drive &amp; Motion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Systems ("Allison Off-Highway"). All prior period reportable segment information has been reclassified to conform to the current presentation. For additional discussion regarding our segments, including the changes made, see “Note T. Segment Information” in Part I, Item 1 of this Quarterly Report on Form 10-Q. Segment leadership is located globally, reflecting the international nature of our operations and the importance of local market insights, sourcing, production and customer support.</w:t>
      </w:r>
    </w:p>
    <w:p>
      <w:pPr>
        <w:spacing w:after="0" w:line="120" w:lineRule="exact"/>
        <w:rPr>
          <w:sz w:val="20"/>
          <w:szCs w:val="20"/>
          <w:color w:val="auto"/>
        </w:rPr>
      </w:pPr>
    </w:p>
    <w:p>
      <w:pPr>
        <w:ind w:right="40" w:firstLine="494"/>
        <w:spacing w:after="0" w:line="244" w:lineRule="auto"/>
        <w:rPr>
          <w:sz w:val="20"/>
          <w:szCs w:val="20"/>
          <w:color w:val="auto"/>
        </w:rPr>
      </w:pPr>
      <w:r>
        <w:rPr>
          <w:rFonts w:ascii="Arial" w:cs="Arial" w:eastAsia="Arial" w:hAnsi="Arial"/>
          <w:sz w:val="18"/>
          <w:szCs w:val="18"/>
          <w:color w:val="auto"/>
        </w:rPr>
        <w:t>Allison Transmission serves customers through an independent global network of approximately 1,500 independent distributor and dealer locations worldwide and offers more than 200 different transmission models compatible with more than 500 combinations of engine brands, models and ratings, including diesel, gasoline, natural gas and other alternative fuels. In addition, Allison Transmission has developed thousands of proprietary calibrations available for use with our electronic control modules, enabling tailored performance across a broad range of customer applications.</w:t>
      </w:r>
    </w:p>
    <w:p>
      <w:pPr>
        <w:spacing w:after="0" w:line="122"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Allison Off-Highway provides drivetrain and motion solutions for a wide range of mobile and stationary off-highway equipment. These solutions include optimized drivetrain systems, propulsion components and motion technologies designed for industries such as construction, agriculture, mining, material handling and other industrial applications. The portfolio encompasses systems that manage power conveyance to machines and power work functions, including axles, gearboxes, transmissions and related components, as well as motion systems tailored to customer performance and efficiency requirements across both conventional and electrified powertrains. The global engineering, manufacturing and service footprint of the Acquired Off-Highway Business supports localized responsiveness and technical support for customers in key off-highway end markets.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58" w:lineRule="exact"/>
        <w:rPr>
          <w:sz w:val="20"/>
          <w:szCs w:val="20"/>
          <w:color w:val="auto"/>
        </w:rPr>
      </w:pPr>
    </w:p>
    <w:p>
      <w:pPr>
        <w:ind w:right="100" w:firstLine="494"/>
        <w:spacing w:after="0" w:line="271" w:lineRule="auto"/>
        <w:rPr>
          <w:sz w:val="20"/>
          <w:szCs w:val="20"/>
          <w:color w:val="auto"/>
        </w:rPr>
      </w:pPr>
      <w:r>
        <w:rPr>
          <w:rFonts w:ascii="Arial" w:cs="Arial" w:eastAsia="Arial" w:hAnsi="Arial"/>
          <w:sz w:val="18"/>
          <w:szCs w:val="18"/>
          <w:color w:val="auto"/>
        </w:rPr>
        <w:t>In 2026, we expect to have higher net sales driven by the addition of Allison Off-Highway and higher net sales in Allison Transmission driven primarily by the On-Highway and Defense end markets.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02" w:lineRule="exact"/>
        <w:rPr>
          <w:sz w:val="20"/>
          <w:szCs w:val="20"/>
          <w:color w:val="auto"/>
        </w:rPr>
      </w:pPr>
    </w:p>
    <w:p>
      <w:pPr>
        <w:ind w:right="200" w:firstLine="494"/>
        <w:spacing w:after="0" w:line="242" w:lineRule="auto"/>
        <w:rPr>
          <w:sz w:val="20"/>
          <w:szCs w:val="20"/>
          <w:color w:val="auto"/>
        </w:rPr>
      </w:pPr>
      <w:r>
        <w:rPr>
          <w:rFonts w:ascii="Arial" w:cs="Arial" w:eastAsia="Arial" w:hAnsi="Arial"/>
          <w:sz w:val="18"/>
          <w:szCs w:val="18"/>
          <w:color w:val="auto"/>
        </w:rPr>
        <w:t>We generate our net sales primarily from the sale of high performance mobility and work solutions, service and component parts, support equipment, defense kits, engineering services, royalties and extended transmission coverage to a wide array of original equipment manufacturers, distributors and the U.S. government. Sales are recorded in accordance with the terms of the contract, net of provisions for customer incentives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02"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Our primary components of cost of sales are purchased parts, the overhead expense related to our manufacturing operations and direct labor associated with the manufacture and assembly of vehicle propulsion solutions and parts. For the nine months ended September 30, 2026, direct material costs were approximately 65%, overhead costs were approximately 29%, and direct labor costs were approximately 6% of cost of sales. We are subject to changes in our cost of sales caused by movements in underlying commodity prices. We seek to hedge against this risk by using long-term agreements (“LTAs”), as appropriate. See Part I, Item 3, “Quantitative and Qualitative Disclosures about Market Risk—Commodity Price Risk” included below.</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02" w:lineRule="exact"/>
        <w:rPr>
          <w:sz w:val="20"/>
          <w:szCs w:val="20"/>
          <w:color w:val="auto"/>
        </w:rPr>
      </w:pPr>
    </w:p>
    <w:p>
      <w:pPr>
        <w:ind w:right="600" w:firstLine="494"/>
        <w:spacing w:after="0" w:line="253" w:lineRule="auto"/>
        <w:rPr>
          <w:sz w:val="20"/>
          <w:szCs w:val="20"/>
          <w:color w:val="auto"/>
        </w:rPr>
      </w:pPr>
      <w:r>
        <w:rPr>
          <w:rFonts w:ascii="Arial" w:cs="Arial" w:eastAsia="Arial" w:hAnsi="Arial"/>
          <w:sz w:val="18"/>
          <w:szCs w:val="18"/>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 assets.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02" w:lineRule="exact"/>
        <w:rPr>
          <w:sz w:val="20"/>
          <w:szCs w:val="20"/>
          <w:color w:val="auto"/>
        </w:rPr>
      </w:pPr>
    </w:p>
    <w:p>
      <w:pPr>
        <w:ind w:right="160" w:firstLine="494"/>
        <w:spacing w:after="0" w:line="271"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Allison Consolidated Comparison of the three months ended September 30, 2026 and 2025</w:t>
      </w:r>
    </w:p>
    <w:p>
      <w:pPr>
        <w:spacing w:after="0" w:line="102" w:lineRule="exact"/>
        <w:rPr>
          <w:sz w:val="20"/>
          <w:szCs w:val="20"/>
          <w:color w:val="auto"/>
        </w:rPr>
      </w:pPr>
    </w:p>
    <w:p>
      <w:pPr>
        <w:jc w:val="both"/>
        <w:ind w:right="280" w:firstLine="494"/>
        <w:spacing w:after="0" w:line="243" w:lineRule="auto"/>
        <w:rPr>
          <w:sz w:val="20"/>
          <w:szCs w:val="20"/>
          <w:color w:val="auto"/>
        </w:rPr>
      </w:pPr>
      <w:r>
        <w:rPr>
          <w:rFonts w:ascii="Arial" w:cs="Arial" w:eastAsia="Arial" w:hAnsi="Arial"/>
          <w:sz w:val="18"/>
          <w:szCs w:val="18"/>
          <w:color w:val="auto"/>
        </w:rPr>
        <w:t>The following table sets forth certain financial information for the three months ended September 30, 2026 and 2025. The following table and discussion should be read in conjunction with the information contained in our condensed consolidated financial statements and the notes thereto included in Part I, Item 1 of this Quarterly Report on Form 10-Q.</w:t>
      </w:r>
    </w:p>
    <w:tbl>
      <w:tblPr>
        <w:tblLayout w:type="fixed"/>
        <w:tblInd w:w="0" w:type="dxa"/>
        <w:tblCellMar>
          <w:top w:w="0" w:type="dxa"/>
          <w:left w:w="0" w:type="dxa"/>
          <w:bottom w:w="0" w:type="dxa"/>
          <w:right w:w="0" w:type="dxa"/>
        </w:tblCellMar>
      </w:tblPr>
      <w:tr>
        <w:trPr>
          <w:trHeight w:val="160"/>
        </w:trPr>
        <w:tc>
          <w:tcPr>
            <w:tcW w:w="4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71"/>
              <w:spacing w:after="0" w:line="159" w:lineRule="exact"/>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146"/>
        </w:trPr>
        <w:tc>
          <w:tcPr>
            <w:tcW w:w="4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gridSpan w:val="2"/>
          </w:tcPr>
          <w:p>
            <w:pPr>
              <w:jc w:val="right"/>
              <w:ind w:right="635"/>
              <w:spacing w:after="0" w:line="147"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gridSpan w:val="2"/>
          </w:tcPr>
          <w:p>
            <w:pPr>
              <w:jc w:val="right"/>
              <w:ind w:right="613"/>
              <w:spacing w:after="0" w:line="147" w:lineRule="exact"/>
              <w:rPr>
                <w:sz w:val="20"/>
                <w:szCs w:val="20"/>
                <w:color w:val="auto"/>
              </w:rPr>
            </w:pPr>
            <w:r>
              <w:rPr>
                <w:rFonts w:ascii="Arial" w:cs="Arial" w:eastAsia="Arial" w:hAnsi="Arial"/>
                <w:sz w:val="14"/>
                <w:szCs w:val="14"/>
                <w:b w:val="1"/>
                <w:bCs w:val="1"/>
                <w:color w:val="auto"/>
              </w:rPr>
              <w:t>%</w:t>
            </w:r>
          </w:p>
        </w:tc>
      </w:tr>
      <w:tr>
        <w:trPr>
          <w:trHeight w:val="171"/>
        </w:trPr>
        <w:tc>
          <w:tcPr>
            <w:tcW w:w="4640" w:type="dxa"/>
            <w:vAlign w:val="bottom"/>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1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13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of net sales</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of net sales</w:t>
            </w:r>
          </w:p>
        </w:tc>
      </w:tr>
      <w:tr>
        <w:trPr>
          <w:trHeight w:val="196"/>
        </w:trPr>
        <w:tc>
          <w:tcPr>
            <w:tcW w:w="4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sales</w:t>
            </w:r>
          </w:p>
        </w:tc>
        <w:tc>
          <w:tcPr>
            <w:tcW w:w="1360" w:type="dxa"/>
            <w:vAlign w:val="bottom"/>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1,534</w:t>
            </w:r>
          </w:p>
        </w:tc>
        <w:tc>
          <w:tcPr>
            <w:tcW w:w="14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100%</w:t>
            </w:r>
          </w:p>
        </w:tc>
        <w:tc>
          <w:tcPr>
            <w:tcW w:w="3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693</w:t>
            </w:r>
          </w:p>
        </w:tc>
        <w:tc>
          <w:tcPr>
            <w:tcW w:w="14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1,029</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115"/>
              <w:spacing w:after="0" w:line="202" w:lineRule="exact"/>
              <w:rPr>
                <w:sz w:val="20"/>
                <w:szCs w:val="20"/>
                <w:color w:val="auto"/>
              </w:rPr>
            </w:pPr>
            <w:r>
              <w:rPr>
                <w:rFonts w:ascii="Arial" w:cs="Arial" w:eastAsia="Arial" w:hAnsi="Arial"/>
                <w:sz w:val="18"/>
                <w:szCs w:val="18"/>
                <w:b w:val="1"/>
                <w:bCs w:val="1"/>
                <w:color w:val="auto"/>
              </w:rPr>
              <w:t>67</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363</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52</w:t>
            </w:r>
          </w:p>
        </w:tc>
      </w:tr>
      <w:tr>
        <w:trPr>
          <w:trHeight w:val="196"/>
        </w:trPr>
        <w:tc>
          <w:tcPr>
            <w:tcW w:w="4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505</w:t>
            </w:r>
          </w:p>
        </w:tc>
        <w:tc>
          <w:tcPr>
            <w:tcW w:w="1460" w:type="dxa"/>
            <w:vAlign w:val="bottom"/>
            <w:gridSpan w:val="2"/>
            <w:shd w:val="clear" w:color="auto" w:fill="CFF0FC"/>
          </w:tcPr>
          <w:p>
            <w:pPr>
              <w:jc w:val="right"/>
              <w:ind w:right="115"/>
              <w:spacing w:after="0" w:line="196" w:lineRule="exact"/>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330</w:t>
            </w:r>
          </w:p>
        </w:tc>
        <w:tc>
          <w:tcPr>
            <w:tcW w:w="1460" w:type="dxa"/>
            <w:vAlign w:val="bottom"/>
            <w:gridSpan w:val="2"/>
            <w:shd w:val="clear" w:color="auto" w:fill="CFF0FC"/>
          </w:tcPr>
          <w:p>
            <w:pPr>
              <w:jc w:val="right"/>
              <w:ind w:right="93"/>
              <w:spacing w:after="0" w:line="196" w:lineRule="exact"/>
              <w:rPr>
                <w:sz w:val="20"/>
                <w:szCs w:val="20"/>
                <w:color w:val="auto"/>
              </w:rPr>
            </w:pPr>
            <w:r>
              <w:rPr>
                <w:rFonts w:ascii="Arial" w:cs="Arial" w:eastAsia="Arial" w:hAnsi="Arial"/>
                <w:sz w:val="18"/>
                <w:szCs w:val="18"/>
                <w:color w:val="auto"/>
              </w:rPr>
              <w:t>48</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46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Selling, general and administrative</w:t>
            </w: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142</w:t>
            </w:r>
          </w:p>
        </w:tc>
        <w:tc>
          <w:tcPr>
            <w:tcW w:w="1460" w:type="dxa"/>
            <w:vAlign w:val="bottom"/>
            <w:gridSpan w:val="2"/>
            <w:shd w:val="clear" w:color="auto" w:fill="CFF0FC"/>
          </w:tcPr>
          <w:p>
            <w:pPr>
              <w:jc w:val="right"/>
              <w:ind w:right="115"/>
              <w:spacing w:after="0" w:line="202" w:lineRule="exact"/>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83</w:t>
            </w:r>
          </w:p>
        </w:tc>
        <w:tc>
          <w:tcPr>
            <w:tcW w:w="1460" w:type="dxa"/>
            <w:vAlign w:val="bottom"/>
            <w:gridSpan w:val="2"/>
            <w:shd w:val="clear" w:color="auto" w:fill="CFF0FC"/>
          </w:tcPr>
          <w:p>
            <w:pPr>
              <w:jc w:val="right"/>
              <w:ind w:right="93"/>
              <w:spacing w:after="0" w:line="202" w:lineRule="exact"/>
              <w:rPr>
                <w:sz w:val="20"/>
                <w:szCs w:val="20"/>
                <w:color w:val="auto"/>
              </w:rPr>
            </w:pPr>
            <w:r>
              <w:rPr>
                <w:rFonts w:ascii="Arial" w:cs="Arial" w:eastAsia="Arial" w:hAnsi="Arial"/>
                <w:sz w:val="18"/>
                <w:szCs w:val="18"/>
                <w:color w:val="auto"/>
              </w:rPr>
              <w:t>12</w:t>
            </w:r>
          </w:p>
        </w:tc>
      </w:tr>
      <w:tr>
        <w:trPr>
          <w:trHeight w:val="203"/>
        </w:trPr>
        <w:tc>
          <w:tcPr>
            <w:tcW w:w="4640" w:type="dxa"/>
            <w:vAlign w:val="bottom"/>
          </w:tcPr>
          <w:p>
            <w:pPr>
              <w:ind w:left="160"/>
              <w:spacing w:after="0" w:line="202" w:lineRule="exact"/>
              <w:rPr>
                <w:sz w:val="20"/>
                <w:szCs w:val="20"/>
                <w:color w:val="auto"/>
              </w:rPr>
            </w:pPr>
            <w:r>
              <w:rPr>
                <w:rFonts w:ascii="Arial" w:cs="Arial" w:eastAsia="Arial" w:hAnsi="Arial"/>
                <w:sz w:val="18"/>
                <w:szCs w:val="18"/>
                <w:color w:val="auto"/>
              </w:rPr>
              <w:t>Engineering — research and development</w:t>
            </w:r>
          </w:p>
        </w:tc>
        <w:tc>
          <w:tcPr>
            <w:tcW w:w="1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115"/>
              <w:spacing w:after="0" w:line="202" w:lineRule="exact"/>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6</w:t>
            </w:r>
          </w:p>
        </w:tc>
      </w:tr>
      <w:tr>
        <w:trPr>
          <w:trHeight w:val="196"/>
        </w:trPr>
        <w:tc>
          <w:tcPr>
            <w:tcW w:w="464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Operating Expenses</w:t>
            </w:r>
          </w:p>
        </w:tc>
        <w:tc>
          <w:tcPr>
            <w:tcW w:w="1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201</w:t>
            </w:r>
          </w:p>
        </w:tc>
        <w:tc>
          <w:tcPr>
            <w:tcW w:w="10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115"/>
              <w:spacing w:after="0" w:line="196" w:lineRule="exact"/>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126</w:t>
            </w:r>
          </w:p>
        </w:tc>
        <w:tc>
          <w:tcPr>
            <w:tcW w:w="10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93"/>
              <w:spacing w:after="0" w:line="196" w:lineRule="exact"/>
              <w:rPr>
                <w:sz w:val="20"/>
                <w:szCs w:val="20"/>
                <w:color w:val="auto"/>
              </w:rPr>
            </w:pPr>
            <w:r>
              <w:rPr>
                <w:rFonts w:ascii="Arial" w:cs="Arial" w:eastAsia="Arial" w:hAnsi="Arial"/>
                <w:sz w:val="18"/>
                <w:szCs w:val="18"/>
                <w:color w:val="auto"/>
              </w:rPr>
              <w:t>18</w:t>
            </w:r>
          </w:p>
        </w:tc>
      </w:tr>
      <w:tr>
        <w:trPr>
          <w:trHeight w:val="196"/>
        </w:trPr>
        <w:tc>
          <w:tcPr>
            <w:tcW w:w="4640" w:type="dxa"/>
            <w:vAlign w:val="bottom"/>
          </w:tcPr>
          <w:p>
            <w:pPr>
              <w:spacing w:after="0" w:line="196" w:lineRule="exact"/>
              <w:rPr>
                <w:sz w:val="20"/>
                <w:szCs w:val="20"/>
                <w:color w:val="auto"/>
              </w:rPr>
            </w:pPr>
            <w:r>
              <w:rPr>
                <w:rFonts w:ascii="Arial" w:cs="Arial" w:eastAsia="Arial" w:hAnsi="Arial"/>
                <w:sz w:val="18"/>
                <w:szCs w:val="18"/>
                <w:color w:val="auto"/>
              </w:rPr>
              <w:t>Operating Income</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304</w:t>
            </w:r>
          </w:p>
        </w:tc>
        <w:tc>
          <w:tcPr>
            <w:tcW w:w="1460" w:type="dxa"/>
            <w:vAlign w:val="bottom"/>
            <w:gridSpan w:val="2"/>
          </w:tcPr>
          <w:p>
            <w:pPr>
              <w:jc w:val="right"/>
              <w:ind w:right="115"/>
              <w:spacing w:after="0" w:line="196" w:lineRule="exact"/>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1"/>
              <w:spacing w:after="0" w:line="196" w:lineRule="exact"/>
              <w:rPr>
                <w:sz w:val="20"/>
                <w:szCs w:val="20"/>
                <w:color w:val="auto"/>
              </w:rPr>
            </w:pPr>
            <w:r>
              <w:rPr>
                <w:rFonts w:ascii="Arial" w:cs="Arial" w:eastAsia="Arial" w:hAnsi="Arial"/>
                <w:sz w:val="18"/>
                <w:szCs w:val="18"/>
                <w:color w:val="auto"/>
              </w:rPr>
              <w:t>204</w:t>
            </w:r>
          </w:p>
        </w:tc>
        <w:tc>
          <w:tcPr>
            <w:tcW w:w="1460" w:type="dxa"/>
            <w:vAlign w:val="bottom"/>
            <w:gridSpan w:val="2"/>
          </w:tcPr>
          <w:p>
            <w:pPr>
              <w:jc w:val="right"/>
              <w:ind w:right="93"/>
              <w:spacing w:after="0" w:line="196" w:lineRule="exact"/>
              <w:rPr>
                <w:sz w:val="20"/>
                <w:szCs w:val="20"/>
                <w:color w:val="auto"/>
              </w:rPr>
            </w:pPr>
            <w:r>
              <w:rPr>
                <w:rFonts w:ascii="Arial" w:cs="Arial" w:eastAsia="Arial" w:hAnsi="Arial"/>
                <w:sz w:val="18"/>
                <w:szCs w:val="18"/>
                <w:color w:val="auto"/>
              </w:rPr>
              <w:t>29</w:t>
            </w:r>
          </w:p>
        </w:tc>
      </w:tr>
      <w:tr>
        <w:trPr>
          <w:trHeight w:val="203"/>
        </w:trPr>
        <w:tc>
          <w:tcPr>
            <w:tcW w:w="4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 net</w:t>
            </w: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(51)</w:t>
            </w:r>
          </w:p>
        </w:tc>
        <w:tc>
          <w:tcPr>
            <w:tcW w:w="1460" w:type="dxa"/>
            <w:vAlign w:val="bottom"/>
            <w:gridSpan w:val="2"/>
            <w:shd w:val="clear" w:color="auto" w:fill="CFF0FC"/>
          </w:tcPr>
          <w:p>
            <w:pPr>
              <w:jc w:val="right"/>
              <w:ind w:right="35"/>
              <w:spacing w:after="0" w:line="202" w:lineRule="exact"/>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1460" w:type="dxa"/>
            <w:vAlign w:val="bottom"/>
            <w:gridSpan w:val="2"/>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w:t>
            </w: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Other (expense) income, net</w:t>
            </w:r>
          </w:p>
        </w:tc>
        <w:tc>
          <w:tcPr>
            <w:tcW w:w="1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w:t>
            </w:r>
          </w:p>
        </w:tc>
      </w:tr>
      <w:tr>
        <w:trPr>
          <w:trHeight w:val="196"/>
        </w:trPr>
        <w:tc>
          <w:tcPr>
            <w:tcW w:w="4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before income taxes</w:t>
            </w: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238</w:t>
            </w:r>
          </w:p>
        </w:tc>
        <w:tc>
          <w:tcPr>
            <w:tcW w:w="1460" w:type="dxa"/>
            <w:vAlign w:val="bottom"/>
            <w:gridSpan w:val="2"/>
            <w:shd w:val="clear" w:color="auto" w:fill="CFF0FC"/>
          </w:tcPr>
          <w:p>
            <w:pPr>
              <w:jc w:val="right"/>
              <w:ind w:right="115"/>
              <w:spacing w:after="0" w:line="196" w:lineRule="exact"/>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182</w:t>
            </w:r>
          </w:p>
        </w:tc>
        <w:tc>
          <w:tcPr>
            <w:tcW w:w="1460" w:type="dxa"/>
            <w:vAlign w:val="bottom"/>
            <w:gridSpan w:val="2"/>
            <w:shd w:val="clear" w:color="auto" w:fill="CFF0FC"/>
          </w:tcPr>
          <w:p>
            <w:pPr>
              <w:jc w:val="right"/>
              <w:ind w:right="93"/>
              <w:spacing w:after="0" w:line="196" w:lineRule="exact"/>
              <w:rPr>
                <w:sz w:val="20"/>
                <w:szCs w:val="20"/>
                <w:color w:val="auto"/>
              </w:rPr>
            </w:pPr>
            <w:r>
              <w:rPr>
                <w:rFonts w:ascii="Arial" w:cs="Arial" w:eastAsia="Arial" w:hAnsi="Arial"/>
                <w:sz w:val="18"/>
                <w:szCs w:val="18"/>
                <w:color w:val="auto"/>
              </w:rPr>
              <w:t>26</w:t>
            </w: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(6)</w:t>
            </w:r>
          </w:p>
        </w:tc>
      </w:tr>
      <w:tr>
        <w:trPr>
          <w:trHeight w:val="216"/>
        </w:trPr>
        <w:tc>
          <w:tcPr>
            <w:tcW w:w="46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Net income</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182" w:lineRule="exact"/>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FF0FC"/>
          </w:tcPr>
          <w:p>
            <w:pPr>
              <w:jc w:val="right"/>
              <w:ind w:right="31"/>
              <w:spacing w:after="0" w:line="182" w:lineRule="exact"/>
              <w:rPr>
                <w:sz w:val="20"/>
                <w:szCs w:val="20"/>
                <w:color w:val="auto"/>
              </w:rPr>
            </w:pPr>
            <w:r>
              <w:rPr>
                <w:rFonts w:ascii="Arial" w:cs="Arial" w:eastAsia="Arial" w:hAnsi="Arial"/>
                <w:sz w:val="18"/>
                <w:szCs w:val="18"/>
                <w:b w:val="1"/>
                <w:bCs w:val="1"/>
                <w:color w:val="auto"/>
              </w:rPr>
              <w:t>191</w:t>
            </w: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12%</w:t>
            </w:r>
          </w:p>
        </w:tc>
        <w:tc>
          <w:tcPr>
            <w:tcW w:w="36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137</w:t>
            </w:r>
          </w:p>
        </w:tc>
        <w:tc>
          <w:tcPr>
            <w:tcW w:w="146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20%</w:t>
            </w:r>
          </w:p>
        </w:tc>
      </w:tr>
      <w:tr>
        <w:trPr>
          <w:trHeight w:val="20"/>
        </w:trPr>
        <w:tc>
          <w:tcPr>
            <w:tcW w:w="46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-822325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-822325</wp:posOffset>
            </wp:positionV>
            <wp:extent cx="774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-822325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774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774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Off-Highway acquisition</w:t>
      </w:r>
    </w:p>
    <w:p>
      <w:pPr>
        <w:spacing w:after="0" w:line="102" w:lineRule="exact"/>
        <w:rPr>
          <w:sz w:val="20"/>
          <w:szCs w:val="20"/>
          <w:color w:val="auto"/>
        </w:rPr>
      </w:pPr>
    </w:p>
    <w:p>
      <w:pPr>
        <w:ind w:right="120" w:firstLine="494"/>
        <w:spacing w:after="0" w:line="271" w:lineRule="auto"/>
        <w:rPr>
          <w:sz w:val="20"/>
          <w:szCs w:val="20"/>
          <w:color w:val="auto"/>
        </w:rPr>
      </w:pPr>
      <w:r>
        <w:rPr>
          <w:rFonts w:ascii="Arial" w:cs="Arial" w:eastAsia="Arial" w:hAnsi="Arial"/>
          <w:sz w:val="18"/>
          <w:szCs w:val="18"/>
          <w:color w:val="auto"/>
        </w:rPr>
        <w:t>On January 1, 2026, we completed the Acquisition. Our results of operations include all activity of the Acquired Off-Highway Business since the Closing Date within the Allison Off-Highway reportable segment.</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Allison Off-Highway segment generated $653 million of net sales for the three months ended September 30, 2026.</w:t>
      </w:r>
    </w:p>
    <w:p>
      <w:pPr>
        <w:spacing w:after="0" w:line="104" w:lineRule="exact"/>
        <w:rPr>
          <w:sz w:val="20"/>
          <w:szCs w:val="20"/>
          <w:color w:val="auto"/>
        </w:rPr>
      </w:pPr>
    </w:p>
    <w:p>
      <w:pPr>
        <w:ind w:right="100" w:firstLine="494"/>
        <w:spacing w:after="0" w:line="271" w:lineRule="auto"/>
        <w:rPr>
          <w:sz w:val="20"/>
          <w:szCs w:val="20"/>
          <w:color w:val="auto"/>
        </w:rPr>
      </w:pPr>
      <w:r>
        <w:rPr>
          <w:rFonts w:ascii="Arial" w:cs="Arial" w:eastAsia="Arial" w:hAnsi="Arial"/>
          <w:sz w:val="18"/>
          <w:szCs w:val="18"/>
          <w:color w:val="auto"/>
        </w:rPr>
        <w:t>The Allison Transmission segment generated $881 million of net sales for the three months ended September 30, 2026. Net sales increased $188 million, or 27%, for the three months ended September 30, 2026 compared to the three months ended September 30, 2025.</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increase was principally driven by the following:</w:t>
      </w:r>
    </w:p>
    <w:p>
      <w:pPr>
        <w:spacing w:after="0" w:line="104" w:lineRule="exact"/>
        <w:rPr>
          <w:sz w:val="20"/>
          <w:szCs w:val="20"/>
          <w:color w:val="auto"/>
        </w:rPr>
      </w:pPr>
    </w:p>
    <w:p>
      <w:pPr>
        <w:ind w:left="1020" w:right="180" w:hanging="503"/>
        <w:spacing w:after="0" w:line="252"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North America On-Highway end market net sales increased $135 million, or 41%, principally driven by higher demand for medium-duty trucks and class 8 vocational trucks, price increases on certain products and increased demand for hybrid transit buses.</w:t>
      </w:r>
    </w:p>
    <w:p>
      <w:pPr>
        <w:spacing w:after="0" w:line="62" w:lineRule="exact"/>
        <w:rPr>
          <w:rFonts w:ascii="Times New Roman" w:cs="Times New Roman" w:eastAsia="Times New Roman" w:hAnsi="Times New Roman"/>
          <w:sz w:val="18"/>
          <w:szCs w:val="18"/>
          <w:color w:val="auto"/>
        </w:rPr>
      </w:pPr>
    </w:p>
    <w:p>
      <w:pPr>
        <w:ind w:left="1020" w:right="40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Service Parts, Support Equipment and Other end market net sales increased $22 million, or 14%, principally driven by price increases on certain products.</w:t>
      </w:r>
    </w:p>
    <w:p>
      <w:pPr>
        <w:spacing w:after="0" w:line="46" w:lineRule="exact"/>
        <w:rPr>
          <w:rFonts w:ascii="Times New Roman" w:cs="Times New Roman" w:eastAsia="Times New Roman" w:hAnsi="Times New Roman"/>
          <w:sz w:val="18"/>
          <w:szCs w:val="18"/>
          <w:color w:val="auto"/>
        </w:rPr>
      </w:pPr>
    </w:p>
    <w:p>
      <w:pPr>
        <w:ind w:left="1020" w:right="64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Defense end market net sales increased $16 million, or 21%, principally driven by increased demand for Tracked vehicle applications, price increases on certain products and the continued execution of our growth initiatives.</w:t>
      </w:r>
    </w:p>
    <w:p>
      <w:pPr>
        <w:spacing w:after="0" w:line="46"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Global Off-Highway net sales increased $8 million, or 114%, principally driven by higher demand from the energy sector outside North America.</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Outside North America On-Highway end market net sales increased $7 million, or 6%, principally driven by increased demand in Europe.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02" w:lineRule="exact"/>
        <w:rPr>
          <w:sz w:val="20"/>
          <w:szCs w:val="20"/>
          <w:color w:val="auto"/>
        </w:rPr>
      </w:pPr>
    </w:p>
    <w:p>
      <w:pPr>
        <w:ind w:firstLine="494"/>
        <w:spacing w:after="0" w:line="244" w:lineRule="auto"/>
        <w:rPr>
          <w:sz w:val="20"/>
          <w:szCs w:val="20"/>
          <w:color w:val="auto"/>
        </w:rPr>
      </w:pPr>
      <w:r>
        <w:rPr>
          <w:rFonts w:ascii="Arial" w:cs="Arial" w:eastAsia="Arial" w:hAnsi="Arial"/>
          <w:sz w:val="18"/>
          <w:szCs w:val="18"/>
          <w:color w:val="auto"/>
        </w:rPr>
        <w:t>Cost of sales for the three months ended September 30, 2026 was $1,029 million compared to $363 million for the three months ended September 30, 2025, an increase of 183%. $555 million of cost of goods sold was attributable to Allison Off-Highway, including $10 million of depreciation expense related to the stepped-up basis in property, plant and equipment. The remaining increase of $111 million was principally driven by higher direct material and manufacturing expense commensurate with increased net sales, unfavorable direct material costs and higher incentive compensation expense in Allison Transmission.</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Gross profit</w:t>
      </w:r>
    </w:p>
    <w:p>
      <w:pPr>
        <w:spacing w:after="0" w:line="102"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Gross profit for the three months ended September 30, 2026 was $505 million compared to $330 million for the three months ended September 30, 2025, an increase of 53%. $98 million of the increase in gross profit was attributable to Allison Off-Highway, while gross profit attributable to Allison Transmission increased $77 million, principally driven by higher volume in the North America On-Highway end market and $39 million of price increases on certain products, partially offset by higher direct material and manufacturing expense commensurate with increased net sales, unfavorable direct material costs and higher incentive compensation expense. Gross profit as a percent of net sales for the three months ended September 30, 2026 decreased 14.7 percentage points compared to the same period in 2025 principally driven by the addition of Allison Off-Highway, the products of which have a lower average gross profit as a percent of net sales profile compared to Allison Transmission products.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02" w:lineRule="exact"/>
        <w:rPr>
          <w:sz w:val="20"/>
          <w:szCs w:val="20"/>
          <w:color w:val="auto"/>
        </w:rPr>
      </w:pPr>
    </w:p>
    <w:p>
      <w:pPr>
        <w:ind w:right="100" w:firstLine="494"/>
        <w:spacing w:after="0" w:line="244" w:lineRule="auto"/>
        <w:rPr>
          <w:sz w:val="20"/>
          <w:szCs w:val="20"/>
          <w:color w:val="auto"/>
        </w:rPr>
      </w:pPr>
      <w:r>
        <w:rPr>
          <w:rFonts w:ascii="Arial" w:cs="Arial" w:eastAsia="Arial" w:hAnsi="Arial"/>
          <w:sz w:val="18"/>
          <w:szCs w:val="18"/>
          <w:color w:val="auto"/>
        </w:rPr>
        <w:t>Selling, general and administrative expenses for the three months ended September 30, 2026 were $142 million compared to $83 million for the three months ended September 30, 2025, an increase of 71%. Selling, general and administrative expenses of $52 million were attributable to Allison Off-Highway, including $20 million of amortization expense for intangible assets recognized from the Acquisition. The remaining increase was principally driven by increased incentive compensation expense, partially offset by decreased expenses related to the Acquisition.</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02" w:lineRule="exact"/>
        <w:rPr>
          <w:sz w:val="20"/>
          <w:szCs w:val="20"/>
          <w:color w:val="auto"/>
        </w:rPr>
      </w:pPr>
    </w:p>
    <w:p>
      <w:pPr>
        <w:ind w:right="100" w:firstLine="494"/>
        <w:spacing w:after="0" w:line="253" w:lineRule="auto"/>
        <w:rPr>
          <w:sz w:val="20"/>
          <w:szCs w:val="20"/>
          <w:color w:val="auto"/>
        </w:rPr>
      </w:pPr>
      <w:r>
        <w:rPr>
          <w:rFonts w:ascii="Arial" w:cs="Arial" w:eastAsia="Arial" w:hAnsi="Arial"/>
          <w:sz w:val="18"/>
          <w:szCs w:val="18"/>
          <w:color w:val="auto"/>
        </w:rPr>
        <w:t>Engineering expenses for the three months ended September 30, 2026 were $59 million compared to $43 million for the three months ended September 30, 2025, an increase of 37%. The increase was primarily due to engineering expenses of $14 million attributable to Allison Off-Highway.</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02" w:lineRule="exact"/>
        <w:rPr>
          <w:sz w:val="20"/>
          <w:szCs w:val="20"/>
          <w:color w:val="auto"/>
        </w:rPr>
      </w:pPr>
    </w:p>
    <w:p>
      <w:pPr>
        <w:ind w:right="260" w:firstLine="494"/>
        <w:spacing w:after="0" w:line="253" w:lineRule="auto"/>
        <w:rPr>
          <w:sz w:val="20"/>
          <w:szCs w:val="20"/>
          <w:color w:val="auto"/>
        </w:rPr>
      </w:pPr>
      <w:r>
        <w:rPr>
          <w:rFonts w:ascii="Arial" w:cs="Arial" w:eastAsia="Arial" w:hAnsi="Arial"/>
          <w:sz w:val="18"/>
          <w:szCs w:val="18"/>
          <w:color w:val="auto"/>
        </w:rPr>
        <w:t>Interest expense, net for the three months ended September 30, 2026 was $51 million compared to $24 million for the three months ended September 30, 2025, an increase of 113%. The increase was principally driven by $17 million of interest expense related to the Incremental Term Loan, $7 million of interest expense related to the 5.875% Senior Notes 2033 and $6 million of lower interest income.</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02" w:lineRule="exact"/>
        <w:rPr>
          <w:sz w:val="20"/>
          <w:szCs w:val="20"/>
          <w:color w:val="auto"/>
        </w:rPr>
      </w:pPr>
    </w:p>
    <w:p>
      <w:pPr>
        <w:ind w:right="260" w:firstLine="494"/>
        <w:spacing w:after="0" w:line="253" w:lineRule="auto"/>
        <w:rPr>
          <w:sz w:val="20"/>
          <w:szCs w:val="20"/>
          <w:color w:val="auto"/>
        </w:rPr>
      </w:pPr>
      <w:r>
        <w:rPr>
          <w:rFonts w:ascii="Arial" w:cs="Arial" w:eastAsia="Arial" w:hAnsi="Arial"/>
          <w:sz w:val="18"/>
          <w:szCs w:val="18"/>
          <w:color w:val="auto"/>
        </w:rPr>
        <w:t>Other (expense) income, net for the three months ended September 30, 2026 was other expense of ($15) million compared to other income of $2 million for the three months ended September 30, 2025. The change was principally driven by $17 million of restructuring charges related to Allison Off-Highway footprint optimization activities.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2" w:lineRule="exact"/>
        <w:rPr>
          <w:sz w:val="20"/>
          <w:szCs w:val="20"/>
          <w:color w:val="auto"/>
        </w:rPr>
      </w:pPr>
    </w:p>
    <w:p>
      <w:pPr>
        <w:ind w:right="580" w:firstLine="494"/>
        <w:spacing w:after="0" w:line="253" w:lineRule="auto"/>
        <w:rPr>
          <w:sz w:val="20"/>
          <w:szCs w:val="20"/>
          <w:color w:val="auto"/>
        </w:rPr>
      </w:pPr>
      <w:r>
        <w:rPr>
          <w:rFonts w:ascii="Arial" w:cs="Arial" w:eastAsia="Arial" w:hAnsi="Arial"/>
          <w:sz w:val="18"/>
          <w:szCs w:val="18"/>
          <w:color w:val="auto"/>
        </w:rPr>
        <w:t>Income tax expense for the three months ended September 30, 2026 was $47 million, resulting in an effective tax rate of 20%, compared to $45 million of income tax expense and an effective tax rate of 25% for the three months ended September 30, 2025. The increase in income tax expense was principally driven by higher income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before income taxes, partially offset by a lower effective tax rate. The decrease in the effective tax rate was primarily driven by impacts related to the One Big Beautiful Bill Act enacted in 2025.</w:t>
      </w:r>
    </w:p>
    <w:p>
      <w:pPr>
        <w:spacing w:after="0" w:line="200" w:lineRule="exact"/>
        <w:rPr>
          <w:sz w:val="20"/>
          <w:szCs w:val="20"/>
          <w:color w:val="auto"/>
        </w:rPr>
      </w:pPr>
    </w:p>
    <w:p>
      <w:pPr>
        <w:spacing w:after="0" w:line="22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Allison Consolidated Comparison of the nine months ended September 30, 2026 and 2025</w:t>
      </w:r>
    </w:p>
    <w:p>
      <w:pPr>
        <w:spacing w:after="0" w:line="102" w:lineRule="exact"/>
        <w:rPr>
          <w:sz w:val="20"/>
          <w:szCs w:val="20"/>
          <w:color w:val="auto"/>
        </w:rPr>
      </w:pPr>
    </w:p>
    <w:p>
      <w:pPr>
        <w:ind w:right="280" w:firstLine="494"/>
        <w:spacing w:after="0" w:line="253" w:lineRule="auto"/>
        <w:rPr>
          <w:sz w:val="20"/>
          <w:szCs w:val="20"/>
          <w:color w:val="auto"/>
        </w:rPr>
      </w:pPr>
      <w:r>
        <w:rPr>
          <w:rFonts w:ascii="Arial" w:cs="Arial" w:eastAsia="Arial" w:hAnsi="Arial"/>
          <w:sz w:val="18"/>
          <w:szCs w:val="18"/>
          <w:color w:val="auto"/>
        </w:rPr>
        <w:t>The following table sets forth certain financial information for the nine months ended September 30, 2026 and 2025. The following table and discussion should be read in conjunction with the information contained in our condensed consolidated financial statements and the notes thereto included in Part I, Item 1 of this Quarterly Report on Form 10-Q.</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146"/>
        </w:trPr>
        <w:tc>
          <w:tcPr>
            <w:tcW w:w="4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gridSpan w:val="2"/>
          </w:tcPr>
          <w:p>
            <w:pPr>
              <w:jc w:val="right"/>
              <w:ind w:right="635"/>
              <w:spacing w:after="0" w:line="147"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gridSpan w:val="2"/>
          </w:tcPr>
          <w:p>
            <w:pPr>
              <w:jc w:val="right"/>
              <w:ind w:right="613"/>
              <w:spacing w:after="0" w:line="147" w:lineRule="exact"/>
              <w:rPr>
                <w:sz w:val="20"/>
                <w:szCs w:val="20"/>
                <w:color w:val="auto"/>
              </w:rPr>
            </w:pPr>
            <w:r>
              <w:rPr>
                <w:rFonts w:ascii="Arial" w:cs="Arial" w:eastAsia="Arial" w:hAnsi="Arial"/>
                <w:sz w:val="14"/>
                <w:szCs w:val="14"/>
                <w:b w:val="1"/>
                <w:bCs w:val="1"/>
                <w:color w:val="auto"/>
              </w:rPr>
              <w:t>%</w:t>
            </w:r>
          </w:p>
        </w:tc>
      </w:tr>
      <w:tr>
        <w:trPr>
          <w:trHeight w:val="171"/>
        </w:trPr>
        <w:tc>
          <w:tcPr>
            <w:tcW w:w="4640" w:type="dxa"/>
            <w:vAlign w:val="bottom"/>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1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13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of net sales</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of net sales</w:t>
            </w:r>
          </w:p>
        </w:tc>
      </w:tr>
      <w:tr>
        <w:trPr>
          <w:trHeight w:val="196"/>
        </w:trPr>
        <w:tc>
          <w:tcPr>
            <w:tcW w:w="4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sales</w:t>
            </w:r>
          </w:p>
        </w:tc>
        <w:tc>
          <w:tcPr>
            <w:tcW w:w="1360" w:type="dxa"/>
            <w:vAlign w:val="bottom"/>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4,506</w:t>
            </w:r>
          </w:p>
        </w:tc>
        <w:tc>
          <w:tcPr>
            <w:tcW w:w="14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100%</w:t>
            </w:r>
          </w:p>
        </w:tc>
        <w:tc>
          <w:tcPr>
            <w:tcW w:w="3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2,273</w:t>
            </w:r>
          </w:p>
        </w:tc>
        <w:tc>
          <w:tcPr>
            <w:tcW w:w="14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3,080</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115"/>
              <w:spacing w:after="0" w:line="202" w:lineRule="exact"/>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1,162</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51</w:t>
            </w:r>
          </w:p>
        </w:tc>
      </w:tr>
      <w:tr>
        <w:trPr>
          <w:trHeight w:val="196"/>
        </w:trPr>
        <w:tc>
          <w:tcPr>
            <w:tcW w:w="4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1,426</w:t>
            </w:r>
          </w:p>
        </w:tc>
        <w:tc>
          <w:tcPr>
            <w:tcW w:w="1460" w:type="dxa"/>
            <w:vAlign w:val="bottom"/>
            <w:gridSpan w:val="2"/>
            <w:shd w:val="clear" w:color="auto" w:fill="CFF0FC"/>
          </w:tcPr>
          <w:p>
            <w:pPr>
              <w:jc w:val="right"/>
              <w:ind w:right="115"/>
              <w:spacing w:after="0" w:line="196" w:lineRule="exact"/>
              <w:rPr>
                <w:sz w:val="20"/>
                <w:szCs w:val="20"/>
                <w:color w:val="auto"/>
              </w:rPr>
            </w:pPr>
            <w:r>
              <w:rPr>
                <w:rFonts w:ascii="Arial" w:cs="Arial" w:eastAsia="Arial" w:hAnsi="Arial"/>
                <w:sz w:val="18"/>
                <w:szCs w:val="18"/>
                <w:b w:val="1"/>
                <w:bCs w:val="1"/>
                <w:color w:val="auto"/>
              </w:rPr>
              <w:t>32</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1,111</w:t>
            </w:r>
          </w:p>
        </w:tc>
        <w:tc>
          <w:tcPr>
            <w:tcW w:w="1460" w:type="dxa"/>
            <w:vAlign w:val="bottom"/>
            <w:gridSpan w:val="2"/>
            <w:shd w:val="clear" w:color="auto" w:fill="CFF0FC"/>
          </w:tcPr>
          <w:p>
            <w:pPr>
              <w:jc w:val="right"/>
              <w:ind w:right="93"/>
              <w:spacing w:after="0" w:line="196" w:lineRule="exact"/>
              <w:rPr>
                <w:sz w:val="20"/>
                <w:szCs w:val="20"/>
                <w:color w:val="auto"/>
              </w:rPr>
            </w:pPr>
            <w:r>
              <w:rPr>
                <w:rFonts w:ascii="Arial" w:cs="Arial" w:eastAsia="Arial" w:hAnsi="Arial"/>
                <w:sz w:val="18"/>
                <w:szCs w:val="18"/>
                <w:color w:val="auto"/>
              </w:rPr>
              <w:t>49</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46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Selling, general and administrative</w:t>
            </w: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467</w:t>
            </w:r>
          </w:p>
        </w:tc>
        <w:tc>
          <w:tcPr>
            <w:tcW w:w="1460" w:type="dxa"/>
            <w:vAlign w:val="bottom"/>
            <w:gridSpan w:val="2"/>
            <w:shd w:val="clear" w:color="auto" w:fill="CFF0FC"/>
          </w:tcPr>
          <w:p>
            <w:pPr>
              <w:jc w:val="right"/>
              <w:ind w:right="115"/>
              <w:spacing w:after="0" w:line="202" w:lineRule="exact"/>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274</w:t>
            </w:r>
          </w:p>
        </w:tc>
        <w:tc>
          <w:tcPr>
            <w:tcW w:w="1460" w:type="dxa"/>
            <w:vAlign w:val="bottom"/>
            <w:gridSpan w:val="2"/>
            <w:shd w:val="clear" w:color="auto" w:fill="CFF0FC"/>
          </w:tcPr>
          <w:p>
            <w:pPr>
              <w:jc w:val="right"/>
              <w:ind w:right="93"/>
              <w:spacing w:after="0" w:line="202" w:lineRule="exact"/>
              <w:rPr>
                <w:sz w:val="20"/>
                <w:szCs w:val="20"/>
                <w:color w:val="auto"/>
              </w:rPr>
            </w:pPr>
            <w:r>
              <w:rPr>
                <w:rFonts w:ascii="Arial" w:cs="Arial" w:eastAsia="Arial" w:hAnsi="Arial"/>
                <w:sz w:val="18"/>
                <w:szCs w:val="18"/>
                <w:color w:val="auto"/>
              </w:rPr>
              <w:t>12</w:t>
            </w:r>
          </w:p>
        </w:tc>
      </w:tr>
      <w:tr>
        <w:trPr>
          <w:trHeight w:val="203"/>
        </w:trPr>
        <w:tc>
          <w:tcPr>
            <w:tcW w:w="4640" w:type="dxa"/>
            <w:vAlign w:val="bottom"/>
          </w:tcPr>
          <w:p>
            <w:pPr>
              <w:ind w:left="160"/>
              <w:spacing w:after="0" w:line="202" w:lineRule="exact"/>
              <w:rPr>
                <w:sz w:val="20"/>
                <w:szCs w:val="20"/>
                <w:color w:val="auto"/>
              </w:rPr>
            </w:pPr>
            <w:r>
              <w:rPr>
                <w:rFonts w:ascii="Arial" w:cs="Arial" w:eastAsia="Arial" w:hAnsi="Arial"/>
                <w:sz w:val="18"/>
                <w:szCs w:val="18"/>
                <w:color w:val="auto"/>
              </w:rPr>
              <w:t>Engineering — research and development</w:t>
            </w:r>
          </w:p>
        </w:tc>
        <w:tc>
          <w:tcPr>
            <w:tcW w:w="1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169</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115"/>
              <w:spacing w:after="0" w:line="202" w:lineRule="exact"/>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128</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6</w:t>
            </w:r>
          </w:p>
        </w:tc>
      </w:tr>
      <w:tr>
        <w:trPr>
          <w:trHeight w:val="196"/>
        </w:trPr>
        <w:tc>
          <w:tcPr>
            <w:tcW w:w="464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Operating Expenses</w:t>
            </w:r>
          </w:p>
        </w:tc>
        <w:tc>
          <w:tcPr>
            <w:tcW w:w="1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636</w:t>
            </w:r>
          </w:p>
        </w:tc>
        <w:tc>
          <w:tcPr>
            <w:tcW w:w="10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115"/>
              <w:spacing w:after="0" w:line="196" w:lineRule="exact"/>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402</w:t>
            </w:r>
          </w:p>
        </w:tc>
        <w:tc>
          <w:tcPr>
            <w:tcW w:w="10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93"/>
              <w:spacing w:after="0" w:line="196" w:lineRule="exact"/>
              <w:rPr>
                <w:sz w:val="20"/>
                <w:szCs w:val="20"/>
                <w:color w:val="auto"/>
              </w:rPr>
            </w:pPr>
            <w:r>
              <w:rPr>
                <w:rFonts w:ascii="Arial" w:cs="Arial" w:eastAsia="Arial" w:hAnsi="Arial"/>
                <w:sz w:val="18"/>
                <w:szCs w:val="18"/>
                <w:color w:val="auto"/>
              </w:rPr>
              <w:t>18</w:t>
            </w:r>
          </w:p>
        </w:tc>
      </w:tr>
      <w:tr>
        <w:trPr>
          <w:trHeight w:val="196"/>
        </w:trPr>
        <w:tc>
          <w:tcPr>
            <w:tcW w:w="4640" w:type="dxa"/>
            <w:vAlign w:val="bottom"/>
          </w:tcPr>
          <w:p>
            <w:pPr>
              <w:spacing w:after="0" w:line="196" w:lineRule="exact"/>
              <w:rPr>
                <w:sz w:val="20"/>
                <w:szCs w:val="20"/>
                <w:color w:val="auto"/>
              </w:rPr>
            </w:pPr>
            <w:r>
              <w:rPr>
                <w:rFonts w:ascii="Arial" w:cs="Arial" w:eastAsia="Arial" w:hAnsi="Arial"/>
                <w:sz w:val="18"/>
                <w:szCs w:val="18"/>
                <w:color w:val="auto"/>
              </w:rPr>
              <w:t>Operating Income</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790</w:t>
            </w:r>
          </w:p>
        </w:tc>
        <w:tc>
          <w:tcPr>
            <w:tcW w:w="1460" w:type="dxa"/>
            <w:vAlign w:val="bottom"/>
            <w:gridSpan w:val="2"/>
          </w:tcPr>
          <w:p>
            <w:pPr>
              <w:jc w:val="right"/>
              <w:ind w:right="115"/>
              <w:spacing w:after="0" w:line="196" w:lineRule="exact"/>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1"/>
              <w:spacing w:after="0" w:line="196" w:lineRule="exact"/>
              <w:rPr>
                <w:sz w:val="20"/>
                <w:szCs w:val="20"/>
                <w:color w:val="auto"/>
              </w:rPr>
            </w:pPr>
            <w:r>
              <w:rPr>
                <w:rFonts w:ascii="Arial" w:cs="Arial" w:eastAsia="Arial" w:hAnsi="Arial"/>
                <w:sz w:val="18"/>
                <w:szCs w:val="18"/>
                <w:color w:val="auto"/>
              </w:rPr>
              <w:t>709</w:t>
            </w:r>
          </w:p>
        </w:tc>
        <w:tc>
          <w:tcPr>
            <w:tcW w:w="1460" w:type="dxa"/>
            <w:vAlign w:val="bottom"/>
            <w:gridSpan w:val="2"/>
          </w:tcPr>
          <w:p>
            <w:pPr>
              <w:jc w:val="right"/>
              <w:ind w:right="93"/>
              <w:spacing w:after="0" w:line="196" w:lineRule="exact"/>
              <w:rPr>
                <w:sz w:val="20"/>
                <w:szCs w:val="20"/>
                <w:color w:val="auto"/>
              </w:rPr>
            </w:pPr>
            <w:r>
              <w:rPr>
                <w:rFonts w:ascii="Arial" w:cs="Arial" w:eastAsia="Arial" w:hAnsi="Arial"/>
                <w:sz w:val="18"/>
                <w:szCs w:val="18"/>
                <w:color w:val="auto"/>
              </w:rPr>
              <w:t>31</w:t>
            </w:r>
          </w:p>
        </w:tc>
      </w:tr>
      <w:tr>
        <w:trPr>
          <w:trHeight w:val="203"/>
        </w:trPr>
        <w:tc>
          <w:tcPr>
            <w:tcW w:w="4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 net</w:t>
            </w: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(166)</w:t>
            </w:r>
          </w:p>
        </w:tc>
        <w:tc>
          <w:tcPr>
            <w:tcW w:w="1460" w:type="dxa"/>
            <w:vAlign w:val="bottom"/>
            <w:gridSpan w:val="2"/>
            <w:shd w:val="clear" w:color="auto" w:fill="CFF0FC"/>
          </w:tcPr>
          <w:p>
            <w:pPr>
              <w:jc w:val="right"/>
              <w:ind w:right="35"/>
              <w:spacing w:after="0" w:line="202" w:lineRule="exact"/>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w:t>
            </w:r>
          </w:p>
        </w:tc>
        <w:tc>
          <w:tcPr>
            <w:tcW w:w="1460" w:type="dxa"/>
            <w:vAlign w:val="bottom"/>
            <w:gridSpan w:val="2"/>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w:t>
            </w: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Other (expense) income, net</w:t>
            </w:r>
          </w:p>
        </w:tc>
        <w:tc>
          <w:tcPr>
            <w:tcW w:w="1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1</w:t>
            </w:r>
          </w:p>
        </w:tc>
      </w:tr>
      <w:tr>
        <w:trPr>
          <w:trHeight w:val="196"/>
        </w:trPr>
        <w:tc>
          <w:tcPr>
            <w:tcW w:w="4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before income taxes</w:t>
            </w: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598</w:t>
            </w:r>
          </w:p>
        </w:tc>
        <w:tc>
          <w:tcPr>
            <w:tcW w:w="1460" w:type="dxa"/>
            <w:vAlign w:val="bottom"/>
            <w:gridSpan w:val="2"/>
            <w:shd w:val="clear" w:color="auto" w:fill="CFF0FC"/>
          </w:tcPr>
          <w:p>
            <w:pPr>
              <w:jc w:val="right"/>
              <w:ind w:right="115"/>
              <w:spacing w:after="0" w:line="196" w:lineRule="exact"/>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657</w:t>
            </w:r>
          </w:p>
        </w:tc>
        <w:tc>
          <w:tcPr>
            <w:tcW w:w="1460" w:type="dxa"/>
            <w:vAlign w:val="bottom"/>
            <w:gridSpan w:val="2"/>
            <w:shd w:val="clear" w:color="auto" w:fill="CFF0FC"/>
          </w:tcPr>
          <w:p>
            <w:pPr>
              <w:jc w:val="right"/>
              <w:ind w:right="93"/>
              <w:spacing w:after="0" w:line="196" w:lineRule="exact"/>
              <w:rPr>
                <w:sz w:val="20"/>
                <w:szCs w:val="20"/>
                <w:color w:val="auto"/>
              </w:rPr>
            </w:pPr>
            <w:r>
              <w:rPr>
                <w:rFonts w:ascii="Arial" w:cs="Arial" w:eastAsia="Arial" w:hAnsi="Arial"/>
                <w:sz w:val="18"/>
                <w:szCs w:val="18"/>
                <w:color w:val="auto"/>
              </w:rPr>
              <w:t>29</w:t>
            </w: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(114)</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(6)</w:t>
            </w:r>
          </w:p>
        </w:tc>
      </w:tr>
      <w:tr>
        <w:trPr>
          <w:trHeight w:val="216"/>
        </w:trPr>
        <w:tc>
          <w:tcPr>
            <w:tcW w:w="46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Net income</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182" w:lineRule="exact"/>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FF0FC"/>
          </w:tcPr>
          <w:p>
            <w:pPr>
              <w:jc w:val="right"/>
              <w:ind w:right="31"/>
              <w:spacing w:after="0" w:line="182" w:lineRule="exact"/>
              <w:rPr>
                <w:sz w:val="20"/>
                <w:szCs w:val="20"/>
                <w:color w:val="auto"/>
              </w:rPr>
            </w:pPr>
            <w:r>
              <w:rPr>
                <w:rFonts w:ascii="Arial" w:cs="Arial" w:eastAsia="Arial" w:hAnsi="Arial"/>
                <w:sz w:val="18"/>
                <w:szCs w:val="18"/>
                <w:b w:val="1"/>
                <w:bCs w:val="1"/>
                <w:color w:val="auto"/>
              </w:rPr>
              <w:t>484</w:t>
            </w: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11%</w:t>
            </w:r>
          </w:p>
        </w:tc>
        <w:tc>
          <w:tcPr>
            <w:tcW w:w="36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524</w:t>
            </w:r>
          </w:p>
        </w:tc>
        <w:tc>
          <w:tcPr>
            <w:tcW w:w="146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23%</w:t>
            </w:r>
          </w:p>
        </w:tc>
      </w:tr>
      <w:tr>
        <w:trPr>
          <w:trHeight w:val="20"/>
        </w:trPr>
        <w:tc>
          <w:tcPr>
            <w:tcW w:w="46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-822325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-822325</wp:posOffset>
            </wp:positionV>
            <wp:extent cx="774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-822325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77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Allison Off-Highway segment generated $2,032 million of net sales for the nine months ended September 30, 2026.</w:t>
      </w:r>
    </w:p>
    <w:p>
      <w:pPr>
        <w:spacing w:after="0" w:line="104" w:lineRule="exact"/>
        <w:rPr>
          <w:sz w:val="20"/>
          <w:szCs w:val="20"/>
          <w:color w:val="auto"/>
        </w:rPr>
      </w:pPr>
    </w:p>
    <w:p>
      <w:pPr>
        <w:jc w:val="both"/>
        <w:ind w:right="320" w:firstLine="494"/>
        <w:spacing w:after="0" w:line="271" w:lineRule="auto"/>
        <w:rPr>
          <w:sz w:val="20"/>
          <w:szCs w:val="20"/>
          <w:color w:val="auto"/>
        </w:rPr>
      </w:pPr>
      <w:r>
        <w:rPr>
          <w:rFonts w:ascii="Arial" w:cs="Arial" w:eastAsia="Arial" w:hAnsi="Arial"/>
          <w:sz w:val="18"/>
          <w:szCs w:val="18"/>
          <w:color w:val="auto"/>
        </w:rPr>
        <w:t>The Allison Transmission segment generated $2,474 million of net sales for the nine months ended September 30, 2026. Net sales increased $201 million, or 9%, for the nine months ended September 30, 2026 compared to the nine months ended September 30, 2025.</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increase was principally driven by the following:</w:t>
      </w:r>
    </w:p>
    <w:p>
      <w:pPr>
        <w:spacing w:after="0" w:line="104" w:lineRule="exact"/>
        <w:rPr>
          <w:sz w:val="20"/>
          <w:szCs w:val="20"/>
          <w:color w:val="auto"/>
        </w:rPr>
      </w:pPr>
    </w:p>
    <w:p>
      <w:pPr>
        <w:ind w:left="1780" w:right="60" w:hanging="515"/>
        <w:spacing w:after="0" w:line="252" w:lineRule="auto"/>
        <w:tabs>
          <w:tab w:leader="none" w:pos="17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North America On-Highway end market net sales increased $88 million, or 7%, principally driven by higher demand for medium-duty trucks and class 8 vocational trucks, price increases on certain products and increased demand for hybrid transit buses.</w:t>
      </w:r>
    </w:p>
    <w:p>
      <w:pPr>
        <w:spacing w:after="0" w:line="62" w:lineRule="exact"/>
        <w:rPr>
          <w:rFonts w:ascii="Times New Roman" w:cs="Times New Roman" w:eastAsia="Times New Roman" w:hAnsi="Times New Roman"/>
          <w:sz w:val="18"/>
          <w:szCs w:val="18"/>
          <w:color w:val="auto"/>
        </w:rPr>
      </w:pPr>
    </w:p>
    <w:p>
      <w:pPr>
        <w:ind w:left="1780" w:right="500" w:hanging="515"/>
        <w:spacing w:after="0" w:line="300" w:lineRule="auto"/>
        <w:tabs>
          <w:tab w:leader="none" w:pos="17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Defense end market net sales increased $86 million, or 44%, principally driven by increased demand for Tracked vehicle applications, price increases on certain products and the continued execution of our growth initiatives.</w:t>
      </w:r>
    </w:p>
    <w:p>
      <w:pPr>
        <w:spacing w:after="0" w:line="23" w:lineRule="exact"/>
        <w:rPr>
          <w:rFonts w:ascii="Times New Roman" w:cs="Times New Roman" w:eastAsia="Times New Roman" w:hAnsi="Times New Roman"/>
          <w:sz w:val="17"/>
          <w:szCs w:val="17"/>
          <w:color w:val="auto"/>
        </w:rPr>
      </w:pPr>
    </w:p>
    <w:p>
      <w:pPr>
        <w:ind w:left="1780" w:right="200" w:hanging="515"/>
        <w:spacing w:after="0" w:line="270" w:lineRule="auto"/>
        <w:tabs>
          <w:tab w:leader="none" w:pos="17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Service Parts, Support Equipment and Other end market net sales increased $28 million, or 6%, principally driven by price increases on certain products.</w:t>
      </w:r>
    </w:p>
    <w:p>
      <w:pPr>
        <w:spacing w:after="0" w:line="46" w:lineRule="exact"/>
        <w:rPr>
          <w:rFonts w:ascii="Times New Roman" w:cs="Times New Roman" w:eastAsia="Times New Roman" w:hAnsi="Times New Roman"/>
          <w:sz w:val="18"/>
          <w:szCs w:val="18"/>
          <w:color w:val="auto"/>
        </w:rPr>
      </w:pPr>
    </w:p>
    <w:p>
      <w:pPr>
        <w:ind w:left="1780" w:right="260" w:hanging="515"/>
        <w:spacing w:after="0" w:line="270" w:lineRule="auto"/>
        <w:tabs>
          <w:tab w:leader="none" w:pos="17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Global Off-Highway end market net sales increased $4 million, or 10%, principally driven by increased demand from the global energy sector, partially offset by lower demand from the global mining and construction sectors.</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increases were partially offset by the following:</w:t>
      </w:r>
    </w:p>
    <w:p>
      <w:pPr>
        <w:spacing w:after="0" w:line="104" w:lineRule="exact"/>
        <w:rPr>
          <w:sz w:val="20"/>
          <w:szCs w:val="20"/>
          <w:color w:val="auto"/>
        </w:rPr>
      </w:pPr>
    </w:p>
    <w:p>
      <w:pPr>
        <w:ind w:left="1780" w:right="460" w:hanging="515"/>
        <w:spacing w:after="0" w:line="252" w:lineRule="auto"/>
        <w:tabs>
          <w:tab w:leader="none" w:pos="17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Outside North America On-Highway end market net sales decreased $5 million, or 1%, principally driven by lower demand in Asia and South America, partially offset by price increases on certain products and higher demand in Europe.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02" w:lineRule="exact"/>
        <w:rPr>
          <w:sz w:val="20"/>
          <w:szCs w:val="20"/>
          <w:color w:val="auto"/>
        </w:rPr>
      </w:pPr>
    </w:p>
    <w:p>
      <w:pPr>
        <w:ind w:right="160" w:firstLine="494"/>
        <w:spacing w:after="0" w:line="242" w:lineRule="auto"/>
        <w:rPr>
          <w:sz w:val="20"/>
          <w:szCs w:val="20"/>
          <w:color w:val="auto"/>
        </w:rPr>
      </w:pPr>
      <w:r>
        <w:rPr>
          <w:rFonts w:ascii="Arial" w:cs="Arial" w:eastAsia="Arial" w:hAnsi="Arial"/>
          <w:sz w:val="18"/>
          <w:szCs w:val="18"/>
          <w:color w:val="auto"/>
        </w:rPr>
        <w:t>Cost of sales for the nine months ended September 30, 2026 was $3,080 million compared to $1,162 million for the nine months ended September 30, 2025, an increase of 165%. $ 1,766 million of cost of goods sold was attributable to Allison Off-Highway, including purchase price accounting allocations of $64 million of expense related to the stepped-up basis in inventory and $41 million of depreciation expense related to the stepped-up basis in property, plant and equipment. The remaining $ 152 million increase was principally driven by higher direct material and manufacturing expense commensurate with increased net sales, unfavorable direct material costs and higher incentive compensation expense in Allison Transmission.</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Gross profit</w:t>
      </w:r>
    </w:p>
    <w:p>
      <w:pPr>
        <w:spacing w:after="0" w:line="102"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Gross profit for the nine months ended September 30, 2026 was $ 1,426 million compared to $1,111 million for the nine months ended September 30, 2025, an increase of 28%. $266 million of the increase in gross profit was attributable to Allison Off-Highway, while the gross profit attributable to Allison Transmission increased $49 million, principally driven by $96 million of price increases on certain products and increased net sales in the North America On-Highway and Defense end markets, partially offset by higher direct material and manufacturing expense commensurate with increased net sales, unfavorable direct material costs and higher incentive compensation expense. Gross profit as a percent of net sales for the nine months ended September 30, 2026 decreased 17.3 percentage points compared to the same period in 2025 principally driven by the addition of Allison Off-Highway, the products of which have a lower average gross profit as a percent of net sales profile compared to Allison Transmission products.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02" w:lineRule="exact"/>
        <w:rPr>
          <w:sz w:val="20"/>
          <w:szCs w:val="20"/>
          <w:color w:val="auto"/>
        </w:rPr>
      </w:pPr>
    </w:p>
    <w:p>
      <w:pPr>
        <w:ind w:right="100" w:firstLine="494"/>
        <w:spacing w:after="0" w:line="244" w:lineRule="auto"/>
        <w:rPr>
          <w:sz w:val="20"/>
          <w:szCs w:val="20"/>
          <w:color w:val="auto"/>
        </w:rPr>
      </w:pPr>
      <w:r>
        <w:rPr>
          <w:rFonts w:ascii="Arial" w:cs="Arial" w:eastAsia="Arial" w:hAnsi="Arial"/>
          <w:sz w:val="18"/>
          <w:szCs w:val="18"/>
          <w:color w:val="auto"/>
        </w:rPr>
        <w:t>Selling, general and administrative expenses were $ 467 million for the nine months ended September 30, 2026 compared to $274 million for the nine months ended September 30, 2025, an increase of 70%. Selling, general and administrative expenses of $164 million were attributable to Allison Off-Highway, including $61 million of amortization expense for intangible assets recognized from the Acquisition. The remaining increase of $ 29 million was principally driven by higher incentive compensation expense and increased commercial activities spending, partially offset by decreased expenses related to the Acquisition and lower product warranty expense.</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02"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Engineering expenses for the nine months ended September 30, 2026 were $169 million compared to $128 million for the nine months ended September 30, 2025, an increase of 32%. Engineering expenses of $44 million were attributable to Allison Off-Highway. The remaining decrease was principally driven by decreased product initiatives spending in Allison Transmission, partially offset by higher incentive compensation expense.</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02" w:lineRule="exact"/>
        <w:rPr>
          <w:sz w:val="20"/>
          <w:szCs w:val="20"/>
          <w:color w:val="auto"/>
        </w:rPr>
      </w:pPr>
    </w:p>
    <w:p>
      <w:pPr>
        <w:ind w:right="240" w:firstLine="494"/>
        <w:spacing w:after="0" w:line="253" w:lineRule="auto"/>
        <w:rPr>
          <w:sz w:val="20"/>
          <w:szCs w:val="20"/>
          <w:color w:val="auto"/>
        </w:rPr>
      </w:pPr>
      <w:r>
        <w:rPr>
          <w:rFonts w:ascii="Arial" w:cs="Arial" w:eastAsia="Arial" w:hAnsi="Arial"/>
          <w:sz w:val="18"/>
          <w:szCs w:val="18"/>
          <w:color w:val="auto"/>
        </w:rPr>
        <w:t>Interest expense, net for the nine months ended September 30, 2026 was $166 million compared to $67 million for the nine months ended September 30, 2025, an increase of 148%. The increase was principally driven by $49 million of interest expense related to the Incremental Term Loan, $22 million of interest expense related to the 5.875% Senior Notes 2033 and $17 million of lower interest income.</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02" w:lineRule="exact"/>
        <w:rPr>
          <w:sz w:val="20"/>
          <w:szCs w:val="20"/>
          <w:color w:val="auto"/>
        </w:rPr>
      </w:pPr>
    </w:p>
    <w:p>
      <w:pPr>
        <w:ind w:right="300" w:firstLine="494"/>
        <w:spacing w:after="0" w:line="247" w:lineRule="auto"/>
        <w:rPr>
          <w:sz w:val="20"/>
          <w:szCs w:val="20"/>
          <w:color w:val="auto"/>
        </w:rPr>
      </w:pPr>
      <w:r>
        <w:rPr>
          <w:rFonts w:ascii="Arial" w:cs="Arial" w:eastAsia="Arial" w:hAnsi="Arial"/>
          <w:sz w:val="18"/>
          <w:szCs w:val="18"/>
          <w:color w:val="auto"/>
        </w:rPr>
        <w:t>Other (expense) income, net for the nine months ended September 30, 2026 was other expense of ($ 26) million compared to other income of $15 million for the nine months ended September 30, 2025. The change was principally driven by a $22 million change in unrealized mark-to-market adjustments for marketable securities and $17 million of restructuring charges related to Allison Off-Highway footprint optimization activities.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2" w:lineRule="exact"/>
        <w:rPr>
          <w:sz w:val="20"/>
          <w:szCs w:val="20"/>
          <w:color w:val="auto"/>
        </w:rPr>
      </w:pPr>
    </w:p>
    <w:p>
      <w:pPr>
        <w:ind w:firstLine="494"/>
        <w:spacing w:after="0" w:line="253" w:lineRule="auto"/>
        <w:rPr>
          <w:sz w:val="20"/>
          <w:szCs w:val="20"/>
          <w:color w:val="auto"/>
        </w:rPr>
      </w:pPr>
      <w:r>
        <w:rPr>
          <w:rFonts w:ascii="Arial" w:cs="Arial" w:eastAsia="Arial" w:hAnsi="Arial"/>
          <w:sz w:val="18"/>
          <w:szCs w:val="18"/>
          <w:color w:val="auto"/>
        </w:rPr>
        <w:t>Income tax expense for the nine months ended September 30, 2026 was $ 114 million, resulting in an effective tax rate of 19%, compared to $133 million of income tax expense and an effective tax rate of 20% for the nine months ended September 30, 2025. The decrease in income tax expense was principally driven by lower taxable income.</w:t>
      </w:r>
    </w:p>
    <w:p>
      <w:pPr>
        <w:spacing w:after="0" w:line="33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56"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measures to Adjusted EBITDA and Adjusted EBITDA as a percent of net sales are Net income and Net income as a percent of net sales, respectively. Adjusted EBITDA is calculated as earnings before interest expense, net, income tax expense, amortization of intangible assets, depreciation of property, plant and equipment and other adjustments as defined by the Credit Agreement governing ATI's term loan facility in the amount of $505 million due March 2031 (“Term Loan”), the Incremental Term Loan and the Revolving Credit Facility (together, the "Senior Secured Credit Facility"). Adjusted EBITDA as a percent of net sales is calculated as Adjusted EBITDA divided by net sales.</w:t>
      </w:r>
    </w:p>
    <w:p>
      <w:pPr>
        <w:spacing w:after="0" w:line="78"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In addition, we believe Adjusted net income, Adjusted basic earnings per share attributable to common stockholders ("Adjusted basic EPS") and Adjusted diluted earnings per share attributable to common stockholders ("Adjusted diluted EPS") provide management, investors and creditors with useful measures of our core business performance and trends and increase the period-to-period comparability of our results of operations. The most directly comparable GAAP measures to Adjusted net income, Adjusted basic EPS and Adjusted diluted EPS are Net income, Basic earnings per share attributable to common stockholders ("Basic EPS") and Diluted earnings per share attributable to common stockholders ("Diluted EPS"), respectively. Adjusted net income is calculated as net income excluding the effect of certain non-cash, non-recurring, infrequent or unusual items such as: amortization related to acquired intangible assets, depreciation of the stepped-up basis in property, plant and equipment related to the Acquisition, stepped-up basis in inventory related to the Acquisition, stock-based compensation expense, Acquisition-related expenses, impairment charges, other one-off adjustments and the tax effect of the adjustments. Adjusted basic EPS and Adjusted diluted EPS are calculated by dividing Adjusted net income by the weighted average shares of common stock outstanding and diluted weighted average shares of common stock outstanding, respectively.</w:t>
      </w:r>
    </w:p>
    <w:p>
      <w:pPr>
        <w:spacing w:after="0" w:line="78"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380" w:firstLine="494"/>
        <w:spacing w:after="0" w:line="271" w:lineRule="auto"/>
        <w:rPr>
          <w:sz w:val="20"/>
          <w:szCs w:val="20"/>
          <w:color w:val="auto"/>
        </w:rPr>
      </w:pPr>
      <w:r>
        <w:rPr>
          <w:rFonts w:ascii="Arial" w:cs="Arial" w:eastAsia="Arial" w:hAnsi="Arial"/>
          <w:sz w:val="18"/>
          <w:szCs w:val="18"/>
          <w:color w:val="auto"/>
        </w:rPr>
        <w:t>The following is a reconciliation of Net income to Adjusted EBITDA, Net income as a percent of net sales to Adjusted EBITDA as a percent of net sales, and Net cash provided by operating activities to Adjusted free cash flow: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2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52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income (GAAP)</w:t>
            </w:r>
          </w:p>
        </w:tc>
        <w:tc>
          <w:tcPr>
            <w:tcW w:w="6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ind w:right="92"/>
              <w:spacing w:after="0" w:line="196" w:lineRule="exact"/>
              <w:rPr>
                <w:sz w:val="20"/>
                <w:szCs w:val="20"/>
                <w:color w:val="auto"/>
              </w:rPr>
            </w:pPr>
            <w:r>
              <w:rPr>
                <w:rFonts w:ascii="Arial" w:cs="Arial" w:eastAsia="Arial" w:hAnsi="Arial"/>
                <w:sz w:val="18"/>
                <w:szCs w:val="18"/>
                <w:b w:val="1"/>
                <w:bCs w:val="1"/>
                <w:color w:val="auto"/>
              </w:rPr>
              <w:t>191</w:t>
            </w:r>
          </w:p>
        </w:tc>
        <w:tc>
          <w:tcPr>
            <w:tcW w:w="880" w:type="dxa"/>
            <w:vAlign w:val="bottom"/>
            <w:gridSpan w:val="2"/>
            <w:shd w:val="clear" w:color="auto" w:fill="CFF0FC"/>
          </w:tcPr>
          <w:p>
            <w:pPr>
              <w:jc w:val="right"/>
              <w:ind w:right="588"/>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137</w:t>
            </w:r>
          </w:p>
        </w:tc>
        <w:tc>
          <w:tcPr>
            <w:tcW w:w="3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ind w:right="92"/>
              <w:spacing w:after="0" w:line="196" w:lineRule="exact"/>
              <w:rPr>
                <w:sz w:val="20"/>
                <w:szCs w:val="20"/>
                <w:color w:val="auto"/>
              </w:rPr>
            </w:pPr>
            <w:r>
              <w:rPr>
                <w:rFonts w:ascii="Arial" w:cs="Arial" w:eastAsia="Arial" w:hAnsi="Arial"/>
                <w:sz w:val="18"/>
                <w:szCs w:val="18"/>
                <w:b w:val="1"/>
                <w:bCs w:val="1"/>
                <w:color w:val="auto"/>
              </w:rPr>
              <w:t>484</w:t>
            </w:r>
          </w:p>
        </w:tc>
        <w:tc>
          <w:tcPr>
            <w:tcW w:w="5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91"/>
              <w:spacing w:after="0" w:line="196" w:lineRule="exact"/>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plus:</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Interest expense, net</w:t>
            </w: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92"/>
              <w:spacing w:after="0" w:line="202" w:lineRule="exact"/>
              <w:rPr>
                <w:sz w:val="20"/>
                <w:szCs w:val="20"/>
                <w:color w:val="auto"/>
              </w:rPr>
            </w:pPr>
            <w:r>
              <w:rPr>
                <w:rFonts w:ascii="Arial" w:cs="Arial" w:eastAsia="Arial" w:hAnsi="Arial"/>
                <w:sz w:val="18"/>
                <w:szCs w:val="18"/>
                <w:b w:val="1"/>
                <w:bCs w:val="1"/>
                <w:color w:val="auto"/>
              </w:rPr>
              <w:t>51</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92"/>
              <w:spacing w:after="0" w:line="202" w:lineRule="exact"/>
              <w:rPr>
                <w:sz w:val="20"/>
                <w:szCs w:val="20"/>
                <w:color w:val="auto"/>
              </w:rPr>
            </w:pPr>
            <w:r>
              <w:rPr>
                <w:rFonts w:ascii="Arial" w:cs="Arial" w:eastAsia="Arial" w:hAnsi="Arial"/>
                <w:sz w:val="18"/>
                <w:szCs w:val="18"/>
                <w:b w:val="1"/>
                <w:bCs w:val="1"/>
                <w:color w:val="auto"/>
              </w:rPr>
              <w:t>166</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5200" w:type="dxa"/>
            <w:vAlign w:val="bottom"/>
          </w:tcPr>
          <w:p>
            <w:pPr>
              <w:ind w:left="160"/>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136</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Income tax expense</w:t>
            </w: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92"/>
              <w:spacing w:after="0" w:line="202" w:lineRule="exact"/>
              <w:rPr>
                <w:sz w:val="20"/>
                <w:szCs w:val="20"/>
                <w:color w:val="auto"/>
              </w:rPr>
            </w:pPr>
            <w:r>
              <w:rPr>
                <w:rFonts w:ascii="Arial" w:cs="Arial" w:eastAsia="Arial" w:hAnsi="Arial"/>
                <w:sz w:val="18"/>
                <w:szCs w:val="18"/>
                <w:b w:val="1"/>
                <w:bCs w:val="1"/>
                <w:color w:val="auto"/>
              </w:rPr>
              <w:t>47</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92"/>
              <w:spacing w:after="0" w:line="202" w:lineRule="exact"/>
              <w:rPr>
                <w:sz w:val="20"/>
                <w:szCs w:val="20"/>
                <w:color w:val="auto"/>
              </w:rPr>
            </w:pPr>
            <w:r>
              <w:rPr>
                <w:rFonts w:ascii="Arial" w:cs="Arial" w:eastAsia="Arial" w:hAnsi="Arial"/>
                <w:sz w:val="18"/>
                <w:szCs w:val="18"/>
                <w:b w:val="1"/>
                <w:bCs w:val="1"/>
                <w:color w:val="auto"/>
              </w:rPr>
              <w:t>114</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3"/>
        </w:trPr>
        <w:tc>
          <w:tcPr>
            <w:tcW w:w="5200" w:type="dxa"/>
            <w:vAlign w:val="bottom"/>
          </w:tcPr>
          <w:p>
            <w:pPr>
              <w:ind w:left="160"/>
              <w:spacing w:after="0" w:line="202" w:lineRule="exact"/>
              <w:rPr>
                <w:sz w:val="20"/>
                <w:szCs w:val="20"/>
                <w:color w:val="auto"/>
              </w:rPr>
            </w:pPr>
            <w:r>
              <w:rPr>
                <w:rFonts w:ascii="Arial" w:cs="Arial" w:eastAsia="Arial" w:hAnsi="Arial"/>
                <w:sz w:val="18"/>
                <w:szCs w:val="18"/>
                <w:color w:val="auto"/>
              </w:rPr>
              <w:t>Amortization of intangible assets</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66</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Recognition of stepped-up basis in inventory (a)</w:t>
            </w: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92"/>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92"/>
              <w:spacing w:after="0" w:line="202" w:lineRule="exact"/>
              <w:rPr>
                <w:sz w:val="20"/>
                <w:szCs w:val="20"/>
                <w:color w:val="auto"/>
              </w:rPr>
            </w:pPr>
            <w:r>
              <w:rPr>
                <w:rFonts w:ascii="Arial" w:cs="Arial" w:eastAsia="Arial" w:hAnsi="Arial"/>
                <w:sz w:val="18"/>
                <w:szCs w:val="18"/>
                <w:b w:val="1"/>
                <w:bCs w:val="1"/>
                <w:color w:val="auto"/>
              </w:rPr>
              <w:t>64</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00" w:type="dxa"/>
            <w:vAlign w:val="bottom"/>
          </w:tcPr>
          <w:p>
            <w:pPr>
              <w:ind w:left="160"/>
              <w:spacing w:after="0" w:line="202" w:lineRule="exact"/>
              <w:rPr>
                <w:sz w:val="20"/>
                <w:szCs w:val="20"/>
                <w:color w:val="auto"/>
              </w:rPr>
            </w:pPr>
            <w:r>
              <w:rPr>
                <w:rFonts w:ascii="Arial" w:cs="Arial" w:eastAsia="Arial" w:hAnsi="Arial"/>
                <w:sz w:val="18"/>
                <w:szCs w:val="18"/>
                <w:color w:val="auto"/>
              </w:rPr>
              <w:t>Depreciation related to stepped-up basis in assets (b)</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41</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Acquisition-related expenses (c)</w:t>
            </w: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92"/>
              <w:spacing w:after="0" w:line="202" w:lineRule="exact"/>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92"/>
              <w:spacing w:after="0" w:line="202" w:lineRule="exact"/>
              <w:rPr>
                <w:sz w:val="20"/>
                <w:szCs w:val="20"/>
                <w:color w:val="auto"/>
              </w:rPr>
            </w:pPr>
            <w:r>
              <w:rPr>
                <w:rFonts w:ascii="Arial" w:cs="Arial" w:eastAsia="Arial" w:hAnsi="Arial"/>
                <w:sz w:val="18"/>
                <w:szCs w:val="18"/>
                <w:b w:val="1"/>
                <w:bCs w:val="1"/>
                <w:color w:val="auto"/>
              </w:rPr>
              <w:t>30</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5200" w:type="dxa"/>
            <w:vAlign w:val="bottom"/>
          </w:tcPr>
          <w:p>
            <w:pPr>
              <w:ind w:left="160"/>
              <w:spacing w:after="0" w:line="202" w:lineRule="exact"/>
              <w:rPr>
                <w:sz w:val="20"/>
                <w:szCs w:val="20"/>
                <w:color w:val="auto"/>
              </w:rPr>
            </w:pPr>
            <w:r>
              <w:rPr>
                <w:rFonts w:ascii="Arial" w:cs="Arial" w:eastAsia="Arial" w:hAnsi="Arial"/>
                <w:sz w:val="18"/>
                <w:szCs w:val="18"/>
                <w:color w:val="auto"/>
              </w:rPr>
              <w:t>Stock-based compensation expense (d)</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25</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Restructuring charges (e)</w:t>
            </w: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92"/>
              <w:spacing w:after="0" w:line="202" w:lineRule="exact"/>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92"/>
              <w:spacing w:after="0" w:line="202" w:lineRule="exact"/>
              <w:rPr>
                <w:sz w:val="20"/>
                <w:szCs w:val="20"/>
                <w:color w:val="auto"/>
              </w:rPr>
            </w:pPr>
            <w:r>
              <w:rPr>
                <w:rFonts w:ascii="Arial" w:cs="Arial" w:eastAsia="Arial" w:hAnsi="Arial"/>
                <w:sz w:val="18"/>
                <w:szCs w:val="18"/>
                <w:b w:val="1"/>
                <w:bCs w:val="1"/>
                <w:color w:val="auto"/>
              </w:rPr>
              <w:t>17</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00" w:type="dxa"/>
            <w:vAlign w:val="bottom"/>
          </w:tcPr>
          <w:p>
            <w:pPr>
              <w:ind w:left="160"/>
              <w:spacing w:after="0" w:line="202" w:lineRule="exact"/>
              <w:rPr>
                <w:sz w:val="20"/>
                <w:szCs w:val="20"/>
                <w:color w:val="auto"/>
              </w:rPr>
            </w:pPr>
            <w:r>
              <w:rPr>
                <w:rFonts w:ascii="Arial" w:cs="Arial" w:eastAsia="Arial" w:hAnsi="Arial"/>
                <w:sz w:val="18"/>
                <w:szCs w:val="18"/>
                <w:color w:val="auto"/>
              </w:rPr>
              <w:t>Unrealized loss (gain) on marketable securities (f)</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11</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Unrealized loss on foreign exchange (g)</w:t>
            </w: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9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92"/>
              <w:spacing w:after="0" w:line="202" w:lineRule="exact"/>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00" w:type="dxa"/>
            <w:vAlign w:val="bottom"/>
          </w:tcPr>
          <w:p>
            <w:pPr>
              <w:ind w:left="160"/>
              <w:spacing w:after="0" w:line="202" w:lineRule="exact"/>
              <w:rPr>
                <w:sz w:val="20"/>
                <w:szCs w:val="20"/>
                <w:color w:val="auto"/>
              </w:rPr>
            </w:pPr>
            <w:r>
              <w:rPr>
                <w:rFonts w:ascii="Arial" w:cs="Arial" w:eastAsia="Arial" w:hAnsi="Arial"/>
                <w:sz w:val="18"/>
                <w:szCs w:val="18"/>
                <w:color w:val="auto"/>
              </w:rPr>
              <w:t>Loss associated with impairment of long-lived assets (h)</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Other (i)</w:t>
            </w:r>
          </w:p>
        </w:tc>
        <w:tc>
          <w:tcPr>
            <w:tcW w:w="4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92"/>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92"/>
              <w:spacing w:after="0" w:line="202" w:lineRule="exact"/>
              <w:rPr>
                <w:sz w:val="20"/>
                <w:szCs w:val="20"/>
                <w:color w:val="auto"/>
              </w:rPr>
            </w:pPr>
            <w:r>
              <w:rPr>
                <w:rFonts w:ascii="Arial" w:cs="Arial" w:eastAsia="Arial" w:hAnsi="Arial"/>
                <w:sz w:val="18"/>
                <w:szCs w:val="18"/>
                <w:b w:val="1"/>
                <w:bCs w:val="1"/>
                <w:color w:val="auto"/>
              </w:rPr>
              <w:t>7</w:t>
            </w: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200" w:type="dxa"/>
            <w:vAlign w:val="bottom"/>
          </w:tcPr>
          <w:p>
            <w:pPr>
              <w:spacing w:after="0" w:line="196" w:lineRule="exact"/>
              <w:rPr>
                <w:sz w:val="20"/>
                <w:szCs w:val="20"/>
                <w:color w:val="auto"/>
              </w:rPr>
            </w:pPr>
            <w:r>
              <w:rPr>
                <w:rFonts w:ascii="Arial" w:cs="Arial" w:eastAsia="Arial" w:hAnsi="Arial"/>
                <w:sz w:val="18"/>
                <w:szCs w:val="18"/>
                <w:b w:val="1"/>
                <w:bCs w:val="1"/>
                <w:color w:val="auto"/>
              </w:rPr>
              <w:t>Adjusted EBITDA (Non-GAAP)</w:t>
            </w:r>
          </w:p>
        </w:tc>
        <w:tc>
          <w:tcPr>
            <w:tcW w:w="68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92"/>
              <w:spacing w:after="0" w:line="196" w:lineRule="exact"/>
              <w:rPr>
                <w:sz w:val="20"/>
                <w:szCs w:val="20"/>
                <w:color w:val="auto"/>
              </w:rPr>
            </w:pPr>
            <w:r>
              <w:rPr>
                <w:rFonts w:ascii="Arial" w:cs="Arial" w:eastAsia="Arial" w:hAnsi="Arial"/>
                <w:sz w:val="18"/>
                <w:szCs w:val="18"/>
                <w:b w:val="1"/>
                <w:bCs w:val="1"/>
                <w:color w:val="auto"/>
              </w:rPr>
              <w:t>400</w:t>
            </w:r>
          </w:p>
        </w:tc>
        <w:tc>
          <w:tcPr>
            <w:tcW w:w="880" w:type="dxa"/>
            <w:vAlign w:val="bottom"/>
            <w:gridSpan w:val="2"/>
          </w:tcPr>
          <w:p>
            <w:pPr>
              <w:jc w:val="right"/>
              <w:ind w:right="588"/>
              <w:spacing w:after="0" w:line="196"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256</w:t>
            </w:r>
          </w:p>
        </w:tc>
        <w:tc>
          <w:tcPr>
            <w:tcW w:w="36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92"/>
              <w:spacing w:after="0" w:line="196" w:lineRule="exact"/>
              <w:rPr>
                <w:sz w:val="20"/>
                <w:szCs w:val="20"/>
                <w:color w:val="auto"/>
              </w:rPr>
            </w:pPr>
            <w:r>
              <w:rPr>
                <w:rFonts w:ascii="Arial" w:cs="Arial" w:eastAsia="Arial" w:hAnsi="Arial"/>
                <w:sz w:val="18"/>
                <w:szCs w:val="18"/>
                <w:b w:val="1"/>
                <w:bCs w:val="1"/>
                <w:color w:val="auto"/>
              </w:rPr>
              <w:t>1,166</w:t>
            </w:r>
          </w:p>
        </w:tc>
        <w:tc>
          <w:tcPr>
            <w:tcW w:w="50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91"/>
              <w:spacing w:after="0" w:line="196" w:lineRule="exact"/>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Net sales (GAAP)</w:t>
            </w:r>
          </w:p>
        </w:tc>
        <w:tc>
          <w:tcPr>
            <w:tcW w:w="68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ind w:right="92"/>
              <w:spacing w:after="0" w:line="183" w:lineRule="exact"/>
              <w:rPr>
                <w:sz w:val="20"/>
                <w:szCs w:val="20"/>
                <w:color w:val="auto"/>
              </w:rPr>
            </w:pPr>
            <w:r>
              <w:rPr>
                <w:rFonts w:ascii="Arial" w:cs="Arial" w:eastAsia="Arial" w:hAnsi="Arial"/>
                <w:sz w:val="18"/>
                <w:szCs w:val="18"/>
                <w:b w:val="1"/>
                <w:bCs w:val="1"/>
                <w:color w:val="auto"/>
              </w:rPr>
              <w:t>1,534</w:t>
            </w:r>
          </w:p>
        </w:tc>
        <w:tc>
          <w:tcPr>
            <w:tcW w:w="880" w:type="dxa"/>
            <w:vAlign w:val="bottom"/>
            <w:gridSpan w:val="2"/>
            <w:shd w:val="clear" w:color="auto" w:fill="CFF0FC"/>
          </w:tcPr>
          <w:p>
            <w:pPr>
              <w:jc w:val="right"/>
              <w:ind w:right="588"/>
              <w:spacing w:after="0" w:line="183"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rPr>
              <w:t>693</w:t>
            </w:r>
          </w:p>
        </w:tc>
        <w:tc>
          <w:tcPr>
            <w:tcW w:w="36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ind w:right="92"/>
              <w:spacing w:after="0" w:line="183" w:lineRule="exact"/>
              <w:rPr>
                <w:sz w:val="20"/>
                <w:szCs w:val="20"/>
                <w:color w:val="auto"/>
              </w:rPr>
            </w:pPr>
            <w:r>
              <w:rPr>
                <w:rFonts w:ascii="Arial" w:cs="Arial" w:eastAsia="Arial" w:hAnsi="Arial"/>
                <w:sz w:val="18"/>
                <w:szCs w:val="18"/>
                <w:b w:val="1"/>
                <w:bCs w:val="1"/>
                <w:color w:val="auto"/>
              </w:rPr>
              <w:t>4,506</w:t>
            </w:r>
          </w:p>
        </w:tc>
        <w:tc>
          <w:tcPr>
            <w:tcW w:w="50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91"/>
              <w:spacing w:after="0" w:line="183" w:lineRule="exact"/>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b w:val="1"/>
                <w:bCs w:val="1"/>
                <w:color w:val="auto"/>
              </w:rPr>
              <w:t>Net income as a percent of Net sales (GAAP)</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12.5%</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10.7%</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Adjusted EBITDA as a percent of Net sales (Non-GAAP)</w:t>
            </w: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26.1%</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36.9%</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25.9%</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b w:val="1"/>
                <w:bCs w:val="1"/>
                <w:color w:val="auto"/>
              </w:rPr>
              <w:t>Net cash provided by operating activities (GAAP) (j)</w:t>
            </w:r>
          </w:p>
        </w:tc>
        <w:tc>
          <w:tcPr>
            <w:tcW w:w="6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343</w:t>
            </w:r>
          </w:p>
        </w:tc>
        <w:tc>
          <w:tcPr>
            <w:tcW w:w="880" w:type="dxa"/>
            <w:vAlign w:val="bottom"/>
            <w:gridSpan w:val="2"/>
          </w:tcPr>
          <w:p>
            <w:pPr>
              <w:jc w:val="right"/>
              <w:ind w:right="588"/>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228</w:t>
            </w:r>
          </w:p>
        </w:tc>
        <w:tc>
          <w:tcPr>
            <w:tcW w:w="3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811</w:t>
            </w:r>
          </w:p>
        </w:tc>
        <w:tc>
          <w:tcPr>
            <w:tcW w:w="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Deductions to reconcile to Adjusted free cash flow:</w:t>
            </w: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Additions of long-lived assets</w:t>
            </w:r>
          </w:p>
        </w:tc>
        <w:tc>
          <w:tcPr>
            <w:tcW w:w="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b w:val="1"/>
                <w:bCs w:val="1"/>
                <w:color w:val="auto"/>
              </w:rPr>
              <w:t>(65)</w:t>
            </w:r>
          </w:p>
        </w:tc>
        <w:tc>
          <w:tcPr>
            <w:tcW w:w="1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b w:val="1"/>
                <w:bCs w:val="1"/>
                <w:color w:val="auto"/>
              </w:rPr>
              <w:t>(149)</w:t>
            </w: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Adjusted free cash flow (Non-GAAP) (j)</w:t>
            </w:r>
          </w:p>
        </w:tc>
        <w:tc>
          <w:tcPr>
            <w:tcW w:w="6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ind w:right="92"/>
              <w:spacing w:after="0" w:line="196" w:lineRule="exact"/>
              <w:rPr>
                <w:sz w:val="20"/>
                <w:szCs w:val="20"/>
                <w:color w:val="auto"/>
              </w:rPr>
            </w:pPr>
            <w:r>
              <w:rPr>
                <w:rFonts w:ascii="Arial" w:cs="Arial" w:eastAsia="Arial" w:hAnsi="Arial"/>
                <w:sz w:val="18"/>
                <w:szCs w:val="18"/>
                <w:b w:val="1"/>
                <w:bCs w:val="1"/>
                <w:color w:val="auto"/>
              </w:rPr>
              <w:t>278</w:t>
            </w:r>
          </w:p>
        </w:tc>
        <w:tc>
          <w:tcPr>
            <w:tcW w:w="880" w:type="dxa"/>
            <w:vAlign w:val="bottom"/>
            <w:gridSpan w:val="2"/>
            <w:shd w:val="clear" w:color="auto" w:fill="CFF0FC"/>
          </w:tcPr>
          <w:p>
            <w:pPr>
              <w:jc w:val="right"/>
              <w:ind w:right="588"/>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184</w:t>
            </w:r>
          </w:p>
        </w:tc>
        <w:tc>
          <w:tcPr>
            <w:tcW w:w="3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ind w:right="92"/>
              <w:spacing w:after="0" w:line="196" w:lineRule="exact"/>
              <w:rPr>
                <w:sz w:val="20"/>
                <w:szCs w:val="20"/>
                <w:color w:val="auto"/>
              </w:rPr>
            </w:pPr>
            <w:r>
              <w:rPr>
                <w:rFonts w:ascii="Arial" w:cs="Arial" w:eastAsia="Arial" w:hAnsi="Arial"/>
                <w:sz w:val="18"/>
                <w:szCs w:val="18"/>
                <w:b w:val="1"/>
                <w:bCs w:val="1"/>
                <w:color w:val="auto"/>
              </w:rPr>
              <w:t>662</w:t>
            </w:r>
          </w:p>
        </w:tc>
        <w:tc>
          <w:tcPr>
            <w:tcW w:w="5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91"/>
              <w:spacing w:after="0" w:line="196" w:lineRule="exact"/>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-1096645</wp:posOffset>
            </wp:positionV>
            <wp:extent cx="774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-1096645</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-1096645</wp:posOffset>
            </wp:positionV>
            <wp:extent cx="774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774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ind w:left="640" w:hanging="377"/>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recognition of the stepped-up basis in inventory related to the Acquisition (recorded in Cost of sales).</w:t>
      </w:r>
    </w:p>
    <w:p>
      <w:pPr>
        <w:spacing w:after="0" w:line="13" w:lineRule="exact"/>
        <w:rPr>
          <w:rFonts w:ascii="Arial" w:cs="Arial" w:eastAsia="Arial" w:hAnsi="Arial"/>
          <w:sz w:val="18"/>
          <w:szCs w:val="18"/>
          <w:color w:val="auto"/>
        </w:rPr>
      </w:pPr>
    </w:p>
    <w:p>
      <w:pPr>
        <w:ind w:left="640" w:right="460" w:hanging="377"/>
        <w:spacing w:after="0" w:line="23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depreciation of the stepped-up basis in property, plant and equipment related to the Acquisition (recorded in Cost of sales).</w:t>
      </w:r>
    </w:p>
    <w:p>
      <w:pPr>
        <w:spacing w:after="0" w:line="1" w:lineRule="exact"/>
        <w:rPr>
          <w:rFonts w:ascii="Arial" w:cs="Arial" w:eastAsia="Arial" w:hAnsi="Arial"/>
          <w:sz w:val="18"/>
          <w:szCs w:val="18"/>
          <w:color w:val="auto"/>
        </w:rPr>
      </w:pPr>
    </w:p>
    <w:p>
      <w:pPr>
        <w:ind w:left="640" w:hanging="377"/>
        <w:spacing w:after="0" w:line="23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expenses (recorded in Selling, general and administrative), primarily consulting and legal fees, related to the Acquisition.</w:t>
      </w:r>
    </w:p>
    <w:p>
      <w:pPr>
        <w:ind w:left="640" w:hanging="377"/>
        <w:spacing w:after="0" w:line="23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stock-based compensation expense (recorded in Selling, general and administrative).</w:t>
      </w:r>
    </w:p>
    <w:p>
      <w:pPr>
        <w:ind w:left="640" w:right="420" w:hanging="377"/>
        <w:spacing w:after="0" w:line="23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restructuring charges (recorded in Other (expense) income, net) related to Allison Off-Highway footprint optimization activities.</w:t>
      </w:r>
    </w:p>
    <w:p>
      <w:pPr>
        <w:spacing w:after="0" w:line="1" w:lineRule="exact"/>
        <w:rPr>
          <w:rFonts w:ascii="Arial" w:cs="Arial" w:eastAsia="Arial" w:hAnsi="Arial"/>
          <w:sz w:val="18"/>
          <w:szCs w:val="18"/>
          <w:color w:val="auto"/>
        </w:rPr>
      </w:pPr>
    </w:p>
    <w:p>
      <w:pPr>
        <w:ind w:left="640" w:right="380" w:hanging="377"/>
        <w:spacing w:after="0" w:line="23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unrealized losses (gains) (recorded in Other (expense) income, net) related to an investment in the common stock of Jing-Jin Electric Technologies Co. Ltd.</w:t>
      </w:r>
    </w:p>
    <w:p>
      <w:pPr>
        <w:spacing w:after="0" w:line="1" w:lineRule="exact"/>
        <w:rPr>
          <w:rFonts w:ascii="Arial" w:cs="Arial" w:eastAsia="Arial" w:hAnsi="Arial"/>
          <w:sz w:val="18"/>
          <w:szCs w:val="18"/>
          <w:color w:val="auto"/>
        </w:rPr>
      </w:pPr>
    </w:p>
    <w:p>
      <w:pPr>
        <w:ind w:left="640" w:hanging="377"/>
        <w:spacing w:after="0" w:line="23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losses (recorded in Other (expense) income, net) on intercompany financing transactions.</w:t>
      </w:r>
    </w:p>
    <w:p>
      <w:pPr>
        <w:ind w:left="640" w:hanging="377"/>
        <w:spacing w:after="0" w:line="23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 charge associated with the impairment of long-lived assets related to the production of certain electrified products.</w:t>
      </w:r>
    </w:p>
    <w:p>
      <w:pPr>
        <w:ind w:left="640" w:hanging="377"/>
        <w:spacing w:after="0" w:line="23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other adjustments as defined by the Credit Agreement.</w:t>
      </w:r>
    </w:p>
    <w:p>
      <w:pPr>
        <w:ind w:left="640" w:right="40" w:hanging="377"/>
        <w:spacing w:after="0" w:line="242"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cash provided by operating activities (GAAP) and Adjusted free cash flow (Non-GAAP) included $5 million and $13 million for the three months ended September 30, 2026 and 2025, respectively, and $46 million and $30 million for the nine months ended September 30, 2026 and 2025, respectively, of payments for expenses related to the Acquisition.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94"/>
        <w:spacing w:after="0" w:line="271" w:lineRule="auto"/>
        <w:rPr>
          <w:sz w:val="20"/>
          <w:szCs w:val="20"/>
          <w:color w:val="auto"/>
        </w:rPr>
      </w:pPr>
      <w:r>
        <w:rPr>
          <w:rFonts w:ascii="Arial" w:cs="Arial" w:eastAsia="Arial" w:hAnsi="Arial"/>
          <w:sz w:val="18"/>
          <w:szCs w:val="18"/>
          <w:color w:val="auto"/>
        </w:rPr>
        <w:t>The following is a reconciliation of Net income to Adjusted net income, Basic EPS to Adjusted Basic EPS and Diluted EPS to Adjusted Diluted EPS: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rPr>
                <w:sz w:val="20"/>
                <w:szCs w:val="20"/>
                <w:color w:val="auto"/>
              </w:rPr>
            </w:pPr>
            <w:r>
              <w:rPr>
                <w:rFonts w:ascii="Arial" w:cs="Arial" w:eastAsia="Arial" w:hAnsi="Arial"/>
                <w:sz w:val="14"/>
                <w:szCs w:val="14"/>
                <w:b w:val="1"/>
                <w:bCs w:val="1"/>
                <w:i w:val="1"/>
                <w:iCs w:val="1"/>
                <w:color w:val="auto"/>
              </w:rPr>
              <w:t>(unaudited, dollars in millions, except per share data)</w:t>
            </w: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(GAAP)</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191</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484</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plus: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Recognition of the stepped-up basis in inventory (a)</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64</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160"/>
              <w:spacing w:after="0"/>
              <w:rPr>
                <w:sz w:val="20"/>
                <w:szCs w:val="20"/>
                <w:color w:val="auto"/>
              </w:rPr>
            </w:pPr>
            <w:r>
              <w:rPr>
                <w:rFonts w:ascii="Arial" w:cs="Arial" w:eastAsia="Arial" w:hAnsi="Arial"/>
                <w:sz w:val="18"/>
                <w:szCs w:val="18"/>
                <w:color w:val="auto"/>
              </w:rPr>
              <w:t>Amortization expense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22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66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4"/>
        </w:trPr>
        <w:tc>
          <w:tcPr>
            <w:tcW w:w="5860" w:type="dxa"/>
            <w:vAlign w:val="bottom"/>
            <w:shd w:val="clear" w:color="auto" w:fill="CFF0FC"/>
          </w:tcPr>
          <w:p>
            <w:pPr>
              <w:ind w:left="160"/>
              <w:spacing w:after="0" w:line="183" w:lineRule="exact"/>
              <w:rPr>
                <w:sz w:val="20"/>
                <w:szCs w:val="20"/>
                <w:color w:val="auto"/>
              </w:rPr>
            </w:pPr>
            <w:r>
              <w:rPr>
                <w:rFonts w:ascii="Arial" w:cs="Arial" w:eastAsia="Arial" w:hAnsi="Arial"/>
                <w:sz w:val="18"/>
                <w:szCs w:val="18"/>
                <w:color w:val="auto"/>
              </w:rPr>
              <w:t>Depreciation of the stepped-up basis in property, plant and</w:t>
            </w: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equipment (b)</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10</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41</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160"/>
              <w:spacing w:after="0"/>
              <w:rPr>
                <w:sz w:val="20"/>
                <w:szCs w:val="20"/>
                <w:color w:val="auto"/>
              </w:rPr>
            </w:pPr>
            <w:r>
              <w:rPr>
                <w:rFonts w:ascii="Arial" w:cs="Arial" w:eastAsia="Arial" w:hAnsi="Arial"/>
                <w:sz w:val="18"/>
                <w:szCs w:val="18"/>
                <w:color w:val="auto"/>
              </w:rPr>
              <w:t>Acquisition-related expenses (c)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Stock-based compensation expense (d)</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8</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860" w:type="dxa"/>
            <w:vAlign w:val="bottom"/>
          </w:tcPr>
          <w:p>
            <w:pPr>
              <w:ind w:left="160"/>
              <w:spacing w:after="0"/>
              <w:rPr>
                <w:sz w:val="20"/>
                <w:szCs w:val="20"/>
                <w:color w:val="auto"/>
              </w:rPr>
            </w:pPr>
            <w:r>
              <w:rPr>
                <w:rFonts w:ascii="Arial" w:cs="Arial" w:eastAsia="Arial" w:hAnsi="Arial"/>
                <w:sz w:val="18"/>
                <w:szCs w:val="18"/>
                <w:color w:val="auto"/>
              </w:rPr>
              <w:t>Restructuring charges (e)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17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Loss associated with impairment of long-lived assets (f)</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160"/>
              <w:spacing w:after="0"/>
              <w:rPr>
                <w:sz w:val="20"/>
                <w:szCs w:val="20"/>
                <w:color w:val="auto"/>
              </w:rPr>
            </w:pPr>
            <w:r>
              <w:rPr>
                <w:rFonts w:ascii="Arial" w:cs="Arial" w:eastAsia="Arial" w:hAnsi="Arial"/>
                <w:sz w:val="18"/>
                <w:szCs w:val="18"/>
                <w:color w:val="auto"/>
              </w:rPr>
              <w:t>Income tax effect on adjustments (g)</w:t>
            </w: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9"/>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Net Income (Non-GAAP)</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241</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686</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197"/>
        </w:trPr>
        <w:tc>
          <w:tcPr>
            <w:tcW w:w="5860" w:type="dxa"/>
            <w:vAlign w:val="bottom"/>
            <w:vMerge w:val="restart"/>
          </w:tcPr>
          <w:p>
            <w:pPr>
              <w:spacing w:after="0"/>
              <w:rPr>
                <w:sz w:val="20"/>
                <w:szCs w:val="20"/>
                <w:color w:val="auto"/>
              </w:rPr>
            </w:pPr>
            <w:r>
              <w:rPr>
                <w:rFonts w:ascii="Arial" w:cs="Arial" w:eastAsia="Arial" w:hAnsi="Arial"/>
                <w:sz w:val="18"/>
                <w:szCs w:val="18"/>
                <w:b w:val="1"/>
                <w:bCs w:val="1"/>
                <w:color w:val="auto"/>
              </w:rPr>
              <w:t>Basic EPS (GAAP)</w:t>
            </w:r>
          </w:p>
        </w:tc>
        <w:tc>
          <w:tcPr>
            <w:tcW w:w="24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2.30</w:t>
            </w: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5.83</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Diluted EPS (GAAP)</w:t>
            </w: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2.30</w:t>
            </w:r>
          </w:p>
        </w:tc>
        <w:tc>
          <w:tcPr>
            <w:tcW w:w="1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5.76</w:t>
            </w:r>
          </w:p>
        </w:tc>
        <w:tc>
          <w:tcPr>
            <w:tcW w:w="1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197"/>
        </w:trPr>
        <w:tc>
          <w:tcPr>
            <w:tcW w:w="5860" w:type="dxa"/>
            <w:vAlign w:val="bottom"/>
          </w:tcPr>
          <w:p>
            <w:pPr>
              <w:spacing w:after="0" w:line="196" w:lineRule="exact"/>
              <w:rPr>
                <w:sz w:val="20"/>
                <w:szCs w:val="20"/>
                <w:color w:val="auto"/>
              </w:rPr>
            </w:pPr>
            <w:r>
              <w:rPr>
                <w:rFonts w:ascii="Arial" w:cs="Arial" w:eastAsia="Arial" w:hAnsi="Arial"/>
                <w:sz w:val="18"/>
                <w:szCs w:val="18"/>
                <w:b w:val="1"/>
                <w:bCs w:val="1"/>
                <w:color w:val="auto"/>
              </w:rPr>
              <w:t>Adjusted Basic EPS (Non-GAAP) (h)</w:t>
            </w:r>
          </w:p>
        </w:tc>
        <w:tc>
          <w:tcPr>
            <w:tcW w:w="240" w:type="dxa"/>
            <w:vAlign w:val="bottom"/>
            <w:gridSpan w:val="2"/>
          </w:tcPr>
          <w:p>
            <w:pPr>
              <w:jc w:val="right"/>
              <w:ind w:right="67"/>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rPr>
              <w:t>2.90</w:t>
            </w:r>
          </w:p>
        </w:tc>
        <w:tc>
          <w:tcPr>
            <w:tcW w:w="52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1.82</w:t>
            </w:r>
          </w:p>
        </w:tc>
        <w:tc>
          <w:tcPr>
            <w:tcW w:w="12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rPr>
              <w:t>8.27</w:t>
            </w:r>
          </w:p>
        </w:tc>
        <w:tc>
          <w:tcPr>
            <w:tcW w:w="52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line="196" w:lineRule="exact"/>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Borders>
              <w:top w:val="single" w:sz="8" w:color="auto"/>
            </w:tcBorders>
            <w:gridSpan w:val="2"/>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Adjusted Diluted EPS (Non-GAAP) (h)</w:t>
            </w: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2.90</w:t>
            </w:r>
          </w:p>
        </w:tc>
        <w:tc>
          <w:tcPr>
            <w:tcW w:w="1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1.82</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8.17</w:t>
            </w:r>
          </w:p>
        </w:tc>
        <w:tc>
          <w:tcPr>
            <w:tcW w:w="1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-822325</wp:posOffset>
            </wp:positionV>
            <wp:extent cx="7747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-805180</wp:posOffset>
            </wp:positionV>
            <wp:extent cx="774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-822325</wp:posOffset>
            </wp:positionV>
            <wp:extent cx="768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-805180</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-351155</wp:posOffset>
            </wp:positionV>
            <wp:extent cx="7747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-333375</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-351155</wp:posOffset>
            </wp:positionV>
            <wp:extent cx="768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-333375</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774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774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768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64" w:lineRule="exact"/>
        <w:rPr>
          <w:sz w:val="20"/>
          <w:szCs w:val="20"/>
          <w:color w:val="auto"/>
        </w:rPr>
      </w:pPr>
    </w:p>
    <w:p>
      <w:pPr>
        <w:ind w:left="640" w:hanging="377"/>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recognition of the stepped-up basis in inventory related to the Acquisition (recorded in Cost of sales).</w:t>
      </w:r>
    </w:p>
    <w:p>
      <w:pPr>
        <w:spacing w:after="0" w:line="13" w:lineRule="exact"/>
        <w:rPr>
          <w:rFonts w:ascii="Arial" w:cs="Arial" w:eastAsia="Arial" w:hAnsi="Arial"/>
          <w:sz w:val="18"/>
          <w:szCs w:val="18"/>
          <w:color w:val="auto"/>
        </w:rPr>
      </w:pPr>
    </w:p>
    <w:p>
      <w:pPr>
        <w:ind w:left="640" w:right="460" w:hanging="377"/>
        <w:spacing w:after="0" w:line="23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depreciation of the stepped-up basis in property, plant and equipment related to the Acquisition (recorded in Cost of sales).</w:t>
      </w:r>
    </w:p>
    <w:p>
      <w:pPr>
        <w:spacing w:after="0" w:line="1" w:lineRule="exact"/>
        <w:rPr>
          <w:rFonts w:ascii="Arial" w:cs="Arial" w:eastAsia="Arial" w:hAnsi="Arial"/>
          <w:sz w:val="18"/>
          <w:szCs w:val="18"/>
          <w:color w:val="auto"/>
        </w:rPr>
      </w:pPr>
    </w:p>
    <w:p>
      <w:pPr>
        <w:ind w:left="640" w:hanging="377"/>
        <w:spacing w:after="0" w:line="23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expenses (recorded in Selling, general and administrative), primarily consulting and legal fees, related to the Acquisition.</w:t>
      </w:r>
    </w:p>
    <w:p>
      <w:pPr>
        <w:ind w:left="640" w:hanging="377"/>
        <w:spacing w:after="0" w:line="23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stock-based compensation expense (recorded in Selling, general and administrative).</w:t>
      </w:r>
    </w:p>
    <w:p>
      <w:pPr>
        <w:ind w:left="640" w:right="420" w:hanging="377"/>
        <w:spacing w:after="0" w:line="23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restructuring charges (recorded in Other (expense) income, net) related to Allison Off-Highway footprint optimization activities.</w:t>
      </w:r>
    </w:p>
    <w:p>
      <w:pPr>
        <w:spacing w:after="0" w:line="1" w:lineRule="exact"/>
        <w:rPr>
          <w:rFonts w:ascii="Arial" w:cs="Arial" w:eastAsia="Arial" w:hAnsi="Arial"/>
          <w:sz w:val="18"/>
          <w:szCs w:val="18"/>
          <w:color w:val="auto"/>
        </w:rPr>
      </w:pPr>
    </w:p>
    <w:p>
      <w:pPr>
        <w:ind w:left="640" w:hanging="377"/>
        <w:spacing w:after="0" w:line="23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a charge associated with the impairment of long-lived assets related to the production of certain electrified products.</w:t>
      </w:r>
    </w:p>
    <w:p>
      <w:pPr>
        <w:ind w:left="640" w:hanging="377"/>
        <w:spacing w:after="0" w:line="23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income tax effect on the adjustments calculated by applying our effective tax rate.</w:t>
      </w:r>
    </w:p>
    <w:p>
      <w:pPr>
        <w:ind w:left="640" w:right="40" w:hanging="377"/>
        <w:spacing w:after="0" w:line="207" w:lineRule="exact"/>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basic EPS and Adjusted diluted EPS are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and are defined as Adjusted net income divided by the weighted average common shares outstanding and diluted weighted average shares outstanding, respectively, for the period. The weighted-average common shares outstanding and diluted weighted-average common shares outstanding are the same as those used in calculating the comparable GAAP measures.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Allison Transmission - Comparison of the three and nine months ended September 30, 2026 and 2025</w:t>
      </w:r>
    </w:p>
    <w:p>
      <w:pPr>
        <w:spacing w:after="0" w:line="102" w:lineRule="exact"/>
        <w:rPr>
          <w:sz w:val="20"/>
          <w:szCs w:val="20"/>
          <w:color w:val="auto"/>
        </w:rPr>
      </w:pPr>
    </w:p>
    <w:p>
      <w:pPr>
        <w:ind w:right="420" w:firstLine="494"/>
        <w:spacing w:after="0" w:line="253" w:lineRule="auto"/>
        <w:rPr>
          <w:sz w:val="20"/>
          <w:szCs w:val="20"/>
          <w:color w:val="auto"/>
        </w:rPr>
      </w:pPr>
      <w:r>
        <w:rPr>
          <w:rFonts w:ascii="Arial" w:cs="Arial" w:eastAsia="Arial" w:hAnsi="Arial"/>
          <w:sz w:val="18"/>
          <w:szCs w:val="18"/>
          <w:color w:val="auto"/>
        </w:rPr>
        <w:t>The following tables set forth certain financial information for the three and nine months ended September 30, 2026 and 2025 and should be read in conjunction with the information contained in our condensed consolidated financial statements and the notes thereto included in Part I, Item 1 of this Quarterly Report on Form 10-Q.</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300" w:type="dxa"/>
            <w:vAlign w:val="bottom"/>
            <w:tcBorders>
              <w:bottom w:val="single" w:sz="8" w:color="auto"/>
            </w:tcBorders>
          </w:tcPr>
          <w:p>
            <w:pPr>
              <w:spacing w:after="0"/>
              <w:rPr>
                <w:sz w:val="14"/>
                <w:szCs w:val="14"/>
                <w:color w:val="auto"/>
              </w:rPr>
            </w:pPr>
          </w:p>
        </w:tc>
        <w:tc>
          <w:tcPr>
            <w:tcW w:w="4380" w:type="dxa"/>
            <w:vAlign w:val="bottom"/>
            <w:tcBorders>
              <w:bottom w:val="single" w:sz="8" w:color="auto"/>
            </w:tcBorders>
            <w:gridSpan w:val="10"/>
          </w:tcPr>
          <w:p>
            <w:pPr>
              <w:jc w:val="center"/>
              <w:ind w:right="368"/>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55"/>
        </w:trPr>
        <w:tc>
          <w:tcPr>
            <w:tcW w:w="6560" w:type="dxa"/>
            <w:vAlign w:val="bottom"/>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2026</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314"/>
              <w:spacing w:after="0" w:line="155" w:lineRule="exact"/>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Variance %</w:t>
            </w:r>
          </w:p>
        </w:tc>
        <w:tc>
          <w:tcPr>
            <w:tcW w:w="0" w:type="dxa"/>
            <w:vAlign w:val="bottom"/>
          </w:tcPr>
          <w:p>
            <w:pPr>
              <w:spacing w:after="0"/>
              <w:rPr>
                <w:sz w:val="1"/>
                <w:szCs w:val="1"/>
                <w:color w:val="auto"/>
              </w:rPr>
            </w:pPr>
          </w:p>
        </w:tc>
      </w:tr>
      <w:tr>
        <w:trPr>
          <w:trHeight w:val="196"/>
        </w:trPr>
        <w:tc>
          <w:tcPr>
            <w:tcW w:w="656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Segment Net Sales</w:t>
            </w:r>
          </w:p>
        </w:tc>
        <w:tc>
          <w:tcPr>
            <w:tcW w:w="300" w:type="dxa"/>
            <w:vAlign w:val="bottom"/>
            <w:tcBorders>
              <w:left w:val="single" w:sz="8" w:color="CFF0FC"/>
            </w:tcBorders>
            <w:shd w:val="clear" w:color="auto" w:fill="CFF0FC"/>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881</w:t>
            </w: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09"/>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FF0FC"/>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693</w:t>
            </w:r>
          </w:p>
        </w:tc>
        <w:tc>
          <w:tcPr>
            <w:tcW w:w="1640" w:type="dxa"/>
            <w:vAlign w:val="bottom"/>
            <w:gridSpan w:val="4"/>
            <w:shd w:val="clear" w:color="auto" w:fill="CFF0FC"/>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7"/>
        </w:trPr>
        <w:tc>
          <w:tcPr>
            <w:tcW w:w="6560" w:type="dxa"/>
            <w:vAlign w:val="bottom"/>
          </w:tcPr>
          <w:p>
            <w:pPr>
              <w:spacing w:after="0"/>
              <w:rPr>
                <w:sz w:val="20"/>
                <w:szCs w:val="20"/>
                <w:color w:val="auto"/>
              </w:rPr>
            </w:pPr>
            <w:r>
              <w:rPr>
                <w:rFonts w:ascii="Arial" w:cs="Arial" w:eastAsia="Arial" w:hAnsi="Arial"/>
                <w:sz w:val="18"/>
                <w:szCs w:val="18"/>
                <w:color w:val="auto"/>
              </w:rPr>
              <w:t>Segment Operating Profit</w:t>
            </w:r>
          </w:p>
        </w:tc>
        <w:tc>
          <w:tcPr>
            <w:tcW w:w="300" w:type="dxa"/>
            <w:vAlign w:val="bottom"/>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gridSpan w:val="2"/>
          </w:tcPr>
          <w:p>
            <w:pPr>
              <w:jc w:val="right"/>
              <w:ind w:right="10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232</w:t>
            </w:r>
          </w:p>
        </w:tc>
        <w:tc>
          <w:tcPr>
            <w:tcW w:w="1640" w:type="dxa"/>
            <w:vAlign w:val="bottom"/>
            <w:gridSpan w:val="4"/>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0"/>
        </w:trPr>
        <w:tc>
          <w:tcPr>
            <w:tcW w:w="65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3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10"/>
          </w:tcPr>
          <w:p>
            <w:pPr>
              <w:jc w:val="center"/>
              <w:ind w:right="3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6560" w:type="dxa"/>
            <w:vAlign w:val="bottom"/>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2026</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314"/>
              <w:spacing w:after="0" w:line="155" w:lineRule="exact"/>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Variance %</w:t>
            </w:r>
          </w:p>
        </w:tc>
        <w:tc>
          <w:tcPr>
            <w:tcW w:w="0" w:type="dxa"/>
            <w:vAlign w:val="bottom"/>
          </w:tcPr>
          <w:p>
            <w:pPr>
              <w:spacing w:after="0"/>
              <w:rPr>
                <w:sz w:val="1"/>
                <w:szCs w:val="1"/>
                <w:color w:val="auto"/>
              </w:rPr>
            </w:pPr>
          </w:p>
        </w:tc>
      </w:tr>
      <w:tr>
        <w:trPr>
          <w:trHeight w:val="196"/>
        </w:trPr>
        <w:tc>
          <w:tcPr>
            <w:tcW w:w="656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Segment Net Sales</w:t>
            </w:r>
          </w:p>
        </w:tc>
        <w:tc>
          <w:tcPr>
            <w:tcW w:w="300" w:type="dxa"/>
            <w:vAlign w:val="bottom"/>
            <w:tcBorders>
              <w:left w:val="single" w:sz="8" w:color="CFF0FC"/>
            </w:tcBorders>
            <w:shd w:val="clear" w:color="auto" w:fill="CFF0FC"/>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2,474</w:t>
            </w: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09"/>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FF0FC"/>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2,273</w:t>
            </w:r>
          </w:p>
        </w:tc>
        <w:tc>
          <w:tcPr>
            <w:tcW w:w="1640" w:type="dxa"/>
            <w:vAlign w:val="bottom"/>
            <w:gridSpan w:val="4"/>
            <w:shd w:val="clear" w:color="auto" w:fill="CFF0FC"/>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7"/>
        </w:trPr>
        <w:tc>
          <w:tcPr>
            <w:tcW w:w="6560" w:type="dxa"/>
            <w:vAlign w:val="bottom"/>
          </w:tcPr>
          <w:p>
            <w:pPr>
              <w:spacing w:after="0"/>
              <w:rPr>
                <w:sz w:val="20"/>
                <w:szCs w:val="20"/>
                <w:color w:val="auto"/>
              </w:rPr>
            </w:pPr>
            <w:r>
              <w:rPr>
                <w:rFonts w:ascii="Arial" w:cs="Arial" w:eastAsia="Arial" w:hAnsi="Arial"/>
                <w:sz w:val="18"/>
                <w:szCs w:val="18"/>
                <w:color w:val="auto"/>
              </w:rPr>
              <w:t>Segment Operating Profit</w:t>
            </w:r>
          </w:p>
        </w:tc>
        <w:tc>
          <w:tcPr>
            <w:tcW w:w="300" w:type="dxa"/>
            <w:vAlign w:val="bottom"/>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833</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gridSpan w:val="2"/>
          </w:tcPr>
          <w:p>
            <w:pPr>
              <w:jc w:val="right"/>
              <w:ind w:right="10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791</w:t>
            </w:r>
          </w:p>
        </w:tc>
        <w:tc>
          <w:tcPr>
            <w:tcW w:w="164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86"/>
        </w:trPr>
        <w:tc>
          <w:tcPr>
            <w:tcW w:w="65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Segment Net Sales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65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380" w:type="dxa"/>
            <w:vAlign w:val="bottom"/>
            <w:tcBorders>
              <w:bottom w:val="single" w:sz="8" w:color="auto"/>
            </w:tcBorders>
            <w:gridSpan w:val="10"/>
          </w:tcPr>
          <w:p>
            <w:pPr>
              <w:jc w:val="right"/>
              <w:ind w:right="868"/>
              <w:spacing w:after="0"/>
              <w:rPr>
                <w:sz w:val="20"/>
                <w:szCs w:val="20"/>
                <w:color w:val="auto"/>
              </w:rPr>
            </w:pPr>
            <w:r>
              <w:rPr>
                <w:rFonts w:ascii="Arial" w:cs="Arial" w:eastAsia="Arial" w:hAnsi="Arial"/>
                <w:sz w:val="14"/>
                <w:szCs w:val="14"/>
                <w:b w:val="1"/>
                <w:bCs w:val="1"/>
                <w:color w:val="auto"/>
              </w:rPr>
              <w:t>For the Three Months Ended September 30,</w:t>
            </w:r>
          </w:p>
        </w:tc>
        <w:tc>
          <w:tcPr>
            <w:tcW w:w="0" w:type="dxa"/>
            <w:vAlign w:val="bottom"/>
          </w:tcPr>
          <w:p>
            <w:pPr>
              <w:spacing w:after="0"/>
              <w:rPr>
                <w:sz w:val="1"/>
                <w:szCs w:val="1"/>
                <w:color w:val="auto"/>
              </w:rPr>
            </w:pPr>
          </w:p>
        </w:tc>
      </w:tr>
      <w:tr>
        <w:trPr>
          <w:trHeight w:val="196"/>
        </w:trPr>
        <w:tc>
          <w:tcPr>
            <w:tcW w:w="6560" w:type="dxa"/>
            <w:vAlign w:val="bottom"/>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2026</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Variance %</w:t>
            </w:r>
          </w:p>
        </w:tc>
        <w:tc>
          <w:tcPr>
            <w:tcW w:w="0" w:type="dxa"/>
            <w:vAlign w:val="bottom"/>
          </w:tcPr>
          <w:p>
            <w:pPr>
              <w:spacing w:after="0"/>
              <w:rPr>
                <w:sz w:val="1"/>
                <w:szCs w:val="1"/>
                <w:color w:val="auto"/>
              </w:rPr>
            </w:pPr>
          </w:p>
        </w:tc>
      </w:tr>
      <w:tr>
        <w:trPr>
          <w:trHeight w:val="196"/>
        </w:trPr>
        <w:tc>
          <w:tcPr>
            <w:tcW w:w="656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North America On-Highway</w:t>
            </w:r>
          </w:p>
        </w:tc>
        <w:tc>
          <w:tcPr>
            <w:tcW w:w="300" w:type="dxa"/>
            <w:vAlign w:val="bottom"/>
            <w:tcBorders>
              <w:left w:val="single" w:sz="8" w:color="CFF0FC"/>
            </w:tcBorders>
            <w:shd w:val="clear" w:color="auto" w:fill="CFF0FC"/>
          </w:tcPr>
          <w:p>
            <w:pPr>
              <w:jc w:val="right"/>
              <w:ind w:right="120"/>
              <w:spacing w:after="0" w:line="196" w:lineRule="exact"/>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462</w:t>
            </w: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49"/>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FF0FC"/>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327</w:t>
            </w:r>
          </w:p>
        </w:tc>
        <w:tc>
          <w:tcPr>
            <w:tcW w:w="1640" w:type="dxa"/>
            <w:vAlign w:val="bottom"/>
            <w:gridSpan w:val="4"/>
            <w:shd w:val="clear" w:color="auto" w:fill="CFF0FC"/>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Outside North America On-Highway</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122</w:t>
            </w:r>
          </w:p>
        </w:tc>
        <w:tc>
          <w:tcPr>
            <w:tcW w:w="16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6560" w:type="dxa"/>
            <w:vAlign w:val="bottom"/>
            <w:tcBorders>
              <w:right w:val="single" w:sz="8" w:color="C9F2FF"/>
            </w:tcBorders>
            <w:shd w:val="clear" w:color="auto" w:fill="C9F2FF"/>
          </w:tcPr>
          <w:p>
            <w:pPr>
              <w:spacing w:after="0" w:line="202" w:lineRule="exact"/>
              <w:rPr>
                <w:sz w:val="20"/>
                <w:szCs w:val="20"/>
                <w:color w:val="auto"/>
              </w:rPr>
            </w:pPr>
            <w:r>
              <w:rPr>
                <w:rFonts w:ascii="Arial" w:cs="Arial" w:eastAsia="Arial" w:hAnsi="Arial"/>
                <w:sz w:val="18"/>
                <w:szCs w:val="18"/>
                <w:color w:val="auto"/>
              </w:rPr>
              <w:t>Global Off-Highway</w:t>
            </w:r>
          </w:p>
        </w:tc>
        <w:tc>
          <w:tcPr>
            <w:tcW w:w="300" w:type="dxa"/>
            <w:vAlign w:val="bottom"/>
            <w:tcBorders>
              <w:left w:val="single" w:sz="8" w:color="CFF0FC"/>
            </w:tcBorders>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15</w:t>
            </w: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9F2FF"/>
          </w:tcPr>
          <w:p>
            <w:pPr>
              <w:spacing w:after="0"/>
              <w:rPr>
                <w:sz w:val="17"/>
                <w:szCs w:val="17"/>
                <w:color w:val="auto"/>
              </w:rPr>
            </w:pPr>
          </w:p>
        </w:tc>
        <w:tc>
          <w:tcPr>
            <w:tcW w:w="1160" w:type="dxa"/>
            <w:vAlign w:val="bottom"/>
            <w:tcBorders>
              <w:right w:val="single" w:sz="8" w:color="C9F2FF"/>
            </w:tcBorders>
            <w:shd w:val="clear" w:color="auto" w:fill="C9F2FF"/>
          </w:tcPr>
          <w:p>
            <w:pPr>
              <w:jc w:val="right"/>
              <w:ind w:right="34"/>
              <w:spacing w:after="0" w:line="202" w:lineRule="exact"/>
              <w:rPr>
                <w:sz w:val="20"/>
                <w:szCs w:val="20"/>
                <w:color w:val="auto"/>
              </w:rPr>
            </w:pPr>
            <w:r>
              <w:rPr>
                <w:rFonts w:ascii="Arial" w:cs="Arial" w:eastAsia="Arial" w:hAnsi="Arial"/>
                <w:sz w:val="18"/>
                <w:szCs w:val="18"/>
                <w:color w:val="auto"/>
              </w:rPr>
              <w:t>7</w:t>
            </w:r>
          </w:p>
        </w:tc>
        <w:tc>
          <w:tcPr>
            <w:tcW w:w="1640" w:type="dxa"/>
            <w:vAlign w:val="bottom"/>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Defense</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78</w:t>
            </w:r>
          </w:p>
        </w:tc>
        <w:tc>
          <w:tcPr>
            <w:tcW w:w="16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9F2FF"/>
              <w:right w:val="single" w:sz="8" w:color="C9F2FF"/>
            </w:tcBorders>
            <w:shd w:val="clear" w:color="auto" w:fill="C9F2FF"/>
          </w:tcPr>
          <w:p>
            <w:pPr>
              <w:spacing w:after="0" w:line="202" w:lineRule="exact"/>
              <w:rPr>
                <w:sz w:val="20"/>
                <w:szCs w:val="20"/>
                <w:color w:val="auto"/>
              </w:rPr>
            </w:pPr>
            <w:r>
              <w:rPr>
                <w:rFonts w:ascii="Arial" w:cs="Arial" w:eastAsia="Arial" w:hAnsi="Arial"/>
                <w:sz w:val="18"/>
                <w:szCs w:val="18"/>
                <w:color w:val="auto"/>
              </w:rPr>
              <w:t>Service Parts, Support Equipment and Other</w:t>
            </w:r>
          </w:p>
        </w:tc>
        <w:tc>
          <w:tcPr>
            <w:tcW w:w="300" w:type="dxa"/>
            <w:vAlign w:val="bottom"/>
            <w:tcBorders>
              <w:left w:val="single" w:sz="8" w:color="CFF0FC"/>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181</w:t>
            </w:r>
          </w:p>
        </w:tc>
        <w:tc>
          <w:tcPr>
            <w:tcW w:w="4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9F2FF"/>
          </w:tcPr>
          <w:p>
            <w:pPr>
              <w:spacing w:after="0"/>
              <w:rPr>
                <w:sz w:val="17"/>
                <w:szCs w:val="17"/>
                <w:color w:val="auto"/>
              </w:rPr>
            </w:pPr>
          </w:p>
        </w:tc>
        <w:tc>
          <w:tcPr>
            <w:tcW w:w="1160" w:type="dxa"/>
            <w:vAlign w:val="bottom"/>
            <w:tcBorders>
              <w:bottom w:val="single" w:sz="8" w:color="auto"/>
              <w:right w:val="single" w:sz="8" w:color="C9F2FF"/>
            </w:tcBorders>
            <w:shd w:val="clear" w:color="auto" w:fill="C9F2FF"/>
          </w:tcPr>
          <w:p>
            <w:pPr>
              <w:jc w:val="right"/>
              <w:ind w:right="34"/>
              <w:spacing w:after="0" w:line="202" w:lineRule="exact"/>
              <w:rPr>
                <w:sz w:val="20"/>
                <w:szCs w:val="20"/>
                <w:color w:val="auto"/>
              </w:rPr>
            </w:pPr>
            <w:r>
              <w:rPr>
                <w:rFonts w:ascii="Arial" w:cs="Arial" w:eastAsia="Arial" w:hAnsi="Arial"/>
                <w:sz w:val="18"/>
                <w:szCs w:val="18"/>
                <w:color w:val="auto"/>
              </w:rPr>
              <w:t>159</w:t>
            </w:r>
          </w:p>
        </w:tc>
        <w:tc>
          <w:tcPr>
            <w:tcW w:w="1640" w:type="dxa"/>
            <w:vAlign w:val="bottom"/>
            <w:tcBorders>
              <w:bottom w:val="single" w:sz="8" w:color="CFF0FC"/>
            </w:tcBorders>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6560" w:type="dxa"/>
            <w:vAlign w:val="bottom"/>
          </w:tcPr>
          <w:p>
            <w:pPr>
              <w:spacing w:after="0" w:line="182" w:lineRule="exact"/>
              <w:rPr>
                <w:sz w:val="20"/>
                <w:szCs w:val="20"/>
                <w:color w:val="auto"/>
              </w:rPr>
            </w:pPr>
            <w:r>
              <w:rPr>
                <w:rFonts w:ascii="Arial" w:cs="Arial" w:eastAsia="Arial" w:hAnsi="Arial"/>
                <w:sz w:val="18"/>
                <w:szCs w:val="18"/>
                <w:color w:val="auto"/>
              </w:rPr>
              <w:t>Total Segment Net Sales</w:t>
            </w:r>
          </w:p>
        </w:tc>
        <w:tc>
          <w:tcPr>
            <w:tcW w:w="300" w:type="dxa"/>
            <w:vAlign w:val="bottom"/>
            <w:tcBorders>
              <w:bottom w:val="single" w:sz="8" w:color="auto"/>
            </w:tcBorders>
          </w:tcPr>
          <w:p>
            <w:pPr>
              <w:jc w:val="right"/>
              <w:ind w:right="120"/>
              <w:spacing w:after="0" w:line="182" w:lineRule="exact"/>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881</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ind w:right="34"/>
              <w:spacing w:after="0" w:line="182" w:lineRule="exact"/>
              <w:rPr>
                <w:sz w:val="20"/>
                <w:szCs w:val="20"/>
                <w:color w:val="auto"/>
              </w:rPr>
            </w:pPr>
            <w:r>
              <w:rPr>
                <w:rFonts w:ascii="Arial" w:cs="Arial" w:eastAsia="Arial" w:hAnsi="Arial"/>
                <w:sz w:val="18"/>
                <w:szCs w:val="18"/>
                <w:color w:val="auto"/>
              </w:rPr>
              <w:t>693</w:t>
            </w:r>
          </w:p>
        </w:tc>
        <w:tc>
          <w:tcPr>
            <w:tcW w:w="1640" w:type="dxa"/>
            <w:vAlign w:val="bottom"/>
            <w:gridSpan w:val="4"/>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10"/>
          </w:tcPr>
          <w:p>
            <w:pPr>
              <w:jc w:val="right"/>
              <w:ind w:right="968"/>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96"/>
        </w:trPr>
        <w:tc>
          <w:tcPr>
            <w:tcW w:w="6560" w:type="dxa"/>
            <w:vAlign w:val="bottom"/>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Variance %</w:t>
            </w:r>
          </w:p>
        </w:tc>
        <w:tc>
          <w:tcPr>
            <w:tcW w:w="0" w:type="dxa"/>
            <w:vAlign w:val="bottom"/>
          </w:tcPr>
          <w:p>
            <w:pPr>
              <w:spacing w:after="0"/>
              <w:rPr>
                <w:sz w:val="1"/>
                <w:szCs w:val="1"/>
                <w:color w:val="auto"/>
              </w:rPr>
            </w:pPr>
          </w:p>
        </w:tc>
      </w:tr>
      <w:tr>
        <w:trPr>
          <w:trHeight w:val="196"/>
        </w:trPr>
        <w:tc>
          <w:tcPr>
            <w:tcW w:w="656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North America On-Highway</w:t>
            </w:r>
          </w:p>
        </w:tc>
        <w:tc>
          <w:tcPr>
            <w:tcW w:w="300" w:type="dxa"/>
            <w:vAlign w:val="bottom"/>
            <w:tcBorders>
              <w:left w:val="single" w:sz="8" w:color="CFF0FC"/>
            </w:tcBorders>
            <w:shd w:val="clear" w:color="auto" w:fill="CFF0FC"/>
          </w:tcPr>
          <w:p>
            <w:pPr>
              <w:jc w:val="right"/>
              <w:ind w:right="160"/>
              <w:spacing w:after="0"/>
              <w:rPr>
                <w:sz w:val="20"/>
                <w:szCs w:val="20"/>
                <w:color w:val="auto"/>
              </w:rPr>
            </w:pPr>
            <w:r>
              <w:rPr>
                <w:rFonts w:ascii="Arial" w:cs="Arial" w:eastAsia="Arial" w:hAnsi="Arial"/>
                <w:sz w:val="10"/>
                <w:szCs w:val="10"/>
                <w:b w:val="1"/>
                <w:bCs w:val="1"/>
                <w:color w:val="auto"/>
                <w:w w:val="71"/>
              </w:rPr>
              <w:t>$</w:t>
            </w:r>
          </w:p>
        </w:tc>
        <w:tc>
          <w:tcPr>
            <w:tcW w:w="112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b w:val="1"/>
                <w:bCs w:val="1"/>
                <w:color w:val="auto"/>
              </w:rPr>
              <w:t>1,267</w:t>
            </w: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09"/>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FF0FC"/>
            </w:tcBorders>
            <w:shd w:val="clear" w:color="auto" w:fill="CFF0FC"/>
          </w:tcPr>
          <w:p>
            <w:pPr>
              <w:jc w:val="right"/>
              <w:ind w:right="94"/>
              <w:spacing w:after="0" w:line="196" w:lineRule="exact"/>
              <w:rPr>
                <w:sz w:val="20"/>
                <w:szCs w:val="20"/>
                <w:color w:val="auto"/>
              </w:rPr>
            </w:pPr>
            <w:r>
              <w:rPr>
                <w:rFonts w:ascii="Arial" w:cs="Arial" w:eastAsia="Arial" w:hAnsi="Arial"/>
                <w:sz w:val="18"/>
                <w:szCs w:val="18"/>
                <w:color w:val="auto"/>
              </w:rPr>
              <w:t>1,179</w:t>
            </w:r>
          </w:p>
        </w:tc>
        <w:tc>
          <w:tcPr>
            <w:tcW w:w="1640" w:type="dxa"/>
            <w:vAlign w:val="bottom"/>
            <w:gridSpan w:val="4"/>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Outside North America On-Highway</w:t>
            </w:r>
          </w:p>
        </w:tc>
        <w:tc>
          <w:tcPr>
            <w:tcW w:w="300" w:type="dxa"/>
            <w:vAlign w:val="bottom"/>
          </w:tcPr>
          <w:p>
            <w:pPr>
              <w:spacing w:after="0"/>
              <w:rPr>
                <w:sz w:val="17"/>
                <w:szCs w:val="17"/>
                <w:color w:val="auto"/>
              </w:rPr>
            </w:pPr>
          </w:p>
        </w:tc>
        <w:tc>
          <w:tcPr>
            <w:tcW w:w="112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371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376</w:t>
            </w:r>
          </w:p>
        </w:tc>
        <w:tc>
          <w:tcPr>
            <w:tcW w:w="16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6560" w:type="dxa"/>
            <w:vAlign w:val="bottom"/>
            <w:tcBorders>
              <w:right w:val="single" w:sz="8" w:color="CFF0FC"/>
            </w:tcBorders>
            <w:shd w:val="clear" w:color="auto" w:fill="C9F2FF"/>
          </w:tcPr>
          <w:p>
            <w:pPr>
              <w:spacing w:after="0" w:line="202" w:lineRule="exact"/>
              <w:rPr>
                <w:sz w:val="20"/>
                <w:szCs w:val="20"/>
                <w:color w:val="auto"/>
              </w:rPr>
            </w:pPr>
            <w:r>
              <w:rPr>
                <w:rFonts w:ascii="Arial" w:cs="Arial" w:eastAsia="Arial" w:hAnsi="Arial"/>
                <w:sz w:val="18"/>
                <w:szCs w:val="18"/>
                <w:color w:val="auto"/>
              </w:rPr>
              <w:t>Global Off-Highway</w:t>
            </w:r>
          </w:p>
        </w:tc>
        <w:tc>
          <w:tcPr>
            <w:tcW w:w="300" w:type="dxa"/>
            <w:vAlign w:val="bottom"/>
            <w:tcBorders>
              <w:left w:val="single" w:sz="8" w:color="CFF0FC"/>
            </w:tcBorders>
            <w:shd w:val="clear" w:color="auto" w:fill="CFF0FC"/>
          </w:tcPr>
          <w:p>
            <w:pPr>
              <w:spacing w:after="0"/>
              <w:rPr>
                <w:sz w:val="17"/>
                <w:szCs w:val="17"/>
                <w:color w:val="auto"/>
              </w:rPr>
            </w:pPr>
          </w:p>
        </w:tc>
        <w:tc>
          <w:tcPr>
            <w:tcW w:w="112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b w:val="1"/>
                <w:bCs w:val="1"/>
                <w:color w:val="auto"/>
              </w:rPr>
              <w:t>45</w:t>
            </w: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tcBorders>
              <w:right w:val="single" w:sz="8" w:color="CFF0FC"/>
            </w:tcBorders>
            <w:shd w:val="clear" w:color="auto" w:fill="CFF0FC"/>
          </w:tcPr>
          <w:p>
            <w:pPr>
              <w:jc w:val="right"/>
              <w:ind w:right="94"/>
              <w:spacing w:after="0" w:line="202" w:lineRule="exact"/>
              <w:rPr>
                <w:sz w:val="20"/>
                <w:szCs w:val="20"/>
                <w:color w:val="auto"/>
              </w:rPr>
            </w:pPr>
            <w:r>
              <w:rPr>
                <w:rFonts w:ascii="Arial" w:cs="Arial" w:eastAsia="Arial" w:hAnsi="Arial"/>
                <w:sz w:val="18"/>
                <w:szCs w:val="18"/>
                <w:color w:val="auto"/>
              </w:rPr>
              <w:t>41</w:t>
            </w:r>
          </w:p>
        </w:tc>
        <w:tc>
          <w:tcPr>
            <w:tcW w:w="1640" w:type="dxa"/>
            <w:vAlign w:val="bottom"/>
            <w:gridSpan w:val="4"/>
            <w:shd w:val="clear" w:color="auto" w:fill="CFF0FC"/>
          </w:tcPr>
          <w:p>
            <w:pPr>
              <w:jc w:val="right"/>
              <w:ind w:right="8"/>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Defense</w:t>
            </w:r>
          </w:p>
        </w:tc>
        <w:tc>
          <w:tcPr>
            <w:tcW w:w="300" w:type="dxa"/>
            <w:vAlign w:val="bottom"/>
          </w:tcPr>
          <w:p>
            <w:pPr>
              <w:spacing w:after="0"/>
              <w:rPr>
                <w:sz w:val="17"/>
                <w:szCs w:val="17"/>
                <w:color w:val="auto"/>
              </w:rPr>
            </w:pPr>
          </w:p>
        </w:tc>
        <w:tc>
          <w:tcPr>
            <w:tcW w:w="112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280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194</w:t>
            </w:r>
          </w:p>
        </w:tc>
        <w:tc>
          <w:tcPr>
            <w:tcW w:w="1640" w:type="dxa"/>
            <w:vAlign w:val="bottom"/>
            <w:gridSpan w:val="4"/>
          </w:tcPr>
          <w:p>
            <w:pPr>
              <w:jc w:val="right"/>
              <w:ind w:right="8"/>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9F2FF"/>
              <w:right w:val="single" w:sz="8" w:color="CFF0FC"/>
            </w:tcBorders>
            <w:shd w:val="clear" w:color="auto" w:fill="C9F2FF"/>
          </w:tcPr>
          <w:p>
            <w:pPr>
              <w:spacing w:after="0" w:line="202" w:lineRule="exact"/>
              <w:rPr>
                <w:sz w:val="20"/>
                <w:szCs w:val="20"/>
                <w:color w:val="auto"/>
              </w:rPr>
            </w:pPr>
            <w:r>
              <w:rPr>
                <w:rFonts w:ascii="Arial" w:cs="Arial" w:eastAsia="Arial" w:hAnsi="Arial"/>
                <w:sz w:val="18"/>
                <w:szCs w:val="18"/>
                <w:color w:val="auto"/>
              </w:rPr>
              <w:t>Service Parts, Support Equipment and Other</w:t>
            </w:r>
          </w:p>
        </w:tc>
        <w:tc>
          <w:tcPr>
            <w:tcW w:w="300" w:type="dxa"/>
            <w:vAlign w:val="bottom"/>
            <w:tcBorders>
              <w:left w:val="single" w:sz="8" w:color="CFF0FC"/>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b w:val="1"/>
                <w:bCs w:val="1"/>
                <w:color w:val="auto"/>
              </w:rPr>
              <w:t>511</w:t>
            </w:r>
          </w:p>
        </w:tc>
        <w:tc>
          <w:tcPr>
            <w:tcW w:w="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right w:val="single" w:sz="8" w:color="CFF0FC"/>
            </w:tcBorders>
            <w:shd w:val="clear" w:color="auto" w:fill="CFF0FC"/>
          </w:tcPr>
          <w:p>
            <w:pPr>
              <w:jc w:val="right"/>
              <w:ind w:right="94"/>
              <w:spacing w:after="0" w:line="202" w:lineRule="exact"/>
              <w:rPr>
                <w:sz w:val="20"/>
                <w:szCs w:val="20"/>
                <w:color w:val="auto"/>
              </w:rPr>
            </w:pPr>
            <w:r>
              <w:rPr>
                <w:rFonts w:ascii="Arial" w:cs="Arial" w:eastAsia="Arial" w:hAnsi="Arial"/>
                <w:sz w:val="18"/>
                <w:szCs w:val="18"/>
                <w:color w:val="auto"/>
              </w:rPr>
              <w:t>483</w:t>
            </w:r>
          </w:p>
        </w:tc>
        <w:tc>
          <w:tcPr>
            <w:tcW w:w="1640" w:type="dxa"/>
            <w:vAlign w:val="bottom"/>
            <w:tcBorders>
              <w:bottom w:val="single" w:sz="8" w:color="CFF0FC"/>
            </w:tcBorders>
            <w:gridSpan w:val="4"/>
            <w:shd w:val="clear" w:color="auto" w:fill="CFF0FC"/>
          </w:tcPr>
          <w:p>
            <w:pPr>
              <w:jc w:val="right"/>
              <w:ind w:right="8"/>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6560" w:type="dxa"/>
            <w:vAlign w:val="bottom"/>
          </w:tcPr>
          <w:p>
            <w:pPr>
              <w:spacing w:after="0" w:line="182" w:lineRule="exact"/>
              <w:rPr>
                <w:sz w:val="20"/>
                <w:szCs w:val="20"/>
                <w:color w:val="auto"/>
              </w:rPr>
            </w:pPr>
            <w:r>
              <w:rPr>
                <w:rFonts w:ascii="Arial" w:cs="Arial" w:eastAsia="Arial" w:hAnsi="Arial"/>
                <w:sz w:val="18"/>
                <w:szCs w:val="18"/>
                <w:color w:val="auto"/>
              </w:rPr>
              <w:t>Total Segment Net Sales</w:t>
            </w:r>
          </w:p>
        </w:tc>
        <w:tc>
          <w:tcPr>
            <w:tcW w:w="300" w:type="dxa"/>
            <w:vAlign w:val="bottom"/>
          </w:tcPr>
          <w:p>
            <w:pPr>
              <w:jc w:val="right"/>
              <w:ind w:right="160"/>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Pr>
          <w:p>
            <w:pPr>
              <w:jc w:val="right"/>
              <w:ind w:right="36"/>
              <w:spacing w:after="0" w:line="182" w:lineRule="exact"/>
              <w:rPr>
                <w:sz w:val="20"/>
                <w:szCs w:val="20"/>
                <w:color w:val="auto"/>
              </w:rPr>
            </w:pPr>
            <w:r>
              <w:rPr>
                <w:rFonts w:ascii="Arial" w:cs="Arial" w:eastAsia="Arial" w:hAnsi="Arial"/>
                <w:sz w:val="18"/>
                <w:szCs w:val="18"/>
                <w:b w:val="1"/>
                <w:bCs w:val="1"/>
                <w:color w:val="auto"/>
              </w:rPr>
              <w:t>2,474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2"/>
          </w:tcPr>
          <w:p>
            <w:pPr>
              <w:jc w:val="right"/>
              <w:ind w:right="209"/>
              <w:spacing w:after="0" w:line="18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94"/>
              <w:spacing w:after="0" w:line="182" w:lineRule="exact"/>
              <w:rPr>
                <w:sz w:val="20"/>
                <w:szCs w:val="20"/>
                <w:color w:val="auto"/>
              </w:rPr>
            </w:pPr>
            <w:r>
              <w:rPr>
                <w:rFonts w:ascii="Arial" w:cs="Arial" w:eastAsia="Arial" w:hAnsi="Arial"/>
                <w:sz w:val="18"/>
                <w:szCs w:val="18"/>
                <w:color w:val="auto"/>
              </w:rPr>
              <w:t>2,273</w:t>
            </w:r>
          </w:p>
        </w:tc>
        <w:tc>
          <w:tcPr>
            <w:tcW w:w="1640" w:type="dxa"/>
            <w:vAlign w:val="bottom"/>
            <w:gridSpan w:val="4"/>
          </w:tcPr>
          <w:p>
            <w:pPr>
              <w:jc w:val="right"/>
              <w:ind w:right="8"/>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-1439545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-1439545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-162560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-162560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right="340" w:firstLine="494"/>
        <w:spacing w:after="0" w:line="253" w:lineRule="auto"/>
        <w:rPr>
          <w:sz w:val="20"/>
          <w:szCs w:val="20"/>
          <w:color w:val="auto"/>
        </w:rPr>
      </w:pPr>
      <w:r>
        <w:rPr>
          <w:rFonts w:ascii="Arial" w:cs="Arial" w:eastAsia="Arial" w:hAnsi="Arial"/>
          <w:sz w:val="18"/>
          <w:szCs w:val="18"/>
          <w:color w:val="auto"/>
        </w:rPr>
        <w:t>For a discussion of the year-over-year changes in Net sales in each end market, see “Results of Operations – Allison Consolidated Comparison of the three months ended September 30, 2026 and 2025 – Net sales” and “Results of Operations – Allison Consolidated Comparison of the nine months ended September 30, 2026 and 2025 – Net sales” above.</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Operating Profit</w:t>
      </w:r>
    </w:p>
    <w:p>
      <w:pPr>
        <w:spacing w:after="0" w:line="102" w:lineRule="exact"/>
        <w:rPr>
          <w:sz w:val="20"/>
          <w:szCs w:val="20"/>
          <w:color w:val="auto"/>
        </w:rPr>
      </w:pPr>
    </w:p>
    <w:p>
      <w:pPr>
        <w:jc w:val="both"/>
        <w:ind w:right="80" w:firstLine="494"/>
        <w:spacing w:after="0" w:line="244" w:lineRule="auto"/>
        <w:rPr>
          <w:sz w:val="20"/>
          <w:szCs w:val="20"/>
          <w:color w:val="auto"/>
        </w:rPr>
      </w:pPr>
      <w:r>
        <w:rPr>
          <w:rFonts w:ascii="Arial" w:cs="Arial" w:eastAsia="Arial" w:hAnsi="Arial"/>
          <w:sz w:val="18"/>
          <w:szCs w:val="18"/>
          <w:color w:val="auto"/>
        </w:rPr>
        <w:t>Segment Operating Profit for the three months ended September 30, 2026 and 2025 was $300 million and $232 million, respectively, an increase of 29%. For the nine months ended September 30, 2026 and 2025 Segment Operating Profit was $833 million and $791 million, respectively, an increase of 5%. The increases were principally driven by higher gross profit, as described in “Results of Operations – Allison Consolidated Comparison of the three months ended September 30, 2026 – Gross profit” and “Results of Operations – Allison Consolidated Comparison of the nine months ended September 30, 2026 – Gross profit” above.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Allison Off-Highway - Operating results for the three and nine months ended September 30, 2026</w:t>
      </w:r>
    </w:p>
    <w:p>
      <w:pPr>
        <w:spacing w:after="0" w:line="102" w:lineRule="exact"/>
        <w:rPr>
          <w:sz w:val="20"/>
          <w:szCs w:val="20"/>
          <w:color w:val="auto"/>
        </w:rPr>
      </w:pPr>
    </w:p>
    <w:p>
      <w:pPr>
        <w:ind w:right="60" w:firstLine="494"/>
        <w:spacing w:after="0" w:line="247" w:lineRule="auto"/>
        <w:rPr>
          <w:sz w:val="20"/>
          <w:szCs w:val="20"/>
          <w:color w:val="auto"/>
        </w:rPr>
      </w:pPr>
      <w:r>
        <w:rPr>
          <w:rFonts w:ascii="Arial" w:cs="Arial" w:eastAsia="Arial" w:hAnsi="Arial"/>
          <w:sz w:val="18"/>
          <w:szCs w:val="18"/>
          <w:color w:val="auto"/>
        </w:rPr>
        <w:t>The Allison Off-Highway reportable segment is comprised solely of the Acquired Off-Highway Business. The following table sets forth certain financial information for the three and nine months ended September 30, 2026 and should be read in conjunction with the information contained in our condensed consolidated financial statements and the notes thereto included in Part I, Item 1 of this Quarterly Report on Form 10-Q.</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70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4000" w:type="dxa"/>
            <w:vAlign w:val="bottom"/>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17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1176"/>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ind w:right="1199"/>
              <w:spacing w:after="0"/>
              <w:rPr>
                <w:sz w:val="20"/>
                <w:szCs w:val="20"/>
                <w:color w:val="auto"/>
              </w:rPr>
            </w:pPr>
            <w:r>
              <w:rPr>
                <w:rFonts w:ascii="Arial" w:cs="Arial" w:eastAsia="Arial" w:hAnsi="Arial"/>
                <w:sz w:val="14"/>
                <w:szCs w:val="14"/>
                <w:b w:val="1"/>
                <w:bCs w:val="1"/>
                <w:color w:val="auto"/>
              </w:rPr>
              <w:t>2026</w:t>
            </w:r>
          </w:p>
        </w:tc>
      </w:tr>
      <w:tr>
        <w:trPr>
          <w:trHeight w:val="196"/>
        </w:trPr>
        <w:tc>
          <w:tcPr>
            <w:tcW w:w="4000" w:type="dxa"/>
            <w:vAlign w:val="bottom"/>
            <w:shd w:val="clear" w:color="auto" w:fill="C9F2FF"/>
          </w:tcPr>
          <w:p>
            <w:pPr>
              <w:spacing w:after="0" w:line="196" w:lineRule="exact"/>
              <w:rPr>
                <w:sz w:val="20"/>
                <w:szCs w:val="20"/>
                <w:color w:val="auto"/>
              </w:rPr>
            </w:pPr>
            <w:r>
              <w:rPr>
                <w:rFonts w:ascii="Arial" w:cs="Arial" w:eastAsia="Arial" w:hAnsi="Arial"/>
                <w:sz w:val="18"/>
                <w:szCs w:val="18"/>
                <w:color w:val="auto"/>
              </w:rPr>
              <w:t>Segment Net Sales</w:t>
            </w:r>
          </w:p>
        </w:tc>
        <w:tc>
          <w:tcPr>
            <w:tcW w:w="2300" w:type="dxa"/>
            <w:vAlign w:val="bottom"/>
            <w:gridSpan w:val="2"/>
            <w:shd w:val="clear" w:color="auto" w:fill="C9F2FF"/>
          </w:tcPr>
          <w:p>
            <w:pPr>
              <w:jc w:val="right"/>
              <w:ind w:right="428"/>
              <w:spacing w:after="0" w:line="196" w:lineRule="exact"/>
              <w:rPr>
                <w:sz w:val="20"/>
                <w:szCs w:val="20"/>
                <w:color w:val="auto"/>
              </w:rPr>
            </w:pPr>
            <w:r>
              <w:rPr>
                <w:rFonts w:ascii="Arial" w:cs="Arial" w:eastAsia="Arial" w:hAnsi="Arial"/>
                <w:sz w:val="18"/>
                <w:szCs w:val="18"/>
                <w:b w:val="1"/>
                <w:bCs w:val="1"/>
                <w:color w:val="auto"/>
              </w:rPr>
              <w:t>$</w:t>
            </w:r>
          </w:p>
        </w:tc>
        <w:tc>
          <w:tcPr>
            <w:tcW w:w="2100" w:type="dxa"/>
            <w:vAlign w:val="bottom"/>
            <w:shd w:val="clear" w:color="auto" w:fill="C9F2FF"/>
          </w:tcPr>
          <w:p>
            <w:pPr>
              <w:jc w:val="right"/>
              <w:ind w:right="36"/>
              <w:spacing w:after="0" w:line="196" w:lineRule="exact"/>
              <w:rPr>
                <w:sz w:val="20"/>
                <w:szCs w:val="20"/>
                <w:color w:val="auto"/>
              </w:rPr>
            </w:pPr>
            <w:r>
              <w:rPr>
                <w:rFonts w:ascii="Arial" w:cs="Arial" w:eastAsia="Arial" w:hAnsi="Arial"/>
                <w:sz w:val="18"/>
                <w:szCs w:val="18"/>
                <w:b w:val="1"/>
                <w:bCs w:val="1"/>
                <w:color w:val="auto"/>
              </w:rPr>
              <w:t>653</w:t>
            </w:r>
          </w:p>
        </w:tc>
        <w:tc>
          <w:tcPr>
            <w:tcW w:w="220" w:type="dxa"/>
            <w:vAlign w:val="bottom"/>
            <w:gridSpan w:val="2"/>
            <w:shd w:val="clear" w:color="auto" w:fill="C9F2FF"/>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2620" w:type="dxa"/>
            <w:vAlign w:val="bottom"/>
            <w:shd w:val="clear" w:color="auto" w:fill="C9F2FF"/>
          </w:tcPr>
          <w:p>
            <w:pPr>
              <w:jc w:val="right"/>
              <w:ind w:right="39"/>
              <w:spacing w:after="0" w:line="196" w:lineRule="exact"/>
              <w:rPr>
                <w:sz w:val="20"/>
                <w:szCs w:val="20"/>
                <w:color w:val="auto"/>
              </w:rPr>
            </w:pPr>
            <w:r>
              <w:rPr>
                <w:rFonts w:ascii="Arial" w:cs="Arial" w:eastAsia="Arial" w:hAnsi="Arial"/>
                <w:sz w:val="18"/>
                <w:szCs w:val="18"/>
                <w:b w:val="1"/>
                <w:bCs w:val="1"/>
                <w:color w:val="auto"/>
              </w:rPr>
              <w:t>2,032</w:t>
            </w:r>
          </w:p>
        </w:tc>
      </w:tr>
      <w:tr>
        <w:trPr>
          <w:trHeight w:val="247"/>
        </w:trPr>
        <w:tc>
          <w:tcPr>
            <w:tcW w:w="4000" w:type="dxa"/>
            <w:vAlign w:val="bottom"/>
          </w:tcPr>
          <w:p>
            <w:pPr>
              <w:spacing w:after="0"/>
              <w:rPr>
                <w:sz w:val="20"/>
                <w:szCs w:val="20"/>
                <w:color w:val="auto"/>
              </w:rPr>
            </w:pPr>
            <w:r>
              <w:rPr>
                <w:rFonts w:ascii="Arial" w:cs="Arial" w:eastAsia="Arial" w:hAnsi="Arial"/>
                <w:sz w:val="18"/>
                <w:szCs w:val="18"/>
                <w:color w:val="auto"/>
              </w:rPr>
              <w:t>Segment Operating Profit (a)</w:t>
            </w:r>
          </w:p>
        </w:tc>
        <w:tc>
          <w:tcPr>
            <w:tcW w:w="2300" w:type="dxa"/>
            <w:vAlign w:val="bottom"/>
            <w:gridSpan w:val="2"/>
          </w:tcPr>
          <w:p>
            <w:pPr>
              <w:jc w:val="right"/>
              <w:ind w:right="428"/>
              <w:spacing w:after="0"/>
              <w:rPr>
                <w:sz w:val="20"/>
                <w:szCs w:val="20"/>
                <w:color w:val="auto"/>
              </w:rPr>
            </w:pPr>
            <w:r>
              <w:rPr>
                <w:rFonts w:ascii="Arial" w:cs="Arial" w:eastAsia="Arial" w:hAnsi="Arial"/>
                <w:sz w:val="18"/>
                <w:szCs w:val="18"/>
                <w:b w:val="1"/>
                <w:bCs w:val="1"/>
                <w:color w:val="auto"/>
              </w:rPr>
              <w:t>$</w:t>
            </w:r>
          </w:p>
        </w:tc>
        <w:tc>
          <w:tcPr>
            <w:tcW w:w="2100" w:type="dxa"/>
            <w:vAlign w:val="bottom"/>
          </w:tcPr>
          <w:p>
            <w:pPr>
              <w:jc w:val="right"/>
              <w:ind w:right="36"/>
              <w:spacing w:after="0"/>
              <w:rPr>
                <w:sz w:val="20"/>
                <w:szCs w:val="20"/>
                <w:color w:val="auto"/>
              </w:rPr>
            </w:pPr>
            <w:r>
              <w:rPr>
                <w:rFonts w:ascii="Arial" w:cs="Arial" w:eastAsia="Arial" w:hAnsi="Arial"/>
                <w:sz w:val="18"/>
                <w:szCs w:val="18"/>
                <w:b w:val="1"/>
                <w:bCs w:val="1"/>
                <w:color w:val="auto"/>
              </w:rPr>
              <w:t>32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2620" w:type="dxa"/>
            <w:vAlign w:val="bottom"/>
          </w:tcPr>
          <w:p>
            <w:pPr>
              <w:jc w:val="right"/>
              <w:ind w:right="39"/>
              <w:spacing w:after="0"/>
              <w:rPr>
                <w:sz w:val="20"/>
                <w:szCs w:val="20"/>
                <w:color w:val="auto"/>
              </w:rPr>
            </w:pPr>
            <w:r>
              <w:rPr>
                <w:rFonts w:ascii="Arial" w:cs="Arial" w:eastAsia="Arial" w:hAnsi="Arial"/>
                <w:sz w:val="18"/>
                <w:szCs w:val="18"/>
                <w:b w:val="1"/>
                <w:bCs w:val="1"/>
                <w:color w:val="auto"/>
              </w:rPr>
              <w:t>58</w:t>
            </w:r>
          </w:p>
        </w:tc>
      </w:tr>
    </w:tbl>
    <w:p>
      <w:pPr>
        <w:spacing w:after="0" w:line="153" w:lineRule="exact"/>
        <w:rPr>
          <w:sz w:val="20"/>
          <w:szCs w:val="20"/>
          <w:color w:val="auto"/>
        </w:rPr>
      </w:pPr>
    </w:p>
    <w:p>
      <w:pPr>
        <w:ind w:left="640" w:right="400" w:hanging="377"/>
        <w:spacing w:after="0" w:line="271"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expenses related to the recognition of the stepped-up basis in inventory, depreciation related to the stepped-up basis in property, plant and equipment and intangibles amortization related to the Acquisition.</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Net Sales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8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4080" w:type="dxa"/>
            <w:vAlign w:val="bottom"/>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117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ind w:right="1195"/>
              <w:spacing w:after="0"/>
              <w:rPr>
                <w:sz w:val="20"/>
                <w:szCs w:val="20"/>
                <w:color w:val="auto"/>
              </w:rPr>
            </w:pPr>
            <w:r>
              <w:rPr>
                <w:rFonts w:ascii="Arial" w:cs="Arial" w:eastAsia="Arial" w:hAnsi="Arial"/>
                <w:sz w:val="14"/>
                <w:szCs w:val="14"/>
                <w:b w:val="1"/>
                <w:bCs w:val="1"/>
                <w:color w:val="auto"/>
              </w:rPr>
              <w:t>2026</w:t>
            </w:r>
          </w:p>
        </w:tc>
      </w:tr>
      <w:tr>
        <w:trPr>
          <w:trHeight w:val="196"/>
        </w:trPr>
        <w:tc>
          <w:tcPr>
            <w:tcW w:w="4080" w:type="dxa"/>
            <w:vAlign w:val="bottom"/>
            <w:shd w:val="clear" w:color="auto" w:fill="C9F2FF"/>
          </w:tcPr>
          <w:p>
            <w:pPr>
              <w:spacing w:after="0" w:line="196" w:lineRule="exact"/>
              <w:rPr>
                <w:sz w:val="20"/>
                <w:szCs w:val="20"/>
                <w:color w:val="auto"/>
              </w:rPr>
            </w:pPr>
            <w:r>
              <w:rPr>
                <w:rFonts w:ascii="Arial" w:cs="Arial" w:eastAsia="Arial" w:hAnsi="Arial"/>
                <w:sz w:val="18"/>
                <w:szCs w:val="18"/>
                <w:color w:val="auto"/>
              </w:rPr>
              <w:t>Construction &amp; Material Handling</w:t>
            </w:r>
          </w:p>
        </w:tc>
        <w:tc>
          <w:tcPr>
            <w:tcW w:w="2220" w:type="dxa"/>
            <w:vAlign w:val="bottom"/>
            <w:gridSpan w:val="3"/>
            <w:shd w:val="clear" w:color="auto" w:fill="C9F2FF"/>
          </w:tcPr>
          <w:p>
            <w:pPr>
              <w:jc w:val="right"/>
              <w:ind w:right="428"/>
              <w:spacing w:after="0" w:line="196" w:lineRule="exact"/>
              <w:rPr>
                <w:sz w:val="20"/>
                <w:szCs w:val="20"/>
                <w:color w:val="auto"/>
              </w:rPr>
            </w:pPr>
            <w:r>
              <w:rPr>
                <w:rFonts w:ascii="Arial" w:cs="Arial" w:eastAsia="Arial" w:hAnsi="Arial"/>
                <w:sz w:val="18"/>
                <w:szCs w:val="18"/>
                <w:b w:val="1"/>
                <w:bCs w:val="1"/>
                <w:color w:val="auto"/>
              </w:rPr>
              <w:t>$</w:t>
            </w:r>
          </w:p>
        </w:tc>
        <w:tc>
          <w:tcPr>
            <w:tcW w:w="2100" w:type="dxa"/>
            <w:vAlign w:val="bottom"/>
            <w:shd w:val="clear" w:color="auto" w:fill="C9F2FF"/>
          </w:tcPr>
          <w:p>
            <w:pPr>
              <w:jc w:val="right"/>
              <w:ind w:right="33"/>
              <w:spacing w:after="0" w:line="196" w:lineRule="exact"/>
              <w:rPr>
                <w:sz w:val="20"/>
                <w:szCs w:val="20"/>
                <w:color w:val="auto"/>
              </w:rPr>
            </w:pPr>
            <w:r>
              <w:rPr>
                <w:rFonts w:ascii="Arial" w:cs="Arial" w:eastAsia="Arial" w:hAnsi="Arial"/>
                <w:sz w:val="18"/>
                <w:szCs w:val="18"/>
                <w:b w:val="1"/>
                <w:bCs w:val="1"/>
                <w:color w:val="auto"/>
              </w:rPr>
              <w:t>232</w:t>
            </w:r>
          </w:p>
        </w:tc>
        <w:tc>
          <w:tcPr>
            <w:tcW w:w="220" w:type="dxa"/>
            <w:vAlign w:val="bottom"/>
            <w:gridSpan w:val="2"/>
            <w:shd w:val="clear" w:color="auto" w:fill="C9F2FF"/>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2620" w:type="dxa"/>
            <w:vAlign w:val="bottom"/>
            <w:shd w:val="clear" w:color="auto" w:fill="C9F2FF"/>
          </w:tcPr>
          <w:p>
            <w:pPr>
              <w:jc w:val="right"/>
              <w:ind w:right="35"/>
              <w:spacing w:after="0" w:line="196" w:lineRule="exact"/>
              <w:rPr>
                <w:sz w:val="20"/>
                <w:szCs w:val="20"/>
                <w:color w:val="auto"/>
              </w:rPr>
            </w:pPr>
            <w:r>
              <w:rPr>
                <w:rFonts w:ascii="Arial" w:cs="Arial" w:eastAsia="Arial" w:hAnsi="Arial"/>
                <w:sz w:val="18"/>
                <w:szCs w:val="18"/>
                <w:b w:val="1"/>
                <w:bCs w:val="1"/>
                <w:color w:val="auto"/>
              </w:rPr>
              <w:t>708</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Agriculture</w:t>
            </w: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00" w:type="dxa"/>
            <w:vAlign w:val="bottom"/>
          </w:tcPr>
          <w:p>
            <w:pPr>
              <w:jc w:val="right"/>
              <w:ind w:right="33"/>
              <w:spacing w:after="0"/>
              <w:rPr>
                <w:sz w:val="20"/>
                <w:szCs w:val="20"/>
                <w:color w:val="auto"/>
              </w:rPr>
            </w:pPr>
            <w:r>
              <w:rPr>
                <w:rFonts w:ascii="Arial" w:cs="Arial" w:eastAsia="Arial" w:hAnsi="Arial"/>
                <w:sz w:val="18"/>
                <w:szCs w:val="18"/>
                <w:b w:val="1"/>
                <w:bCs w:val="1"/>
                <w:color w:val="auto"/>
              </w:rPr>
              <w:t>130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right"/>
              <w:ind w:right="35"/>
              <w:spacing w:after="0"/>
              <w:rPr>
                <w:sz w:val="20"/>
                <w:szCs w:val="20"/>
                <w:color w:val="auto"/>
              </w:rPr>
            </w:pPr>
            <w:r>
              <w:rPr>
                <w:rFonts w:ascii="Arial" w:cs="Arial" w:eastAsia="Arial" w:hAnsi="Arial"/>
                <w:sz w:val="18"/>
                <w:szCs w:val="18"/>
                <w:b w:val="1"/>
                <w:bCs w:val="1"/>
                <w:color w:val="auto"/>
              </w:rPr>
              <w:t>436</w:t>
            </w:r>
          </w:p>
        </w:tc>
      </w:tr>
      <w:tr>
        <w:trPr>
          <w:trHeight w:val="203"/>
        </w:trPr>
        <w:tc>
          <w:tcPr>
            <w:tcW w:w="4080" w:type="dxa"/>
            <w:vAlign w:val="bottom"/>
            <w:shd w:val="clear" w:color="auto" w:fill="C9F2FF"/>
          </w:tcPr>
          <w:p>
            <w:pPr>
              <w:spacing w:after="0" w:line="202" w:lineRule="exact"/>
              <w:rPr>
                <w:sz w:val="20"/>
                <w:szCs w:val="20"/>
                <w:color w:val="auto"/>
              </w:rPr>
            </w:pPr>
            <w:r>
              <w:rPr>
                <w:rFonts w:ascii="Arial" w:cs="Arial" w:eastAsia="Arial" w:hAnsi="Arial"/>
                <w:sz w:val="18"/>
                <w:szCs w:val="18"/>
                <w:color w:val="auto"/>
              </w:rPr>
              <w:t>Industrial</w:t>
            </w:r>
          </w:p>
        </w:tc>
        <w:tc>
          <w:tcPr>
            <w:tcW w:w="1620" w:type="dxa"/>
            <w:vAlign w:val="bottom"/>
            <w:shd w:val="clear" w:color="auto" w:fill="C9F2FF"/>
          </w:tcPr>
          <w:p>
            <w:pPr>
              <w:spacing w:after="0"/>
              <w:rPr>
                <w:sz w:val="17"/>
                <w:szCs w:val="17"/>
                <w:color w:val="auto"/>
              </w:rPr>
            </w:pPr>
          </w:p>
        </w:tc>
        <w:tc>
          <w:tcPr>
            <w:tcW w:w="20" w:type="dxa"/>
            <w:vAlign w:val="bottom"/>
            <w:shd w:val="clear" w:color="auto" w:fill="C9F2FF"/>
          </w:tcPr>
          <w:p>
            <w:pPr>
              <w:spacing w:after="0"/>
              <w:rPr>
                <w:sz w:val="17"/>
                <w:szCs w:val="17"/>
                <w:color w:val="auto"/>
              </w:rPr>
            </w:pPr>
          </w:p>
        </w:tc>
        <w:tc>
          <w:tcPr>
            <w:tcW w:w="580" w:type="dxa"/>
            <w:vAlign w:val="bottom"/>
            <w:shd w:val="clear" w:color="auto" w:fill="C9F2FF"/>
          </w:tcPr>
          <w:p>
            <w:pPr>
              <w:spacing w:after="0"/>
              <w:rPr>
                <w:sz w:val="17"/>
                <w:szCs w:val="17"/>
                <w:color w:val="auto"/>
              </w:rPr>
            </w:pPr>
          </w:p>
        </w:tc>
        <w:tc>
          <w:tcPr>
            <w:tcW w:w="2100" w:type="dxa"/>
            <w:vAlign w:val="bottom"/>
            <w:shd w:val="clear" w:color="auto" w:fill="C9F2FF"/>
          </w:tcPr>
          <w:p>
            <w:pPr>
              <w:jc w:val="right"/>
              <w:ind w:right="33"/>
              <w:spacing w:after="0" w:line="202" w:lineRule="exact"/>
              <w:rPr>
                <w:sz w:val="20"/>
                <w:szCs w:val="20"/>
                <w:color w:val="auto"/>
              </w:rPr>
            </w:pPr>
            <w:r>
              <w:rPr>
                <w:rFonts w:ascii="Arial" w:cs="Arial" w:eastAsia="Arial" w:hAnsi="Arial"/>
                <w:sz w:val="18"/>
                <w:szCs w:val="18"/>
                <w:b w:val="1"/>
                <w:bCs w:val="1"/>
                <w:color w:val="auto"/>
              </w:rPr>
              <w:t>92</w:t>
            </w:r>
          </w:p>
        </w:tc>
        <w:tc>
          <w:tcPr>
            <w:tcW w:w="100" w:type="dxa"/>
            <w:vAlign w:val="bottom"/>
            <w:shd w:val="clear" w:color="auto" w:fill="C9F2FF"/>
          </w:tcPr>
          <w:p>
            <w:pPr>
              <w:spacing w:after="0"/>
              <w:rPr>
                <w:sz w:val="17"/>
                <w:szCs w:val="17"/>
                <w:color w:val="auto"/>
              </w:rPr>
            </w:pPr>
          </w:p>
        </w:tc>
        <w:tc>
          <w:tcPr>
            <w:tcW w:w="120" w:type="dxa"/>
            <w:vAlign w:val="bottom"/>
            <w:shd w:val="clear" w:color="auto" w:fill="C9F2FF"/>
          </w:tcPr>
          <w:p>
            <w:pPr>
              <w:spacing w:after="0"/>
              <w:rPr>
                <w:sz w:val="17"/>
                <w:szCs w:val="17"/>
                <w:color w:val="auto"/>
              </w:rPr>
            </w:pPr>
          </w:p>
        </w:tc>
        <w:tc>
          <w:tcPr>
            <w:tcW w:w="2620" w:type="dxa"/>
            <w:vAlign w:val="bottom"/>
            <w:shd w:val="clear" w:color="auto" w:fill="C9F2FF"/>
          </w:tcPr>
          <w:p>
            <w:pPr>
              <w:jc w:val="right"/>
              <w:ind w:right="35"/>
              <w:spacing w:after="0" w:line="202" w:lineRule="exact"/>
              <w:rPr>
                <w:sz w:val="20"/>
                <w:szCs w:val="20"/>
                <w:color w:val="auto"/>
              </w:rPr>
            </w:pPr>
            <w:r>
              <w:rPr>
                <w:rFonts w:ascii="Arial" w:cs="Arial" w:eastAsia="Arial" w:hAnsi="Arial"/>
                <w:sz w:val="18"/>
                <w:szCs w:val="18"/>
                <w:b w:val="1"/>
                <w:bCs w:val="1"/>
                <w:color w:val="auto"/>
              </w:rPr>
              <w:t>281</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Mining</w:t>
            </w: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00" w:type="dxa"/>
            <w:vAlign w:val="bottom"/>
          </w:tcPr>
          <w:p>
            <w:pPr>
              <w:jc w:val="right"/>
              <w:ind w:right="33"/>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right"/>
              <w:ind w:right="35"/>
              <w:spacing w:after="0"/>
              <w:rPr>
                <w:sz w:val="20"/>
                <w:szCs w:val="20"/>
                <w:color w:val="auto"/>
              </w:rPr>
            </w:pPr>
            <w:r>
              <w:rPr>
                <w:rFonts w:ascii="Arial" w:cs="Arial" w:eastAsia="Arial" w:hAnsi="Arial"/>
                <w:sz w:val="18"/>
                <w:szCs w:val="18"/>
                <w:b w:val="1"/>
                <w:bCs w:val="1"/>
                <w:color w:val="auto"/>
              </w:rPr>
              <w:t>157</w:t>
            </w:r>
          </w:p>
        </w:tc>
      </w:tr>
      <w:tr>
        <w:trPr>
          <w:trHeight w:val="203"/>
        </w:trPr>
        <w:tc>
          <w:tcPr>
            <w:tcW w:w="4080" w:type="dxa"/>
            <w:vAlign w:val="bottom"/>
            <w:tcBorders>
              <w:bottom w:val="single" w:sz="8" w:color="C9F2FF"/>
            </w:tcBorders>
            <w:shd w:val="clear" w:color="auto" w:fill="C9F2FF"/>
          </w:tcPr>
          <w:p>
            <w:pPr>
              <w:spacing w:after="0" w:line="202" w:lineRule="exact"/>
              <w:rPr>
                <w:sz w:val="20"/>
                <w:szCs w:val="20"/>
                <w:color w:val="auto"/>
              </w:rPr>
            </w:pPr>
            <w:r>
              <w:rPr>
                <w:rFonts w:ascii="Arial" w:cs="Arial" w:eastAsia="Arial" w:hAnsi="Arial"/>
                <w:sz w:val="18"/>
                <w:szCs w:val="18"/>
                <w:color w:val="auto"/>
              </w:rPr>
              <w:t>Service Parts, Specialty &amp; Other</w:t>
            </w:r>
          </w:p>
        </w:tc>
        <w:tc>
          <w:tcPr>
            <w:tcW w:w="1620" w:type="dxa"/>
            <w:vAlign w:val="bottom"/>
            <w:tcBorders>
              <w:bottom w:val="single" w:sz="8" w:color="C9F2FF"/>
            </w:tcBorders>
            <w:shd w:val="clear" w:color="auto" w:fill="C9F2FF"/>
          </w:tcPr>
          <w:p>
            <w:pPr>
              <w:spacing w:after="0"/>
              <w:rPr>
                <w:sz w:val="17"/>
                <w:szCs w:val="17"/>
                <w:color w:val="auto"/>
              </w:rPr>
            </w:pPr>
          </w:p>
        </w:tc>
        <w:tc>
          <w:tcPr>
            <w:tcW w:w="20" w:type="dxa"/>
            <w:vAlign w:val="bottom"/>
            <w:tcBorders>
              <w:bottom w:val="single" w:sz="8" w:color="C9F2FF"/>
            </w:tcBorders>
            <w:shd w:val="clear" w:color="auto" w:fill="C9F2FF"/>
          </w:tcPr>
          <w:p>
            <w:pPr>
              <w:spacing w:after="0"/>
              <w:rPr>
                <w:sz w:val="17"/>
                <w:szCs w:val="17"/>
                <w:color w:val="auto"/>
              </w:rPr>
            </w:pPr>
          </w:p>
        </w:tc>
        <w:tc>
          <w:tcPr>
            <w:tcW w:w="580" w:type="dxa"/>
            <w:vAlign w:val="bottom"/>
            <w:tcBorders>
              <w:bottom w:val="single" w:sz="8" w:color="auto"/>
            </w:tcBorders>
            <w:shd w:val="clear" w:color="auto" w:fill="C9F2FF"/>
          </w:tcPr>
          <w:p>
            <w:pPr>
              <w:spacing w:after="0"/>
              <w:rPr>
                <w:sz w:val="17"/>
                <w:szCs w:val="17"/>
                <w:color w:val="auto"/>
              </w:rPr>
            </w:pPr>
          </w:p>
        </w:tc>
        <w:tc>
          <w:tcPr>
            <w:tcW w:w="2100" w:type="dxa"/>
            <w:vAlign w:val="bottom"/>
            <w:tcBorders>
              <w:bottom w:val="single" w:sz="8" w:color="auto"/>
            </w:tcBorders>
            <w:shd w:val="clear" w:color="auto" w:fill="C9F2FF"/>
          </w:tcPr>
          <w:p>
            <w:pPr>
              <w:jc w:val="right"/>
              <w:ind w:right="33"/>
              <w:spacing w:after="0" w:line="202" w:lineRule="exact"/>
              <w:rPr>
                <w:sz w:val="20"/>
                <w:szCs w:val="20"/>
                <w:color w:val="auto"/>
              </w:rPr>
            </w:pPr>
            <w:r>
              <w:rPr>
                <w:rFonts w:ascii="Arial" w:cs="Arial" w:eastAsia="Arial" w:hAnsi="Arial"/>
                <w:sz w:val="18"/>
                <w:szCs w:val="18"/>
                <w:b w:val="1"/>
                <w:bCs w:val="1"/>
                <w:color w:val="auto"/>
              </w:rPr>
              <w:t>146</w:t>
            </w:r>
          </w:p>
        </w:tc>
        <w:tc>
          <w:tcPr>
            <w:tcW w:w="100" w:type="dxa"/>
            <w:vAlign w:val="bottom"/>
            <w:tcBorders>
              <w:bottom w:val="single" w:sz="8" w:color="C9F2FF"/>
            </w:tcBorders>
            <w:shd w:val="clear" w:color="auto" w:fill="C9F2FF"/>
          </w:tcPr>
          <w:p>
            <w:pPr>
              <w:spacing w:after="0"/>
              <w:rPr>
                <w:sz w:val="17"/>
                <w:szCs w:val="17"/>
                <w:color w:val="auto"/>
              </w:rPr>
            </w:pPr>
          </w:p>
        </w:tc>
        <w:tc>
          <w:tcPr>
            <w:tcW w:w="120" w:type="dxa"/>
            <w:vAlign w:val="bottom"/>
            <w:tcBorders>
              <w:bottom w:val="single" w:sz="8" w:color="auto"/>
            </w:tcBorders>
            <w:shd w:val="clear" w:color="auto" w:fill="C9F2FF"/>
          </w:tcPr>
          <w:p>
            <w:pPr>
              <w:spacing w:after="0"/>
              <w:rPr>
                <w:sz w:val="17"/>
                <w:szCs w:val="17"/>
                <w:color w:val="auto"/>
              </w:rPr>
            </w:pPr>
          </w:p>
        </w:tc>
        <w:tc>
          <w:tcPr>
            <w:tcW w:w="2620" w:type="dxa"/>
            <w:vAlign w:val="bottom"/>
            <w:tcBorders>
              <w:bottom w:val="single" w:sz="8" w:color="auto"/>
            </w:tcBorders>
            <w:shd w:val="clear" w:color="auto" w:fill="C9F2FF"/>
          </w:tcPr>
          <w:p>
            <w:pPr>
              <w:jc w:val="right"/>
              <w:ind w:right="35"/>
              <w:spacing w:after="0" w:line="202" w:lineRule="exact"/>
              <w:rPr>
                <w:sz w:val="20"/>
                <w:szCs w:val="20"/>
                <w:color w:val="auto"/>
              </w:rPr>
            </w:pPr>
            <w:r>
              <w:rPr>
                <w:rFonts w:ascii="Arial" w:cs="Arial" w:eastAsia="Arial" w:hAnsi="Arial"/>
                <w:sz w:val="18"/>
                <w:szCs w:val="18"/>
                <w:b w:val="1"/>
                <w:bCs w:val="1"/>
                <w:color w:val="auto"/>
              </w:rPr>
              <w:t>450</w:t>
            </w:r>
          </w:p>
        </w:tc>
      </w:tr>
      <w:tr>
        <w:trPr>
          <w:trHeight w:val="210"/>
        </w:trPr>
        <w:tc>
          <w:tcPr>
            <w:tcW w:w="4080" w:type="dxa"/>
            <w:vAlign w:val="bottom"/>
          </w:tcPr>
          <w:p>
            <w:pPr>
              <w:spacing w:after="0" w:line="196" w:lineRule="exact"/>
              <w:rPr>
                <w:sz w:val="20"/>
                <w:szCs w:val="20"/>
                <w:color w:val="auto"/>
              </w:rPr>
            </w:pPr>
            <w:r>
              <w:rPr>
                <w:rFonts w:ascii="Arial" w:cs="Arial" w:eastAsia="Arial" w:hAnsi="Arial"/>
                <w:sz w:val="18"/>
                <w:szCs w:val="18"/>
                <w:color w:val="auto"/>
              </w:rPr>
              <w:t>Total Segment Net Sales</w:t>
            </w:r>
          </w:p>
        </w:tc>
        <w:tc>
          <w:tcPr>
            <w:tcW w:w="2220" w:type="dxa"/>
            <w:vAlign w:val="bottom"/>
            <w:gridSpan w:val="3"/>
          </w:tcPr>
          <w:p>
            <w:pPr>
              <w:jc w:val="right"/>
              <w:ind w:right="428"/>
              <w:spacing w:after="0" w:line="196" w:lineRule="exact"/>
              <w:rPr>
                <w:sz w:val="20"/>
                <w:szCs w:val="20"/>
                <w:color w:val="auto"/>
              </w:rPr>
            </w:pPr>
            <w:r>
              <w:rPr>
                <w:rFonts w:ascii="Arial" w:cs="Arial" w:eastAsia="Arial" w:hAnsi="Arial"/>
                <w:sz w:val="18"/>
                <w:szCs w:val="18"/>
                <w:b w:val="1"/>
                <w:bCs w:val="1"/>
                <w:color w:val="auto"/>
              </w:rPr>
              <w:t>$</w:t>
            </w:r>
          </w:p>
        </w:tc>
        <w:tc>
          <w:tcPr>
            <w:tcW w:w="210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rPr>
              <w:t>653</w:t>
            </w:r>
          </w:p>
        </w:tc>
        <w:tc>
          <w:tcPr>
            <w:tcW w:w="22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2620" w:type="dxa"/>
            <w:vAlign w:val="bottom"/>
          </w:tcPr>
          <w:p>
            <w:pPr>
              <w:jc w:val="right"/>
              <w:ind w:right="35"/>
              <w:spacing w:after="0" w:line="196" w:lineRule="exact"/>
              <w:rPr>
                <w:sz w:val="20"/>
                <w:szCs w:val="20"/>
                <w:color w:val="auto"/>
              </w:rPr>
            </w:pPr>
            <w:r>
              <w:rPr>
                <w:rFonts w:ascii="Arial" w:cs="Arial" w:eastAsia="Arial" w:hAnsi="Arial"/>
                <w:sz w:val="18"/>
                <w:szCs w:val="18"/>
                <w:b w:val="1"/>
                <w:bCs w:val="1"/>
                <w:color w:val="auto"/>
              </w:rPr>
              <w:t>2,032</w:t>
            </w:r>
          </w:p>
        </w:tc>
      </w:tr>
      <w:tr>
        <w:trPr>
          <w:trHeight w:val="20"/>
        </w:trPr>
        <w:tc>
          <w:tcPr>
            <w:tcW w:w="40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r>
      <w:tr>
        <w:trPr>
          <w:trHeight w:val="578"/>
        </w:trPr>
        <w:tc>
          <w:tcPr>
            <w:tcW w:w="4080" w:type="dxa"/>
            <w:vAlign w:val="bottom"/>
          </w:tcPr>
          <w:p>
            <w:pPr>
              <w:spacing w:after="0"/>
              <w:rPr>
                <w:sz w:val="24"/>
                <w:szCs w:val="24"/>
                <w:color w:val="auto"/>
              </w:rPr>
            </w:pPr>
          </w:p>
        </w:tc>
        <w:tc>
          <w:tcPr>
            <w:tcW w:w="2220" w:type="dxa"/>
            <w:vAlign w:val="bottom"/>
            <w:gridSpan w:val="3"/>
          </w:tcPr>
          <w:p>
            <w:pPr>
              <w:jc w:val="right"/>
              <w:ind w:right="508"/>
              <w:spacing w:after="0"/>
              <w:rPr>
                <w:sz w:val="20"/>
                <w:szCs w:val="20"/>
                <w:color w:val="auto"/>
              </w:rPr>
            </w:pPr>
            <w:r>
              <w:rPr>
                <w:rFonts w:ascii="Arial" w:cs="Arial" w:eastAsia="Arial" w:hAnsi="Arial"/>
                <w:sz w:val="18"/>
                <w:szCs w:val="18"/>
                <w:color w:val="auto"/>
              </w:rPr>
              <w:t>46</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745"/>
        </w:trPr>
        <w:tc>
          <w:tcPr>
            <w:tcW w:w="40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-1036320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We generate cash primarily from our operations to fund our operating, investing and financing activities. Our principal uses of cash are operating expenses, capital expenditures, working capital needs, debt service, dividends on common stock, stock repurchases and strategic growth initiatives, including investments, acquisitions and collaborations. Our ability to generate cash in the future and our future uses of cash are subject to general economic, financial, competitive, legislative, regulatory and other factors that may be beyond our control. We had total available cash and cash equivalents of $497 million and $1,495 million as of September 30, 2026 and December 31, 2025, respectively. Of the available cash and cash equivalents, $380 million was deposited in operating accounts and $ 117 million was primarily invested in U.S. government backed securities and time deposits as of September 30, 2026, compared to $1,361 million deposited in operating accounts and $134 million invested primarily in U.S. government backed securities and time deposits as of December 31, 2025.</w:t>
      </w:r>
    </w:p>
    <w:p>
      <w:pPr>
        <w:spacing w:after="0" w:line="72" w:lineRule="exact"/>
        <w:rPr>
          <w:sz w:val="20"/>
          <w:szCs w:val="20"/>
          <w:color w:val="auto"/>
        </w:rPr>
      </w:pPr>
    </w:p>
    <w:p>
      <w:pPr>
        <w:ind w:right="40" w:firstLine="494"/>
        <w:spacing w:after="0" w:line="247" w:lineRule="auto"/>
        <w:rPr>
          <w:sz w:val="20"/>
          <w:szCs w:val="20"/>
          <w:color w:val="auto"/>
        </w:rPr>
      </w:pPr>
      <w:r>
        <w:rPr>
          <w:rFonts w:ascii="Arial" w:cs="Arial" w:eastAsia="Arial" w:hAnsi="Arial"/>
          <w:sz w:val="18"/>
          <w:szCs w:val="18"/>
          <w:color w:val="auto"/>
        </w:rPr>
        <w:t>As of September 30, 2026, the total of cash held by foreign subsidiaries was $361 million, the majority of which was at our subsidiaries located in Switzerland, China and India. We manage our worldwide cash requirements considering available funds among the subsidiaries through which we conduct our business and the cost effectiveness with which those funds can be accessed. As a result, we do not currently anticipate that local liquidity restrictions will preclude us from funding our targeted initiatives or operating needs with local resources.</w:t>
      </w:r>
    </w:p>
    <w:p>
      <w:pPr>
        <w:spacing w:after="0" w:line="120" w:lineRule="exact"/>
        <w:rPr>
          <w:sz w:val="20"/>
          <w:szCs w:val="20"/>
          <w:color w:val="auto"/>
        </w:rPr>
      </w:pPr>
    </w:p>
    <w:p>
      <w:pPr>
        <w:ind w:right="100" w:firstLine="494"/>
        <w:spacing w:after="0" w:line="244" w:lineRule="auto"/>
        <w:rPr>
          <w:sz w:val="20"/>
          <w:szCs w:val="20"/>
          <w:color w:val="auto"/>
        </w:rPr>
      </w:pPr>
      <w:r>
        <w:rPr>
          <w:rFonts w:ascii="Arial" w:cs="Arial" w:eastAsia="Arial" w:hAnsi="Arial"/>
          <w:sz w:val="18"/>
          <w:szCs w:val="18"/>
          <w:color w:val="auto"/>
        </w:rPr>
        <w:t>We have not recognized any deferred tax liabilities associated with earnings in foreign subsidiaries, except for a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remaining deferred tax liabilities, if recorded, related to unremitted earnings that are indefinitely reinvested are not material.</w:t>
      </w:r>
    </w:p>
    <w:p>
      <w:pPr>
        <w:spacing w:after="0" w:line="122" w:lineRule="exact"/>
        <w:rPr>
          <w:sz w:val="20"/>
          <w:szCs w:val="20"/>
          <w:color w:val="auto"/>
        </w:rPr>
      </w:pPr>
    </w:p>
    <w:p>
      <w:pPr>
        <w:ind w:right="40" w:firstLine="494"/>
        <w:spacing w:after="0" w:line="237" w:lineRule="auto"/>
        <w:rPr>
          <w:sz w:val="20"/>
          <w:szCs w:val="20"/>
          <w:color w:val="auto"/>
        </w:rPr>
      </w:pPr>
      <w:r>
        <w:rPr>
          <w:rFonts w:ascii="Arial" w:cs="Arial" w:eastAsia="Arial" w:hAnsi="Arial"/>
          <w:sz w:val="18"/>
          <w:szCs w:val="18"/>
          <w:color w:val="auto"/>
        </w:rPr>
        <w:t>Our liquidity requirements are significant, primarily due to our debt service requirements. In January 2026, we and ATI entered into Amendment No. 5 to the Credit Agreement to increase the commitments under the existing Revolving Credit Facility from $750 million to $1,000 million and provide for the Incremental Term Loan in an aggregate principal amount equal to $ 1,200 million, which matures on January 2, 2033 with a springing maturity to the maturity date of the Term Loan in the event the Term Loan matures on any date prior to January 2, 2033. In June 2026, we and ATI entered into Amendment No. 6 to the Credit Agreement to lower the applicable margin on the Term Loan by 0.25%. As of September 30, 2026, we had $505 million of indebtedness associated with ATI’s Term Loan, $1,194 million of indebtedness associated with ATI's Incremental Term Loan, $300 million of indebtedness associated with ATI’s 4.75% Senior Notes due October 2027 (“4.75% Senior Notes”), $500 million of indebtedness associated with ATI’s 5.875% Senior Notes due June 2029 (“5.875% Senior Notes 2029”), $1,000 million of indebtedness associated with ATI’s 3.75% Senior Notes due January 2031 (“3.75% Senior Notes”) and $500 million of indebtedness associated with ATI's 5.875% Senior Notes 2033 (together with the 4.75% Senior Notes, 5.875% Senior Notes 2029 and 3.75% Senior Notes, the “Senior Notes”). Our short-term and long-term debt service liquidity requirements consist of $1 million of minimum required quarterly principal payments on ATI’s Term Loan through its maturity date of March 2031, $3 million of minimum required quarterly principal payments on ATI's Incremental Term Loan through its maturity date of January 2033 and periodic interest payments on ATI’s Term Loan, Incremental Term Loan, Revolving Credit Facility and the Senior Notes. There are no required quarterly principal payments on the Senior Notes. Our long-term debt service liquidity requirements also consist of the payment in full of any remaining principal balance of ATI’s Term Loan, Incremental Term Loan and Senior Notes and any borrowings under the Revolving Credit Facility upon their respective maturity dates.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firstLine="494"/>
        <w:spacing w:after="0" w:line="244" w:lineRule="auto"/>
        <w:rPr>
          <w:sz w:val="20"/>
          <w:szCs w:val="20"/>
          <w:color w:val="auto"/>
        </w:rPr>
      </w:pPr>
      <w:r>
        <w:rPr>
          <w:rFonts w:ascii="Arial" w:cs="Arial" w:eastAsia="Arial" w:hAnsi="Arial"/>
          <w:sz w:val="18"/>
          <w:szCs w:val="18"/>
          <w:color w:val="auto"/>
        </w:rPr>
        <w:t>We made $10 million of principal payments on the Term Loan and Incremental Term Loan during the nine months ended September 30, 2026 and $4 million of principal payments on the Term Loan during the nine months ended September 30, 2025. During the three months ended September 30,2026, we made a $100 million redemption payment on the 4.75% Senior Notes. Our ability to make payments on and refinance our indebtedness and to fund planned capital expenditures and growth initiatives will depend on our ability to generate cash in the future.</w:t>
      </w:r>
    </w:p>
    <w:p>
      <w:pPr>
        <w:spacing w:after="0" w:line="122"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The Senior Secured Credit Facility provides for a $ 1,000 million Revolving Credit Facility, net of an allowance for up to $75 million in outstanding letter of credit commitments. During the nine months ended September 30, 2026, the Company withdrew $300 million to partially fund the Acquisition and fully repaid the outstanding balance on the Revolving Credit Facility. The maximum amount outstanding at any time during the nine months ended September 30, 2026 was $300 million. As of September 30, 2026, we had $996 million available under the Revolving Credit Facility, net of $4 million in letters of credit. If we have commitments outstanding on the Revolving Credit Facility at the end of a fiscal quarter, the Senior Secured Credit Facility requires us to maintain a specified maximum first lien net leverage ratio of 5.50x. Additionally, within the terms of the Senior Secured Credit Facility, a first lien net leverage ratio at or below 4.00x results in the elimination of excess cash flow payments on the Senior Secured Credit Facility for the applicable year. As of September 30, 2026, our first lien net leverage ratio was 0.84x. The Senior Secured Credit Facility also provides certain financial incentives based on our first lien net leverage ratio. A first lien net leverage ratio at or below 4.00x and above 3.50x results in a 25 basis point reduction to the applicable margin on the Revolving Credit Facility. A first lien net leverage ratio at or below 3.50x results in an additional 25 basis point reduction to the applicable margin on the Revolving Credit Facility. These reductions remain in effect as long as we achieve a first lien net leverage ratio at or below the related threshold.</w:t>
      </w:r>
    </w:p>
    <w:p>
      <w:pPr>
        <w:spacing w:after="0" w:line="126"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September 30, 2026, we were in compliance with all covenants under the Senior Secured Credit Facility and indentures governing the Senior Notes.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credit ratings and outlook are reviewed periodically by Moody’s Ratings (“Moody’s”) and Fitch Ratings, Inc. (“Fitch”).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2026, our credit ratings from both Moody's and Fitch are shown in the table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Credit Ratings</w:t>
            </w:r>
          </w:p>
        </w:tc>
        <w:tc>
          <w:tcPr>
            <w:tcW w:w="170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 2026</w:t>
            </w:r>
          </w:p>
        </w:tc>
        <w:tc>
          <w:tcPr>
            <w:tcW w:w="0" w:type="dxa"/>
            <w:vAlign w:val="bottom"/>
          </w:tcPr>
          <w:p>
            <w:pPr>
              <w:spacing w:after="0"/>
              <w:rPr>
                <w:sz w:val="1"/>
                <w:szCs w:val="1"/>
                <w:color w:val="auto"/>
              </w:rPr>
            </w:pPr>
          </w:p>
        </w:tc>
      </w:tr>
      <w:tr>
        <w:trPr>
          <w:trHeight w:val="155"/>
        </w:trPr>
        <w:tc>
          <w:tcPr>
            <w:tcW w:w="6120" w:type="dxa"/>
            <w:vAlign w:val="bottom"/>
            <w:vMerge w:val="continue"/>
          </w:tcPr>
          <w:p>
            <w:pPr>
              <w:spacing w:after="0"/>
              <w:rPr>
                <w:sz w:val="13"/>
                <w:szCs w:val="13"/>
                <w:color w:val="auto"/>
              </w:rPr>
            </w:pPr>
          </w:p>
        </w:tc>
        <w:tc>
          <w:tcPr>
            <w:tcW w:w="1700" w:type="dxa"/>
            <w:vAlign w:val="bottom"/>
            <w:tcBorders>
              <w:bottom w:val="single" w:sz="8" w:color="auto"/>
            </w:tcBorders>
          </w:tcPr>
          <w:p>
            <w:pPr>
              <w:ind w:left="960"/>
              <w:spacing w:after="0" w:line="155" w:lineRule="exact"/>
              <w:rPr>
                <w:sz w:val="20"/>
                <w:szCs w:val="20"/>
                <w:color w:val="auto"/>
              </w:rPr>
            </w:pPr>
            <w:r>
              <w:rPr>
                <w:rFonts w:ascii="Arial" w:cs="Arial" w:eastAsia="Arial" w:hAnsi="Arial"/>
                <w:sz w:val="14"/>
                <w:szCs w:val="14"/>
                <w:b w:val="1"/>
                <w:bCs w:val="1"/>
                <w:color w:val="auto"/>
              </w:rPr>
              <w:t>Moody's</w:t>
            </w:r>
          </w:p>
        </w:tc>
        <w:tc>
          <w:tcPr>
            <w:tcW w:w="7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Fitch</w:t>
            </w:r>
          </w:p>
        </w:tc>
        <w:tc>
          <w:tcPr>
            <w:tcW w:w="0" w:type="dxa"/>
            <w:vAlign w:val="bottom"/>
          </w:tcPr>
          <w:p>
            <w:pPr>
              <w:spacing w:after="0"/>
              <w:rPr>
                <w:sz w:val="1"/>
                <w:szCs w:val="1"/>
                <w:color w:val="auto"/>
              </w:rPr>
            </w:pPr>
          </w:p>
        </w:tc>
      </w:tr>
      <w:tr>
        <w:trPr>
          <w:trHeight w:val="196"/>
        </w:trPr>
        <w:tc>
          <w:tcPr>
            <w:tcW w:w="6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Corporate Credit</w:t>
            </w:r>
          </w:p>
        </w:tc>
        <w:tc>
          <w:tcPr>
            <w:tcW w:w="1700" w:type="dxa"/>
            <w:vAlign w:val="bottom"/>
            <w:shd w:val="clear" w:color="auto" w:fill="CFF0FC"/>
          </w:tcPr>
          <w:p>
            <w:pPr>
              <w:jc w:val="center"/>
              <w:ind w:left="692"/>
              <w:spacing w:after="0" w:line="196" w:lineRule="exact"/>
              <w:rPr>
                <w:sz w:val="20"/>
                <w:szCs w:val="20"/>
                <w:color w:val="auto"/>
              </w:rPr>
            </w:pPr>
            <w:r>
              <w:rPr>
                <w:rFonts w:ascii="Arial" w:cs="Arial" w:eastAsia="Arial" w:hAnsi="Arial"/>
                <w:sz w:val="18"/>
                <w:szCs w:val="18"/>
                <w:color w:val="auto"/>
                <w:w w:val="99"/>
              </w:rPr>
              <w:t>Ba1</w:t>
            </w: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3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8"/>
              </w:rPr>
              <w:t>BB+</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Term Loan, due 2031</w:t>
            </w:r>
          </w:p>
        </w:tc>
        <w:tc>
          <w:tcPr>
            <w:tcW w:w="1700" w:type="dxa"/>
            <w:vAlign w:val="bottom"/>
          </w:tcPr>
          <w:p>
            <w:pPr>
              <w:jc w:val="center"/>
              <w:ind w:left="672"/>
              <w:spacing w:after="0" w:line="202" w:lineRule="exact"/>
              <w:rPr>
                <w:sz w:val="20"/>
                <w:szCs w:val="20"/>
                <w:color w:val="auto"/>
              </w:rPr>
            </w:pPr>
            <w:r>
              <w:rPr>
                <w:rFonts w:ascii="Arial" w:cs="Arial" w:eastAsia="Arial" w:hAnsi="Arial"/>
                <w:sz w:val="18"/>
                <w:szCs w:val="18"/>
                <w:color w:val="auto"/>
                <w:w w:val="99"/>
              </w:rPr>
              <w:t>Baa2</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tcPr>
          <w:p>
            <w:pPr>
              <w:jc w:val="center"/>
              <w:spacing w:after="0" w:line="202" w:lineRule="exact"/>
              <w:rPr>
                <w:sz w:val="20"/>
                <w:szCs w:val="20"/>
                <w:color w:val="auto"/>
              </w:rPr>
            </w:pPr>
            <w:r>
              <w:rPr>
                <w:rFonts w:ascii="Arial" w:cs="Arial" w:eastAsia="Arial" w:hAnsi="Arial"/>
                <w:sz w:val="18"/>
                <w:szCs w:val="18"/>
                <w:color w:val="auto"/>
                <w:w w:val="99"/>
              </w:rPr>
              <w:t>BBB-</w:t>
            </w:r>
          </w:p>
        </w:tc>
        <w:tc>
          <w:tcPr>
            <w:tcW w:w="0" w:type="dxa"/>
            <w:vAlign w:val="bottom"/>
          </w:tcPr>
          <w:p>
            <w:pPr>
              <w:spacing w:after="0"/>
              <w:rPr>
                <w:sz w:val="1"/>
                <w:szCs w:val="1"/>
                <w:color w:val="auto"/>
              </w:rPr>
            </w:pPr>
          </w:p>
        </w:tc>
      </w:tr>
      <w:tr>
        <w:trPr>
          <w:trHeight w:val="203"/>
        </w:trPr>
        <w:tc>
          <w:tcPr>
            <w:tcW w:w="6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4.75% Senior Notes, due 2027</w:t>
            </w:r>
          </w:p>
        </w:tc>
        <w:tc>
          <w:tcPr>
            <w:tcW w:w="1700" w:type="dxa"/>
            <w:vAlign w:val="bottom"/>
            <w:shd w:val="clear" w:color="auto" w:fill="CFF0FC"/>
          </w:tcPr>
          <w:p>
            <w:pPr>
              <w:jc w:val="center"/>
              <w:ind w:left="692"/>
              <w:spacing w:after="0" w:line="202" w:lineRule="exact"/>
              <w:rPr>
                <w:sz w:val="20"/>
                <w:szCs w:val="20"/>
                <w:color w:val="auto"/>
              </w:rPr>
            </w:pPr>
            <w:r>
              <w:rPr>
                <w:rFonts w:ascii="Arial" w:cs="Arial" w:eastAsia="Arial" w:hAnsi="Arial"/>
                <w:sz w:val="18"/>
                <w:szCs w:val="18"/>
                <w:color w:val="auto"/>
                <w:w w:val="99"/>
              </w:rPr>
              <w:t>Ba2</w:t>
            </w: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3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8"/>
              </w:rPr>
              <w:t>BB+</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5.875% Senior Notes, due 2029</w:t>
            </w:r>
          </w:p>
        </w:tc>
        <w:tc>
          <w:tcPr>
            <w:tcW w:w="1700" w:type="dxa"/>
            <w:vAlign w:val="bottom"/>
          </w:tcPr>
          <w:p>
            <w:pPr>
              <w:jc w:val="center"/>
              <w:ind w:left="692"/>
              <w:spacing w:after="0" w:line="202" w:lineRule="exact"/>
              <w:rPr>
                <w:sz w:val="20"/>
                <w:szCs w:val="20"/>
                <w:color w:val="auto"/>
              </w:rPr>
            </w:pPr>
            <w:r>
              <w:rPr>
                <w:rFonts w:ascii="Arial" w:cs="Arial" w:eastAsia="Arial" w:hAnsi="Arial"/>
                <w:sz w:val="18"/>
                <w:szCs w:val="18"/>
                <w:color w:val="auto"/>
                <w:w w:val="99"/>
              </w:rPr>
              <w:t>Ba2</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tcPr>
          <w:p>
            <w:pPr>
              <w:jc w:val="center"/>
              <w:spacing w:after="0" w:line="202" w:lineRule="exact"/>
              <w:rPr>
                <w:sz w:val="20"/>
                <w:szCs w:val="20"/>
                <w:color w:val="auto"/>
              </w:rPr>
            </w:pPr>
            <w:r>
              <w:rPr>
                <w:rFonts w:ascii="Arial" w:cs="Arial" w:eastAsia="Arial" w:hAnsi="Arial"/>
                <w:sz w:val="18"/>
                <w:szCs w:val="18"/>
                <w:color w:val="auto"/>
                <w:w w:val="98"/>
              </w:rPr>
              <w:t>BB+</w:t>
            </w:r>
          </w:p>
        </w:tc>
        <w:tc>
          <w:tcPr>
            <w:tcW w:w="0" w:type="dxa"/>
            <w:vAlign w:val="bottom"/>
          </w:tcPr>
          <w:p>
            <w:pPr>
              <w:spacing w:after="0"/>
              <w:rPr>
                <w:sz w:val="1"/>
                <w:szCs w:val="1"/>
                <w:color w:val="auto"/>
              </w:rPr>
            </w:pPr>
          </w:p>
        </w:tc>
      </w:tr>
      <w:tr>
        <w:trPr>
          <w:trHeight w:val="203"/>
        </w:trPr>
        <w:tc>
          <w:tcPr>
            <w:tcW w:w="6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3.75% Senior Notes, due 2031</w:t>
            </w:r>
          </w:p>
        </w:tc>
        <w:tc>
          <w:tcPr>
            <w:tcW w:w="1700" w:type="dxa"/>
            <w:vAlign w:val="bottom"/>
            <w:shd w:val="clear" w:color="auto" w:fill="CFF0FC"/>
          </w:tcPr>
          <w:p>
            <w:pPr>
              <w:jc w:val="center"/>
              <w:ind w:left="692"/>
              <w:spacing w:after="0" w:line="202" w:lineRule="exact"/>
              <w:rPr>
                <w:sz w:val="20"/>
                <w:szCs w:val="20"/>
                <w:color w:val="auto"/>
              </w:rPr>
            </w:pPr>
            <w:r>
              <w:rPr>
                <w:rFonts w:ascii="Arial" w:cs="Arial" w:eastAsia="Arial" w:hAnsi="Arial"/>
                <w:sz w:val="18"/>
                <w:szCs w:val="18"/>
                <w:color w:val="auto"/>
                <w:w w:val="99"/>
              </w:rPr>
              <w:t>Ba2</w:t>
            </w: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3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8"/>
              </w:rPr>
              <w:t>BB+</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5.875% Senior Notes, due 2033</w:t>
            </w:r>
          </w:p>
        </w:tc>
        <w:tc>
          <w:tcPr>
            <w:tcW w:w="1700" w:type="dxa"/>
            <w:vAlign w:val="bottom"/>
          </w:tcPr>
          <w:p>
            <w:pPr>
              <w:jc w:val="center"/>
              <w:ind w:left="692"/>
              <w:spacing w:after="0" w:line="202" w:lineRule="exact"/>
              <w:rPr>
                <w:sz w:val="20"/>
                <w:szCs w:val="20"/>
                <w:color w:val="auto"/>
              </w:rPr>
            </w:pPr>
            <w:r>
              <w:rPr>
                <w:rFonts w:ascii="Arial" w:cs="Arial" w:eastAsia="Arial" w:hAnsi="Arial"/>
                <w:sz w:val="18"/>
                <w:szCs w:val="18"/>
                <w:color w:val="auto"/>
                <w:w w:val="99"/>
              </w:rPr>
              <w:t>Ba2</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tcPr>
          <w:p>
            <w:pPr>
              <w:jc w:val="center"/>
              <w:spacing w:after="0" w:line="202" w:lineRule="exact"/>
              <w:rPr>
                <w:sz w:val="20"/>
                <w:szCs w:val="20"/>
                <w:color w:val="auto"/>
              </w:rPr>
            </w:pPr>
            <w:r>
              <w:rPr>
                <w:rFonts w:ascii="Arial" w:cs="Arial" w:eastAsia="Arial" w:hAnsi="Arial"/>
                <w:sz w:val="18"/>
                <w:szCs w:val="18"/>
                <w:color w:val="auto"/>
                <w:w w:val="98"/>
              </w:rPr>
              <w:t>BB+</w:t>
            </w:r>
          </w:p>
        </w:tc>
        <w:tc>
          <w:tcPr>
            <w:tcW w:w="0" w:type="dxa"/>
            <w:vAlign w:val="bottom"/>
          </w:tcPr>
          <w:p>
            <w:pPr>
              <w:spacing w:after="0"/>
              <w:rPr>
                <w:sz w:val="1"/>
                <w:szCs w:val="1"/>
                <w:color w:val="auto"/>
              </w:rPr>
            </w:pPr>
          </w:p>
        </w:tc>
      </w:tr>
      <w:tr>
        <w:trPr>
          <w:trHeight w:val="203"/>
        </w:trPr>
        <w:tc>
          <w:tcPr>
            <w:tcW w:w="6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Incremental Term Loan, due 2033</w:t>
            </w:r>
          </w:p>
        </w:tc>
        <w:tc>
          <w:tcPr>
            <w:tcW w:w="1700" w:type="dxa"/>
            <w:vAlign w:val="bottom"/>
            <w:shd w:val="clear" w:color="auto" w:fill="CFF0FC"/>
          </w:tcPr>
          <w:p>
            <w:pPr>
              <w:jc w:val="center"/>
              <w:ind w:left="672"/>
              <w:spacing w:after="0" w:line="202" w:lineRule="exact"/>
              <w:rPr>
                <w:sz w:val="20"/>
                <w:szCs w:val="20"/>
                <w:color w:val="auto"/>
              </w:rPr>
            </w:pPr>
            <w:r>
              <w:rPr>
                <w:rFonts w:ascii="Arial" w:cs="Arial" w:eastAsia="Arial" w:hAnsi="Arial"/>
                <w:sz w:val="18"/>
                <w:szCs w:val="18"/>
                <w:color w:val="auto"/>
                <w:w w:val="99"/>
              </w:rPr>
              <w:t>Baa2</w:t>
            </w: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3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BBB-</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right="140" w:firstLine="494"/>
        <w:spacing w:after="0" w:line="253" w:lineRule="auto"/>
        <w:rPr>
          <w:sz w:val="20"/>
          <w:szCs w:val="20"/>
          <w:color w:val="auto"/>
        </w:rPr>
      </w:pPr>
      <w:r>
        <w:rPr>
          <w:rFonts w:ascii="Arial" w:cs="Arial" w:eastAsia="Arial" w:hAnsi="Arial"/>
          <w:sz w:val="18"/>
          <w:szCs w:val="18"/>
          <w:color w:val="auto"/>
        </w:rPr>
        <w:t>On February 20, 2025, our Board of Directors authorized us to repurchase an additional $1,000 million of our common stock pursuant to our stock repurchase program (the "Repurchase Program"), bringing the total amount authorized pursuant to the Repurchase Program to $5,000 million. During the nine months ended September 30,</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2026, we repurchased $124 million of our common stock under the Repurchase Program. Substantially all of the repurchase transactions during the nine months ended September 30, 2026 were settled in cash during the same period. As of September 30, 2026, we had approximately $1,068 million available under the Repurchase Program.</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sources and uses of funds for the nine months ended September 30, 2026 and 2025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Statements of Cash Flows Data</w:t>
            </w: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60" w:type="dxa"/>
            <w:vAlign w:val="bottom"/>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59"/>
              <w:spacing w:after="0" w:line="155" w:lineRule="exact"/>
              <w:rPr>
                <w:sz w:val="20"/>
                <w:szCs w:val="20"/>
                <w:color w:val="auto"/>
              </w:rPr>
            </w:pPr>
            <w:r>
              <w:rPr>
                <w:rFonts w:ascii="Arial" w:cs="Arial" w:eastAsia="Arial" w:hAnsi="Arial"/>
                <w:sz w:val="14"/>
                <w:szCs w:val="14"/>
                <w:b w:val="1"/>
                <w:bCs w:val="1"/>
                <w:color w:val="auto"/>
              </w:rPr>
              <w:t>2026</w:t>
            </w:r>
          </w:p>
        </w:tc>
        <w:tc>
          <w:tcPr>
            <w:tcW w:w="1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flows provided by operating activities</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b w:val="1"/>
                <w:bCs w:val="1"/>
                <w:color w:val="auto"/>
              </w:rPr>
              <w:t>811</w:t>
            </w:r>
          </w:p>
        </w:tc>
        <w:tc>
          <w:tcPr>
            <w:tcW w:w="720" w:type="dxa"/>
            <w:vAlign w:val="bottom"/>
            <w:gridSpan w:val="2"/>
            <w:shd w:val="clear" w:color="auto" w:fill="CFF0FC"/>
          </w:tcPr>
          <w:p>
            <w:pPr>
              <w:jc w:val="right"/>
              <w:ind w:right="46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Cash flows used for investing activities</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(2,679)</w:t>
            </w:r>
          </w:p>
        </w:tc>
        <w:tc>
          <w:tcPr>
            <w:tcW w:w="7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flows provided by (used for) financing activities</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FF0FC"/>
          </w:tcPr>
          <w:p>
            <w:pPr>
              <w:jc w:val="right"/>
              <w:ind w:right="39"/>
              <w:spacing w:after="0" w:line="202" w:lineRule="exact"/>
              <w:rPr>
                <w:sz w:val="20"/>
                <w:szCs w:val="20"/>
                <w:color w:val="auto"/>
              </w:rPr>
            </w:pPr>
            <w:r>
              <w:rPr>
                <w:rFonts w:ascii="Arial" w:cs="Arial" w:eastAsia="Arial" w:hAnsi="Arial"/>
                <w:sz w:val="18"/>
                <w:szCs w:val="18"/>
                <w:b w:val="1"/>
                <w:bCs w:val="1"/>
                <w:color w:val="auto"/>
              </w:rPr>
              <w:t>874</w:t>
            </w:r>
          </w:p>
        </w:tc>
        <w:tc>
          <w:tcPr>
            <w:tcW w:w="720" w:type="dxa"/>
            <w:vAlign w:val="bottom"/>
            <w:gridSpan w:val="2"/>
            <w:shd w:val="clear" w:color="auto" w:fill="CFF0FC"/>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firstLine="494"/>
        <w:spacing w:after="0" w:line="244" w:lineRule="auto"/>
        <w:rPr>
          <w:sz w:val="20"/>
          <w:szCs w:val="20"/>
          <w:color w:val="auto"/>
        </w:rPr>
      </w:pPr>
      <w:r>
        <w:rPr>
          <w:rFonts w:ascii="Arial" w:cs="Arial" w:eastAsia="Arial" w:hAnsi="Arial"/>
          <w:sz w:val="18"/>
          <w:szCs w:val="18"/>
          <w:color w:val="auto"/>
        </w:rPr>
        <w:t>Generally, cash provided by operating activities has been adequate to fund our operations. We have significant liquidity, including $497 million of cash and cash equivalents and $996 million available under the Revolving Credit Facility, net of $4 million of letters of credit, as of September 30, 2026. At this time, we believe cash provided by operating activities, cash and cash equivalents and borrowing capacity under the Revolving Credit Facility will be sufficient to meet our known and anticipated cash requirements for the next twelve months and thereafter.</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02" w:lineRule="exact"/>
        <w:rPr>
          <w:sz w:val="20"/>
          <w:szCs w:val="20"/>
          <w:color w:val="auto"/>
        </w:rPr>
      </w:pPr>
    </w:p>
    <w:p>
      <w:pPr>
        <w:ind w:right="200" w:firstLine="494"/>
        <w:spacing w:after="0" w:line="247" w:lineRule="auto"/>
        <w:rPr>
          <w:sz w:val="20"/>
          <w:szCs w:val="20"/>
          <w:color w:val="auto"/>
        </w:rPr>
      </w:pPr>
      <w:r>
        <w:rPr>
          <w:rFonts w:ascii="Arial" w:cs="Arial" w:eastAsia="Arial" w:hAnsi="Arial"/>
          <w:sz w:val="18"/>
          <w:szCs w:val="18"/>
          <w:color w:val="auto"/>
        </w:rPr>
        <w:t>Operating activities for the nine months ended September 30, 2026 generated $811 million of cash compared to $593 million for the nine months ended September 30, 2025. The increase was principally driven by higher gross profit and lower cash incentive compensation payments, partially offset by higher cash interest expense, higher cash income taxes, higher working capital funding requirements and increased payments for expenses related to the Acquisition.</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02" w:lineRule="exact"/>
        <w:rPr>
          <w:sz w:val="20"/>
          <w:szCs w:val="20"/>
          <w:color w:val="auto"/>
        </w:rPr>
      </w:pPr>
    </w:p>
    <w:p>
      <w:pPr>
        <w:ind w:right="220" w:firstLine="499"/>
        <w:spacing w:after="0" w:line="271" w:lineRule="auto"/>
        <w:rPr>
          <w:sz w:val="20"/>
          <w:szCs w:val="20"/>
          <w:color w:val="auto"/>
        </w:rPr>
      </w:pPr>
      <w:r>
        <w:rPr>
          <w:rFonts w:ascii="Arial" w:cs="Arial" w:eastAsia="Arial" w:hAnsi="Arial"/>
          <w:sz w:val="18"/>
          <w:szCs w:val="18"/>
          <w:color w:val="auto"/>
        </w:rPr>
        <w:t>Investing activities for the nine months ended September 30, 2026 used $2,679 million of cash compared to $108 million for the nine months ended September 30, 2025. The increase was principally driven by the Acquisition and increased capital expenditures.</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provided by (used for) financing activities</w:t>
      </w:r>
    </w:p>
    <w:p>
      <w:pPr>
        <w:spacing w:after="0" w:line="102" w:lineRule="exact"/>
        <w:rPr>
          <w:sz w:val="20"/>
          <w:szCs w:val="20"/>
          <w:color w:val="auto"/>
        </w:rPr>
      </w:pPr>
    </w:p>
    <w:p>
      <w:pPr>
        <w:ind w:right="160" w:firstLine="494"/>
        <w:spacing w:after="0" w:line="247" w:lineRule="auto"/>
        <w:rPr>
          <w:sz w:val="20"/>
          <w:szCs w:val="20"/>
          <w:color w:val="auto"/>
        </w:rPr>
      </w:pPr>
      <w:r>
        <w:rPr>
          <w:rFonts w:ascii="Arial" w:cs="Arial" w:eastAsia="Arial" w:hAnsi="Arial"/>
          <w:sz w:val="18"/>
          <w:szCs w:val="18"/>
          <w:color w:val="auto"/>
        </w:rPr>
        <w:t>Financing activities for the nine months ended September 30, 2026 provided $874 million of cash compared to using $368 million for the nine months ended September 30, 2025. The change was principally driven by $1,200 million of proceeds from the Incremental Term Loan and $159 million of lower stock repurchases under the Repurchase Program, partially offset by a $100 million redemption payment on the 4.75% Senior Notes during the third quarter of 2026.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04" w:lineRule="exact"/>
        <w:rPr>
          <w:sz w:val="20"/>
          <w:szCs w:val="20"/>
          <w:color w:val="auto"/>
        </w:rPr>
      </w:pPr>
    </w:p>
    <w:p>
      <w:pPr>
        <w:ind w:right="220" w:firstLine="494"/>
        <w:spacing w:after="0" w:line="247" w:lineRule="auto"/>
        <w:rPr>
          <w:sz w:val="20"/>
          <w:szCs w:val="20"/>
          <w:color w:val="auto"/>
        </w:rPr>
      </w:pPr>
      <w:r>
        <w:rPr>
          <w:rFonts w:ascii="Arial" w:cs="Arial" w:eastAsia="Arial" w:hAnsi="Arial"/>
          <w:sz w:val="18"/>
          <w:szCs w:val="18"/>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Q. Commitments and Contingencies” of our condensed consolidated financial statements included in Part I, Item 1 of this Quarterly Report on Form 10-Q.</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04"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A discussion of our critical accounting estimates is included in Part II, Item 7, “Management’s Discussion and Analysis of Financial Condition and Results of Operations” in our 2025 Annual Report on Form 10-K.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estimates being reported for the three and nine months ended September 30, 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C. Summary of Significant Accounting Policies” in Part I, Item 1, of this Quarterly Report on Form 10-Q.</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4"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the significant costs we are expected to incur in connection with the integration of the Acquired Off-Highway Business; our ability to successfully integrate the Acquired Off-Highway Business and its operations in the expected time frame; our ability to realize all of the anticipated benefits from the integration of the Acquired Off-Highway Business and its operations and to effectively manage our expanded operations; our participation in markets that are competitive; our ability to prepare for, respond to and successfully achieve our objectives relating to technological and market developments, competitive threats and changing customer needs, including with respect to electric hybrid and fully electric commercial vehicles; increases in cost, disruption of supply or shortage of labor, freight, raw materials, energy or components used to manufacture or transport our products or those of our customers or suppliers, including as a result of geopolitical risks, natural disasters, extreme weather events, wars and public health crises such as pandemics; global economic volatility; general economic and industry conditions, including the risk of prolonged inflation and recession; labor strikes, work stoppages or similar labor disputes, which could significantly disrupt our operations or those of our principal customers or suppliers; the highly cyclical industries in which certain of our end users operate; uncertainty in the global regulatory and business environments in which we operate; the concentration of our net sales in our top five customers and the loss of any one of these customers; cybersecurity risks to our operational systems, security systems or infrastructure owned by us or our third-party vendors and suppliers; the failure of markets outside North America to increase adoption of fully automatic transmissions; the success of our research and development efforts, the outcome of which is uncertain; U.S. and foreign defense spending; risks associated with our international operations, including acts of war and increased trade protectionism and tariffs; the discovery of defects in our products, resulting in delays in new model launches, recall campaigns and/or increased warranty costs and reduction in future sales or damage to our brand and reputation; our ability to identify, consummate and effectively integrate acquisitions and collaborations; and risks related to our indebtedness.</w:t>
      </w:r>
    </w:p>
    <w:p>
      <w:pPr>
        <w:spacing w:after="0" w:line="81" w:lineRule="exact"/>
        <w:rPr>
          <w:sz w:val="20"/>
          <w:szCs w:val="20"/>
          <w:color w:val="auto"/>
        </w:rPr>
      </w:pPr>
    </w:p>
    <w:p>
      <w:pPr>
        <w:ind w:right="180" w:firstLine="494"/>
        <w:spacing w:after="0" w:line="244"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in Part I, Item 1A of our 2025 Annual Report on Form 10-K and Part II, Item 1A of this Quarterly Report on Form 10-Q. All written and oral forward-looking statements attributable to us, or persons acting on our behalf, are expressly qualified in their entirety by these cautionary statements as well as other cautionary statements that are made from time to time in our other SEC filings or public communications. You should evaluate all forward-looking statements made in this Quarterly Report on Form 10-Q in the context of these risks and uncertainties.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9" w:lineRule="exact"/>
        <w:rPr>
          <w:sz w:val="20"/>
          <w:szCs w:val="20"/>
          <w:color w:val="auto"/>
        </w:rPr>
      </w:pPr>
    </w:p>
    <w:p>
      <w:pPr>
        <w:ind w:right="380" w:firstLine="499"/>
        <w:spacing w:after="0" w:line="271" w:lineRule="auto"/>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2" w:lineRule="exact"/>
        <w:rPr>
          <w:sz w:val="20"/>
          <w:szCs w:val="20"/>
          <w:color w:val="auto"/>
        </w:rPr>
      </w:pPr>
    </w:p>
    <w:p>
      <w:pPr>
        <w:ind w:right="40" w:firstLine="494"/>
        <w:spacing w:after="0" w:line="244" w:lineRule="auto"/>
        <w:rPr>
          <w:sz w:val="20"/>
          <w:szCs w:val="20"/>
          <w:color w:val="auto"/>
        </w:rPr>
      </w:pPr>
      <w:r>
        <w:rPr>
          <w:rFonts w:ascii="Arial" w:cs="Arial" w:eastAsia="Arial" w:hAnsi="Arial"/>
          <w:sz w:val="18"/>
          <w:szCs w:val="18"/>
          <w:color w:val="auto"/>
        </w:rPr>
        <w:t>Our principal interest rate exposure relates to outstanding amounts under our Senior Secured Credit Facility. Our Senior Secured Credit Facility provides for variable rate borrowings of up to $2,695 million, including our $505 million Term Loan, $1,194 million Incremental Term Loan and $996 million available under our Revolving Credit Facility, net of $4 million of letters of credit. A one-eighth percent increase or decrease in assumed interest rates for the Senior Secured Credit Facility, if fully drawn as of September 30, 2026, would have an impact of approximately $3 million on interest expense per year.</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02"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We conduct business in various locations throughout the world and transact in numerous foreign currencies. As a result, we are exposed to volatility in our results of operations related to movements in foreign currency exchange rates. The U.S. dollar is our reporting currency, but the functional currencies of our foreign subsidiaries are primarily the local currency in the country of domicile or the currency in which the subsidiary conducts its operations. To help manage these transaction and translation exposures to exchange rate changes, we have entered into cross-currency swap contracts and foreign exchange forward contracts. Our cross-currency swap contracts effectively hedge the euro exposure associated with our net investment in our euro-functional subsidiaries and our foreign exchange forward contracts hedge forecasted foreign currency cash flows and foreign currency exposure on the Company's Condensed Consolidated Balance Sheets. As appropriate, we will designate these derivative financial instruments as hedges that qualify for hedge accounting. See “Note H. Derivatives” for further information on our derivatives.</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02" w:lineRule="exact"/>
        <w:rPr>
          <w:sz w:val="20"/>
          <w:szCs w:val="20"/>
          <w:color w:val="auto"/>
        </w:rPr>
      </w:pPr>
    </w:p>
    <w:p>
      <w:pPr>
        <w:ind w:firstLine="499"/>
        <w:spacing w:after="0" w:line="242" w:lineRule="auto"/>
        <w:rPr>
          <w:sz w:val="20"/>
          <w:szCs w:val="20"/>
          <w:color w:val="auto"/>
        </w:rPr>
      </w:pPr>
      <w:r>
        <w:rPr>
          <w:rFonts w:ascii="Arial" w:cs="Arial" w:eastAsia="Arial" w:hAnsi="Arial"/>
          <w:sz w:val="18"/>
          <w:szCs w:val="18"/>
          <w:color w:val="auto"/>
        </w:rPr>
        <w:t>We are subject to changes in our cost of sales caused by movements in underlying commodity prices. As of September 30, 2026, approximately 65% of our cost of sales consisted of purchased components. A substantial portion of the purchased parts are made of aluminum, steel and iron. The cost of aluminum parts includes an adjustment factor on future purchases for fluctuations in aluminum prices based on accepted industry indices. In addition, a substantial amount of iron- and steel-based contracts also include an index-based component. As our costs change, we are able to pass through a portion of the changes in commodity prices to certain of our customers according to our LTAs. We historically have not entered into long-term purchase contracts related to the purchase of aluminum, steel or iron.</w:t>
      </w: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4" w:lineRule="exact"/>
        <w:rPr>
          <w:sz w:val="20"/>
          <w:szCs w:val="20"/>
          <w:color w:val="auto"/>
        </w:rPr>
      </w:pPr>
    </w:p>
    <w:p>
      <w:pPr>
        <w:ind w:firstLine="499"/>
        <w:spacing w:after="0" w:line="239" w:lineRule="auto"/>
        <w:rPr>
          <w:sz w:val="20"/>
          <w:szCs w:val="20"/>
          <w:color w:val="auto"/>
        </w:rPr>
      </w:pPr>
      <w:r>
        <w:rPr>
          <w:rFonts w:ascii="Arial" w:cs="Arial" w:eastAsia="Arial" w:hAnsi="Arial"/>
          <w:sz w:val="18"/>
          <w:szCs w:val="18"/>
          <w:color w:val="auto"/>
        </w:rPr>
        <w:t>Our management, with the participation of our Chief Executive Officer, who is our principal executive officer, and our Chief Financial Officer, who is our principal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As permitted by SEC guidance for newly acquired businesses, the evaluation did not include an assessment of those disclosure controls and procedures that are subsumed by, and did not include an assessment of internal control over financial reporting as it relates to, Allison Off-Highway, which was acquired on January 1, 2026.</w:t>
      </w:r>
    </w:p>
    <w:p>
      <w:pPr>
        <w:spacing w:after="0" w:line="72" w:lineRule="exact"/>
        <w:rPr>
          <w:sz w:val="20"/>
          <w:szCs w:val="20"/>
          <w:color w:val="auto"/>
        </w:rPr>
      </w:pPr>
    </w:p>
    <w:p>
      <w:pPr>
        <w:ind w:firstLine="499"/>
        <w:spacing w:after="0" w:line="244" w:lineRule="auto"/>
        <w:rPr>
          <w:sz w:val="20"/>
          <w:szCs w:val="20"/>
          <w:color w:val="auto"/>
        </w:rPr>
      </w:pPr>
      <w:r>
        <w:rPr>
          <w:rFonts w:ascii="Arial" w:cs="Arial" w:eastAsia="Arial" w:hAnsi="Arial"/>
          <w:sz w:val="18"/>
          <w:szCs w:val="18"/>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ind w:firstLine="499"/>
        <w:spacing w:after="0" w:line="253" w:lineRule="auto"/>
        <w:rPr>
          <w:sz w:val="20"/>
          <w:szCs w:val="20"/>
          <w:color w:val="auto"/>
        </w:rPr>
      </w:pPr>
      <w:r>
        <w:rPr>
          <w:rFonts w:ascii="Arial" w:cs="Arial" w:eastAsia="Arial" w:hAnsi="Arial"/>
          <w:sz w:val="18"/>
          <w:szCs w:val="18"/>
          <w:color w:val="auto"/>
        </w:rPr>
        <w:t>Except as set forth below, 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61" w:lineRule="exact"/>
        <w:rPr>
          <w:sz w:val="20"/>
          <w:szCs w:val="20"/>
          <w:color w:val="auto"/>
        </w:rPr>
      </w:pPr>
    </w:p>
    <w:p>
      <w:pPr>
        <w:ind w:right="180" w:firstLine="499"/>
        <w:spacing w:after="0" w:line="242" w:lineRule="auto"/>
        <w:rPr>
          <w:sz w:val="20"/>
          <w:szCs w:val="20"/>
          <w:color w:val="auto"/>
        </w:rPr>
      </w:pPr>
      <w:r>
        <w:rPr>
          <w:rFonts w:ascii="Arial" w:cs="Arial" w:eastAsia="Arial" w:hAnsi="Arial"/>
          <w:sz w:val="18"/>
          <w:szCs w:val="18"/>
          <w:color w:val="auto"/>
        </w:rPr>
        <w:t>On January 1, 2026, we completed the Acquisition. As part of our ongoing integration of the Acquired Off-Highway Business, we are continuing to incorporate our controls and procedures and to augment our company-wide controls to reflect the risks inherent in an acquisition of this type. As permitted by the SEC guidance for newly acquired businesses, our report on our internal control over financial reporting in our Annual Report on Form 10-K for the year ending December 31, 2026, will include a scope exception that excludes Allison Off-Highway in order for management to have sufficient time to evaluate and implement our internal control structure over the operations of the business.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ind w:right="80" w:firstLine="499"/>
        <w:spacing w:after="0" w:line="266" w:lineRule="auto"/>
        <w:rPr>
          <w:sz w:val="20"/>
          <w:szCs w:val="20"/>
          <w:color w:val="auto"/>
        </w:rPr>
      </w:pPr>
      <w:r>
        <w:rPr>
          <w:rFonts w:ascii="Arial" w:cs="Arial" w:eastAsia="Arial" w:hAnsi="Arial"/>
          <w:sz w:val="17"/>
          <w:szCs w:val="17"/>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Information pertaining to legal proceedings can be found in "Note Q. Commitments and Contingencies” in the notes to the condensed consolidated financial statements included in Part I, Item 1 of this Quarterly Report on Form 10-Q, which information is incorporated herein by reference.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ind w:right="20" w:firstLine="499"/>
        <w:spacing w:after="0" w:line="244" w:lineRule="auto"/>
        <w:rPr>
          <w:sz w:val="20"/>
          <w:szCs w:val="20"/>
          <w:color w:val="auto"/>
        </w:rPr>
      </w:pPr>
      <w:r>
        <w:rPr>
          <w:rFonts w:ascii="Arial" w:cs="Arial" w:eastAsia="Arial" w:hAnsi="Arial"/>
          <w:sz w:val="18"/>
          <w:szCs w:val="18"/>
          <w:color w:val="auto"/>
        </w:rPr>
        <w:t>In addition to the other information set forth in this Quarterly Report on Form 10-Q, you should carefully consider the factors discussed in Part I, Item 1A, “Risk Factors” of our 2025 Annual Report on Form 10-K, which could materially affect our business, financial condition or future results. The risks described in our 2025 Annual Report on Form 10-K are not the only risks facing us. Additional risks and uncertainties not currently known to us or that we currently deem to be immaterial may also materially adversely affect our business, financial condition or future results.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material changes to our risk factors as previously reported in Part I, Item 1A of our 2025 Annual Report on Form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ind w:right="140" w:firstLine="499"/>
        <w:spacing w:after="0" w:line="271" w:lineRule="auto"/>
        <w:rPr>
          <w:sz w:val="20"/>
          <w:szCs w:val="20"/>
          <w:color w:val="auto"/>
        </w:rPr>
      </w:pPr>
      <w:r>
        <w:rPr>
          <w:rFonts w:ascii="Arial" w:cs="Arial" w:eastAsia="Arial" w:hAnsi="Arial"/>
          <w:sz w:val="18"/>
          <w:szCs w:val="18"/>
          <w:color w:val="auto"/>
        </w:rPr>
        <w:t>The following table sets forth information related to our repurchases of our common stock on a monthly basis during the three months ended September 30, 2026: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Total Number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56"/>
              <w:spacing w:after="0"/>
              <w:rPr>
                <w:sz w:val="20"/>
                <w:szCs w:val="20"/>
                <w:color w:val="auto"/>
              </w:rPr>
            </w:pPr>
            <w:r>
              <w:rPr>
                <w:rFonts w:ascii="Arial" w:cs="Arial" w:eastAsia="Arial" w:hAnsi="Arial"/>
                <w:sz w:val="14"/>
                <w:szCs w:val="14"/>
                <w:b w:val="1"/>
                <w:bCs w:val="1"/>
                <w:color w:val="auto"/>
              </w:rPr>
              <w:t>Approximate</w:t>
            </w:r>
          </w:p>
        </w:tc>
      </w:tr>
      <w:tr>
        <w:trPr>
          <w:trHeight w:val="162"/>
        </w:trPr>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Purchased</w:t>
            </w:r>
          </w:p>
        </w:tc>
        <w:tc>
          <w:tcPr>
            <w:tcW w:w="140" w:type="dxa"/>
            <w:vAlign w:val="bottom"/>
          </w:tcPr>
          <w:p>
            <w:pPr>
              <w:spacing w:after="0"/>
              <w:rPr>
                <w:sz w:val="14"/>
                <w:szCs w:val="14"/>
                <w:color w:val="auto"/>
              </w:rPr>
            </w:pPr>
          </w:p>
        </w:tc>
        <w:tc>
          <w:tcPr>
            <w:tcW w:w="1240" w:type="dxa"/>
            <w:vAlign w:val="bottom"/>
            <w:gridSpan w:val="2"/>
          </w:tcPr>
          <w:p>
            <w:pPr>
              <w:jc w:val="center"/>
              <w:ind w:right="36"/>
              <w:spacing w:after="0"/>
              <w:rPr>
                <w:sz w:val="20"/>
                <w:szCs w:val="20"/>
                <w:color w:val="auto"/>
              </w:rPr>
            </w:pPr>
            <w:r>
              <w:rPr>
                <w:rFonts w:ascii="Arial" w:cs="Arial" w:eastAsia="Arial" w:hAnsi="Arial"/>
                <w:sz w:val="14"/>
                <w:szCs w:val="14"/>
                <w:b w:val="1"/>
                <w:bCs w:val="1"/>
                <w:color w:val="auto"/>
              </w:rPr>
              <w:t>Dollar Value of</w:t>
            </w:r>
          </w:p>
        </w:tc>
      </w:tr>
      <w:tr>
        <w:trPr>
          <w:trHeight w:val="162"/>
        </w:trPr>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as Part of</w:t>
            </w:r>
          </w:p>
        </w:tc>
        <w:tc>
          <w:tcPr>
            <w:tcW w:w="140" w:type="dxa"/>
            <w:vAlign w:val="bottom"/>
          </w:tcPr>
          <w:p>
            <w:pPr>
              <w:spacing w:after="0"/>
              <w:rPr>
                <w:sz w:val="14"/>
                <w:szCs w:val="14"/>
                <w:color w:val="auto"/>
              </w:rPr>
            </w:pPr>
          </w:p>
        </w:tc>
        <w:tc>
          <w:tcPr>
            <w:tcW w:w="1240" w:type="dxa"/>
            <w:vAlign w:val="bottom"/>
            <w:gridSpan w:val="2"/>
          </w:tcPr>
          <w:p>
            <w:pPr>
              <w:jc w:val="center"/>
              <w:ind w:right="16"/>
              <w:spacing w:after="0"/>
              <w:rPr>
                <w:sz w:val="20"/>
                <w:szCs w:val="20"/>
                <w:color w:val="auto"/>
              </w:rPr>
            </w:pPr>
            <w:r>
              <w:rPr>
                <w:rFonts w:ascii="Arial" w:cs="Arial" w:eastAsia="Arial" w:hAnsi="Arial"/>
                <w:sz w:val="14"/>
                <w:szCs w:val="14"/>
                <w:b w:val="1"/>
                <w:bCs w:val="1"/>
                <w:color w:val="auto"/>
              </w:rPr>
              <w:t>Shares that May</w:t>
            </w:r>
          </w:p>
        </w:tc>
      </w:tr>
      <w:tr>
        <w:trPr>
          <w:trHeight w:val="162"/>
        </w:trPr>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Publicly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96"/>
              <w:spacing w:after="0"/>
              <w:rPr>
                <w:sz w:val="20"/>
                <w:szCs w:val="20"/>
                <w:color w:val="auto"/>
              </w:rPr>
            </w:pPr>
            <w:r>
              <w:rPr>
                <w:rFonts w:ascii="Arial" w:cs="Arial" w:eastAsia="Arial" w:hAnsi="Arial"/>
                <w:sz w:val="14"/>
                <w:szCs w:val="14"/>
                <w:b w:val="1"/>
                <w:bCs w:val="1"/>
                <w:color w:val="auto"/>
              </w:rPr>
              <w:t>Yet Be</w:t>
            </w:r>
          </w:p>
        </w:tc>
      </w:tr>
      <w:tr>
        <w:trPr>
          <w:trHeight w:val="162"/>
        </w:trPr>
        <w:tc>
          <w:tcPr>
            <w:tcW w:w="5740" w:type="dxa"/>
            <w:vAlign w:val="bottom"/>
          </w:tcPr>
          <w:p>
            <w:pPr>
              <w:spacing w:after="0"/>
              <w:rPr>
                <w:sz w:val="14"/>
                <w:szCs w:val="14"/>
                <w:color w:val="auto"/>
              </w:rPr>
            </w:pPr>
          </w:p>
        </w:tc>
        <w:tc>
          <w:tcPr>
            <w:tcW w:w="1320" w:type="dxa"/>
            <w:vAlign w:val="bottom"/>
          </w:tcPr>
          <w:p>
            <w:pPr>
              <w:jc w:val="center"/>
              <w:ind w:right="44"/>
              <w:spacing w:after="0"/>
              <w:rPr>
                <w:sz w:val="20"/>
                <w:szCs w:val="20"/>
                <w:color w:val="auto"/>
              </w:rPr>
            </w:pPr>
            <w:r>
              <w:rPr>
                <w:rFonts w:ascii="Arial" w:cs="Arial" w:eastAsia="Arial" w:hAnsi="Arial"/>
                <w:sz w:val="14"/>
                <w:szCs w:val="14"/>
                <w:b w:val="1"/>
                <w:bCs w:val="1"/>
                <w:color w:val="auto"/>
              </w:rPr>
              <w:t>Total Number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98"/>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Announced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36"/>
              <w:spacing w:after="0"/>
              <w:rPr>
                <w:sz w:val="20"/>
                <w:szCs w:val="20"/>
                <w:color w:val="auto"/>
              </w:rPr>
            </w:pPr>
            <w:r>
              <w:rPr>
                <w:rFonts w:ascii="Arial" w:cs="Arial" w:eastAsia="Arial" w:hAnsi="Arial"/>
                <w:sz w:val="14"/>
                <w:szCs w:val="14"/>
                <w:b w:val="1"/>
                <w:bCs w:val="1"/>
                <w:color w:val="auto"/>
              </w:rPr>
              <w:t>Purchased</w:t>
            </w:r>
          </w:p>
        </w:tc>
      </w:tr>
      <w:tr>
        <w:trPr>
          <w:trHeight w:val="162"/>
        </w:trPr>
        <w:tc>
          <w:tcPr>
            <w:tcW w:w="5740" w:type="dxa"/>
            <w:vAlign w:val="bottom"/>
          </w:tcPr>
          <w:p>
            <w:pPr>
              <w:spacing w:after="0"/>
              <w:rPr>
                <w:sz w:val="14"/>
                <w:szCs w:val="14"/>
                <w:color w:val="auto"/>
              </w:rPr>
            </w:pPr>
          </w:p>
        </w:tc>
        <w:tc>
          <w:tcPr>
            <w:tcW w:w="1320" w:type="dxa"/>
            <w:vAlign w:val="bottom"/>
          </w:tcPr>
          <w:p>
            <w:pPr>
              <w:jc w:val="center"/>
              <w:ind w:right="24"/>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98"/>
              <w:spacing w:after="0"/>
              <w:rPr>
                <w:sz w:val="20"/>
                <w:szCs w:val="20"/>
                <w:color w:val="auto"/>
              </w:rPr>
            </w:pPr>
            <w:r>
              <w:rPr>
                <w:rFonts w:ascii="Arial" w:cs="Arial" w:eastAsia="Arial" w:hAnsi="Arial"/>
                <w:sz w:val="14"/>
                <w:szCs w:val="14"/>
                <w:b w:val="1"/>
                <w:bCs w:val="1"/>
                <w:color w:val="auto"/>
              </w:rPr>
              <w:t>Price Paid</w:t>
            </w: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Plans or</w:t>
            </w:r>
          </w:p>
        </w:tc>
        <w:tc>
          <w:tcPr>
            <w:tcW w:w="140" w:type="dxa"/>
            <w:vAlign w:val="bottom"/>
          </w:tcPr>
          <w:p>
            <w:pPr>
              <w:spacing w:after="0"/>
              <w:rPr>
                <w:sz w:val="14"/>
                <w:szCs w:val="14"/>
                <w:color w:val="auto"/>
              </w:rPr>
            </w:pPr>
          </w:p>
        </w:tc>
        <w:tc>
          <w:tcPr>
            <w:tcW w:w="1240" w:type="dxa"/>
            <w:vAlign w:val="bottom"/>
            <w:gridSpan w:val="2"/>
          </w:tcPr>
          <w:p>
            <w:pPr>
              <w:jc w:val="center"/>
              <w:ind w:right="56"/>
              <w:spacing w:after="0"/>
              <w:rPr>
                <w:sz w:val="20"/>
                <w:szCs w:val="20"/>
                <w:color w:val="auto"/>
              </w:rPr>
            </w:pPr>
            <w:r>
              <w:rPr>
                <w:rFonts w:ascii="Arial" w:cs="Arial" w:eastAsia="Arial" w:hAnsi="Arial"/>
                <w:sz w:val="14"/>
                <w:szCs w:val="14"/>
                <w:b w:val="1"/>
                <w:bCs w:val="1"/>
                <w:color w:val="auto"/>
              </w:rPr>
              <w:t>Under the Plans</w:t>
            </w:r>
          </w:p>
        </w:tc>
      </w:tr>
      <w:tr>
        <w:trPr>
          <w:trHeight w:val="171"/>
        </w:trPr>
        <w:tc>
          <w:tcPr>
            <w:tcW w:w="5740" w:type="dxa"/>
            <w:vAlign w:val="bottom"/>
          </w:tcPr>
          <w:p>
            <w:pPr>
              <w:spacing w:after="0"/>
              <w:rPr>
                <w:sz w:val="14"/>
                <w:szCs w:val="14"/>
                <w:color w:val="auto"/>
              </w:rPr>
            </w:pPr>
          </w:p>
        </w:tc>
        <w:tc>
          <w:tcPr>
            <w:tcW w:w="13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Purchased</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4"/>
                <w:szCs w:val="14"/>
                <w:color w:val="auto"/>
              </w:rPr>
            </w:pPr>
          </w:p>
        </w:tc>
        <w:tc>
          <w:tcPr>
            <w:tcW w:w="128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rPr>
              <w:t>Programs</w:t>
            </w:r>
          </w:p>
        </w:tc>
        <w:tc>
          <w:tcPr>
            <w:tcW w:w="140" w:type="dxa"/>
            <w:vAlign w:val="bottom"/>
          </w:tcPr>
          <w:p>
            <w:pPr>
              <w:spacing w:after="0"/>
              <w:rPr>
                <w:sz w:val="14"/>
                <w:szCs w:val="14"/>
                <w:color w:val="auto"/>
              </w:rPr>
            </w:pPr>
          </w:p>
        </w:tc>
        <w:tc>
          <w:tcPr>
            <w:tcW w:w="1240" w:type="dxa"/>
            <w:vAlign w:val="bottom"/>
            <w:tcBorders>
              <w:bottom w:val="single" w:sz="8" w:color="auto"/>
            </w:tcBorders>
            <w:gridSpan w:val="2"/>
          </w:tcPr>
          <w:p>
            <w:pPr>
              <w:jc w:val="center"/>
              <w:ind w:right="36"/>
              <w:spacing w:after="0"/>
              <w:rPr>
                <w:sz w:val="20"/>
                <w:szCs w:val="20"/>
                <w:color w:val="auto"/>
              </w:rPr>
            </w:pPr>
            <w:r>
              <w:rPr>
                <w:rFonts w:ascii="Arial" w:cs="Arial" w:eastAsia="Arial" w:hAnsi="Arial"/>
                <w:sz w:val="14"/>
                <w:szCs w:val="14"/>
                <w:b w:val="1"/>
                <w:bCs w:val="1"/>
                <w:color w:val="auto"/>
              </w:rPr>
              <w:t>or Programs(1)</w:t>
            </w:r>
          </w:p>
        </w:tc>
      </w:tr>
      <w:tr>
        <w:trPr>
          <w:trHeight w:val="177"/>
        </w:trPr>
        <w:tc>
          <w:tcPr>
            <w:tcW w:w="7060" w:type="dxa"/>
            <w:vAlign w:val="bottom"/>
            <w:gridSpan w:val="2"/>
            <w:shd w:val="clear" w:color="auto" w:fill="CFF0FC"/>
          </w:tcPr>
          <w:p>
            <w:pPr>
              <w:spacing w:after="0" w:line="177" w:lineRule="exact"/>
              <w:rPr>
                <w:sz w:val="20"/>
                <w:szCs w:val="20"/>
                <w:color w:val="auto"/>
              </w:rPr>
            </w:pPr>
            <w:r>
              <w:rPr>
                <w:rFonts w:ascii="Arial" w:cs="Arial" w:eastAsia="Arial" w:hAnsi="Arial"/>
                <w:sz w:val="18"/>
                <w:szCs w:val="18"/>
                <w:color w:val="auto"/>
              </w:rPr>
              <w:t>July 1 – July 31, 2026</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16"/>
              <w:spacing w:after="0" w:line="177" w:lineRule="exact"/>
              <w:rPr>
                <w:sz w:val="20"/>
                <w:szCs w:val="20"/>
                <w:color w:val="auto"/>
              </w:rPr>
            </w:pPr>
            <w:r>
              <w:rPr>
                <w:rFonts w:ascii="Arial" w:cs="Arial" w:eastAsia="Arial" w:hAnsi="Arial"/>
                <w:sz w:val="18"/>
                <w:szCs w:val="18"/>
                <w:color w:val="auto"/>
              </w:rPr>
              <w:t>1,108,205,5</w:t>
            </w:r>
          </w:p>
        </w:tc>
      </w:tr>
      <w:tr>
        <w:trPr>
          <w:trHeight w:val="221"/>
        </w:trPr>
        <w:tc>
          <w:tcPr>
            <w:tcW w:w="7060" w:type="dxa"/>
            <w:vAlign w:val="bottom"/>
            <w:gridSpan w:val="2"/>
            <w:shd w:val="clear" w:color="auto" w:fill="CFF0FC"/>
          </w:tcPr>
          <w:p>
            <w:pPr>
              <w:jc w:val="right"/>
              <w:ind w:right="44"/>
              <w:spacing w:after="0"/>
              <w:rPr>
                <w:sz w:val="20"/>
                <w:szCs w:val="20"/>
                <w:color w:val="auto"/>
              </w:rPr>
            </w:pPr>
            <w:r>
              <w:rPr>
                <w:rFonts w:ascii="Arial" w:cs="Arial" w:eastAsia="Arial" w:hAnsi="Arial"/>
                <w:sz w:val="18"/>
                <w:szCs w:val="18"/>
                <w:color w:val="auto"/>
              </w:rPr>
              <w:t>141,875</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116.29</w:t>
            </w:r>
          </w:p>
        </w:tc>
        <w:tc>
          <w:tcPr>
            <w:tcW w:w="138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141,875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24</w:t>
            </w:r>
          </w:p>
        </w:tc>
      </w:tr>
      <w:tr>
        <w:trPr>
          <w:trHeight w:val="184"/>
        </w:trPr>
        <w:tc>
          <w:tcPr>
            <w:tcW w:w="7060" w:type="dxa"/>
            <w:vAlign w:val="bottom"/>
            <w:gridSpan w:val="2"/>
          </w:tcPr>
          <w:p>
            <w:pPr>
              <w:spacing w:after="0" w:line="183" w:lineRule="exact"/>
              <w:rPr>
                <w:sz w:val="20"/>
                <w:szCs w:val="20"/>
                <w:color w:val="auto"/>
              </w:rPr>
            </w:pPr>
            <w:r>
              <w:rPr>
                <w:rFonts w:ascii="Arial" w:cs="Arial" w:eastAsia="Arial" w:hAnsi="Arial"/>
                <w:sz w:val="18"/>
                <w:szCs w:val="18"/>
                <w:color w:val="auto"/>
              </w:rPr>
              <w:t>August 1 – August 31, 2026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16"/>
              <w:spacing w:after="0" w:line="183" w:lineRule="exact"/>
              <w:rPr>
                <w:sz w:val="20"/>
                <w:szCs w:val="20"/>
                <w:color w:val="auto"/>
              </w:rPr>
            </w:pPr>
            <w:r>
              <w:rPr>
                <w:rFonts w:ascii="Arial" w:cs="Arial" w:eastAsia="Arial" w:hAnsi="Arial"/>
                <w:sz w:val="18"/>
                <w:szCs w:val="18"/>
                <w:color w:val="auto"/>
              </w:rPr>
              <w:t>1,088,956,7</w:t>
            </w:r>
          </w:p>
        </w:tc>
      </w:tr>
      <w:tr>
        <w:trPr>
          <w:trHeight w:val="221"/>
        </w:trPr>
        <w:tc>
          <w:tcPr>
            <w:tcW w:w="7060" w:type="dxa"/>
            <w:vAlign w:val="bottom"/>
            <w:gridSpan w:val="2"/>
          </w:tcPr>
          <w:p>
            <w:pPr>
              <w:jc w:val="right"/>
              <w:ind w:right="44"/>
              <w:spacing w:after="0"/>
              <w:rPr>
                <w:sz w:val="20"/>
                <w:szCs w:val="20"/>
                <w:color w:val="auto"/>
              </w:rPr>
            </w:pPr>
            <w:r>
              <w:rPr>
                <w:rFonts w:ascii="Arial" w:cs="Arial" w:eastAsia="Arial" w:hAnsi="Arial"/>
                <w:sz w:val="18"/>
                <w:szCs w:val="18"/>
                <w:color w:val="auto"/>
              </w:rPr>
              <w:t>153,565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125.35</w:t>
            </w:r>
          </w:p>
        </w:tc>
        <w:tc>
          <w:tcPr>
            <w:tcW w:w="1380" w:type="dxa"/>
            <w:vAlign w:val="bottom"/>
            <w:gridSpan w:val="2"/>
          </w:tcPr>
          <w:p>
            <w:pPr>
              <w:jc w:val="right"/>
              <w:ind w:right="26"/>
              <w:spacing w:after="0"/>
              <w:rPr>
                <w:sz w:val="20"/>
                <w:szCs w:val="20"/>
                <w:color w:val="auto"/>
              </w:rPr>
            </w:pPr>
            <w:r>
              <w:rPr>
                <w:rFonts w:ascii="Arial" w:cs="Arial" w:eastAsia="Arial" w:hAnsi="Arial"/>
                <w:sz w:val="18"/>
                <w:szCs w:val="18"/>
                <w:color w:val="auto"/>
              </w:rPr>
              <w:t>153,565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84</w:t>
            </w:r>
          </w:p>
        </w:tc>
      </w:tr>
      <w:tr>
        <w:trPr>
          <w:trHeight w:val="170"/>
        </w:trPr>
        <w:tc>
          <w:tcPr>
            <w:tcW w:w="7060" w:type="dxa"/>
            <w:vAlign w:val="bottom"/>
            <w:gridSpan w:val="2"/>
            <w:shd w:val="clear" w:color="auto" w:fill="CFF0FC"/>
          </w:tcPr>
          <w:p>
            <w:pPr>
              <w:spacing w:after="0" w:line="170" w:lineRule="exact"/>
              <w:rPr>
                <w:sz w:val="20"/>
                <w:szCs w:val="20"/>
                <w:color w:val="auto"/>
              </w:rPr>
            </w:pPr>
            <w:r>
              <w:rPr>
                <w:rFonts w:ascii="Arial" w:cs="Arial" w:eastAsia="Arial" w:hAnsi="Arial"/>
                <w:sz w:val="18"/>
                <w:szCs w:val="18"/>
                <w:color w:val="auto"/>
              </w:rPr>
              <w:t>September 1 – September 30, 2026</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16"/>
              <w:spacing w:after="0" w:line="170" w:lineRule="exact"/>
              <w:rPr>
                <w:sz w:val="20"/>
                <w:szCs w:val="20"/>
                <w:color w:val="auto"/>
              </w:rPr>
            </w:pPr>
            <w:r>
              <w:rPr>
                <w:rFonts w:ascii="Arial" w:cs="Arial" w:eastAsia="Arial" w:hAnsi="Arial"/>
                <w:sz w:val="18"/>
                <w:szCs w:val="18"/>
                <w:color w:val="auto"/>
              </w:rPr>
              <w:t>1,067,958,0</w:t>
            </w:r>
          </w:p>
        </w:tc>
      </w:tr>
      <w:tr>
        <w:trPr>
          <w:trHeight w:val="221"/>
        </w:trPr>
        <w:tc>
          <w:tcPr>
            <w:tcW w:w="57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173,624</w:t>
            </w:r>
          </w:p>
        </w:tc>
        <w:tc>
          <w:tcPr>
            <w:tcW w:w="3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120.94</w:t>
            </w:r>
          </w:p>
        </w:tc>
        <w:tc>
          <w:tcPr>
            <w:tcW w:w="10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8"/>
                <w:szCs w:val="18"/>
                <w:color w:val="auto"/>
              </w:rPr>
              <w:t>173,624</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85</w:t>
            </w:r>
          </w:p>
        </w:tc>
      </w:tr>
      <w:tr>
        <w:trPr>
          <w:trHeight w:val="196"/>
        </w:trPr>
        <w:tc>
          <w:tcPr>
            <w:tcW w:w="7060" w:type="dxa"/>
            <w:vAlign w:val="bottom"/>
            <w:gridSpan w:val="2"/>
          </w:tcPr>
          <w:p>
            <w:pPr>
              <w:jc w:val="right"/>
              <w:ind w:right="44"/>
              <w:spacing w:after="0" w:line="182" w:lineRule="exact"/>
              <w:rPr>
                <w:sz w:val="20"/>
                <w:szCs w:val="20"/>
                <w:color w:val="auto"/>
              </w:rPr>
            </w:pPr>
            <w:r>
              <w:rPr>
                <w:rFonts w:ascii="Arial" w:cs="Arial" w:eastAsia="Arial" w:hAnsi="Arial"/>
                <w:sz w:val="18"/>
                <w:szCs w:val="18"/>
                <w:color w:val="auto"/>
              </w:rPr>
              <w:t>469,064</w:t>
            </w:r>
          </w:p>
        </w:tc>
        <w:tc>
          <w:tcPr>
            <w:tcW w:w="32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8"/>
              <w:spacing w:after="0" w:line="182" w:lineRule="exact"/>
              <w:rPr>
                <w:sz w:val="20"/>
                <w:szCs w:val="20"/>
                <w:color w:val="auto"/>
              </w:rPr>
            </w:pPr>
            <w:r>
              <w:rPr>
                <w:rFonts w:ascii="Arial" w:cs="Arial" w:eastAsia="Arial" w:hAnsi="Arial"/>
                <w:sz w:val="18"/>
                <w:szCs w:val="18"/>
                <w:color w:val="auto"/>
              </w:rPr>
              <w:t>120.98</w:t>
            </w:r>
          </w:p>
        </w:tc>
        <w:tc>
          <w:tcPr>
            <w:tcW w:w="1380" w:type="dxa"/>
            <w:vAlign w:val="bottom"/>
            <w:gridSpan w:val="2"/>
          </w:tcPr>
          <w:p>
            <w:pPr>
              <w:jc w:val="right"/>
              <w:ind w:right="26"/>
              <w:spacing w:after="0" w:line="182" w:lineRule="exact"/>
              <w:rPr>
                <w:sz w:val="20"/>
                <w:szCs w:val="20"/>
                <w:color w:val="auto"/>
              </w:rPr>
            </w:pPr>
            <w:r>
              <w:rPr>
                <w:rFonts w:ascii="Arial" w:cs="Arial" w:eastAsia="Arial" w:hAnsi="Arial"/>
                <w:sz w:val="18"/>
                <w:szCs w:val="18"/>
                <w:color w:val="auto"/>
              </w:rPr>
              <w:t>469,064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-162560</wp:posOffset>
            </wp:positionV>
            <wp:extent cx="939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-162560</wp:posOffset>
            </wp:positionV>
            <wp:extent cx="857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4" w:lineRule="exact"/>
        <w:rPr>
          <w:sz w:val="20"/>
          <w:szCs w:val="20"/>
          <w:color w:val="auto"/>
        </w:rPr>
      </w:pPr>
    </w:p>
    <w:p>
      <w:pPr>
        <w:ind w:left="640" w:right="240" w:hanging="372"/>
        <w:spacing w:after="0" w:line="24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values reflect the amounts that may be repurchased under the Repurchase Program approved by the Board of Directors on November 14, 2016 and the increases approved by the Board of Directors on November 8, 2017, July 30, 2018, May 9, 2019, February 24, 2022 and February 20, 2025, which in the aggregate total authorized repurchases of $5,000 million. The Repurchase Program has no termination date.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Insider Trading Arrangements</w:t>
      </w:r>
    </w:p>
    <w:p>
      <w:pPr>
        <w:spacing w:after="0" w:line="104" w:lineRule="exact"/>
        <w:rPr>
          <w:sz w:val="20"/>
          <w:szCs w:val="20"/>
          <w:color w:val="auto"/>
        </w:rPr>
      </w:pPr>
    </w:p>
    <w:p>
      <w:pPr>
        <w:ind w:firstLine="499"/>
        <w:spacing w:after="0" w:line="247" w:lineRule="auto"/>
        <w:rPr>
          <w:sz w:val="20"/>
          <w:szCs w:val="20"/>
          <w:color w:val="auto"/>
        </w:rPr>
      </w:pPr>
      <w:r>
        <w:rPr>
          <w:rFonts w:ascii="Arial" w:cs="Arial" w:eastAsia="Arial" w:hAnsi="Arial"/>
          <w:sz w:val="18"/>
          <w:szCs w:val="18"/>
          <w:color w:val="auto"/>
        </w:rPr>
        <w:t>During the three months ended September 30, 2026, the Company's directors and officers did not adopt, modify or terminate any contract, instruction or written plan for the purchase or sale of Company securities that was intended to satisfy the affirmative defense conditions of Rule 10b5-1(c) ("Rule 10b5-1 trading arrangement") or any “non-Rule 10b5-1 trading arrangement,” as such term is defined in Item 408(c) of Regulation S-K.</w:t>
      </w:r>
    </w:p>
    <w:p>
      <w:pPr>
        <w:spacing w:after="0" w:line="3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440" w:type="dxa"/>
            <w:vAlign w:val="bottom"/>
            <w:gridSpan w:val="5"/>
          </w:tcPr>
          <w:p>
            <w:pPr>
              <w:jc w:val="center"/>
              <w:ind w:right="860"/>
              <w:spacing w:after="0"/>
              <w:rPr>
                <w:sz w:val="20"/>
                <w:szCs w:val="20"/>
                <w:color w:val="auto"/>
              </w:rPr>
            </w:pPr>
            <w:r>
              <w:rPr>
                <w:rFonts w:ascii="Arial" w:cs="Arial" w:eastAsia="Arial" w:hAnsi="Arial"/>
                <w:sz w:val="18"/>
                <w:szCs w:val="18"/>
                <w:b w:val="1"/>
                <w:bCs w:val="1"/>
                <w:color w:val="auto"/>
              </w:rPr>
              <w:t>Item 6.</w:t>
            </w:r>
          </w:p>
        </w:tc>
        <w:tc>
          <w:tcPr>
            <w:tcW w:w="9800" w:type="dxa"/>
            <w:vAlign w:val="bottom"/>
            <w:gridSpan w:val="9"/>
          </w:tcPr>
          <w:p>
            <w:pPr>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137"/>
        </w:trPr>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2"/>
        </w:trPr>
        <w:tc>
          <w:tcPr>
            <w:tcW w:w="1440" w:type="dxa"/>
            <w:vAlign w:val="bottom"/>
            <w:gridSpan w:val="5"/>
          </w:tcPr>
          <w:p>
            <w:pPr>
              <w:spacing w:after="0"/>
              <w:rPr>
                <w:sz w:val="20"/>
                <w:szCs w:val="20"/>
                <w:color w:val="auto"/>
              </w:rPr>
            </w:pPr>
            <w:r>
              <w:rPr>
                <w:rFonts w:ascii="Arial" w:cs="Arial" w:eastAsia="Arial" w:hAnsi="Arial"/>
                <w:sz w:val="18"/>
                <w:szCs w:val="18"/>
                <w:color w:val="auto"/>
              </w:rPr>
              <w:t>(a) Exhibits</w:t>
            </w: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vMerge w:val="restart"/>
          </w:tcPr>
          <w:p>
            <w:pPr>
              <w:spacing w:after="0"/>
              <w:rPr>
                <w:sz w:val="24"/>
                <w:szCs w:val="24"/>
                <w:color w:val="auto"/>
              </w:rPr>
            </w:pPr>
          </w:p>
        </w:tc>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540" w:type="dxa"/>
            <w:vAlign w:val="bottom"/>
            <w:gridSpan w:val="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Number</w:t>
            </w:r>
          </w:p>
        </w:tc>
        <w:tc>
          <w:tcPr>
            <w:tcW w:w="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45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920" w:type="dxa"/>
            <w:vAlign w:val="bottom"/>
            <w:gridSpan w:val="3"/>
          </w:tcPr>
          <w:p>
            <w:pPr>
              <w:jc w:val="center"/>
              <w:ind w:right="268"/>
              <w:spacing w:after="0"/>
              <w:rPr>
                <w:sz w:val="20"/>
                <w:szCs w:val="20"/>
                <w:color w:val="auto"/>
              </w:rPr>
            </w:pPr>
            <w:r>
              <w:rPr>
                <w:rFonts w:ascii="Arial" w:cs="Arial" w:eastAsia="Arial" w:hAnsi="Arial"/>
                <w:sz w:val="18"/>
                <w:szCs w:val="18"/>
                <w:color w:val="auto"/>
                <w:w w:val="96"/>
              </w:rPr>
              <w:t>31.1</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Arial" w:cs="Arial" w:eastAsia="Arial" w:hAnsi="Arial"/>
                <w:sz w:val="18"/>
                <w:szCs w:val="18"/>
                <w:color w:val="0000FF"/>
              </w:rPr>
              <w:t>Certification of Chief Executive Officer pursuant to Rule 13a-14(a)/15d-14(a) as adopted pursuant to Section 302 of the</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6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 (filed herewith)</w:t>
            </w:r>
          </w:p>
        </w:tc>
        <w:tc>
          <w:tcPr>
            <w:tcW w:w="20" w:type="dxa"/>
            <w:vAlign w:val="bottom"/>
            <w:tcBorders>
              <w:top w:val="single" w:sz="8" w:color="0000FF"/>
              <w:bottom w:val="single" w:sz="8" w:color="0000EE"/>
            </w:tcBorders>
          </w:tcPr>
          <w:p>
            <w:pPr>
              <w:spacing w:after="0"/>
              <w:rPr>
                <w:sz w:val="15"/>
                <w:szCs w:val="15"/>
                <w:color w:val="auto"/>
              </w:rPr>
            </w:pPr>
          </w:p>
        </w:tc>
        <w:tc>
          <w:tcPr>
            <w:tcW w:w="6000" w:type="dxa"/>
            <w:vAlign w:val="bottom"/>
            <w:tcBorders>
              <w:top w:val="single" w:sz="8" w:color="0000FF"/>
            </w:tcBorders>
            <w:gridSpan w:val="5"/>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920" w:type="dxa"/>
            <w:vAlign w:val="bottom"/>
            <w:gridSpan w:val="3"/>
          </w:tcPr>
          <w:p>
            <w:pPr>
              <w:jc w:val="center"/>
              <w:ind w:right="268"/>
              <w:spacing w:after="0"/>
              <w:rPr>
                <w:sz w:val="20"/>
                <w:szCs w:val="20"/>
                <w:color w:val="auto"/>
              </w:rPr>
            </w:pPr>
            <w:r>
              <w:rPr>
                <w:rFonts w:ascii="Arial" w:cs="Arial" w:eastAsia="Arial" w:hAnsi="Arial"/>
                <w:sz w:val="18"/>
                <w:szCs w:val="18"/>
                <w:color w:val="auto"/>
                <w:w w:val="96"/>
              </w:rPr>
              <w:t>31.2</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Arial" w:cs="Arial" w:eastAsia="Arial" w:hAnsi="Arial"/>
                <w:sz w:val="18"/>
                <w:szCs w:val="18"/>
                <w:color w:val="0000FF"/>
              </w:rPr>
              <w:t>Certification of Chief Financial Officer pursuant to Rule 13a-14(a)/15d-14(a) as adopted pursuant to Section 302 of the</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6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 (filed herewith)</w:t>
            </w:r>
          </w:p>
        </w:tc>
        <w:tc>
          <w:tcPr>
            <w:tcW w:w="20" w:type="dxa"/>
            <w:vAlign w:val="bottom"/>
            <w:tcBorders>
              <w:top w:val="single" w:sz="8" w:color="0000FF"/>
              <w:bottom w:val="single" w:sz="8" w:color="0000EE"/>
            </w:tcBorders>
          </w:tcPr>
          <w:p>
            <w:pPr>
              <w:spacing w:after="0"/>
              <w:rPr>
                <w:sz w:val="15"/>
                <w:szCs w:val="15"/>
                <w:color w:val="auto"/>
              </w:rPr>
            </w:pPr>
          </w:p>
        </w:tc>
        <w:tc>
          <w:tcPr>
            <w:tcW w:w="5940" w:type="dxa"/>
            <w:vAlign w:val="bottom"/>
            <w:tcBorders>
              <w:top w:val="single" w:sz="8" w:color="0000FF"/>
            </w:tcBorders>
            <w:gridSpan w:val="4"/>
          </w:tcPr>
          <w:p>
            <w:pPr>
              <w:spacing w:after="0"/>
              <w:rPr>
                <w:sz w:val="15"/>
                <w:szCs w:val="15"/>
                <w:color w:val="auto"/>
              </w:rPr>
            </w:pPr>
          </w:p>
        </w:tc>
        <w:tc>
          <w:tcPr>
            <w:tcW w:w="2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920" w:type="dxa"/>
            <w:vAlign w:val="bottom"/>
            <w:gridSpan w:val="3"/>
          </w:tcPr>
          <w:p>
            <w:pPr>
              <w:jc w:val="center"/>
              <w:ind w:right="268"/>
              <w:spacing w:after="0"/>
              <w:rPr>
                <w:sz w:val="20"/>
                <w:szCs w:val="20"/>
                <w:color w:val="auto"/>
              </w:rPr>
            </w:pPr>
            <w:r>
              <w:rPr>
                <w:rFonts w:ascii="Arial" w:cs="Arial" w:eastAsia="Arial" w:hAnsi="Arial"/>
                <w:sz w:val="18"/>
                <w:szCs w:val="18"/>
                <w:color w:val="auto"/>
                <w:w w:val="96"/>
              </w:rPr>
              <w:t>32.1</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Arial" w:cs="Arial" w:eastAsia="Arial" w:hAnsi="Arial"/>
                <w:sz w:val="18"/>
                <w:szCs w:val="18"/>
                <w:color w:val="0000FF"/>
              </w:rPr>
              <w:t>Certification of Periodic Report by Chief Executive Officer and Chief Financial Officer pursuant to 18 U.S.C. Section 1350,</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8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as adopted pursuant to Section 906 of the Sarbanes-Oxley Act of 2002 (filed herewith)</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Borders>
              <w:right w:val="single" w:sz="8" w:color="0000EE"/>
            </w:tcBorders>
            <w:gridSpan w:val="5"/>
          </w:tcPr>
          <w:p>
            <w:pPr>
              <w:spacing w:after="0" w:line="20" w:lineRule="exact"/>
              <w:rPr>
                <w:sz w:val="1"/>
                <w:szCs w:val="1"/>
                <w:color w:val="auto"/>
              </w:rPr>
            </w:pPr>
          </w:p>
        </w:tc>
        <w:tc>
          <w:tcPr>
            <w:tcW w:w="6840" w:type="dxa"/>
            <w:vAlign w:val="bottom"/>
            <w:gridSpan w:val="5"/>
            <w:shd w:val="clear" w:color="auto" w:fill="0000FF"/>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1440" w:type="dxa"/>
            <w:vAlign w:val="bottom"/>
            <w:gridSpan w:val="5"/>
          </w:tcPr>
          <w:p>
            <w:pPr>
              <w:ind w:left="60"/>
              <w:spacing w:after="0"/>
              <w:rPr>
                <w:sz w:val="20"/>
                <w:szCs w:val="20"/>
                <w:color w:val="auto"/>
              </w:rPr>
            </w:pPr>
            <w:r>
              <w:rPr>
                <w:rFonts w:ascii="Arial" w:cs="Arial" w:eastAsia="Arial" w:hAnsi="Arial"/>
                <w:sz w:val="18"/>
                <w:szCs w:val="18"/>
                <w:color w:val="auto"/>
              </w:rPr>
              <w:t>101.INS</w:t>
            </w:r>
          </w:p>
        </w:tc>
        <w:tc>
          <w:tcPr>
            <w:tcW w:w="9800" w:type="dxa"/>
            <w:vAlign w:val="bottom"/>
            <w:gridSpan w:val="9"/>
          </w:tcPr>
          <w:p>
            <w:pPr>
              <w:spacing w:after="0"/>
              <w:rPr>
                <w:sz w:val="20"/>
                <w:szCs w:val="20"/>
                <w:color w:val="auto"/>
              </w:rPr>
            </w:pPr>
            <w:r>
              <w:rPr>
                <w:rFonts w:ascii="Arial" w:cs="Arial" w:eastAsia="Arial" w:hAnsi="Arial"/>
                <w:sz w:val="18"/>
                <w:szCs w:val="18"/>
                <w:color w:val="auto"/>
              </w:rPr>
              <w:t>Inline XBRL Instance Document (filed herewith)</w:t>
            </w:r>
          </w:p>
        </w:tc>
        <w:tc>
          <w:tcPr>
            <w:tcW w:w="0" w:type="dxa"/>
            <w:vAlign w:val="bottom"/>
          </w:tcPr>
          <w:p>
            <w:pPr>
              <w:spacing w:after="0"/>
              <w:rPr>
                <w:sz w:val="1"/>
                <w:szCs w:val="1"/>
                <w:color w:val="auto"/>
              </w:rPr>
            </w:pPr>
          </w:p>
        </w:tc>
      </w:tr>
      <w:tr>
        <w:trPr>
          <w:trHeight w:val="324"/>
        </w:trPr>
        <w:tc>
          <w:tcPr>
            <w:tcW w:w="1440" w:type="dxa"/>
            <w:vAlign w:val="bottom"/>
            <w:gridSpan w:val="5"/>
          </w:tcPr>
          <w:p>
            <w:pPr>
              <w:ind w:left="60"/>
              <w:spacing w:after="0"/>
              <w:rPr>
                <w:sz w:val="20"/>
                <w:szCs w:val="20"/>
                <w:color w:val="auto"/>
              </w:rPr>
            </w:pPr>
            <w:r>
              <w:rPr>
                <w:rFonts w:ascii="Arial" w:cs="Arial" w:eastAsia="Arial" w:hAnsi="Arial"/>
                <w:sz w:val="18"/>
                <w:szCs w:val="18"/>
                <w:color w:val="auto"/>
              </w:rPr>
              <w:t>101.SCH</w:t>
            </w:r>
          </w:p>
        </w:tc>
        <w:tc>
          <w:tcPr>
            <w:tcW w:w="980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With Embedded Linkbase Document (filed herewith)</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20" w:right="340" w:hanging="1358"/>
        <w:spacing w:after="0" w:line="271"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Cover Page Interactive Data File – The cover page from the Registrant’s Quarterly Report on Form 10-Q for the quarter ended September 30, 2026, formatted in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right="400" w:firstLine="49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ALLISON TRANSMISSION HOLDINGS, INC.</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280" w:type="dxa"/>
            <w:vAlign w:val="bottom"/>
          </w:tcPr>
          <w:p>
            <w:pPr>
              <w:spacing w:after="0"/>
              <w:rPr>
                <w:sz w:val="20"/>
                <w:szCs w:val="20"/>
                <w:color w:val="auto"/>
              </w:rPr>
            </w:pPr>
            <w:r>
              <w:rPr>
                <w:rFonts w:ascii="Arial" w:cs="Arial" w:eastAsia="Arial" w:hAnsi="Arial"/>
                <w:sz w:val="18"/>
                <w:szCs w:val="18"/>
                <w:color w:val="auto"/>
              </w:rPr>
              <w:t>Date: November 4, 2026</w:t>
            </w:r>
          </w:p>
        </w:tc>
        <w:tc>
          <w:tcPr>
            <w:tcW w:w="680" w:type="dxa"/>
            <w:vAlign w:val="bottom"/>
          </w:tcPr>
          <w:p>
            <w:pPr>
              <w:ind w:left="300"/>
              <w:spacing w:after="0"/>
              <w:rPr>
                <w:sz w:val="20"/>
                <w:szCs w:val="20"/>
                <w:color w:val="auto"/>
              </w:rPr>
            </w:pPr>
            <w:r>
              <w:rPr>
                <w:rFonts w:ascii="Arial" w:cs="Arial" w:eastAsia="Arial" w:hAnsi="Arial"/>
                <w:sz w:val="18"/>
                <w:szCs w:val="18"/>
                <w:color w:val="auto"/>
              </w:rPr>
              <w:t>By:</w:t>
            </w:r>
          </w:p>
        </w:tc>
        <w:tc>
          <w:tcPr>
            <w:tcW w:w="8280" w:type="dxa"/>
            <w:vAlign w:val="bottom"/>
            <w:gridSpan w:val="4"/>
          </w:tcPr>
          <w:p>
            <w:pPr>
              <w:ind w:left="120"/>
              <w:spacing w:after="0"/>
              <w:rPr>
                <w:sz w:val="20"/>
                <w:szCs w:val="20"/>
                <w:color w:val="auto"/>
              </w:rPr>
            </w:pPr>
            <w:r>
              <w:rPr>
                <w:rFonts w:ascii="Arial" w:cs="Arial" w:eastAsia="Arial" w:hAnsi="Arial"/>
                <w:sz w:val="18"/>
                <w:szCs w:val="18"/>
                <w:color w:val="auto"/>
              </w:rPr>
              <w:t>/s/ David S. Graziosi</w:t>
            </w:r>
          </w:p>
        </w:tc>
      </w:tr>
      <w:tr>
        <w:trPr>
          <w:trHeight w:val="430"/>
        </w:trPr>
        <w:tc>
          <w:tcPr>
            <w:tcW w:w="2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top w:val="single" w:sz="8" w:color="auto"/>
            </w:tcBorders>
          </w:tcPr>
          <w:p>
            <w:pPr>
              <w:jc w:val="center"/>
              <w:ind w:left="50"/>
              <w:spacing w:after="0"/>
              <w:rPr>
                <w:sz w:val="20"/>
                <w:szCs w:val="20"/>
                <w:color w:val="auto"/>
              </w:rPr>
            </w:pPr>
            <w:r>
              <w:rPr>
                <w:rFonts w:ascii="Arial" w:cs="Arial" w:eastAsia="Arial" w:hAnsi="Arial"/>
                <w:sz w:val="18"/>
                <w:szCs w:val="18"/>
                <w:color w:val="auto"/>
                <w:w w:val="98"/>
              </w:rPr>
              <w:t>Name:</w:t>
            </w:r>
          </w:p>
        </w:tc>
        <w:tc>
          <w:tcPr>
            <w:tcW w:w="49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David S. Graziosi</w:t>
            </w:r>
          </w:p>
        </w:tc>
        <w:tc>
          <w:tcPr>
            <w:tcW w:w="2020" w:type="dxa"/>
            <w:vAlign w:val="bottom"/>
          </w:tcPr>
          <w:p>
            <w:pPr>
              <w:spacing w:after="0"/>
              <w:rPr>
                <w:sz w:val="24"/>
                <w:szCs w:val="24"/>
                <w:color w:val="auto"/>
              </w:rPr>
            </w:pPr>
          </w:p>
        </w:tc>
      </w:tr>
      <w:tr>
        <w:trPr>
          <w:trHeight w:val="288"/>
        </w:trPr>
        <w:tc>
          <w:tcPr>
            <w:tcW w:w="2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center"/>
              <w:ind w:left="50"/>
              <w:spacing w:after="0"/>
              <w:rPr>
                <w:sz w:val="20"/>
                <w:szCs w:val="20"/>
                <w:color w:val="auto"/>
              </w:rPr>
            </w:pPr>
            <w:r>
              <w:rPr>
                <w:rFonts w:ascii="Arial" w:cs="Arial" w:eastAsia="Arial" w:hAnsi="Arial"/>
                <w:sz w:val="18"/>
                <w:szCs w:val="18"/>
                <w:color w:val="auto"/>
              </w:rPr>
              <w:t>Title:</w:t>
            </w:r>
          </w:p>
        </w:tc>
        <w:tc>
          <w:tcPr>
            <w:tcW w:w="6980" w:type="dxa"/>
            <w:vAlign w:val="bottom"/>
            <w:gridSpan w:val="2"/>
          </w:tcPr>
          <w:p>
            <w:pPr>
              <w:ind w:left="140"/>
              <w:spacing w:after="0"/>
              <w:rPr>
                <w:sz w:val="20"/>
                <w:szCs w:val="20"/>
                <w:color w:val="auto"/>
              </w:rPr>
            </w:pPr>
            <w:r>
              <w:rPr>
                <w:rFonts w:ascii="Arial" w:cs="Arial" w:eastAsia="Arial" w:hAnsi="Arial"/>
                <w:sz w:val="18"/>
                <w:szCs w:val="18"/>
                <w:color w:val="auto"/>
              </w:rPr>
              <w:t>Chair, President and Chief Executive Officer</w:t>
            </w:r>
          </w:p>
        </w:tc>
      </w:tr>
      <w:tr>
        <w:trPr>
          <w:trHeight w:val="239"/>
        </w:trPr>
        <w:tc>
          <w:tcPr>
            <w:tcW w:w="2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980" w:type="dxa"/>
            <w:vAlign w:val="bottom"/>
            <w:gridSpan w:val="2"/>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644"/>
        </w:trPr>
        <w:tc>
          <w:tcPr>
            <w:tcW w:w="2280" w:type="dxa"/>
            <w:vAlign w:val="bottom"/>
          </w:tcPr>
          <w:p>
            <w:pPr>
              <w:spacing w:after="0"/>
              <w:rPr>
                <w:sz w:val="20"/>
                <w:szCs w:val="20"/>
                <w:color w:val="auto"/>
              </w:rPr>
            </w:pPr>
            <w:r>
              <w:rPr>
                <w:rFonts w:ascii="Arial" w:cs="Arial" w:eastAsia="Arial" w:hAnsi="Arial"/>
                <w:sz w:val="18"/>
                <w:szCs w:val="18"/>
                <w:color w:val="auto"/>
              </w:rPr>
              <w:t>Date: November 4, 2026</w:t>
            </w:r>
          </w:p>
        </w:tc>
        <w:tc>
          <w:tcPr>
            <w:tcW w:w="680" w:type="dxa"/>
            <w:vAlign w:val="bottom"/>
          </w:tcPr>
          <w:p>
            <w:pPr>
              <w:ind w:left="300"/>
              <w:spacing w:after="0"/>
              <w:rPr>
                <w:sz w:val="20"/>
                <w:szCs w:val="20"/>
                <w:color w:val="auto"/>
              </w:rPr>
            </w:pPr>
            <w:r>
              <w:rPr>
                <w:rFonts w:ascii="Arial" w:cs="Arial" w:eastAsia="Arial" w:hAnsi="Arial"/>
                <w:sz w:val="18"/>
                <w:szCs w:val="18"/>
                <w:color w:val="auto"/>
              </w:rPr>
              <w:t>By:</w:t>
            </w: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rPr>
              <w:t>/s/ Scott Mell</w:t>
            </w:r>
          </w:p>
        </w:tc>
        <w:tc>
          <w:tcPr>
            <w:tcW w:w="49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29"/>
        </w:trPr>
        <w:tc>
          <w:tcPr>
            <w:tcW w:w="2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top w:val="single" w:sz="8" w:color="auto"/>
            </w:tcBorders>
          </w:tcPr>
          <w:p>
            <w:pPr>
              <w:jc w:val="center"/>
              <w:ind w:left="50"/>
              <w:spacing w:after="0"/>
              <w:rPr>
                <w:sz w:val="20"/>
                <w:szCs w:val="20"/>
                <w:color w:val="auto"/>
              </w:rPr>
            </w:pPr>
            <w:r>
              <w:rPr>
                <w:rFonts w:ascii="Arial" w:cs="Arial" w:eastAsia="Arial" w:hAnsi="Arial"/>
                <w:sz w:val="18"/>
                <w:szCs w:val="18"/>
                <w:color w:val="auto"/>
                <w:w w:val="98"/>
              </w:rPr>
              <w:t>Name:</w:t>
            </w:r>
          </w:p>
        </w:tc>
        <w:tc>
          <w:tcPr>
            <w:tcW w:w="49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Scott Mell</w:t>
            </w:r>
          </w:p>
        </w:tc>
        <w:tc>
          <w:tcPr>
            <w:tcW w:w="2020" w:type="dxa"/>
            <w:vAlign w:val="bottom"/>
          </w:tcPr>
          <w:p>
            <w:pPr>
              <w:spacing w:after="0"/>
              <w:rPr>
                <w:sz w:val="24"/>
                <w:szCs w:val="24"/>
                <w:color w:val="auto"/>
              </w:rPr>
            </w:pPr>
          </w:p>
        </w:tc>
      </w:tr>
      <w:tr>
        <w:trPr>
          <w:trHeight w:val="234"/>
        </w:trPr>
        <w:tc>
          <w:tcPr>
            <w:tcW w:w="2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left="50"/>
              <w:spacing w:after="0"/>
              <w:rPr>
                <w:sz w:val="20"/>
                <w:szCs w:val="20"/>
                <w:color w:val="auto"/>
              </w:rPr>
            </w:pPr>
            <w:r>
              <w:rPr>
                <w:rFonts w:ascii="Arial" w:cs="Arial" w:eastAsia="Arial" w:hAnsi="Arial"/>
                <w:sz w:val="18"/>
                <w:szCs w:val="18"/>
                <w:color w:val="auto"/>
              </w:rPr>
              <w:t>Title:</w:t>
            </w:r>
          </w:p>
        </w:tc>
        <w:tc>
          <w:tcPr>
            <w:tcW w:w="698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 and Treasurer (Principal Financial</w:t>
            </w:r>
          </w:p>
        </w:tc>
      </w:tr>
      <w:tr>
        <w:trPr>
          <w:trHeight w:val="239"/>
        </w:trPr>
        <w:tc>
          <w:tcPr>
            <w:tcW w:w="2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980" w:type="dxa"/>
            <w:vAlign w:val="bottom"/>
            <w:gridSpan w:val="2"/>
          </w:tcPr>
          <w:p>
            <w:pPr>
              <w:ind w:left="140"/>
              <w:spacing w:after="0"/>
              <w:rPr>
                <w:sz w:val="20"/>
                <w:szCs w:val="20"/>
                <w:color w:val="auto"/>
              </w:rPr>
            </w:pPr>
            <w:r>
              <w:rPr>
                <w:rFonts w:ascii="Arial" w:cs="Arial" w:eastAsia="Arial" w:hAnsi="Arial"/>
                <w:sz w:val="18"/>
                <w:szCs w:val="18"/>
                <w:color w:val="auto"/>
              </w:rPr>
              <w:t>Officer and Principal Accounting Officer)</w:t>
            </w:r>
          </w:p>
        </w:tc>
      </w:tr>
      <w:tr>
        <w:trPr>
          <w:trHeight w:val="810"/>
        </w:trPr>
        <w:tc>
          <w:tcPr>
            <w:tcW w:w="2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960" w:type="dxa"/>
            <w:vAlign w:val="bottom"/>
          </w:tcPr>
          <w:p>
            <w:pPr>
              <w:ind w:left="1260"/>
              <w:spacing w:after="0"/>
              <w:rPr>
                <w:sz w:val="20"/>
                <w:szCs w:val="20"/>
                <w:color w:val="auto"/>
              </w:rPr>
            </w:pPr>
            <w:r>
              <w:rPr>
                <w:rFonts w:ascii="Arial" w:cs="Arial" w:eastAsia="Arial" w:hAnsi="Arial"/>
                <w:sz w:val="18"/>
                <w:szCs w:val="18"/>
                <w:color w:val="auto"/>
              </w:rPr>
              <w:t>57</w:t>
            </w:r>
          </w:p>
        </w:tc>
        <w:tc>
          <w:tcPr>
            <w:tcW w:w="2020" w:type="dxa"/>
            <w:vAlign w:val="bottom"/>
          </w:tcPr>
          <w:p>
            <w:pPr>
              <w:spacing w:after="0"/>
              <w:rPr>
                <w:sz w:val="24"/>
                <w:szCs w:val="24"/>
                <w:color w:val="auto"/>
              </w:rPr>
            </w:pPr>
          </w:p>
        </w:tc>
      </w:tr>
      <w:tr>
        <w:trPr>
          <w:trHeight w:val="745"/>
        </w:trPr>
        <w:tc>
          <w:tcPr>
            <w:tcW w:w="2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87"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S. Graziosi, certify that:</w:t>
      </w:r>
    </w:p>
    <w:p>
      <w:pPr>
        <w:spacing w:after="0" w:line="225" w:lineRule="exact"/>
        <w:rPr>
          <w:sz w:val="20"/>
          <w:szCs w:val="20"/>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Allison Transmission Holdings, Inc.;</w:t>
      </w:r>
    </w:p>
    <w:p>
      <w:pPr>
        <w:spacing w:after="0" w:line="225" w:lineRule="exact"/>
        <w:rPr>
          <w:rFonts w:ascii="Times New Roman" w:cs="Times New Roman" w:eastAsia="Times New Roman" w:hAnsi="Times New Roman"/>
          <w:sz w:val="18"/>
          <w:szCs w:val="18"/>
          <w:color w:val="auto"/>
        </w:rPr>
      </w:pPr>
    </w:p>
    <w:p>
      <w:pPr>
        <w:jc w:val="both"/>
        <w:ind w:left="760" w:right="20" w:hanging="752"/>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752"/>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 w:hanging="752"/>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743"/>
        <w:spacing w:after="0" w:line="266"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40" w:hanging="743"/>
        <w:spacing w:after="0" w:line="266"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20" w:hanging="743"/>
        <w:spacing w:after="0" w:line="266"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60" w:hanging="752"/>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300" w:hanging="743"/>
        <w:spacing w:after="0" w:line="282"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80" w:hanging="743"/>
        <w:spacing w:after="0" w:line="282"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November 4,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S. Graziosi</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Chair,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815975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87"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Mell, certify that:</w:t>
      </w:r>
    </w:p>
    <w:p>
      <w:pPr>
        <w:spacing w:after="0" w:line="225" w:lineRule="exact"/>
        <w:rPr>
          <w:sz w:val="20"/>
          <w:szCs w:val="20"/>
          <w:color w:val="auto"/>
        </w:rPr>
      </w:pPr>
    </w:p>
    <w:p>
      <w:pPr>
        <w:ind w:left="760" w:hanging="752"/>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Allison Transmission Holdings, Inc.;</w:t>
      </w:r>
    </w:p>
    <w:p>
      <w:pPr>
        <w:spacing w:after="0" w:line="225" w:lineRule="exact"/>
        <w:rPr>
          <w:rFonts w:ascii="Times New Roman" w:cs="Times New Roman" w:eastAsia="Times New Roman" w:hAnsi="Times New Roman"/>
          <w:sz w:val="18"/>
          <w:szCs w:val="18"/>
          <w:color w:val="auto"/>
        </w:rPr>
      </w:pPr>
    </w:p>
    <w:p>
      <w:pPr>
        <w:jc w:val="both"/>
        <w:ind w:left="760" w:right="20" w:hanging="752"/>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752"/>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 w:hanging="752"/>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743"/>
        <w:spacing w:after="0" w:line="266"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40" w:hanging="743"/>
        <w:spacing w:after="0" w:line="266"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20" w:hanging="743"/>
        <w:spacing w:after="0" w:line="266"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60" w:hanging="752"/>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300" w:hanging="743"/>
        <w:spacing w:after="0" w:line="282"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80" w:hanging="743"/>
        <w:spacing w:after="0" w:line="282"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006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Scott Mell</w:t>
      </w:r>
    </w:p>
    <w:p>
      <w:pPr>
        <w:spacing w:after="0" w:line="2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tab/>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953135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Allison Transmission Holdings, Inc. (the “Company”) on Form 10-Q for the quarter ending September 30, 2026 as filed with the Securities and Exchange Commission on the date hereof (the “Report”), we, David S. Graziosi, Chair, President and Chief Executive Officer of the Company, and Scott Mell, Chief Financial Officer and Treasurer of the Company, certify, pursuant to 18 U.S.C. § 1350 as adopted pursuant to § 906 of the Sarbanes-Oxley Act of 2002, that:</w:t>
      </w:r>
    </w:p>
    <w:p>
      <w:pPr>
        <w:spacing w:after="0" w:line="180" w:lineRule="exact"/>
        <w:rPr>
          <w:sz w:val="20"/>
          <w:szCs w:val="20"/>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486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S. Graziosi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486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Mell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04"/>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2026-11-04T08:13:56Z</dcterms:created>
  <dcterms:modified xsi:type="dcterms:W3CDTF">2026-11-04T08:13:56Z</dcterms:modified>
</cp:coreProperties>
</file>