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ind w:left="580" w:right="100" w:hanging="572"/>
        <w:spacing w:after="0" w:line="254"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580" w:right="120" w:hanging="572"/>
        <w:spacing w:after="0" w:line="260"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001-35456</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41275</wp:posOffset>
            </wp:positionV>
            <wp:extent cx="1731645" cy="522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31645" cy="522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4500" w:type="dxa"/>
            <w:vAlign w:val="bottom"/>
          </w:tcPr>
          <w:p>
            <w:pPr>
              <w:jc w:val="center"/>
              <w:ind w:left="1060"/>
              <w:spacing w:after="0"/>
              <w:rPr>
                <w:sz w:val="20"/>
                <w:szCs w:val="20"/>
                <w:color w:val="auto"/>
              </w:rPr>
            </w:pPr>
            <w:r>
              <w:rPr>
                <w:rFonts w:ascii="Arial" w:cs="Arial" w:eastAsia="Arial" w:hAnsi="Arial"/>
                <w:sz w:val="18"/>
                <w:szCs w:val="18"/>
                <w:b w:val="1"/>
                <w:bCs w:val="1"/>
                <w:color w:val="auto"/>
              </w:rPr>
              <w:t>Delaware</w:t>
            </w:r>
          </w:p>
        </w:tc>
        <w:tc>
          <w:tcPr>
            <w:tcW w:w="1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0" w:type="dxa"/>
            <w:vAlign w:val="bottom"/>
          </w:tcPr>
          <w:p>
            <w:pPr>
              <w:jc w:val="right"/>
              <w:ind w:right="2242"/>
              <w:spacing w:after="0"/>
              <w:rPr>
                <w:sz w:val="20"/>
                <w:szCs w:val="20"/>
                <w:color w:val="auto"/>
              </w:rPr>
            </w:pPr>
            <w:r>
              <w:rPr>
                <w:rFonts w:ascii="Arial" w:cs="Arial" w:eastAsia="Arial" w:hAnsi="Arial"/>
                <w:sz w:val="18"/>
                <w:szCs w:val="18"/>
                <w:b w:val="1"/>
                <w:bCs w:val="1"/>
                <w:color w:val="auto"/>
              </w:rPr>
              <w:t>26-0414014</w:t>
            </w:r>
          </w:p>
        </w:tc>
      </w:tr>
      <w:tr>
        <w:trPr>
          <w:trHeight w:val="222"/>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(State or other jurisdiction of incorporation or</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(I.R.S. Employer</w:t>
            </w:r>
          </w:p>
        </w:tc>
      </w:tr>
      <w:tr>
        <w:trPr>
          <w:trHeight w:val="204"/>
        </w:trPr>
        <w:tc>
          <w:tcPr>
            <w:tcW w:w="4500" w:type="dxa"/>
            <w:vAlign w:val="bottom"/>
          </w:tcPr>
          <w:p>
            <w:pPr>
              <w:jc w:val="center"/>
              <w:ind w:left="1060"/>
              <w:spacing w:after="0"/>
              <w:rPr>
                <w:sz w:val="20"/>
                <w:szCs w:val="20"/>
                <w:color w:val="auto"/>
              </w:rPr>
            </w:pPr>
            <w:r>
              <w:rPr>
                <w:rFonts w:ascii="Arial" w:cs="Arial" w:eastAsia="Arial" w:hAnsi="Arial"/>
                <w:sz w:val="14"/>
                <w:szCs w:val="14"/>
                <w:color w:val="auto"/>
              </w:rPr>
              <w:t>organization)</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tcPr>
          <w:p>
            <w:pPr>
              <w:jc w:val="center"/>
              <w:ind w:right="1742"/>
              <w:spacing w:after="0"/>
              <w:rPr>
                <w:sz w:val="20"/>
                <w:szCs w:val="20"/>
                <w:color w:val="auto"/>
              </w:rPr>
            </w:pPr>
            <w:r>
              <w:rPr>
                <w:rFonts w:ascii="Arial" w:cs="Arial" w:eastAsia="Arial" w:hAnsi="Arial"/>
                <w:sz w:val="14"/>
                <w:szCs w:val="14"/>
                <w:color w:val="auto"/>
              </w:rPr>
              <w:t>Identification Number)</w:t>
            </w:r>
          </w:p>
        </w:tc>
      </w:tr>
      <w:tr>
        <w:trPr>
          <w:trHeight w:val="398"/>
        </w:trPr>
        <w:tc>
          <w:tcPr>
            <w:tcW w:w="4500" w:type="dxa"/>
            <w:vAlign w:val="bottom"/>
          </w:tcPr>
          <w:p>
            <w:pPr>
              <w:jc w:val="center"/>
              <w:ind w:left="1040"/>
              <w:spacing w:after="0"/>
              <w:rPr>
                <w:sz w:val="20"/>
                <w:szCs w:val="20"/>
                <w:color w:val="auto"/>
              </w:rPr>
            </w:pPr>
            <w:r>
              <w:rPr>
                <w:rFonts w:ascii="Arial" w:cs="Arial" w:eastAsia="Arial" w:hAnsi="Arial"/>
                <w:sz w:val="18"/>
                <w:szCs w:val="18"/>
                <w:b w:val="1"/>
                <w:bCs w:val="1"/>
                <w:color w:val="auto"/>
                <w:w w:val="99"/>
              </w:rPr>
              <w:t>One Allison Way</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70"/>
        </w:trPr>
        <w:tc>
          <w:tcPr>
            <w:tcW w:w="4500" w:type="dxa"/>
            <w:vAlign w:val="bottom"/>
          </w:tcPr>
          <w:p>
            <w:pPr>
              <w:ind w:left="2120"/>
              <w:spacing w:after="0"/>
              <w:rPr>
                <w:sz w:val="20"/>
                <w:szCs w:val="20"/>
                <w:color w:val="auto"/>
              </w:rPr>
            </w:pPr>
            <w:r>
              <w:rPr>
                <w:rFonts w:ascii="Arial" w:cs="Arial" w:eastAsia="Arial" w:hAnsi="Arial"/>
                <w:sz w:val="18"/>
                <w:szCs w:val="18"/>
                <w:b w:val="1"/>
                <w:bCs w:val="1"/>
                <w:color w:val="auto"/>
              </w:rPr>
              <w:t>Indianapolis, IN</w:t>
            </w:r>
          </w:p>
        </w:tc>
        <w:tc>
          <w:tcPr>
            <w:tcW w:w="12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0" w:type="dxa"/>
            <w:vAlign w:val="bottom"/>
          </w:tcPr>
          <w:p>
            <w:pPr>
              <w:jc w:val="right"/>
              <w:ind w:right="2482"/>
              <w:spacing w:after="0"/>
              <w:rPr>
                <w:sz w:val="20"/>
                <w:szCs w:val="20"/>
                <w:color w:val="auto"/>
              </w:rPr>
            </w:pPr>
            <w:r>
              <w:rPr>
                <w:rFonts w:ascii="Arial" w:cs="Arial" w:eastAsia="Arial" w:hAnsi="Arial"/>
                <w:sz w:val="18"/>
                <w:szCs w:val="18"/>
                <w:b w:val="1"/>
                <w:bCs w:val="1"/>
                <w:color w:val="auto"/>
              </w:rPr>
              <w:t>46222</w:t>
            </w:r>
          </w:p>
        </w:tc>
      </w:tr>
      <w:tr>
        <w:trPr>
          <w:trHeight w:val="223"/>
        </w:trPr>
        <w:tc>
          <w:tcPr>
            <w:tcW w:w="4500" w:type="dxa"/>
            <w:vAlign w:val="bottom"/>
          </w:tcPr>
          <w:p>
            <w:pPr>
              <w:jc w:val="center"/>
              <w:ind w:left="1040"/>
              <w:spacing w:after="0"/>
              <w:rPr>
                <w:sz w:val="20"/>
                <w:szCs w:val="20"/>
                <w:color w:val="auto"/>
              </w:rPr>
            </w:pPr>
            <w:r>
              <w:rPr>
                <w:rFonts w:ascii="Arial" w:cs="Arial" w:eastAsia="Arial" w:hAnsi="Arial"/>
                <w:sz w:val="14"/>
                <w:szCs w:val="14"/>
                <w:color w:val="auto"/>
              </w:rPr>
              <w:t>(Address of principal executive offices)</w:t>
            </w: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0" w:type="dxa"/>
            <w:vAlign w:val="bottom"/>
          </w:tcPr>
          <w:p>
            <w:pPr>
              <w:jc w:val="center"/>
              <w:ind w:right="1722"/>
              <w:spacing w:after="0"/>
              <w:rPr>
                <w:sz w:val="20"/>
                <w:szCs w:val="20"/>
                <w:color w:val="auto"/>
              </w:rPr>
            </w:pPr>
            <w:r>
              <w:rPr>
                <w:rFonts w:ascii="Arial" w:cs="Arial" w:eastAsia="Arial" w:hAnsi="Arial"/>
                <w:sz w:val="14"/>
                <w:szCs w:val="14"/>
                <w:color w:val="auto"/>
              </w:rPr>
              <w:t>(Zip Code)</w:t>
            </w:r>
          </w:p>
        </w:tc>
      </w:tr>
      <w:tr>
        <w:trPr>
          <w:trHeight w:val="304"/>
        </w:trPr>
        <w:tc>
          <w:tcPr>
            <w:tcW w:w="4500" w:type="dxa"/>
            <w:vAlign w:val="bottom"/>
          </w:tcPr>
          <w:p>
            <w:pPr>
              <w:spacing w:after="0"/>
              <w:rPr>
                <w:sz w:val="24"/>
                <w:szCs w:val="24"/>
                <w:color w:val="auto"/>
              </w:rPr>
            </w:pPr>
          </w:p>
        </w:tc>
        <w:tc>
          <w:tcPr>
            <w:tcW w:w="2500" w:type="dxa"/>
            <w:vAlign w:val="bottom"/>
            <w:gridSpan w:val="2"/>
          </w:tcPr>
          <w:p>
            <w:pPr>
              <w:jc w:val="center"/>
              <w:ind w:right="184"/>
              <w:spacing w:after="0"/>
              <w:rPr>
                <w:sz w:val="20"/>
                <w:szCs w:val="20"/>
                <w:color w:val="auto"/>
              </w:rPr>
            </w:pPr>
            <w:r>
              <w:rPr>
                <w:rFonts w:ascii="Arial" w:cs="Arial" w:eastAsia="Arial" w:hAnsi="Arial"/>
                <w:sz w:val="18"/>
                <w:szCs w:val="18"/>
                <w:b w:val="1"/>
                <w:bCs w:val="1"/>
                <w:color w:val="auto"/>
              </w:rPr>
              <w:t>(317) 242-5000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96"/>
        </w:trPr>
        <w:tc>
          <w:tcPr>
            <w:tcW w:w="7440" w:type="dxa"/>
            <w:vAlign w:val="bottom"/>
            <w:gridSpan w:val="5"/>
          </w:tcPr>
          <w:p>
            <w:pPr>
              <w:jc w:val="center"/>
              <w:ind w:left="3740"/>
              <w:spacing w:after="0"/>
              <w:rPr>
                <w:sz w:val="20"/>
                <w:szCs w:val="20"/>
                <w:color w:val="auto"/>
              </w:rPr>
            </w:pPr>
            <w:r>
              <w:rPr>
                <w:rFonts w:ascii="Arial" w:cs="Arial" w:eastAsia="Arial" w:hAnsi="Arial"/>
                <w:sz w:val="14"/>
                <w:szCs w:val="14"/>
                <w:color w:val="auto"/>
              </w:rPr>
              <w:t>(Registrant’s telephone number, including area code)</w:t>
            </w:r>
          </w:p>
        </w:tc>
        <w:tc>
          <w:tcPr>
            <w:tcW w:w="3800" w:type="dxa"/>
            <w:vAlign w:val="bottom"/>
          </w:tcPr>
          <w:p>
            <w:pPr>
              <w:spacing w:after="0"/>
              <w:rPr>
                <w:sz w:val="17"/>
                <w:szCs w:val="17"/>
                <w:color w:val="auto"/>
              </w:rPr>
            </w:pPr>
          </w:p>
        </w:tc>
      </w:tr>
      <w:tr>
        <w:trPr>
          <w:trHeight w:val="272"/>
        </w:trPr>
        <w:tc>
          <w:tcPr>
            <w:tcW w:w="11240" w:type="dxa"/>
            <w:vAlign w:val="bottom"/>
            <w:gridSpan w:val="6"/>
          </w:tcPr>
          <w:p>
            <w:pPr>
              <w:jc w:val="center"/>
              <w:spacing w:after="0"/>
              <w:rPr>
                <w:sz w:val="20"/>
                <w:szCs w:val="20"/>
                <w:color w:val="auto"/>
              </w:rPr>
            </w:pPr>
            <w:r>
              <w:rPr>
                <w:rFonts w:ascii="Arial" w:cs="Arial" w:eastAsia="Arial" w:hAnsi="Arial"/>
                <w:sz w:val="18"/>
                <w:szCs w:val="18"/>
                <w:color w:val="auto"/>
                <w:w w:val="99"/>
              </w:rPr>
              <w:t>Securities registered pursuant to Section 12(b) of the Act:</w:t>
            </w:r>
          </w:p>
        </w:tc>
      </w:tr>
      <w:tr>
        <w:trPr>
          <w:trHeight w:val="181"/>
        </w:trPr>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Title of each class</w:t>
            </w:r>
          </w:p>
        </w:tc>
        <w:tc>
          <w:tcPr>
            <w:tcW w:w="120" w:type="dxa"/>
            <w:vAlign w:val="bottom"/>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Trading Symbol(s)</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0" w:type="dxa"/>
            <w:vAlign w:val="bottom"/>
            <w:tcBorders>
              <w:bottom w:val="single" w:sz="8" w:color="auto"/>
            </w:tcBorders>
          </w:tcPr>
          <w:p>
            <w:pPr>
              <w:jc w:val="center"/>
              <w:ind w:right="262"/>
              <w:spacing w:after="0"/>
              <w:rPr>
                <w:sz w:val="20"/>
                <w:szCs w:val="20"/>
                <w:color w:val="auto"/>
              </w:rPr>
            </w:pPr>
            <w:r>
              <w:rPr>
                <w:rFonts w:ascii="Arial" w:cs="Arial" w:eastAsia="Arial" w:hAnsi="Arial"/>
                <w:sz w:val="15"/>
                <w:szCs w:val="15"/>
                <w:b w:val="1"/>
                <w:bCs w:val="1"/>
                <w:color w:val="auto"/>
              </w:rPr>
              <w:t>Name of each exchange on which registered</w:t>
            </w:r>
          </w:p>
        </w:tc>
      </w:tr>
      <w:tr>
        <w:trPr>
          <w:trHeight w:val="211"/>
        </w:trPr>
        <w:tc>
          <w:tcPr>
            <w:tcW w:w="4500" w:type="dxa"/>
            <w:vAlign w:val="bottom"/>
          </w:tcPr>
          <w:p>
            <w:pPr>
              <w:jc w:val="center"/>
              <w:spacing w:after="0"/>
              <w:rPr>
                <w:sz w:val="20"/>
                <w:szCs w:val="20"/>
                <w:color w:val="auto"/>
              </w:rPr>
            </w:pPr>
            <w:r>
              <w:rPr>
                <w:rFonts w:ascii="Arial" w:cs="Arial" w:eastAsia="Arial" w:hAnsi="Arial"/>
                <w:sz w:val="15"/>
                <w:szCs w:val="15"/>
                <w:b w:val="1"/>
                <w:bCs w:val="1"/>
                <w:color w:val="auto"/>
              </w:rPr>
              <w:t>Common Stock, $0.01 par value</w:t>
            </w:r>
          </w:p>
        </w:tc>
        <w:tc>
          <w:tcPr>
            <w:tcW w:w="120" w:type="dxa"/>
            <w:vAlign w:val="bottom"/>
          </w:tcPr>
          <w:p>
            <w:pPr>
              <w:spacing w:after="0"/>
              <w:rPr>
                <w:sz w:val="18"/>
                <w:szCs w:val="18"/>
                <w:color w:val="auto"/>
              </w:rPr>
            </w:pPr>
          </w:p>
        </w:tc>
        <w:tc>
          <w:tcPr>
            <w:tcW w:w="2820" w:type="dxa"/>
            <w:vAlign w:val="bottom"/>
            <w:gridSpan w:val="3"/>
          </w:tcPr>
          <w:p>
            <w:pPr>
              <w:jc w:val="center"/>
              <w:ind w:right="440"/>
              <w:spacing w:after="0"/>
              <w:rPr>
                <w:sz w:val="20"/>
                <w:szCs w:val="20"/>
                <w:color w:val="auto"/>
              </w:rPr>
            </w:pPr>
            <w:r>
              <w:rPr>
                <w:rFonts w:ascii="Arial" w:cs="Arial" w:eastAsia="Arial" w:hAnsi="Arial"/>
                <w:sz w:val="15"/>
                <w:szCs w:val="15"/>
                <w:b w:val="1"/>
                <w:bCs w:val="1"/>
                <w:color w:val="auto"/>
              </w:rPr>
              <w:t>ALSN</w:t>
            </w:r>
          </w:p>
        </w:tc>
        <w:tc>
          <w:tcPr>
            <w:tcW w:w="3800" w:type="dxa"/>
            <w:vAlign w:val="bottom"/>
          </w:tcPr>
          <w:p>
            <w:pPr>
              <w:jc w:val="center"/>
              <w:ind w:right="242"/>
              <w:spacing w:after="0"/>
              <w:rPr>
                <w:sz w:val="20"/>
                <w:szCs w:val="20"/>
                <w:color w:val="auto"/>
              </w:rPr>
            </w:pPr>
            <w:r>
              <w:rPr>
                <w:rFonts w:ascii="Arial" w:cs="Arial" w:eastAsia="Arial" w:hAnsi="Arial"/>
                <w:sz w:val="15"/>
                <w:szCs w:val="15"/>
                <w:b w:val="1"/>
                <w:bCs w:val="1"/>
                <w:color w:val="auto"/>
              </w:rPr>
              <w:t>New York Stock Exchange</w:t>
            </w:r>
          </w:p>
        </w:tc>
      </w:tr>
    </w:tbl>
    <w:p>
      <w:pPr>
        <w:spacing w:after="0" w:line="87" w:lineRule="exact"/>
        <w:rPr>
          <w:sz w:val="24"/>
          <w:szCs w:val="24"/>
          <w:color w:val="auto"/>
        </w:rPr>
      </w:pPr>
    </w:p>
    <w:p>
      <w:pPr>
        <w:ind w:right="60"/>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60"/>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 w:lineRule="exact"/>
        <w:rPr>
          <w:sz w:val="24"/>
          <w:szCs w:val="24"/>
          <w:color w:val="auto"/>
        </w:rPr>
      </w:pPr>
    </w:p>
    <w:p>
      <w:pPr>
        <w:ind w:right="20"/>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52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16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6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720"/>
        <w:spacing w:after="0" w:line="25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October 16, 2025, there were 83,228,716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593725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20" w:type="dxa"/>
            <w:vAlign w:val="bottom"/>
            <w:gridSpan w:val="10"/>
          </w:tcPr>
          <w:p>
            <w:pPr>
              <w:jc w:val="center"/>
              <w:ind w:right="3320"/>
              <w:spacing w:after="0"/>
              <w:rPr>
                <w:sz w:val="20"/>
                <w:szCs w:val="20"/>
                <w:color w:val="auto"/>
              </w:rPr>
            </w:pPr>
            <w:r>
              <w:rPr>
                <w:rFonts w:ascii="Arial" w:cs="Arial" w:eastAsia="Arial" w:hAnsi="Arial"/>
                <w:sz w:val="18"/>
                <w:szCs w:val="18"/>
                <w:b w:val="1"/>
                <w:bCs w:val="1"/>
                <w:color w:val="auto"/>
                <w:w w:val="99"/>
              </w:rPr>
              <w:t>TABLE OF CONTENTS</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2"/>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980" w:type="dxa"/>
            <w:vAlign w:val="bottom"/>
            <w:gridSpan w:val="9"/>
            <w:vMerge w:val="restart"/>
          </w:tcPr>
          <w:p>
            <w:pPr>
              <w:jc w:val="center"/>
              <w:spacing w:after="0"/>
              <w:rPr>
                <w:sz w:val="20"/>
                <w:szCs w:val="20"/>
                <w:color w:val="auto"/>
              </w:rPr>
            </w:pPr>
            <w:r>
              <w:rPr>
                <w:rFonts w:ascii="Arial" w:cs="Arial" w:eastAsia="Arial" w:hAnsi="Arial"/>
                <w:sz w:val="18"/>
                <w:szCs w:val="18"/>
                <w:b w:val="1"/>
                <w:bCs w:val="1"/>
                <w:color w:val="0000FF"/>
                <w:w w:val="99"/>
              </w:rPr>
              <w:t>PART I. FINANCIAL INFORMATION</w:t>
            </w:r>
          </w:p>
        </w:tc>
        <w:tc>
          <w:tcPr>
            <w:tcW w:w="3200" w:type="dxa"/>
            <w:vAlign w:val="bottom"/>
            <w:gridSpan w:val="2"/>
            <w:vMerge w:val="restart"/>
          </w:tcPr>
          <w:p>
            <w:pPr>
              <w:spacing w:after="0"/>
              <w:rPr>
                <w:sz w:val="24"/>
                <w:szCs w:val="24"/>
                <w:color w:val="auto"/>
              </w:rPr>
            </w:pPr>
          </w:p>
        </w:tc>
        <w:tc>
          <w:tcPr>
            <w:tcW w:w="94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tcBorders>
              <w:bottom w:val="single" w:sz="8" w:color="0000FF"/>
            </w:tcBorders>
            <w:gridSpan w:val="9"/>
            <w:vMerge w:val="continue"/>
          </w:tcPr>
          <w:p>
            <w:pPr>
              <w:spacing w:after="0"/>
              <w:rPr>
                <w:sz w:val="14"/>
                <w:szCs w:val="14"/>
                <w:color w:val="auto"/>
              </w:rPr>
            </w:pPr>
          </w:p>
        </w:tc>
        <w:tc>
          <w:tcPr>
            <w:tcW w:w="32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Financial Statements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EE"/>
            </w:tcBorders>
            <w:gridSpan w:val="2"/>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4</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5</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Stockholders’ Equity</w:t>
            </w: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60" w:type="dxa"/>
            <w:vAlign w:val="bottom"/>
            <w:gridSpan w:val="12"/>
          </w:tcPr>
          <w:p>
            <w:pPr>
              <w:spacing w:after="0"/>
              <w:rPr>
                <w:sz w:val="20"/>
                <w:szCs w:val="20"/>
                <w:color w:val="auto"/>
              </w:rPr>
            </w:pPr>
            <w:r>
              <w:rPr>
                <w:rFonts w:ascii="Arial" w:cs="Arial" w:eastAsia="Arial" w:hAnsi="Arial"/>
                <w:sz w:val="18"/>
                <w:szCs w:val="18"/>
                <w:color w:val="0000FF"/>
                <w:w w:val="99"/>
              </w:rPr>
              <w:t>Notes to Condensed Consolidated Financial Statements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2260" w:type="dxa"/>
            <w:vAlign w:val="bottom"/>
          </w:tcPr>
          <w:p>
            <w:pPr>
              <w:spacing w:after="0"/>
              <w:rPr>
                <w:sz w:val="24"/>
                <w:szCs w:val="24"/>
                <w:color w:val="auto"/>
              </w:rPr>
            </w:pPr>
          </w:p>
        </w:tc>
        <w:tc>
          <w:tcPr>
            <w:tcW w:w="520" w:type="dxa"/>
            <w:vAlign w:val="bottom"/>
            <w:gridSpan w:val="2"/>
          </w:tcPr>
          <w:p>
            <w:pPr>
              <w:jc w:val="center"/>
              <w:ind w:left="330"/>
              <w:spacing w:after="0"/>
              <w:rPr>
                <w:sz w:val="20"/>
                <w:szCs w:val="20"/>
                <w:color w:val="auto"/>
              </w:rPr>
            </w:pPr>
            <w:r>
              <w:rPr>
                <w:rFonts w:ascii="Arial" w:cs="Arial" w:eastAsia="Arial" w:hAnsi="Arial"/>
                <w:sz w:val="18"/>
                <w:szCs w:val="18"/>
                <w:color w:val="0000FF"/>
                <w:w w:val="99"/>
              </w:rPr>
              <w:t>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gridSpan w:val="2"/>
          </w:tcPr>
          <w:p>
            <w:pPr>
              <w:spacing w:after="0" w:line="20" w:lineRule="exact"/>
              <w:rPr>
                <w:sz w:val="1"/>
                <w:szCs w:val="1"/>
                <w:color w:val="auto"/>
              </w:rPr>
            </w:pPr>
          </w:p>
        </w:tc>
        <w:tc>
          <w:tcPr>
            <w:tcW w:w="1340" w:type="dxa"/>
            <w:vAlign w:val="bottom"/>
            <w:tcBorders>
              <w:top w:val="single" w:sz="8" w:color="0000FF"/>
            </w:tcBorders>
            <w:gridSpan w:val="2"/>
          </w:tcPr>
          <w:p>
            <w:pPr>
              <w:spacing w:after="0" w:line="20" w:lineRule="exact"/>
              <w:rPr>
                <w:sz w:val="1"/>
                <w:szCs w:val="1"/>
                <w:color w:val="auto"/>
              </w:rPr>
            </w:pPr>
          </w:p>
        </w:tc>
        <w:tc>
          <w:tcPr>
            <w:tcW w:w="1140" w:type="dxa"/>
            <w:vAlign w:val="bottom"/>
            <w:tcBorders>
              <w:top w:val="single" w:sz="8" w:color="0000FF"/>
            </w:tcBorders>
            <w:gridSpan w:val="2"/>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25</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3.</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340" w:type="dxa"/>
            <w:vAlign w:val="bottom"/>
            <w:tcBorders>
              <w:right w:val="single" w:sz="8" w:color="0000FF"/>
            </w:tcBorders>
            <w:gridSpan w:val="2"/>
            <w:shd w:val="clear" w:color="auto" w:fill="0000FF"/>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4"/>
              </w:rPr>
              <w:t>Item 4.</w:t>
            </w:r>
          </w:p>
        </w:tc>
        <w:tc>
          <w:tcPr>
            <w:tcW w:w="12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1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7"/>
              </w:rPr>
              <w:t>Controls and Procedures</w:t>
            </w:r>
          </w:p>
        </w:tc>
        <w:tc>
          <w:tcPr>
            <w:tcW w:w="1340" w:type="dxa"/>
            <w:vAlign w:val="bottom"/>
            <w:gridSpan w:val="2"/>
            <w:vMerge w:val="restart"/>
          </w:tcPr>
          <w:p>
            <w:pPr>
              <w:spacing w:after="0"/>
              <w:rPr>
                <w:sz w:val="24"/>
                <w:szCs w:val="24"/>
                <w:color w:val="auto"/>
              </w:rPr>
            </w:pPr>
          </w:p>
        </w:tc>
        <w:tc>
          <w:tcPr>
            <w:tcW w:w="1380" w:type="dxa"/>
            <w:vAlign w:val="bottom"/>
            <w:gridSpan w:val="4"/>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1140" w:type="dxa"/>
            <w:vAlign w:val="bottom"/>
            <w:gridSpan w:val="2"/>
            <w:vMerge w:val="restart"/>
          </w:tcPr>
          <w:p>
            <w:pPr>
              <w:spacing w:after="0"/>
              <w:rPr>
                <w:sz w:val="24"/>
                <w:szCs w:val="24"/>
                <w:color w:val="auto"/>
              </w:rPr>
            </w:pPr>
          </w:p>
        </w:tc>
        <w:tc>
          <w:tcPr>
            <w:tcW w:w="3360" w:type="dxa"/>
            <w:vAlign w:val="bottom"/>
            <w:gridSpan w:val="3"/>
            <w:vMerge w:val="restart"/>
          </w:tcPr>
          <w:p>
            <w:pPr>
              <w:spacing w:after="0"/>
              <w:rPr>
                <w:sz w:val="24"/>
                <w:szCs w:val="24"/>
                <w:color w:val="auto"/>
              </w:rPr>
            </w:pPr>
          </w:p>
        </w:tc>
        <w:tc>
          <w:tcPr>
            <w:tcW w:w="94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99"/>
              </w:rPr>
              <w:t>42</w:t>
            </w:r>
          </w:p>
        </w:tc>
        <w:tc>
          <w:tcPr>
            <w:tcW w:w="0" w:type="dxa"/>
            <w:vAlign w:val="bottom"/>
          </w:tcPr>
          <w:p>
            <w:pPr>
              <w:spacing w:after="0"/>
              <w:rPr>
                <w:sz w:val="1"/>
                <w:szCs w:val="1"/>
                <w:color w:val="auto"/>
              </w:rPr>
            </w:pPr>
          </w:p>
        </w:tc>
      </w:tr>
      <w:tr>
        <w:trPr>
          <w:trHeight w:val="34"/>
        </w:trPr>
        <w:tc>
          <w:tcPr>
            <w:tcW w:w="5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380" w:type="dxa"/>
            <w:vAlign w:val="bottom"/>
            <w:gridSpan w:val="4"/>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336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180" w:type="dxa"/>
            <w:vAlign w:val="bottom"/>
            <w:gridSpan w:val="11"/>
          </w:tcPr>
          <w:p>
            <w:pPr>
              <w:jc w:val="center"/>
              <w:ind w:right="3220"/>
              <w:spacing w:after="0"/>
              <w:rPr>
                <w:sz w:val="20"/>
                <w:szCs w:val="20"/>
                <w:color w:val="auto"/>
              </w:rPr>
            </w:pPr>
            <w:r>
              <w:rPr>
                <w:rFonts w:ascii="Arial" w:cs="Arial" w:eastAsia="Arial" w:hAnsi="Arial"/>
                <w:sz w:val="18"/>
                <w:szCs w:val="18"/>
                <w:b w:val="1"/>
                <w:bCs w:val="1"/>
                <w:color w:val="0000FF"/>
                <w:w w:val="99"/>
              </w:rPr>
              <w:t>PART II. OTHER INFORMATION</w:t>
            </w:r>
          </w:p>
        </w:tc>
        <w:tc>
          <w:tcPr>
            <w:tcW w:w="4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1.</w:t>
            </w:r>
          </w:p>
        </w:tc>
        <w:tc>
          <w:tcPr>
            <w:tcW w:w="420" w:type="dxa"/>
            <w:vAlign w:val="bottom"/>
            <w:gridSpan w:val="2"/>
          </w:tcPr>
          <w:p>
            <w:pPr>
              <w:spacing w:after="0"/>
              <w:rPr>
                <w:sz w:val="24"/>
                <w:szCs w:val="24"/>
                <w:color w:val="auto"/>
              </w:rPr>
            </w:pPr>
          </w:p>
        </w:tc>
        <w:tc>
          <w:tcPr>
            <w:tcW w:w="3300" w:type="dxa"/>
            <w:vAlign w:val="bottom"/>
            <w:gridSpan w:val="9"/>
          </w:tcPr>
          <w:p>
            <w:pPr>
              <w:spacing w:after="0"/>
              <w:rPr>
                <w:sz w:val="20"/>
                <w:szCs w:val="20"/>
                <w:color w:val="auto"/>
              </w:rPr>
            </w:pPr>
            <w:r>
              <w:rPr>
                <w:rFonts w:ascii="Arial" w:cs="Arial" w:eastAsia="Arial" w:hAnsi="Arial"/>
                <w:sz w:val="18"/>
                <w:szCs w:val="18"/>
                <w:color w:val="0000FF"/>
              </w:rPr>
              <w:t>Legal Proceedings</w:t>
            </w:r>
          </w:p>
        </w:tc>
        <w:tc>
          <w:tcPr>
            <w:tcW w:w="2660" w:type="dxa"/>
            <w:vAlign w:val="bottom"/>
            <w:tcBorders>
              <w:top w:val="single" w:sz="8" w:color="0000FF"/>
            </w:tcBorders>
            <w:gridSpan w:val="7"/>
          </w:tcPr>
          <w:p>
            <w:pPr>
              <w:spacing w:after="0"/>
              <w:rPr>
                <w:sz w:val="24"/>
                <w:szCs w:val="24"/>
                <w:color w:val="auto"/>
              </w:rPr>
            </w:pPr>
          </w:p>
        </w:tc>
        <w:tc>
          <w:tcPr>
            <w:tcW w:w="3360" w:type="dxa"/>
            <w:vAlign w:val="bottom"/>
            <w:gridSpan w:val="3"/>
          </w:tcPr>
          <w:p>
            <w:pPr>
              <w:spacing w:after="0"/>
              <w:rPr>
                <w:sz w:val="24"/>
                <w:szCs w:val="24"/>
                <w:color w:val="auto"/>
              </w:rPr>
            </w:pP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360" w:type="dxa"/>
            <w:vAlign w:val="bottom"/>
            <w:gridSpan w:val="9"/>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Risk Factors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40" w:type="dxa"/>
            <w:vAlign w:val="bottom"/>
            <w:gridSpan w:val="10"/>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46</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40" w:type="dxa"/>
            <w:vAlign w:val="bottom"/>
            <w:gridSpan w:val="10"/>
            <w:shd w:val="clear" w:color="auto" w:fill="0000FF"/>
          </w:tcPr>
          <w:p>
            <w:pPr>
              <w:spacing w:after="0" w:line="20" w:lineRule="exact"/>
              <w:rPr>
                <w:sz w:val="1"/>
                <w:szCs w:val="1"/>
                <w:color w:val="auto"/>
              </w:rPr>
            </w:pPr>
          </w:p>
        </w:tc>
        <w:tc>
          <w:tcPr>
            <w:tcW w:w="4500" w:type="dxa"/>
            <w:vAlign w:val="bottom"/>
            <w:gridSpan w:val="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5.</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Other Information</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20" w:type="dxa"/>
            <w:vAlign w:val="bottom"/>
            <w:tcBorders>
              <w:left w:val="single" w:sz="8" w:color="0000EE"/>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940" w:type="dxa"/>
            <w:vAlign w:val="bottom"/>
            <w:gridSpan w:val="15"/>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FF"/>
                <w:w w:val="94"/>
              </w:rPr>
              <w:t>Item 6.</w:t>
            </w:r>
          </w:p>
        </w:tc>
        <w:tc>
          <w:tcPr>
            <w:tcW w:w="420" w:type="dxa"/>
            <w:vAlign w:val="bottom"/>
            <w:gridSpan w:val="2"/>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Exhibits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60" w:type="dxa"/>
            <w:vAlign w:val="bottom"/>
            <w:gridSpan w:val="17"/>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320" w:type="dxa"/>
            <w:vAlign w:val="bottom"/>
            <w:gridSpan w:val="19"/>
          </w:tcPr>
          <w:p>
            <w:pPr>
              <w:spacing w:after="0"/>
              <w:rPr>
                <w:sz w:val="20"/>
                <w:szCs w:val="20"/>
                <w:color w:val="auto"/>
              </w:rPr>
            </w:pPr>
            <w:r>
              <w:rPr>
                <w:rFonts w:ascii="Arial" w:cs="Arial" w:eastAsia="Arial" w:hAnsi="Arial"/>
                <w:sz w:val="18"/>
                <w:szCs w:val="18"/>
                <w:color w:val="0000FF"/>
              </w:rPr>
              <w:t>Signatures</w:t>
            </w:r>
          </w:p>
        </w:tc>
        <w:tc>
          <w:tcPr>
            <w:tcW w:w="940" w:type="dxa"/>
            <w:vAlign w:val="bottom"/>
            <w:gridSpan w:val="3"/>
          </w:tcPr>
          <w:p>
            <w:pPr>
              <w:jc w:val="center"/>
              <w:spacing w:after="0"/>
              <w:rPr>
                <w:sz w:val="20"/>
                <w:szCs w:val="20"/>
                <w:color w:val="auto"/>
              </w:rPr>
            </w:pPr>
            <w:r>
              <w:rPr>
                <w:rFonts w:ascii="Arial" w:cs="Arial" w:eastAsia="Arial" w:hAnsi="Arial"/>
                <w:sz w:val="18"/>
                <w:szCs w:val="18"/>
                <w:color w:val="0000FF"/>
                <w:w w:val="99"/>
              </w:rPr>
              <w:t>49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dollars in millions,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331"/>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331"/>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2024</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902</w:t>
            </w:r>
          </w:p>
        </w:tc>
        <w:tc>
          <w:tcPr>
            <w:tcW w:w="36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781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 – net of allowance for doubtful accounts of $1</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329</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360</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331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315</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82</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1,671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1,538</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11</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834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803</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816</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822</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2,075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2,075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98</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87</w:t>
            </w:r>
          </w:p>
        </w:tc>
      </w:tr>
      <w:tr>
        <w:trPr>
          <w:trHeight w:val="23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5,517</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183"/>
        </w:trPr>
        <w:tc>
          <w:tcPr>
            <w:tcW w:w="768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w w:val="79"/>
              </w:rPr>
              <w:t>$</w:t>
            </w: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192</w:t>
            </w:r>
          </w:p>
        </w:tc>
        <w:tc>
          <w:tcPr>
            <w:tcW w:w="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212</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Product warranty liability</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31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5</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35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41</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172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217</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438</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506</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Product warranty liability</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36</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101</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95</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7"/>
                <w:szCs w:val="17"/>
                <w:color w:val="auto"/>
              </w:rPr>
            </w:pPr>
          </w:p>
        </w:tc>
        <w:tc>
          <w:tcPr>
            <w:tcW w:w="15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2,393</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ind w:right="11"/>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545</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501</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152</w:t>
            </w:r>
          </w:p>
        </w:tc>
      </w:tr>
      <w:tr>
        <w:trPr>
          <w:trHeight w:val="19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3,676</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3,685</w:t>
            </w:r>
          </w:p>
        </w:tc>
      </w:tr>
      <w:tr>
        <w:trPr>
          <w:trHeight w:val="202"/>
        </w:trPr>
        <w:tc>
          <w:tcPr>
            <w:tcW w:w="7680" w:type="dxa"/>
            <w:vAlign w:val="bottom"/>
          </w:tcPr>
          <w:p>
            <w:pPr>
              <w:spacing w:after="0" w:line="202" w:lineRule="exact"/>
              <w:rPr>
                <w:sz w:val="20"/>
                <w:szCs w:val="20"/>
                <w:color w:val="auto"/>
              </w:rPr>
            </w:pPr>
            <w:r>
              <w:rPr>
                <w:rFonts w:ascii="Arial" w:cs="Arial" w:eastAsia="Arial" w:hAnsi="Arial"/>
                <w:sz w:val="18"/>
                <w:szCs w:val="18"/>
                <w:color w:val="auto"/>
              </w:rPr>
              <w:t>Commitments and contingencies (see Note P)</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84"/>
        </w:trPr>
        <w:tc>
          <w:tcPr>
            <w:tcW w:w="7680" w:type="dxa"/>
            <w:vAlign w:val="bottom"/>
          </w:tcPr>
          <w:p>
            <w:pPr>
              <w:ind w:left="200"/>
              <w:spacing w:after="0" w:line="183" w:lineRule="exact"/>
              <w:rPr>
                <w:sz w:val="20"/>
                <w:szCs w:val="20"/>
                <w:color w:val="auto"/>
              </w:rPr>
            </w:pPr>
            <w:r>
              <w:rPr>
                <w:rFonts w:ascii="Arial" w:cs="Arial" w:eastAsia="Arial" w:hAnsi="Arial"/>
                <w:sz w:val="18"/>
                <w:szCs w:val="18"/>
                <w:color w:val="auto"/>
              </w:rPr>
              <w:t>Common stock, $0.01 par value, 1,880,000,000 shares authorized, 83,328,575 shares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1"/>
        </w:trPr>
        <w:tc>
          <w:tcPr>
            <w:tcW w:w="7680" w:type="dxa"/>
            <w:vAlign w:val="bottom"/>
          </w:tcPr>
          <w:p>
            <w:pPr>
              <w:ind w:left="200"/>
              <w:spacing w:after="0"/>
              <w:rPr>
                <w:sz w:val="20"/>
                <w:szCs w:val="20"/>
                <w:color w:val="auto"/>
              </w:rPr>
            </w:pPr>
            <w:r>
              <w:rPr>
                <w:rFonts w:ascii="Arial" w:cs="Arial" w:eastAsia="Arial" w:hAnsi="Arial"/>
                <w:sz w:val="18"/>
                <w:szCs w:val="18"/>
                <w:color w:val="auto"/>
              </w:rPr>
              <w:t>issued and outstanding and 85,776,801 shares issued and outstanding, respectively</w:t>
            </w:r>
          </w:p>
        </w:tc>
        <w:tc>
          <w:tcPr>
            <w:tcW w:w="20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184"/>
        </w:trPr>
        <w:tc>
          <w:tcPr>
            <w:tcW w:w="768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Non-voting common stock, $0.01 par value, 20,000,000 shares authorized, none issued</w:t>
            </w:r>
          </w:p>
        </w:tc>
        <w:tc>
          <w:tcPr>
            <w:tcW w:w="20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r>
      <w:tr>
        <w:trPr>
          <w:trHeight w:val="221"/>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and outstanding</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184"/>
        </w:trPr>
        <w:tc>
          <w:tcPr>
            <w:tcW w:w="7680" w:type="dxa"/>
            <w:vAlign w:val="bottom"/>
          </w:tcPr>
          <w:p>
            <w:pPr>
              <w:ind w:left="200"/>
              <w:spacing w:after="0" w:line="183" w:lineRule="exact"/>
              <w:rPr>
                <w:sz w:val="20"/>
                <w:szCs w:val="20"/>
                <w:color w:val="auto"/>
              </w:rPr>
            </w:pPr>
            <w:r>
              <w:rPr>
                <w:rFonts w:ascii="Arial" w:cs="Arial" w:eastAsia="Arial" w:hAnsi="Arial"/>
                <w:sz w:val="18"/>
                <w:szCs w:val="18"/>
                <w:color w:val="auto"/>
              </w:rPr>
              <w:t>Preferred stock, $0.01 par value, 100,000,000 shares authorized, none issued and</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21"/>
        </w:trPr>
        <w:tc>
          <w:tcPr>
            <w:tcW w:w="76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00" w:type="dxa"/>
            <w:vAlign w:val="bottom"/>
          </w:tcPr>
          <w:p>
            <w:pPr>
              <w:spacing w:after="0"/>
              <w:rPr>
                <w:sz w:val="19"/>
                <w:szCs w:val="19"/>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3"/>
        </w:trPr>
        <w:tc>
          <w:tcPr>
            <w:tcW w:w="76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Paid in capital</w:t>
            </w:r>
          </w:p>
        </w:tc>
        <w:tc>
          <w:tcPr>
            <w:tcW w:w="2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1,953</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color w:val="auto"/>
              </w:rPr>
              <w:t>1,940</w:t>
            </w:r>
          </w:p>
        </w:tc>
      </w:tr>
      <w:tr>
        <w:trPr>
          <w:trHeight w:val="203"/>
        </w:trPr>
        <w:tc>
          <w:tcPr>
            <w:tcW w:w="76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(239)</w:t>
            </w:r>
          </w:p>
        </w:tc>
      </w:tr>
      <w:tr>
        <w:trPr>
          <w:trHeight w:val="203"/>
        </w:trPr>
        <w:tc>
          <w:tcPr>
            <w:tcW w:w="76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 net of tax</w:t>
            </w:r>
          </w:p>
        </w:tc>
        <w:tc>
          <w:tcPr>
            <w:tcW w:w="2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r>
      <w:tr>
        <w:trPr>
          <w:trHeight w:val="196"/>
        </w:trPr>
        <w:tc>
          <w:tcPr>
            <w:tcW w:w="7680" w:type="dxa"/>
            <w:vAlign w:val="bottom"/>
          </w:tcPr>
          <w:p>
            <w:pPr>
              <w:spacing w:after="0" w:line="196" w:lineRule="exact"/>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1,841</w:t>
            </w: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1,651</w:t>
            </w:r>
          </w:p>
        </w:tc>
      </w:tr>
      <w:tr>
        <w:trPr>
          <w:trHeight w:val="216"/>
        </w:trPr>
        <w:tc>
          <w:tcPr>
            <w:tcW w:w="7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LIABILITIES &amp; STOCKHOLDERS’ EQUITY</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5,517</w:t>
            </w:r>
          </w:p>
        </w:tc>
        <w:tc>
          <w:tcPr>
            <w:tcW w:w="36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11"/>
              <w:spacing w:after="0" w:line="196" w:lineRule="exact"/>
              <w:rPr>
                <w:sz w:val="20"/>
                <w:szCs w:val="20"/>
                <w:color w:val="auto"/>
              </w:rPr>
            </w:pPr>
            <w:r>
              <w:rPr>
                <w:rFonts w:ascii="Arial" w:cs="Arial" w:eastAsia="Arial" w:hAnsi="Arial"/>
                <w:sz w:val="18"/>
                <w:szCs w:val="18"/>
                <w:color w:val="auto"/>
              </w:rPr>
              <w:t>5,336</w:t>
            </w:r>
          </w:p>
        </w:tc>
      </w:tr>
      <w:tr>
        <w:trPr>
          <w:trHeight w:val="20"/>
        </w:trPr>
        <w:tc>
          <w:tcPr>
            <w:tcW w:w="76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-3556635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-3539490</wp:posOffset>
            </wp:positionV>
            <wp:extent cx="102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-299720</wp:posOffset>
            </wp:positionV>
            <wp:extent cx="10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02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2640" w:type="dxa"/>
            <w:vAlign w:val="bottom"/>
            <w:tcBorders>
              <w:bottom w:val="single" w:sz="8" w:color="auto"/>
            </w:tcBorders>
            <w:gridSpan w:val="5"/>
          </w:tcPr>
          <w:p>
            <w:pPr>
              <w:jc w:val="right"/>
              <w:ind w:right="71"/>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660" w:type="dxa"/>
            <w:vAlign w:val="bottom"/>
            <w:tcBorders>
              <w:bottom w:val="single" w:sz="8" w:color="auto"/>
            </w:tcBorders>
            <w:gridSpan w:val="5"/>
          </w:tcPr>
          <w:p>
            <w:pPr>
              <w:jc w:val="right"/>
              <w:ind w:right="131"/>
              <w:spacing w:after="0"/>
              <w:rPr>
                <w:sz w:val="20"/>
                <w:szCs w:val="20"/>
                <w:color w:val="auto"/>
              </w:rPr>
            </w:pPr>
            <w:r>
              <w:rPr>
                <w:rFonts w:ascii="Arial" w:cs="Arial" w:eastAsia="Arial" w:hAnsi="Arial"/>
                <w:sz w:val="14"/>
                <w:szCs w:val="14"/>
                <w:b w:val="1"/>
                <w:bCs w:val="1"/>
                <w:color w:val="auto"/>
              </w:rPr>
              <w:t>Nine Months Ended September 30,</w:t>
            </w:r>
          </w:p>
        </w:tc>
      </w:tr>
      <w:tr>
        <w:trPr>
          <w:trHeight w:val="183"/>
        </w:trPr>
        <w:tc>
          <w:tcPr>
            <w:tcW w:w="58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760" w:type="dxa"/>
            <w:vAlign w:val="bottom"/>
            <w:shd w:val="clear" w:color="auto" w:fill="CFF0FC"/>
          </w:tcPr>
          <w:p>
            <w:pPr>
              <w:jc w:val="right"/>
              <w:ind w:right="575"/>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693</w:t>
            </w:r>
          </w:p>
        </w:tc>
        <w:tc>
          <w:tcPr>
            <w:tcW w:w="380" w:type="dxa"/>
            <w:vAlign w:val="bottom"/>
            <w:gridSpan w:val="2"/>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824</w:t>
            </w:r>
          </w:p>
        </w:tc>
        <w:tc>
          <w:tcPr>
            <w:tcW w:w="400" w:type="dxa"/>
            <w:vAlign w:val="bottom"/>
            <w:gridSpan w:val="2"/>
            <w:shd w:val="clear" w:color="auto" w:fill="CFF0FC"/>
          </w:tcPr>
          <w:p>
            <w:pPr>
              <w:jc w:val="right"/>
              <w:ind w:right="74"/>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2,273</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2,429</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364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428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1,164</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1,273</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329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396</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1,109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1,156</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7"/>
                <w:szCs w:val="17"/>
                <w:color w:val="auto"/>
              </w:rPr>
            </w:pPr>
          </w:p>
        </w:tc>
        <w:tc>
          <w:tcPr>
            <w:tcW w:w="5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270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
              <w:spacing w:after="0" w:line="202" w:lineRule="exact"/>
              <w:rPr>
                <w:sz w:val="20"/>
                <w:szCs w:val="20"/>
                <w:color w:val="auto"/>
              </w:rPr>
            </w:pPr>
            <w:r>
              <w:rPr>
                <w:rFonts w:ascii="Arial" w:cs="Arial" w:eastAsia="Arial" w:hAnsi="Arial"/>
                <w:sz w:val="18"/>
                <w:szCs w:val="18"/>
                <w:color w:val="auto"/>
              </w:rPr>
              <w:t>253</w:t>
            </w:r>
          </w:p>
        </w:tc>
      </w:tr>
      <w:tr>
        <w:trPr>
          <w:trHeight w:val="203"/>
        </w:trPr>
        <w:tc>
          <w:tcPr>
            <w:tcW w:w="5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Engineering — research and development</w:t>
            </w:r>
          </w:p>
        </w:tc>
        <w:tc>
          <w:tcPr>
            <w:tcW w:w="7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51</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130</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51"/>
              <w:spacing w:after="0" w:line="202" w:lineRule="exact"/>
              <w:rPr>
                <w:sz w:val="20"/>
                <w:szCs w:val="20"/>
                <w:color w:val="auto"/>
              </w:rPr>
            </w:pPr>
            <w:r>
              <w:rPr>
                <w:rFonts w:ascii="Arial" w:cs="Arial" w:eastAsia="Arial" w:hAnsi="Arial"/>
                <w:sz w:val="18"/>
                <w:szCs w:val="18"/>
                <w:color w:val="auto"/>
              </w:rPr>
              <w:t>146</w:t>
            </w: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760" w:type="dxa"/>
            <w:vAlign w:val="bottom"/>
          </w:tcPr>
          <w:p>
            <w:pPr>
              <w:spacing w:after="0"/>
              <w:rPr>
                <w:sz w:val="17"/>
                <w:szCs w:val="17"/>
                <w:color w:val="auto"/>
              </w:rPr>
            </w:pPr>
          </w:p>
        </w:tc>
        <w:tc>
          <w:tcPr>
            <w:tcW w:w="5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260</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709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51"/>
              <w:spacing w:after="0" w:line="196" w:lineRule="exact"/>
              <w:rPr>
                <w:sz w:val="20"/>
                <w:szCs w:val="20"/>
                <w:color w:val="auto"/>
              </w:rPr>
            </w:pPr>
            <w:r>
              <w:rPr>
                <w:rFonts w:ascii="Arial" w:cs="Arial" w:eastAsia="Arial" w:hAnsi="Arial"/>
                <w:sz w:val="18"/>
                <w:szCs w:val="18"/>
                <w:color w:val="auto"/>
              </w:rPr>
              <w:t>757</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Income before income taxes</w:t>
            </w:r>
          </w:p>
        </w:tc>
        <w:tc>
          <w:tcPr>
            <w:tcW w:w="76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182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249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657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687</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(133)</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r>
      <w:tr>
        <w:trPr>
          <w:trHeight w:val="21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w:t>
            </w:r>
          </w:p>
        </w:tc>
        <w:tc>
          <w:tcPr>
            <w:tcW w:w="760" w:type="dxa"/>
            <w:vAlign w:val="bottom"/>
            <w:shd w:val="clear" w:color="auto" w:fill="CFF0FC"/>
          </w:tcPr>
          <w:p>
            <w:pPr>
              <w:jc w:val="right"/>
              <w:ind w:right="575"/>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137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4"/>
              <w:spacing w:after="0" w:line="196"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524</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color w:val="auto"/>
              </w:rPr>
              <w:t>556</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800" w:type="dxa"/>
            <w:vAlign w:val="bottom"/>
          </w:tcPr>
          <w:p>
            <w:pPr>
              <w:spacing w:after="0" w:line="183" w:lineRule="exact"/>
              <w:rPr>
                <w:sz w:val="20"/>
                <w:szCs w:val="20"/>
                <w:color w:val="auto"/>
              </w:rPr>
            </w:pPr>
            <w:r>
              <w:rPr>
                <w:rFonts w:ascii="Arial" w:cs="Arial" w:eastAsia="Arial" w:hAnsi="Arial"/>
                <w:sz w:val="18"/>
                <w:szCs w:val="18"/>
                <w:b w:val="1"/>
                <w:bCs w:val="1"/>
                <w:color w:val="auto"/>
              </w:rPr>
              <w:t>Basic earnings per share attributable to common stockholders</w:t>
            </w:r>
          </w:p>
        </w:tc>
        <w:tc>
          <w:tcPr>
            <w:tcW w:w="760" w:type="dxa"/>
            <w:vAlign w:val="bottom"/>
          </w:tcPr>
          <w:p>
            <w:pPr>
              <w:jc w:val="right"/>
              <w:ind w:right="575"/>
              <w:spacing w:after="0" w:line="183"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30"/>
              <w:spacing w:after="0" w:line="183" w:lineRule="exact"/>
              <w:rPr>
                <w:sz w:val="20"/>
                <w:szCs w:val="20"/>
                <w:color w:val="auto"/>
              </w:rPr>
            </w:pPr>
            <w:r>
              <w:rPr>
                <w:rFonts w:ascii="Arial" w:cs="Arial" w:eastAsia="Arial" w:hAnsi="Arial"/>
                <w:sz w:val="18"/>
                <w:szCs w:val="18"/>
                <w:b w:val="1"/>
                <w:bCs w:val="1"/>
                <w:color w:val="auto"/>
              </w:rPr>
              <w:t>1.63</w:t>
            </w:r>
          </w:p>
        </w:tc>
        <w:tc>
          <w:tcPr>
            <w:tcW w:w="120" w:type="dxa"/>
            <w:vAlign w:val="bottom"/>
          </w:tcPr>
          <w:p>
            <w:pPr>
              <w:spacing w:after="0"/>
              <w:rPr>
                <w:sz w:val="15"/>
                <w:szCs w:val="15"/>
                <w:color w:val="auto"/>
              </w:rPr>
            </w:pPr>
          </w:p>
        </w:tc>
        <w:tc>
          <w:tcPr>
            <w:tcW w:w="260" w:type="dxa"/>
            <w:vAlign w:val="bottom"/>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color w:val="auto"/>
              </w:rPr>
              <w:t>2.30</w:t>
            </w:r>
          </w:p>
        </w:tc>
        <w:tc>
          <w:tcPr>
            <w:tcW w:w="140" w:type="dxa"/>
            <w:vAlign w:val="bottom"/>
          </w:tcPr>
          <w:p>
            <w:pPr>
              <w:spacing w:after="0"/>
              <w:rPr>
                <w:sz w:val="15"/>
                <w:szCs w:val="15"/>
                <w:color w:val="auto"/>
              </w:rPr>
            </w:pPr>
          </w:p>
        </w:tc>
        <w:tc>
          <w:tcPr>
            <w:tcW w:w="260" w:type="dxa"/>
            <w:vAlign w:val="bottom"/>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6.24</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6.39</w:t>
            </w:r>
          </w:p>
        </w:tc>
      </w:tr>
      <w:tr>
        <w:trPr>
          <w:trHeight w:val="20"/>
        </w:trPr>
        <w:tc>
          <w:tcPr>
            <w:tcW w:w="5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80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Diluted earnings per share attributable to common stockholders</w:t>
            </w:r>
          </w:p>
        </w:tc>
        <w:tc>
          <w:tcPr>
            <w:tcW w:w="760" w:type="dxa"/>
            <w:vAlign w:val="bottom"/>
            <w:shd w:val="clear" w:color="auto" w:fill="CFF0FC"/>
          </w:tcPr>
          <w:p>
            <w:pPr>
              <w:jc w:val="right"/>
              <w:ind w:right="575"/>
              <w:spacing w:after="0" w:line="183" w:lineRule="exact"/>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b w:val="1"/>
                <w:bCs w:val="1"/>
                <w:color w:val="auto"/>
              </w:rPr>
              <w:t>1.63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2.27</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b w:val="1"/>
                <w:bCs w:val="1"/>
                <w:color w:val="auto"/>
              </w:rPr>
              <w:t>6.16</w:t>
            </w:r>
          </w:p>
        </w:tc>
        <w:tc>
          <w:tcPr>
            <w:tcW w:w="38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51"/>
              <w:spacing w:after="0" w:line="183" w:lineRule="exact"/>
              <w:rPr>
                <w:sz w:val="20"/>
                <w:szCs w:val="20"/>
                <w:color w:val="auto"/>
              </w:rPr>
            </w:pPr>
            <w:r>
              <w:rPr>
                <w:rFonts w:ascii="Arial" w:cs="Arial" w:eastAsia="Arial" w:hAnsi="Arial"/>
                <w:sz w:val="18"/>
                <w:szCs w:val="18"/>
                <w:color w:val="auto"/>
              </w:rPr>
              <w:t>6.32</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800" w:type="dxa"/>
            <w:vAlign w:val="bottom"/>
          </w:tcPr>
          <w:p>
            <w:pPr>
              <w:spacing w:after="0" w:line="183" w:lineRule="exact"/>
              <w:rPr>
                <w:sz w:val="20"/>
                <w:szCs w:val="20"/>
                <w:color w:val="auto"/>
              </w:rPr>
            </w:pPr>
            <w:r>
              <w:rPr>
                <w:rFonts w:ascii="Arial" w:cs="Arial" w:eastAsia="Arial" w:hAnsi="Arial"/>
                <w:sz w:val="18"/>
                <w:szCs w:val="18"/>
                <w:b w:val="1"/>
                <w:bCs w:val="1"/>
                <w:color w:val="auto"/>
              </w:rPr>
              <w:t>Comprehensive income, net of tax</w:t>
            </w:r>
          </w:p>
        </w:tc>
        <w:tc>
          <w:tcPr>
            <w:tcW w:w="760" w:type="dxa"/>
            <w:vAlign w:val="bottom"/>
          </w:tcPr>
          <w:p>
            <w:pPr>
              <w:jc w:val="right"/>
              <w:ind w:right="575"/>
              <w:spacing w:after="0" w:line="183" w:lineRule="exact"/>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ind w:right="30"/>
              <w:spacing w:after="0" w:line="183" w:lineRule="exact"/>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5"/>
                <w:szCs w:val="15"/>
                <w:color w:val="auto"/>
              </w:rPr>
            </w:pPr>
          </w:p>
        </w:tc>
        <w:tc>
          <w:tcPr>
            <w:tcW w:w="260" w:type="dxa"/>
            <w:vAlign w:val="bottom"/>
          </w:tcPr>
          <w:p>
            <w:pPr>
              <w:jc w:val="right"/>
              <w:ind w:right="5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color w:val="auto"/>
              </w:rPr>
              <w:t>199</w:t>
            </w:r>
          </w:p>
        </w:tc>
        <w:tc>
          <w:tcPr>
            <w:tcW w:w="140" w:type="dxa"/>
            <w:vAlign w:val="bottom"/>
          </w:tcPr>
          <w:p>
            <w:pPr>
              <w:spacing w:after="0"/>
              <w:rPr>
                <w:sz w:val="15"/>
                <w:szCs w:val="15"/>
                <w:color w:val="auto"/>
              </w:rPr>
            </w:pPr>
          </w:p>
        </w:tc>
        <w:tc>
          <w:tcPr>
            <w:tcW w:w="260" w:type="dxa"/>
            <w:vAlign w:val="bottom"/>
          </w:tcPr>
          <w:p>
            <w:pPr>
              <w:jc w:val="right"/>
              <w:ind w:right="74"/>
              <w:spacing w:after="0" w:line="183" w:lineRule="exact"/>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31"/>
              <w:spacing w:after="0" w:line="183" w:lineRule="exact"/>
              <w:rPr>
                <w:sz w:val="20"/>
                <w:szCs w:val="20"/>
                <w:color w:val="auto"/>
              </w:rPr>
            </w:pPr>
            <w:r>
              <w:rPr>
                <w:rFonts w:ascii="Arial" w:cs="Arial" w:eastAsia="Arial" w:hAnsi="Arial"/>
                <w:sz w:val="18"/>
                <w:szCs w:val="18"/>
                <w:b w:val="1"/>
                <w:bCs w:val="1"/>
                <w:color w:val="auto"/>
              </w:rPr>
              <w:t>532</w:t>
            </w:r>
          </w:p>
        </w:tc>
        <w:tc>
          <w:tcPr>
            <w:tcW w:w="380" w:type="dxa"/>
            <w:vAlign w:val="bottom"/>
            <w:gridSpan w:val="2"/>
          </w:tcPr>
          <w:p>
            <w:pPr>
              <w:jc w:val="right"/>
              <w:ind w:right="140"/>
              <w:spacing w:after="0" w:line="183"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51"/>
              <w:spacing w:after="0" w:line="183" w:lineRule="exact"/>
              <w:rPr>
                <w:sz w:val="20"/>
                <w:szCs w:val="20"/>
                <w:color w:val="auto"/>
              </w:rPr>
            </w:pPr>
            <w:r>
              <w:rPr>
                <w:rFonts w:ascii="Arial" w:cs="Arial" w:eastAsia="Arial" w:hAnsi="Arial"/>
                <w:sz w:val="18"/>
                <w:szCs w:val="18"/>
                <w:color w:val="auto"/>
              </w:rPr>
              <w:t>549</w:t>
            </w:r>
          </w:p>
        </w:tc>
      </w:tr>
      <w:tr>
        <w:trPr>
          <w:trHeight w:val="20"/>
        </w:trPr>
        <w:tc>
          <w:tcPr>
            <w:tcW w:w="5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-1285240</wp:posOffset>
            </wp:positionV>
            <wp:extent cx="857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-1285240</wp:posOffset>
            </wp:positionV>
            <wp:extent cx="85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-1285240</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-487680</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-471170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-487680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-487680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-179070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-179070</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-179070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Borders>
              <w:bottom w:val="single" w:sz="8" w:color="auto"/>
            </w:tcBorders>
          </w:tcPr>
          <w:p>
            <w:pPr>
              <w:spacing w:after="0"/>
              <w:rPr>
                <w:sz w:val="14"/>
                <w:szCs w:val="14"/>
                <w:color w:val="auto"/>
              </w:rPr>
            </w:pPr>
          </w:p>
        </w:tc>
      </w:tr>
      <w:tr>
        <w:trPr>
          <w:trHeight w:val="183"/>
        </w:trPr>
        <w:tc>
          <w:tcPr>
            <w:tcW w:w="7060" w:type="dxa"/>
            <w:vAlign w:val="bottom"/>
          </w:tcPr>
          <w:p>
            <w:pPr>
              <w:spacing w:after="0"/>
              <w:rPr>
                <w:sz w:val="15"/>
                <w:szCs w:val="15"/>
                <w:color w:val="auto"/>
              </w:rPr>
            </w:pPr>
          </w:p>
        </w:tc>
        <w:tc>
          <w:tcPr>
            <w:tcW w:w="17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62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560" w:type="dxa"/>
            <w:vAlign w:val="bottom"/>
          </w:tcPr>
          <w:p>
            <w:pPr>
              <w:spacing w:after="0"/>
              <w:rPr>
                <w:sz w:val="15"/>
                <w:szCs w:val="15"/>
                <w:color w:val="auto"/>
              </w:rPr>
            </w:pPr>
          </w:p>
        </w:tc>
      </w:tr>
      <w:tr>
        <w:trPr>
          <w:trHeight w:val="196"/>
        </w:trPr>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524</w:t>
            </w:r>
          </w:p>
        </w:tc>
        <w:tc>
          <w:tcPr>
            <w:tcW w:w="12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556</w:t>
            </w:r>
          </w:p>
        </w:tc>
      </w:tr>
      <w:tr>
        <w:trPr>
          <w:trHeight w:val="203"/>
        </w:trPr>
        <w:tc>
          <w:tcPr>
            <w:tcW w:w="7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46</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loss on marketable securities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deferred financing fees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Pension settlement loss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Technology-related investments loss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w:t>
            </w:r>
          </w:p>
        </w:tc>
      </w:tr>
      <w:tr>
        <w:trPr>
          <w:trHeight w:val="203"/>
        </w:trPr>
        <w:tc>
          <w:tcPr>
            <w:tcW w:w="7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Changes in assets and liabilities: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Inventories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w:t>
            </w:r>
          </w:p>
        </w:tc>
      </w:tr>
      <w:tr>
        <w:trPr>
          <w:trHeight w:val="203"/>
        </w:trPr>
        <w:tc>
          <w:tcPr>
            <w:tcW w:w="70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 and liabilities</w:t>
            </w:r>
          </w:p>
        </w:tc>
        <w:tc>
          <w:tcPr>
            <w:tcW w:w="6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(71)</w:t>
            </w: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w:t>
            </w:r>
          </w:p>
        </w:tc>
      </w:tr>
      <w:tr>
        <w:trPr>
          <w:trHeight w:val="196"/>
        </w:trPr>
        <w:tc>
          <w:tcPr>
            <w:tcW w:w="7060" w:type="dxa"/>
            <w:vAlign w:val="bottom"/>
          </w:tcPr>
          <w:p>
            <w:pPr>
              <w:ind w:left="400"/>
              <w:spacing w:after="0" w:line="196" w:lineRule="exact"/>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196" w:lineRule="exact"/>
              <w:rPr>
                <w:sz w:val="20"/>
                <w:szCs w:val="20"/>
                <w:color w:val="auto"/>
              </w:rPr>
            </w:pPr>
            <w:r>
              <w:rPr>
                <w:rFonts w:ascii="Arial" w:cs="Arial" w:eastAsia="Arial" w:hAnsi="Arial"/>
                <w:sz w:val="18"/>
                <w:szCs w:val="18"/>
                <w:b w:val="1"/>
                <w:bCs w:val="1"/>
                <w:color w:val="auto"/>
              </w:rPr>
              <w:t>593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590</w:t>
            </w:r>
          </w:p>
        </w:tc>
      </w:tr>
      <w:tr>
        <w:trPr>
          <w:trHeight w:val="203"/>
        </w:trPr>
        <w:tc>
          <w:tcPr>
            <w:tcW w:w="70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Additions of long-lived assets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in equity method investee</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Investment in debt securities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sale of assets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Investment in equities without a readily determinable fair value</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for investing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(108)</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(282)</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Dividend payments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(69)</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Taxes paid related to net share settlement of equity awards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exercise of stock options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w:t>
            </w:r>
          </w:p>
        </w:tc>
      </w:tr>
      <w:tr>
        <w:trPr>
          <w:trHeight w:val="203"/>
        </w:trPr>
        <w:tc>
          <w:tcPr>
            <w:tcW w:w="70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Debt financing fees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7060" w:type="dxa"/>
            <w:vAlign w:val="bottom"/>
          </w:tcPr>
          <w:p>
            <w:pPr>
              <w:ind w:left="200"/>
              <w:spacing w:after="0" w:line="202" w:lineRule="exact"/>
              <w:rPr>
                <w:sz w:val="20"/>
                <w:szCs w:val="20"/>
                <w:color w:val="auto"/>
              </w:rPr>
            </w:pPr>
            <w:r>
              <w:rPr>
                <w:rFonts w:ascii="Arial" w:cs="Arial" w:eastAsia="Arial" w:hAnsi="Arial"/>
                <w:sz w:val="18"/>
                <w:szCs w:val="18"/>
                <w:color w:val="auto"/>
              </w:rPr>
              <w:t>Payments on long-term debt</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cash used for financing activities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(368)</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(287)</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Effect of exchange rate changes on cash</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7060" w:type="dxa"/>
            <w:vAlign w:val="bottom"/>
            <w:shd w:val="clear" w:color="auto" w:fill="CFF0FC"/>
          </w:tcPr>
          <w:p>
            <w:pPr>
              <w:ind w:left="40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6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121</w:t>
            </w: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233</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6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b w:val="1"/>
                <w:bCs w:val="1"/>
                <w:color w:val="auto"/>
              </w:rPr>
              <w:t>781</w:t>
            </w:r>
          </w:p>
        </w:tc>
        <w:tc>
          <w:tcPr>
            <w:tcW w:w="16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555</w:t>
            </w:r>
          </w:p>
        </w:tc>
      </w:tr>
      <w:tr>
        <w:trPr>
          <w:trHeight w:val="236"/>
        </w:trPr>
        <w:tc>
          <w:tcPr>
            <w:tcW w:w="70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1720" w:type="dxa"/>
            <w:vAlign w:val="bottom"/>
            <w:gridSpan w:val="2"/>
            <w:shd w:val="clear" w:color="auto" w:fill="CFF0FC"/>
          </w:tcPr>
          <w:p>
            <w:pPr>
              <w:jc w:val="right"/>
              <w:ind w:right="888"/>
              <w:spacing w:after="0" w:line="196"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rPr>
              <w:t>902</w:t>
            </w:r>
          </w:p>
        </w:tc>
        <w:tc>
          <w:tcPr>
            <w:tcW w:w="1280" w:type="dxa"/>
            <w:vAlign w:val="bottom"/>
            <w:gridSpan w:val="2"/>
            <w:shd w:val="clear" w:color="auto" w:fill="CFF0FC"/>
          </w:tcPr>
          <w:p>
            <w:pPr>
              <w:jc w:val="right"/>
              <w:ind w:right="102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788</w:t>
            </w:r>
          </w:p>
        </w:tc>
      </w:tr>
      <w:tr>
        <w:trPr>
          <w:trHeight w:val="183"/>
        </w:trPr>
        <w:tc>
          <w:tcPr>
            <w:tcW w:w="706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66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Income taxes paid</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(101)</w:t>
            </w:r>
          </w:p>
        </w:tc>
        <w:tc>
          <w:tcPr>
            <w:tcW w:w="1280" w:type="dxa"/>
            <w:vAlign w:val="bottom"/>
            <w:gridSpan w:val="2"/>
            <w:shd w:val="clear" w:color="auto" w:fill="CFF0FC"/>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r>
      <w:tr>
        <w:trPr>
          <w:trHeight w:val="203"/>
        </w:trPr>
        <w:tc>
          <w:tcPr>
            <w:tcW w:w="7060" w:type="dxa"/>
            <w:vAlign w:val="bottom"/>
          </w:tcPr>
          <w:p>
            <w:pPr>
              <w:ind w:left="400"/>
              <w:spacing w:after="0" w:line="202" w:lineRule="exact"/>
              <w:rPr>
                <w:sz w:val="20"/>
                <w:szCs w:val="20"/>
                <w:color w:val="auto"/>
              </w:rPr>
            </w:pPr>
            <w:r>
              <w:rPr>
                <w:rFonts w:ascii="Arial" w:cs="Arial" w:eastAsia="Arial" w:hAnsi="Arial"/>
                <w:sz w:val="18"/>
                <w:szCs w:val="18"/>
                <w:color w:val="auto"/>
              </w:rPr>
              <w:t>Interest paid</w:t>
            </w:r>
          </w:p>
        </w:tc>
        <w:tc>
          <w:tcPr>
            <w:tcW w:w="1720" w:type="dxa"/>
            <w:vAlign w:val="bottom"/>
            <w:gridSpan w:val="2"/>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w:t>
            </w:r>
          </w:p>
        </w:tc>
        <w:tc>
          <w:tcPr>
            <w:tcW w:w="1280" w:type="dxa"/>
            <w:vAlign w:val="bottom"/>
            <w:gridSpan w:val="2"/>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(91)</w:t>
            </w: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Interest received from interest rate swaps</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6</w:t>
            </w:r>
          </w:p>
        </w:tc>
        <w:tc>
          <w:tcPr>
            <w:tcW w:w="1280" w:type="dxa"/>
            <w:vAlign w:val="bottom"/>
            <w:gridSpan w:val="2"/>
            <w:shd w:val="clear" w:color="auto" w:fill="CFF0FC"/>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7060" w:type="dxa"/>
            <w:vAlign w:val="bottom"/>
            <w:shd w:val="clear" w:color="auto" w:fill="CFF0FC"/>
          </w:tcPr>
          <w:p>
            <w:pPr>
              <w:ind w:left="400"/>
              <w:spacing w:after="0" w:line="202" w:lineRule="exact"/>
              <w:rPr>
                <w:sz w:val="20"/>
                <w:szCs w:val="20"/>
                <w:color w:val="auto"/>
              </w:rPr>
            </w:pPr>
            <w:r>
              <w:rPr>
                <w:rFonts w:ascii="Arial" w:cs="Arial" w:eastAsia="Arial" w:hAnsi="Arial"/>
                <w:sz w:val="18"/>
                <w:szCs w:val="18"/>
                <w:color w:val="auto"/>
              </w:rPr>
              <w:t>Capital expenditures in liabilities</w:t>
            </w:r>
          </w:p>
        </w:tc>
        <w:tc>
          <w:tcPr>
            <w:tcW w:w="1720" w:type="dxa"/>
            <w:vAlign w:val="bottom"/>
            <w:gridSpan w:val="2"/>
            <w:shd w:val="clear" w:color="auto" w:fill="CFF0FC"/>
          </w:tcPr>
          <w:p>
            <w:pPr>
              <w:jc w:val="right"/>
              <w:ind w:right="888"/>
              <w:spacing w:after="0" w:line="202" w:lineRule="exact"/>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b w:val="1"/>
                <w:bCs w:val="1"/>
                <w:color w:val="auto"/>
              </w:rPr>
              <w:t>24</w:t>
            </w:r>
          </w:p>
        </w:tc>
        <w:tc>
          <w:tcPr>
            <w:tcW w:w="1280" w:type="dxa"/>
            <w:vAlign w:val="bottom"/>
            <w:gridSpan w:val="2"/>
            <w:shd w:val="clear" w:color="auto" w:fill="CFF0FC"/>
          </w:tcPr>
          <w:p>
            <w:pPr>
              <w:jc w:val="right"/>
              <w:ind w:right="10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-3411220</wp:posOffset>
            </wp:positionV>
            <wp:extent cx="1117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-796290</wp:posOffset>
            </wp:positionV>
            <wp:extent cx="1117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-779145</wp:posOffset>
            </wp:positionV>
            <wp:extent cx="1117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46"/>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7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960" w:type="dxa"/>
            <w:vAlign w:val="bottom"/>
            <w:gridSpan w:val="2"/>
          </w:tcPr>
          <w:p>
            <w:pPr>
              <w:jc w:val="right"/>
              <w:ind w:right="171"/>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23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8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0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71"/>
        </w:trPr>
        <w:tc>
          <w:tcPr>
            <w:tcW w:w="3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 Equity</w:t>
            </w:r>
          </w:p>
        </w:tc>
      </w:tr>
      <w:tr>
        <w:trPr>
          <w:trHeight w:val="196"/>
        </w:trPr>
        <w:tc>
          <w:tcPr>
            <w:tcW w:w="36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June 30, 2024</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w w:val="88"/>
              </w:rPr>
              <w:t>—</w:t>
            </w:r>
          </w:p>
        </w:tc>
        <w:tc>
          <w:tcPr>
            <w:tcW w:w="36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1,919</w:t>
            </w:r>
          </w:p>
        </w:tc>
        <w:tc>
          <w:tcPr>
            <w:tcW w:w="2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(399)</w:t>
            </w:r>
          </w:p>
        </w:tc>
        <w:tc>
          <w:tcPr>
            <w:tcW w:w="2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1,484</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w:t>
            </w:r>
          </w:p>
        </w:tc>
      </w:tr>
      <w:tr>
        <w:trPr>
          <w:trHeight w:val="184"/>
        </w:trPr>
        <w:tc>
          <w:tcPr>
            <w:tcW w:w="362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($0.25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2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36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200</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200</w:t>
            </w: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Balance at September 30, 2024</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Pr>
          <w:p>
            <w:pPr>
              <w:ind w:left="520"/>
              <w:spacing w:after="0" w:line="196" w:lineRule="exact"/>
              <w:rPr>
                <w:sz w:val="20"/>
                <w:szCs w:val="20"/>
                <w:color w:val="auto"/>
              </w:rPr>
            </w:pPr>
            <w:r>
              <w:rPr>
                <w:rFonts w:ascii="Arial" w:cs="Arial" w:eastAsia="Arial" w:hAnsi="Arial"/>
                <w:sz w:val="18"/>
                <w:szCs w:val="18"/>
                <w:color w:val="auto"/>
                <w:w w:val="88"/>
              </w:rPr>
              <w:t>—</w:t>
            </w:r>
          </w:p>
        </w:tc>
        <w:tc>
          <w:tcPr>
            <w:tcW w:w="36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1,930</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(272)</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1,621</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June 30, 2025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ind w:left="520"/>
              <w:spacing w:after="0" w:line="183" w:lineRule="exact"/>
              <w:rPr>
                <w:sz w:val="20"/>
                <w:szCs w:val="20"/>
                <w:color w:val="auto"/>
              </w:rPr>
            </w:pPr>
            <w:r>
              <w:rPr>
                <w:rFonts w:ascii="Arial" w:cs="Arial" w:eastAsia="Arial" w:hAnsi="Arial"/>
                <w:sz w:val="18"/>
                <w:szCs w:val="18"/>
                <w:color w:val="auto"/>
                <w:w w:val="88"/>
              </w:rPr>
              <w:t>—</w:t>
            </w:r>
          </w:p>
        </w:tc>
        <w:tc>
          <w:tcPr>
            <w:tcW w:w="360" w:type="dxa"/>
            <w:vAlign w:val="bottom"/>
            <w:gridSpan w:val="3"/>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1,946</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(157)</w:t>
            </w:r>
          </w:p>
        </w:tc>
        <w:tc>
          <w:tcPr>
            <w:tcW w:w="2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(37)</w:t>
            </w:r>
          </w:p>
        </w:tc>
        <w:tc>
          <w:tcPr>
            <w:tcW w:w="24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1,753</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6</w:t>
            </w:r>
          </w:p>
        </w:tc>
      </w:tr>
      <w:tr>
        <w:trPr>
          <w:trHeight w:val="202"/>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362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7"/>
                <w:szCs w:val="17"/>
                <w:color w:val="auto"/>
              </w:rPr>
            </w:pPr>
          </w:p>
        </w:tc>
        <w:tc>
          <w:tcPr>
            <w:tcW w:w="80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36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(27)</w:t>
            </w:r>
          </w:p>
        </w:tc>
      </w:tr>
      <w:tr>
        <w:trPr>
          <w:trHeight w:val="184"/>
        </w:trPr>
        <w:tc>
          <w:tcPr>
            <w:tcW w:w="362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($0.27 per</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1"/>
        </w:trPr>
        <w:tc>
          <w:tcPr>
            <w:tcW w:w="3620" w:type="dxa"/>
            <w:vAlign w:val="bottom"/>
          </w:tcPr>
          <w:p>
            <w:pPr>
              <w:ind w:left="100"/>
              <w:spacing w:after="0"/>
              <w:rPr>
                <w:sz w:val="20"/>
                <w:szCs w:val="20"/>
                <w:color w:val="auto"/>
              </w:rPr>
            </w:pPr>
            <w:r>
              <w:rPr>
                <w:rFonts w:ascii="Arial" w:cs="Arial" w:eastAsia="Arial" w:hAnsi="Arial"/>
                <w:sz w:val="18"/>
                <w:szCs w:val="18"/>
                <w:color w:val="auto"/>
              </w:rPr>
              <w:t>share)</w:t>
            </w:r>
          </w:p>
        </w:tc>
        <w:tc>
          <w:tcPr>
            <w:tcW w:w="16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ind w:left="52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3"/>
        </w:trPr>
        <w:tc>
          <w:tcPr>
            <w:tcW w:w="36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ind w:left="52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137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137</w:t>
            </w:r>
          </w:p>
        </w:tc>
      </w:tr>
      <w:tr>
        <w:trPr>
          <w:trHeight w:val="196"/>
        </w:trPr>
        <w:tc>
          <w:tcPr>
            <w:tcW w:w="3620" w:type="dxa"/>
            <w:vAlign w:val="bottom"/>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w:t>
            </w:r>
          </w:p>
        </w:tc>
        <w:tc>
          <w:tcPr>
            <w:tcW w:w="30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tcPr>
          <w:p>
            <w:pPr>
              <w:ind w:left="520"/>
              <w:spacing w:after="0" w:line="196" w:lineRule="exact"/>
              <w:rPr>
                <w:sz w:val="20"/>
                <w:szCs w:val="20"/>
                <w:color w:val="auto"/>
              </w:rPr>
            </w:pPr>
            <w:r>
              <w:rPr>
                <w:rFonts w:ascii="Arial" w:cs="Arial" w:eastAsia="Arial" w:hAnsi="Arial"/>
                <w:sz w:val="18"/>
                <w:szCs w:val="18"/>
                <w:b w:val="1"/>
                <w:bCs w:val="1"/>
                <w:color w:val="auto"/>
                <w:w w:val="88"/>
              </w:rPr>
              <w:t>—</w:t>
            </w:r>
          </w:p>
        </w:tc>
        <w:tc>
          <w:tcPr>
            <w:tcW w:w="360" w:type="dxa"/>
            <w:vAlign w:val="bottom"/>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1,953</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(70)</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1,841</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-1610995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-1610995</wp:posOffset>
            </wp:positionV>
            <wp:extent cx="774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-1610995</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-1610995</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-1610995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-1610995</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-161925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-161925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-161925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-161925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-161925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-161925</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6"/>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Comprehens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Non-voting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auto"/>
              </w:rPr>
              <w:t>ive (Loss)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Common</w:t>
            </w:r>
          </w:p>
        </w:tc>
        <w:tc>
          <w:tcPr>
            <w:tcW w:w="1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52"/>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4"/>
                <w:szCs w:val="14"/>
                <w:color w:val="auto"/>
              </w:rPr>
            </w:pPr>
          </w:p>
        </w:tc>
        <w:tc>
          <w:tcPr>
            <w:tcW w:w="96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d (Deficit)</w:t>
            </w:r>
          </w:p>
        </w:tc>
        <w:tc>
          <w:tcPr>
            <w:tcW w:w="120" w:type="dxa"/>
            <w:vAlign w:val="bottom"/>
          </w:tcPr>
          <w:p>
            <w:pPr>
              <w:spacing w:after="0"/>
              <w:rPr>
                <w:sz w:val="14"/>
                <w:szCs w:val="14"/>
                <w:color w:val="auto"/>
              </w:rPr>
            </w:pPr>
          </w:p>
        </w:tc>
        <w:tc>
          <w:tcPr>
            <w:tcW w:w="1040" w:type="dxa"/>
            <w:vAlign w:val="bottom"/>
            <w:gridSpan w:val="2"/>
          </w:tcPr>
          <w:p>
            <w:pPr>
              <w:jc w:val="center"/>
              <w:ind w:right="72"/>
              <w:spacing w:after="0"/>
              <w:rPr>
                <w:sz w:val="20"/>
                <w:szCs w:val="20"/>
                <w:color w:val="auto"/>
              </w:rPr>
            </w:pPr>
            <w:r>
              <w:rPr>
                <w:rFonts w:ascii="Arial" w:cs="Arial" w:eastAsia="Arial" w:hAnsi="Arial"/>
                <w:sz w:val="14"/>
                <w:szCs w:val="14"/>
                <w:b w:val="1"/>
                <w:bCs w:val="1"/>
                <w:color w:val="auto"/>
              </w:rPr>
              <w:t>Income, net</w:t>
            </w:r>
          </w:p>
        </w:tc>
        <w:tc>
          <w:tcPr>
            <w:tcW w:w="12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Stockholder</w:t>
            </w:r>
          </w:p>
        </w:tc>
      </w:tr>
      <w:tr>
        <w:trPr>
          <w:trHeight w:val="171"/>
        </w:trPr>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Stock</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rPr>
              <w:t>of tax</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s' Equity</w:t>
            </w:r>
          </w:p>
        </w:tc>
      </w:tr>
      <w:tr>
        <w:trPr>
          <w:trHeight w:val="196"/>
        </w:trPr>
        <w:tc>
          <w:tcPr>
            <w:tcW w:w="36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December 31, 2023</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50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gridSpan w:val="3"/>
            <w:shd w:val="clear" w:color="auto" w:fill="CFF0FC"/>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1,891</w:t>
            </w:r>
          </w:p>
        </w:tc>
        <w:tc>
          <w:tcPr>
            <w:tcW w:w="26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(628)</w:t>
            </w:r>
          </w:p>
        </w:tc>
        <w:tc>
          <w:tcPr>
            <w:tcW w:w="22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c>
          <w:tcPr>
            <w:tcW w:w="240" w:type="dxa"/>
            <w:vAlign w:val="bottom"/>
            <w:gridSpan w:val="2"/>
            <w:shd w:val="clear" w:color="auto" w:fill="CFF0FC"/>
          </w:tcPr>
          <w:p>
            <w:pPr>
              <w:ind w:left="1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1,233</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20</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19</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($0.75 per</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3"/>
        </w:trPr>
        <w:tc>
          <w:tcPr>
            <w:tcW w:w="360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556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556</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Balance at September 30, 2024</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ind w:left="500"/>
              <w:spacing w:after="0" w:line="196" w:lineRule="exact"/>
              <w:rPr>
                <w:sz w:val="20"/>
                <w:szCs w:val="20"/>
                <w:color w:val="auto"/>
              </w:rPr>
            </w:pPr>
            <w:r>
              <w:rPr>
                <w:rFonts w:ascii="Arial" w:cs="Arial" w:eastAsia="Arial" w:hAnsi="Arial"/>
                <w:sz w:val="18"/>
                <w:szCs w:val="18"/>
                <w:color w:val="auto"/>
                <w:w w:val="88"/>
              </w:rPr>
              <w:t>—</w:t>
            </w:r>
          </w:p>
        </w:tc>
        <w:tc>
          <w:tcPr>
            <w:tcW w:w="380" w:type="dxa"/>
            <w:vAlign w:val="bottom"/>
            <w:gridSpan w:val="3"/>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1,930</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(272)</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line="196" w:lineRule="exact"/>
              <w:rPr>
                <w:sz w:val="20"/>
                <w:szCs w:val="20"/>
                <w:color w:val="auto"/>
              </w:rPr>
            </w:pPr>
            <w:r>
              <w:rPr>
                <w:rFonts w:ascii="Arial" w:cs="Arial" w:eastAsia="Arial" w:hAnsi="Arial"/>
                <w:sz w:val="18"/>
                <w:szCs w:val="18"/>
                <w:color w:val="auto"/>
              </w:rPr>
              <w:t>1,621</w:t>
            </w:r>
          </w:p>
        </w:tc>
      </w:tr>
      <w:tr>
        <w:trPr>
          <w:trHeight w:val="20"/>
        </w:trPr>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60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Balance at December 31, 2024</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2"/>
              <w:spacing w:after="0" w:line="183" w:lineRule="exact"/>
              <w:rPr>
                <w:sz w:val="20"/>
                <w:szCs w:val="20"/>
                <w:color w:val="auto"/>
              </w:rPr>
            </w:pPr>
            <w:r>
              <w:rPr>
                <w:rFonts w:ascii="Arial" w:cs="Arial" w:eastAsia="Arial" w:hAnsi="Arial"/>
                <w:sz w:val="18"/>
                <w:szCs w:val="18"/>
                <w:color w:val="auto"/>
              </w:rPr>
              <w:t>1</w:t>
            </w:r>
          </w:p>
        </w:tc>
        <w:tc>
          <w:tcPr>
            <w:tcW w:w="28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8"/>
              <w:spacing w:after="0" w:line="183" w:lineRule="exact"/>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ind w:left="500"/>
              <w:spacing w:after="0" w:line="183" w:lineRule="exact"/>
              <w:rPr>
                <w:sz w:val="20"/>
                <w:szCs w:val="20"/>
                <w:color w:val="auto"/>
              </w:rPr>
            </w:pPr>
            <w:r>
              <w:rPr>
                <w:rFonts w:ascii="Arial" w:cs="Arial" w:eastAsia="Arial" w:hAnsi="Arial"/>
                <w:sz w:val="18"/>
                <w:szCs w:val="18"/>
                <w:color w:val="auto"/>
                <w:w w:val="88"/>
              </w:rPr>
              <w:t>—</w:t>
            </w:r>
          </w:p>
        </w:tc>
        <w:tc>
          <w:tcPr>
            <w:tcW w:w="380" w:type="dxa"/>
            <w:vAlign w:val="bottom"/>
            <w:gridSpan w:val="3"/>
            <w:shd w:val="clear" w:color="auto" w:fill="CFF0FC"/>
          </w:tcPr>
          <w:p>
            <w:pPr>
              <w:jc w:val="right"/>
              <w:ind w:right="40"/>
              <w:spacing w:after="0" w:line="18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2"/>
              <w:spacing w:after="0" w:line="183" w:lineRule="exact"/>
              <w:rPr>
                <w:sz w:val="20"/>
                <w:szCs w:val="20"/>
                <w:color w:val="auto"/>
              </w:rPr>
            </w:pPr>
            <w:r>
              <w:rPr>
                <w:rFonts w:ascii="Arial" w:cs="Arial" w:eastAsia="Arial" w:hAnsi="Arial"/>
                <w:sz w:val="18"/>
                <w:szCs w:val="18"/>
                <w:color w:val="auto"/>
              </w:rPr>
              <w:t>1,940</w:t>
            </w:r>
          </w:p>
        </w:tc>
        <w:tc>
          <w:tcPr>
            <w:tcW w:w="26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(239)</w:t>
            </w:r>
          </w:p>
        </w:tc>
        <w:tc>
          <w:tcPr>
            <w:tcW w:w="22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(51)</w:t>
            </w:r>
          </w:p>
        </w:tc>
        <w:tc>
          <w:tcPr>
            <w:tcW w:w="240" w:type="dxa"/>
            <w:vAlign w:val="bottom"/>
            <w:gridSpan w:val="2"/>
            <w:shd w:val="clear" w:color="auto" w:fill="CFF0FC"/>
          </w:tcPr>
          <w:p>
            <w:pPr>
              <w:ind w:left="120"/>
              <w:spacing w:after="0" w:line="183" w:lineRule="exact"/>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ind w:right="31"/>
              <w:spacing w:after="0" w:line="183" w:lineRule="exact"/>
              <w:rPr>
                <w:sz w:val="20"/>
                <w:szCs w:val="20"/>
                <w:color w:val="auto"/>
              </w:rPr>
            </w:pPr>
            <w:r>
              <w:rPr>
                <w:rFonts w:ascii="Arial" w:cs="Arial" w:eastAsia="Arial" w:hAnsi="Arial"/>
                <w:sz w:val="18"/>
                <w:szCs w:val="18"/>
                <w:color w:val="auto"/>
              </w:rPr>
              <w:t>1,651</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20</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Pension and OPEB liability adjustment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Foreign currency translation adjustment</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18</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Issuance of common stock</w:t>
            </w:r>
          </w:p>
        </w:tc>
        <w:tc>
          <w:tcPr>
            <w:tcW w:w="100" w:type="dxa"/>
            <w:vAlign w:val="bottom"/>
          </w:tcPr>
          <w:p>
            <w:pPr>
              <w:spacing w:after="0"/>
              <w:rPr>
                <w:sz w:val="17"/>
                <w:szCs w:val="17"/>
                <w:color w:val="auto"/>
              </w:rPr>
            </w:pPr>
          </w:p>
        </w:tc>
        <w:tc>
          <w:tcPr>
            <w:tcW w:w="920" w:type="dxa"/>
            <w:vAlign w:val="bottom"/>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w:t>
            </w:r>
          </w:p>
        </w:tc>
      </w:tr>
      <w:tr>
        <w:trPr>
          <w:trHeight w:val="203"/>
        </w:trPr>
        <w:tc>
          <w:tcPr>
            <w:tcW w:w="36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(286)</w:t>
            </w: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Dividends on common stock ($0.81 per</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19"/>
                <w:szCs w:val="19"/>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ind w:left="5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ind w:left="50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(69)</w:t>
            </w:r>
          </w:p>
        </w:tc>
      </w:tr>
      <w:tr>
        <w:trPr>
          <w:trHeight w:val="203"/>
        </w:trPr>
        <w:tc>
          <w:tcPr>
            <w:tcW w:w="360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ind w:left="500"/>
              <w:spacing w:after="0" w:line="202" w:lineRule="exact"/>
              <w:rPr>
                <w:sz w:val="20"/>
                <w:szCs w:val="20"/>
                <w:color w:val="auto"/>
              </w:rPr>
            </w:pPr>
            <w:r>
              <w:rPr>
                <w:rFonts w:ascii="Arial" w:cs="Arial" w:eastAsia="Arial" w:hAnsi="Arial"/>
                <w:sz w:val="18"/>
                <w:szCs w:val="18"/>
                <w:b w:val="1"/>
                <w:bCs w:val="1"/>
                <w:color w:val="auto"/>
                <w:w w:val="88"/>
              </w:rPr>
              <w:t>—</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524</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524</w:t>
            </w:r>
          </w:p>
        </w:tc>
      </w:tr>
      <w:tr>
        <w:trPr>
          <w:trHeight w:val="196"/>
        </w:trPr>
        <w:tc>
          <w:tcPr>
            <w:tcW w:w="3600" w:type="dxa"/>
            <w:vAlign w:val="bottom"/>
          </w:tcPr>
          <w:p>
            <w:pPr>
              <w:spacing w:after="0" w:line="196" w:lineRule="exact"/>
              <w:rPr>
                <w:sz w:val="20"/>
                <w:szCs w:val="20"/>
                <w:color w:val="auto"/>
              </w:rPr>
            </w:pPr>
            <w:r>
              <w:rPr>
                <w:rFonts w:ascii="Arial" w:cs="Arial" w:eastAsia="Arial" w:hAnsi="Arial"/>
                <w:sz w:val="18"/>
                <w:szCs w:val="18"/>
                <w:color w:val="auto"/>
              </w:rPr>
              <w:t>Balance at September 30, 2025</w:t>
            </w: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52"/>
              <w:spacing w:after="0" w:line="196" w:lineRule="exact"/>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00" w:type="dxa"/>
            <w:vAlign w:val="bottom"/>
          </w:tcPr>
          <w:p>
            <w:pPr>
              <w:ind w:left="50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gridSpan w:val="2"/>
          </w:tcPr>
          <w:p>
            <w:pPr>
              <w:jc w:val="right"/>
              <w:ind w:right="8"/>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tcPr>
          <w:p>
            <w:pPr>
              <w:ind w:left="500"/>
              <w:spacing w:after="0" w:line="196" w:lineRule="exact"/>
              <w:rPr>
                <w:sz w:val="20"/>
                <w:szCs w:val="20"/>
                <w:color w:val="auto"/>
              </w:rPr>
            </w:pPr>
            <w:r>
              <w:rPr>
                <w:rFonts w:ascii="Arial" w:cs="Arial" w:eastAsia="Arial" w:hAnsi="Arial"/>
                <w:sz w:val="18"/>
                <w:szCs w:val="18"/>
                <w:b w:val="1"/>
                <w:bCs w:val="1"/>
                <w:color w:val="auto"/>
                <w:w w:val="88"/>
              </w:rPr>
              <w:t>—</w:t>
            </w:r>
          </w:p>
        </w:tc>
        <w:tc>
          <w:tcPr>
            <w:tcW w:w="380" w:type="dxa"/>
            <w:vAlign w:val="bottom"/>
            <w:gridSpan w:val="3"/>
          </w:tcPr>
          <w:p>
            <w:pPr>
              <w:jc w:val="right"/>
              <w:ind w:right="40"/>
              <w:spacing w:after="0" w:line="196" w:lineRule="exact"/>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1,953</w:t>
            </w:r>
          </w:p>
        </w:tc>
        <w:tc>
          <w:tcPr>
            <w:tcW w:w="2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(70)</w:t>
            </w:r>
          </w:p>
        </w:tc>
        <w:tc>
          <w:tcPr>
            <w:tcW w:w="2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c>
          <w:tcPr>
            <w:tcW w:w="2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1,841</w:t>
            </w:r>
          </w:p>
        </w:tc>
      </w:tr>
      <w:tr>
        <w:trPr>
          <w:trHeight w:val="20"/>
        </w:trPr>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-1610995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-1610995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-1610995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-1610995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-1610995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-1610995</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-161925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-161925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-161925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-161925</wp:posOffset>
            </wp:positionV>
            <wp:extent cx="77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-161925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-161925</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Allison Transmission Holdings,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102" w:lineRule="exact"/>
        <w:rPr>
          <w:sz w:val="20"/>
          <w:szCs w:val="20"/>
          <w:color w:val="auto"/>
        </w:rPr>
      </w:pPr>
    </w:p>
    <w:p>
      <w:pPr>
        <w:ind w:right="40" w:firstLine="499"/>
        <w:spacing w:after="0" w:line="247" w:lineRule="auto"/>
        <w:rPr>
          <w:sz w:val="20"/>
          <w:szCs w:val="20"/>
          <w:color w:val="auto"/>
        </w:rPr>
      </w:pPr>
      <w:r>
        <w:rPr>
          <w:rFonts w:ascii="Arial" w:cs="Arial" w:eastAsia="Arial" w:hAnsi="Arial"/>
          <w:sz w:val="18"/>
          <w:szCs w:val="18"/>
          <w:color w:val="auto"/>
        </w:rPr>
        <w:t>Allison Transmission Holdings, Inc. and its subsidiaries (“Allison” or the “Company”)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66" w:lineRule="exact"/>
        <w:rPr>
          <w:sz w:val="20"/>
          <w:szCs w:val="20"/>
          <w:color w:val="auto"/>
        </w:rPr>
      </w:pPr>
    </w:p>
    <w:p>
      <w:pPr>
        <w:ind w:right="360" w:firstLine="499"/>
        <w:spacing w:after="0" w:line="253" w:lineRule="auto"/>
        <w:rPr>
          <w:sz w:val="20"/>
          <w:szCs w:val="20"/>
          <w:color w:val="auto"/>
        </w:rPr>
      </w:pPr>
      <w:r>
        <w:rPr>
          <w:rFonts w:ascii="Arial" w:cs="Arial" w:eastAsia="Arial" w:hAnsi="Arial"/>
          <w:sz w:val="18"/>
          <w:szCs w:val="18"/>
          <w:color w:val="auto"/>
        </w:rPr>
        <w:t>The Company has a global presence by serving customers in North America, Asia, Europe, South America, and Africa, with approximately 77% of its revenues being generated in North America in 2024. The Company serves customers through an independent network of approximately 1,600 independent distributor and dealer locations worldwide.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02" w:lineRule="exact"/>
        <w:rPr>
          <w:sz w:val="20"/>
          <w:szCs w:val="20"/>
          <w:color w:val="auto"/>
        </w:rPr>
      </w:pPr>
    </w:p>
    <w:p>
      <w:pPr>
        <w:ind w:firstLine="499"/>
        <w:spacing w:after="0" w:line="242"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71" w:lineRule="exact"/>
        <w:rPr>
          <w:sz w:val="20"/>
          <w:szCs w:val="20"/>
          <w:color w:val="auto"/>
        </w:rPr>
      </w:pPr>
    </w:p>
    <w:p>
      <w:pPr>
        <w:ind w:firstLine="499"/>
        <w:spacing w:after="0" w:line="244" w:lineRule="auto"/>
        <w:rPr>
          <w:sz w:val="20"/>
          <w:szCs w:val="20"/>
          <w:color w:val="auto"/>
        </w:rPr>
      </w:pPr>
      <w:r>
        <w:rPr>
          <w:rFonts w:ascii="Arial" w:cs="Arial" w:eastAsia="Arial" w:hAnsi="Arial"/>
          <w:sz w:val="18"/>
          <w:szCs w:val="18"/>
          <w:color w:val="auto"/>
        </w:rPr>
        <w:t>These condensed consolidated financial statements present the financial position, results of comprehensive income, cash flows and statements of stockholders’ equity of the Company. The condensed consolidated financial statements should be read in conjunction with the audited consolidated financial statements included in our Annual Report on Form 10-K for the year ended December 31, 2024 as filed with the Securities and Exchange Commission on February 13, 2025. The interim period financial results for the three- and nine-month periods presented are not necessarily indicative of results to be expected for any other interim period or for the entire year.</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ind w:firstLine="494"/>
        <w:spacing w:after="0" w:line="23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incentives, government price adjustments, fair market values and future cash flows associated with goodwill, indefinite-lived intangibles, definite-lived intangibles, long-lived asset impairment tests, useful lives for depreciation and amortization, warranty liabilities, core deposit liabilities, determination of discount rate and other assumptions for pension and other post-retirement benefit ("OPEB") expense, income taxes and deferred tax valuation allowances, derivative valuation, assumptions for business combinations and contingencies. The Company’s accounting policies involve the application of judgments and assumptions made by management that include inherent risks and uncertainties. Actual results could differ materially from these estimates and from the assumptions used in the preparation of the Company's financial statements. Changes in estimates are recorded in results of operations in the period that the events or circumstances giving rise to such changes occur.</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2" w:lineRule="exact"/>
        <w:rPr>
          <w:sz w:val="20"/>
          <w:szCs w:val="20"/>
          <w:color w:val="auto"/>
        </w:rPr>
      </w:pPr>
    </w:p>
    <w:p>
      <w:pPr>
        <w:ind w:firstLine="494"/>
        <w:spacing w:after="0" w:line="244" w:lineRule="auto"/>
        <w:rPr>
          <w:sz w:val="20"/>
          <w:szCs w:val="20"/>
          <w:color w:val="auto"/>
        </w:rPr>
      </w:pPr>
      <w:r>
        <w:rPr>
          <w:rFonts w:ascii="Arial" w:cs="Arial" w:eastAsia="Arial" w:hAnsi="Arial"/>
          <w:sz w:val="18"/>
          <w:szCs w:val="18"/>
          <w:color w:val="auto"/>
        </w:rPr>
        <w:t>In December 2023, the Financial Accounting Standards Board ("FASB") issued authoritative accounting guidance to improve income tax disclosures by requiring disaggregated information about a reporting entity's effective tax rate reconciliation and information on income taxes paid. The guidance will become effective for the Company beginning with its fiscal year ending December 31, 2025. The guidance may be applied prospectively with the option to apply it retrospectively. The adoption of this guidance is not expected to have an impact on the Company's consolidated financial statements but will result in additional disclosures.</w:t>
      </w:r>
    </w:p>
    <w:p>
      <w:pPr>
        <w:spacing w:after="0" w:line="68" w:lineRule="exact"/>
        <w:rPr>
          <w:sz w:val="20"/>
          <w:szCs w:val="20"/>
          <w:color w:val="auto"/>
        </w:rPr>
      </w:pPr>
    </w:p>
    <w:p>
      <w:pPr>
        <w:ind w:right="120" w:firstLine="494"/>
        <w:spacing w:after="0" w:line="247" w:lineRule="auto"/>
        <w:rPr>
          <w:sz w:val="20"/>
          <w:szCs w:val="20"/>
          <w:color w:val="auto"/>
        </w:rPr>
      </w:pPr>
      <w:r>
        <w:rPr>
          <w:rFonts w:ascii="Arial" w:cs="Arial" w:eastAsia="Arial" w:hAnsi="Arial"/>
          <w:sz w:val="18"/>
          <w:szCs w:val="18"/>
          <w:color w:val="auto"/>
        </w:rPr>
        <w:t>In July 2025, the FASB issued authoritative accounting guidance providing a practical expedient related to the estimation of expected credit losses for current accounts receivable and current contract assets arising from contracts with customers. The guidance will become effective for the Company beginning January 1, 2026 and will be applied prospectively. Management is currently evaluating the potential impact of this practical expedient on the Company's consolidated financial statements.</w:t>
      </w:r>
    </w:p>
    <w:p>
      <w:pPr>
        <w:spacing w:after="0" w:line="66"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In November 2024, the FASB issued authoritative accounting guidance, which was subsequently amended, requiring additional disaggregation of certain expense and cost line items presented in the financial statements and in the notes to the financial statements. The guidance will become effective for the Company beginning with the fiscal year ending December 31, 2027 and the subsequent interim periods. Early adoption is permitted. Upon adoption, the guidance may be applied prospectively or retrospectively. Management is currently evaluating the impact of this guidance on the Company's consolidated financial statements.</w:t>
      </w:r>
    </w:p>
    <w:p>
      <w:pPr>
        <w:spacing w:after="0" w:line="68"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In September 2025, the FASB issued authoritative accounting guidance to modernize the accounting for costs related to internal-use software. The new guidance removes the software project development stages and provides new guidance on evaluating if the probable-to-complete recognition threshold has been met. The guidance will become effective for the Company beginning January 1, 2028 with early adoption permitted. Upon adoption, the guidance may be applied prospectively, retrospectively or using a modified transition approach. Management is currently evaluating the potential impact of this guidance on the Company's consolidated financial statements.</w:t>
      </w:r>
    </w:p>
    <w:p>
      <w:pPr>
        <w:spacing w:after="0" w:line="68" w:lineRule="exact"/>
        <w:rPr>
          <w:sz w:val="20"/>
          <w:szCs w:val="20"/>
          <w:color w:val="auto"/>
        </w:rPr>
      </w:pPr>
    </w:p>
    <w:p>
      <w:pPr>
        <w:ind w:right="80" w:firstLine="494"/>
        <w:spacing w:after="0" w:line="271" w:lineRule="auto"/>
        <w:rPr>
          <w:sz w:val="20"/>
          <w:szCs w:val="20"/>
          <w:color w:val="auto"/>
        </w:rPr>
      </w:pPr>
      <w:r>
        <w:rPr>
          <w:rFonts w:ascii="Arial" w:cs="Arial" w:eastAsia="Arial" w:hAnsi="Arial"/>
          <w:sz w:val="18"/>
          <w:szCs w:val="18"/>
          <w:color w:val="auto"/>
        </w:rPr>
        <w:t>All other recently issued accounting pronouncements were assessed as either not applicable to the Company or were not expected to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REVENUE</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71"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61" w:lineRule="exact"/>
        <w:rPr>
          <w:sz w:val="20"/>
          <w:szCs w:val="20"/>
          <w:color w:val="auto"/>
        </w:rPr>
      </w:pPr>
    </w:p>
    <w:p>
      <w:pPr>
        <w:ind w:right="360" w:firstLine="494"/>
        <w:spacing w:after="0" w:line="244" w:lineRule="auto"/>
        <w:rPr>
          <w:sz w:val="20"/>
          <w:szCs w:val="20"/>
          <w:color w:val="auto"/>
        </w:rPr>
      </w:pPr>
      <w:r>
        <w:rPr>
          <w:rFonts w:ascii="Arial" w:cs="Arial" w:eastAsia="Arial" w:hAnsi="Arial"/>
          <w:sz w:val="18"/>
          <w:szCs w:val="18"/>
          <w:color w:val="auto"/>
        </w:rPr>
        <w:t>The Company may also use volume-based discounts and rebates as marketing incentives in the sales of both vehicle propulsion solutions and service parts, which are accounted for as variable consideration. The Company records the impact of the incentives as a reduction to revenue when it is determined that the adjustment is not likely to reverse. The Company estimates the impact of all other incentives based on the related sales and market conditions in the end market vocation. The Company recorded no material adjustments based on variable consideration during any of the three or nine months ended September 30, 2025 or 2024.</w:t>
      </w:r>
    </w:p>
    <w:p>
      <w:pPr>
        <w:spacing w:after="0" w:line="68" w:lineRule="exact"/>
        <w:rPr>
          <w:sz w:val="20"/>
          <w:szCs w:val="20"/>
          <w:color w:val="auto"/>
        </w:rPr>
      </w:pPr>
    </w:p>
    <w:p>
      <w:pPr>
        <w:ind w:right="60" w:firstLine="494"/>
        <w:spacing w:after="0" w:line="242" w:lineRule="auto"/>
        <w:rPr>
          <w:sz w:val="20"/>
          <w:szCs w:val="20"/>
          <w:color w:val="auto"/>
        </w:rPr>
      </w:pPr>
      <w:r>
        <w:rPr>
          <w:rFonts w:ascii="Arial" w:cs="Arial" w:eastAsia="Arial" w:hAnsi="Arial"/>
          <w:sz w:val="18"/>
          <w:szCs w:val="18"/>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2025 and December 31, 2024. See "Note J. Deferred Revenue” for more information, including the amount of revenue earned during each of the three and nine months ended September 30, 2025 and 2024 that had been previously deferred. The Company had no material contract assets as of either September 30, 2025 or December 31, 2024.</w:t>
      </w:r>
    </w:p>
    <w:p>
      <w:pPr>
        <w:spacing w:after="0" w:line="71"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The Company has one operating segment and reportable segment. The Company is in one line of business, which is the design, manufacture and distribution of vehicle propulsion solutions. The following presents disaggregated revenue by categories that best depict how the nature, amount, timing and uncertainty of revenue and cash flows are affected by economic factors (dollars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40" w:type="dxa"/>
            <w:vAlign w:val="bottom"/>
            <w:gridSpan w:val="4"/>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2280" w:type="dxa"/>
            <w:vAlign w:val="bottom"/>
            <w:gridSpan w:val="2"/>
            <w:shd w:val="clear" w:color="auto" w:fill="CFF0FC"/>
          </w:tcPr>
          <w:p>
            <w:pPr>
              <w:jc w:val="right"/>
              <w:ind w:right="52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327</w:t>
            </w:r>
          </w:p>
        </w:tc>
        <w:tc>
          <w:tcPr>
            <w:tcW w:w="860" w:type="dxa"/>
            <w:vAlign w:val="bottom"/>
            <w:gridSpan w:val="2"/>
            <w:shd w:val="clear" w:color="auto" w:fill="CFF0FC"/>
          </w:tcPr>
          <w:p>
            <w:pPr>
              <w:jc w:val="right"/>
              <w:ind w:right="548"/>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457</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FF0FC"/>
          </w:tcPr>
          <w:p>
            <w:pPr>
              <w:jc w:val="right"/>
              <w:ind w:right="36"/>
              <w:spacing w:after="0" w:line="196" w:lineRule="exact"/>
              <w:rPr>
                <w:sz w:val="20"/>
                <w:szCs w:val="20"/>
                <w:color w:val="auto"/>
              </w:rPr>
            </w:pPr>
            <w:r>
              <w:rPr>
                <w:rFonts w:ascii="Arial" w:cs="Arial" w:eastAsia="Arial" w:hAnsi="Arial"/>
                <w:sz w:val="18"/>
                <w:szCs w:val="18"/>
                <w:b w:val="1"/>
                <w:bCs w:val="1"/>
                <w:color w:val="auto"/>
              </w:rPr>
              <w:t>1,179</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122</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126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376</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15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78</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6"/>
              <w:spacing w:after="0" w:line="202" w:lineRule="exact"/>
              <w:rPr>
                <w:sz w:val="20"/>
                <w:szCs w:val="20"/>
                <w:color w:val="auto"/>
              </w:rPr>
            </w:pPr>
            <w:r>
              <w:rPr>
                <w:rFonts w:ascii="Arial" w:cs="Arial" w:eastAsia="Arial" w:hAnsi="Arial"/>
                <w:sz w:val="18"/>
                <w:szCs w:val="18"/>
                <w:b w:val="1"/>
                <w:bCs w:val="1"/>
                <w:color w:val="auto"/>
              </w:rPr>
              <w:t>194</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158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159</w:t>
            </w:r>
          </w:p>
        </w:tc>
        <w:tc>
          <w:tcPr>
            <w:tcW w:w="14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168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b w:val="1"/>
                <w:bCs w:val="1"/>
                <w:color w:val="auto"/>
              </w:rPr>
              <w:t>483</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196"/>
        </w:trPr>
        <w:tc>
          <w:tcPr>
            <w:tcW w:w="4540" w:type="dxa"/>
            <w:vAlign w:val="bottom"/>
          </w:tcPr>
          <w:p>
            <w:pPr>
              <w:spacing w:after="0" w:line="196" w:lineRule="exact"/>
              <w:rPr>
                <w:sz w:val="20"/>
                <w:szCs w:val="20"/>
                <w:color w:val="auto"/>
              </w:rPr>
            </w:pPr>
            <w:r>
              <w:rPr>
                <w:rFonts w:ascii="Arial" w:cs="Arial" w:eastAsia="Arial" w:hAnsi="Arial"/>
                <w:sz w:val="18"/>
                <w:szCs w:val="18"/>
                <w:color w:val="auto"/>
              </w:rPr>
              <w:t>Total Net Sales</w:t>
            </w:r>
          </w:p>
        </w:tc>
        <w:tc>
          <w:tcPr>
            <w:tcW w:w="2280" w:type="dxa"/>
            <w:vAlign w:val="bottom"/>
            <w:gridSpan w:val="2"/>
          </w:tcPr>
          <w:p>
            <w:pPr>
              <w:jc w:val="right"/>
              <w:ind w:right="528"/>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33"/>
              <w:spacing w:after="0" w:line="196" w:lineRule="exact"/>
              <w:rPr>
                <w:sz w:val="20"/>
                <w:szCs w:val="20"/>
                <w:color w:val="auto"/>
              </w:rPr>
            </w:pPr>
            <w:r>
              <w:rPr>
                <w:rFonts w:ascii="Arial" w:cs="Arial" w:eastAsia="Arial" w:hAnsi="Arial"/>
                <w:sz w:val="18"/>
                <w:szCs w:val="18"/>
                <w:b w:val="1"/>
                <w:bCs w:val="1"/>
                <w:color w:val="auto"/>
              </w:rPr>
              <w:t>693</w:t>
            </w:r>
          </w:p>
        </w:tc>
        <w:tc>
          <w:tcPr>
            <w:tcW w:w="860" w:type="dxa"/>
            <w:vAlign w:val="bottom"/>
            <w:gridSpan w:val="2"/>
          </w:tcPr>
          <w:p>
            <w:pPr>
              <w:jc w:val="right"/>
              <w:ind w:right="548"/>
              <w:spacing w:after="0" w:line="196"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line="196" w:lineRule="exact"/>
              <w:rPr>
                <w:sz w:val="20"/>
                <w:szCs w:val="20"/>
                <w:color w:val="auto"/>
              </w:rPr>
            </w:pPr>
            <w:r>
              <w:rPr>
                <w:rFonts w:ascii="Arial" w:cs="Arial" w:eastAsia="Arial" w:hAnsi="Arial"/>
                <w:sz w:val="18"/>
                <w:szCs w:val="18"/>
                <w:color w:val="auto"/>
                <w:w w:val="99"/>
              </w:rPr>
              <w:t>824</w:t>
            </w:r>
          </w:p>
        </w:tc>
        <w:tc>
          <w:tcPr>
            <w:tcW w:w="3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Pr>
          <w:p>
            <w:pPr>
              <w:jc w:val="right"/>
              <w:ind w:right="36"/>
              <w:spacing w:after="0" w:line="196" w:lineRule="exact"/>
              <w:rPr>
                <w:sz w:val="20"/>
                <w:szCs w:val="20"/>
                <w:color w:val="auto"/>
              </w:rPr>
            </w:pPr>
            <w:r>
              <w:rPr>
                <w:rFonts w:ascii="Arial" w:cs="Arial" w:eastAsia="Arial" w:hAnsi="Arial"/>
                <w:sz w:val="18"/>
                <w:szCs w:val="18"/>
                <w:b w:val="1"/>
                <w:bCs w:val="1"/>
                <w:color w:val="auto"/>
              </w:rPr>
              <w:t>2,273</w:t>
            </w:r>
          </w:p>
        </w:tc>
        <w:tc>
          <w:tcPr>
            <w:tcW w:w="5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80" w:type="dxa"/>
            <w:vAlign w:val="bottom"/>
            <w:vMerge w:val="restart"/>
          </w:tcPr>
          <w:p>
            <w:pPr>
              <w:jc w:val="right"/>
              <w:ind w:right="310"/>
              <w:spacing w:after="0"/>
              <w:rPr>
                <w:sz w:val="20"/>
                <w:szCs w:val="20"/>
                <w:color w:val="auto"/>
              </w:rPr>
            </w:pPr>
            <w:r>
              <w:rPr>
                <w:rFonts w:ascii="Arial" w:cs="Arial" w:eastAsia="Arial" w:hAnsi="Arial"/>
                <w:sz w:val="18"/>
                <w:szCs w:val="18"/>
                <w:color w:val="auto"/>
              </w:rPr>
              <w:t>10</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45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-1028065</wp:posOffset>
            </wp:positionV>
            <wp:extent cx="857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-1028065</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-1028065</wp:posOffset>
            </wp:positionV>
            <wp:extent cx="85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INVENTORIES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2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2024</w:t>
            </w:r>
          </w:p>
        </w:tc>
      </w:tr>
      <w:tr>
        <w:trPr>
          <w:trHeight w:val="196"/>
        </w:trPr>
        <w:tc>
          <w:tcPr>
            <w:tcW w:w="52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Purchased parts and raw materials</w:t>
            </w:r>
          </w:p>
        </w:tc>
        <w:tc>
          <w:tcPr>
            <w:tcW w:w="268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175</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162</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Work in progress</w:t>
            </w: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b w:val="1"/>
                <w:bCs w:val="1"/>
                <w:color w:val="auto"/>
              </w:rPr>
              <w:t>22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17</w:t>
            </w:r>
          </w:p>
        </w:tc>
      </w:tr>
      <w:tr>
        <w:trPr>
          <w:trHeight w:val="203"/>
        </w:trPr>
        <w:tc>
          <w:tcPr>
            <w:tcW w:w="5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2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15"/>
              <w:spacing w:after="0" w:line="202" w:lineRule="exact"/>
              <w:rPr>
                <w:sz w:val="20"/>
                <w:szCs w:val="20"/>
                <w:color w:val="auto"/>
              </w:rPr>
            </w:pPr>
            <w:r>
              <w:rPr>
                <w:rFonts w:ascii="Arial" w:cs="Arial" w:eastAsia="Arial" w:hAnsi="Arial"/>
                <w:sz w:val="18"/>
                <w:szCs w:val="18"/>
                <w:color w:val="auto"/>
              </w:rPr>
              <w:t>79</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Service parts</w:t>
            </w:r>
          </w:p>
        </w:tc>
        <w:tc>
          <w:tcPr>
            <w:tcW w:w="24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b w:val="1"/>
                <w:bCs w:val="1"/>
                <w:color w:val="auto"/>
              </w:rPr>
              <w:t>63</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57</w:t>
            </w:r>
          </w:p>
        </w:tc>
      </w:tr>
      <w:tr>
        <w:trPr>
          <w:trHeight w:val="216"/>
        </w:trPr>
        <w:tc>
          <w:tcPr>
            <w:tcW w:w="52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inventories</w:t>
            </w:r>
          </w:p>
        </w:tc>
        <w:tc>
          <w:tcPr>
            <w:tcW w:w="24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b w:val="1"/>
                <w:bCs w:val="1"/>
                <w:color w:val="auto"/>
              </w:rPr>
              <w:t>331</w:t>
            </w:r>
          </w:p>
        </w:tc>
        <w:tc>
          <w:tcPr>
            <w:tcW w:w="380" w:type="dxa"/>
            <w:vAlign w:val="bottom"/>
            <w:gridSpan w:val="2"/>
            <w:shd w:val="clear" w:color="auto" w:fill="CFF0FC"/>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315</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24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ind w:right="200" w:firstLine="494"/>
        <w:spacing w:after="0" w:line="253"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GOODWILL AND OTHER INTANGIBLE ASSETS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both September 30, 2025 and December 31, 2024, the carrying value of the Company’s Goodwill was $2,075 million.</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left="597"/>
              <w:spacing w:after="0"/>
              <w:rPr>
                <w:sz w:val="20"/>
                <w:szCs w:val="20"/>
                <w:color w:val="auto"/>
              </w:rPr>
            </w:pPr>
            <w:r>
              <w:rPr>
                <w:rFonts w:ascii="Arial" w:cs="Arial" w:eastAsia="Arial" w:hAnsi="Arial"/>
                <w:sz w:val="14"/>
                <w:szCs w:val="14"/>
                <w:b w:val="1"/>
                <w:bCs w:val="1"/>
                <w:color w:val="auto"/>
              </w:rPr>
              <w:t>September 30, 2025</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2024</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r>
      <w:tr>
        <w:trPr>
          <w:trHeight w:val="146"/>
        </w:trPr>
        <w:tc>
          <w:tcPr>
            <w:tcW w:w="4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7"/>
              <w:spacing w:after="0" w:line="14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000" w:type="dxa"/>
            <w:vAlign w:val="bottom"/>
            <w:gridSpan w:val="2"/>
          </w:tcPr>
          <w:p>
            <w:pPr>
              <w:jc w:val="center"/>
              <w:ind w:right="13"/>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6"/>
              <w:spacing w:after="0" w:line="147" w:lineRule="exact"/>
              <w:rPr>
                <w:sz w:val="20"/>
                <w:szCs w:val="20"/>
                <w:color w:val="auto"/>
              </w:rPr>
            </w:pPr>
            <w:r>
              <w:rPr>
                <w:rFonts w:ascii="Arial" w:cs="Arial" w:eastAsia="Arial" w:hAnsi="Arial"/>
                <w:sz w:val="14"/>
                <w:szCs w:val="14"/>
                <w:b w:val="1"/>
                <w:bCs w:val="1"/>
                <w:color w:val="auto"/>
              </w:rPr>
              <w:t>Intangible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tcPr>
          <w:p>
            <w:pPr>
              <w:jc w:val="center"/>
              <w:ind w:right="220"/>
              <w:spacing w:after="0" w:line="147" w:lineRule="exact"/>
              <w:rPr>
                <w:sz w:val="20"/>
                <w:szCs w:val="20"/>
                <w:color w:val="auto"/>
              </w:rPr>
            </w:pPr>
            <w:r>
              <w:rPr>
                <w:rFonts w:ascii="Arial" w:cs="Arial" w:eastAsia="Arial" w:hAnsi="Arial"/>
                <w:sz w:val="14"/>
                <w:szCs w:val="14"/>
                <w:b w:val="1"/>
                <w:bCs w:val="1"/>
                <w:color w:val="auto"/>
              </w:rPr>
              <w:t>Accumulate</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2"/>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77"/>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center"/>
              <w:ind w:right="273"/>
              <w:spacing w:after="0"/>
              <w:rPr>
                <w:sz w:val="20"/>
                <w:szCs w:val="20"/>
                <w:color w:val="auto"/>
              </w:rPr>
            </w:pPr>
            <w:r>
              <w:rPr>
                <w:rFonts w:ascii="Arial" w:cs="Arial" w:eastAsia="Arial" w:hAnsi="Arial"/>
                <w:sz w:val="14"/>
                <w:szCs w:val="14"/>
                <w:b w:val="1"/>
                <w:bCs w:val="1"/>
                <w:color w:val="auto"/>
                <w:w w:val="92"/>
              </w:rPr>
              <w:t>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76"/>
              <w:spacing w:after="0"/>
              <w:rPr>
                <w:sz w:val="20"/>
                <w:szCs w:val="20"/>
                <w:color w:val="auto"/>
              </w:rPr>
            </w:pPr>
            <w:r>
              <w:rPr>
                <w:rFonts w:ascii="Arial" w:cs="Arial" w:eastAsia="Arial" w:hAnsi="Arial"/>
                <w:sz w:val="14"/>
                <w:szCs w:val="14"/>
                <w:b w:val="1"/>
                <w:bCs w:val="1"/>
                <w:color w:val="auto"/>
              </w:rPr>
              <w:t>assets,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w:t>
            </w:r>
          </w:p>
        </w:tc>
        <w:tc>
          <w:tcPr>
            <w:tcW w:w="120" w:type="dxa"/>
            <w:vAlign w:val="bottom"/>
          </w:tcPr>
          <w:p>
            <w:pPr>
              <w:spacing w:after="0"/>
              <w:rPr>
                <w:sz w:val="14"/>
                <w:szCs w:val="14"/>
                <w:color w:val="auto"/>
              </w:rPr>
            </w:pPr>
          </w:p>
        </w:tc>
        <w:tc>
          <w:tcPr>
            <w:tcW w:w="900" w:type="dxa"/>
            <w:vAlign w:val="bottom"/>
          </w:tcPr>
          <w:p>
            <w:pPr>
              <w:jc w:val="right"/>
              <w:ind w:right="133"/>
              <w:spacing w:after="0"/>
              <w:rPr>
                <w:sz w:val="20"/>
                <w:szCs w:val="20"/>
                <w:color w:val="auto"/>
              </w:rPr>
            </w:pPr>
            <w:r>
              <w:rPr>
                <w:rFonts w:ascii="Arial" w:cs="Arial" w:eastAsia="Arial" w:hAnsi="Arial"/>
                <w:sz w:val="14"/>
                <w:szCs w:val="14"/>
                <w:b w:val="1"/>
                <w:bCs w:val="1"/>
                <w:color w:val="auto"/>
                <w:w w:val="99"/>
              </w:rPr>
              <w:t>Intangible</w:t>
            </w:r>
          </w:p>
        </w:tc>
      </w:tr>
      <w:tr>
        <w:trPr>
          <w:trHeight w:val="171"/>
        </w:trPr>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137"/>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000" w:type="dxa"/>
            <w:vAlign w:val="bottom"/>
            <w:gridSpan w:val="2"/>
          </w:tcPr>
          <w:p>
            <w:pPr>
              <w:jc w:val="center"/>
              <w:ind w:right="13"/>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00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assets, net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assets, net</w:t>
            </w:r>
          </w:p>
        </w:tc>
      </w:tr>
      <w:tr>
        <w:trPr>
          <w:trHeight w:val="196"/>
        </w:trPr>
        <w:tc>
          <w:tcPr>
            <w:tcW w:w="46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Other intangible assets:</w:t>
            </w: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Trade name</w:t>
            </w: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791</w:t>
            </w:r>
          </w:p>
        </w:tc>
        <w:tc>
          <w:tcPr>
            <w:tcW w:w="340" w:type="dxa"/>
            <w:vAlign w:val="bottom"/>
            <w:gridSpan w:val="2"/>
          </w:tcPr>
          <w:p>
            <w:pPr>
              <w:jc w:val="right"/>
              <w:ind w:right="62"/>
              <w:spacing w:after="0" w:line="202"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791</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791</w:t>
            </w:r>
          </w:p>
        </w:tc>
        <w:tc>
          <w:tcPr>
            <w:tcW w:w="440" w:type="dxa"/>
            <w:vAlign w:val="bottom"/>
            <w:gridSpan w:val="3"/>
          </w:tcPr>
          <w:p>
            <w:pPr>
              <w:jc w:val="right"/>
              <w:ind w:right="68"/>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791</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 — commercial</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839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(838)</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839</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Proprietary technology</w:t>
            </w:r>
          </w:p>
        </w:tc>
        <w:tc>
          <w:tcPr>
            <w:tcW w:w="100" w:type="dxa"/>
            <w:vAlign w:val="bottom"/>
          </w:tcPr>
          <w:p>
            <w:pPr>
              <w:spacing w:after="0"/>
              <w:rPr>
                <w:sz w:val="17"/>
                <w:szCs w:val="17"/>
                <w:color w:val="auto"/>
              </w:rPr>
            </w:pPr>
          </w:p>
        </w:tc>
        <w:tc>
          <w:tcPr>
            <w:tcW w:w="900" w:type="dxa"/>
            <w:vAlign w:val="bottom"/>
          </w:tcPr>
          <w:p>
            <w:pPr>
              <w:jc w:val="right"/>
              <w:ind w:right="37"/>
              <w:spacing w:after="0" w:line="202" w:lineRule="exact"/>
              <w:rPr>
                <w:sz w:val="20"/>
                <w:szCs w:val="20"/>
                <w:color w:val="auto"/>
              </w:rPr>
            </w:pPr>
            <w:r>
              <w:rPr>
                <w:rFonts w:ascii="Arial" w:cs="Arial" w:eastAsia="Arial" w:hAnsi="Arial"/>
                <w:sz w:val="18"/>
                <w:szCs w:val="18"/>
                <w:b w:val="1"/>
                <w:bCs w:val="1"/>
                <w:color w:val="auto"/>
              </w:rPr>
              <w:t>507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26</w:t>
            </w:r>
          </w:p>
        </w:tc>
      </w:tr>
      <w:tr>
        <w:trPr>
          <w:trHeight w:val="203"/>
        </w:trPr>
        <w:tc>
          <w:tcPr>
            <w:tcW w:w="46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Customer relationships — defense</w:t>
            </w: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7"/>
              <w:spacing w:after="0" w:line="202" w:lineRule="exact"/>
              <w:rPr>
                <w:sz w:val="20"/>
                <w:szCs w:val="20"/>
                <w:color w:val="auto"/>
              </w:rPr>
            </w:pPr>
            <w:r>
              <w:rPr>
                <w:rFonts w:ascii="Arial" w:cs="Arial" w:eastAsia="Arial" w:hAnsi="Arial"/>
                <w:sz w:val="18"/>
                <w:szCs w:val="18"/>
                <w:b w:val="1"/>
                <w:bCs w:val="1"/>
                <w:color w:val="auto"/>
              </w:rPr>
              <w:t>62</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FF0FC"/>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ind w:right="37"/>
              <w:spacing w:after="0" w:line="196" w:lineRule="exact"/>
              <w:rPr>
                <w:sz w:val="20"/>
                <w:szCs w:val="20"/>
                <w:color w:val="auto"/>
              </w:rPr>
            </w:pPr>
            <w:r>
              <w:rPr>
                <w:rFonts w:ascii="Arial" w:cs="Arial" w:eastAsia="Arial" w:hAnsi="Arial"/>
                <w:sz w:val="18"/>
                <w:szCs w:val="18"/>
                <w:b w:val="1"/>
                <w:bCs w:val="1"/>
                <w:color w:val="auto"/>
              </w:rPr>
              <w:t>2,200</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2"/>
              <w:spacing w:after="0" w:line="196" w:lineRule="exact"/>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(1,384)</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816</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2,200</w:t>
            </w:r>
          </w:p>
        </w:tc>
        <w:tc>
          <w:tcPr>
            <w:tcW w:w="440" w:type="dxa"/>
            <w:vAlign w:val="bottom"/>
            <w:gridSpan w:val="3"/>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822</w:t>
            </w: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-25400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-25400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-8255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-25400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-8255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other intangible assets for the next five fiscal years is expected to be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8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2026</w:t>
            </w: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2027</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2028</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2029</w:t>
            </w: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2030</w:t>
            </w:r>
          </w:p>
        </w:tc>
      </w:tr>
      <w:tr>
        <w:trPr>
          <w:trHeight w:val="236"/>
        </w:trPr>
        <w:tc>
          <w:tcPr>
            <w:tcW w:w="5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Amortization expense</w:t>
            </w:r>
          </w:p>
        </w:tc>
        <w:tc>
          <w:tcPr>
            <w:tcW w:w="800" w:type="dxa"/>
            <w:vAlign w:val="bottom"/>
            <w:shd w:val="clear" w:color="auto" w:fill="CFF0FC"/>
          </w:tcPr>
          <w:p>
            <w:pPr>
              <w:jc w:val="right"/>
              <w:ind w:right="616"/>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920" w:type="dxa"/>
            <w:vAlign w:val="bottom"/>
            <w:gridSpan w:val="2"/>
            <w:shd w:val="clear" w:color="auto" w:fill="CFF0FC"/>
          </w:tcPr>
          <w:p>
            <w:pPr>
              <w:jc w:val="right"/>
              <w:ind w:right="62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w:t>
            </w:r>
          </w:p>
        </w:tc>
        <w:tc>
          <w:tcPr>
            <w:tcW w:w="34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9"/>
              <w:spacing w:after="0" w:line="196" w:lineRule="exact"/>
              <w:rPr>
                <w:sz w:val="20"/>
                <w:szCs w:val="20"/>
                <w:color w:val="auto"/>
              </w:rPr>
            </w:pPr>
            <w:r>
              <w:rPr>
                <w:rFonts w:ascii="Arial" w:cs="Arial" w:eastAsia="Arial" w:hAnsi="Arial"/>
                <w:sz w:val="18"/>
                <w:szCs w:val="18"/>
                <w:color w:val="auto"/>
              </w:rPr>
              <w:t>2</w:t>
            </w:r>
          </w:p>
        </w:tc>
      </w:tr>
      <w:tr>
        <w:trPr>
          <w:trHeight w:val="578"/>
        </w:trPr>
        <w:tc>
          <w:tcPr>
            <w:tcW w:w="516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11</w:t>
            </w:r>
          </w:p>
        </w:tc>
        <w:tc>
          <w:tcPr>
            <w:tcW w:w="3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745"/>
        </w:trPr>
        <w:tc>
          <w:tcPr>
            <w:tcW w:w="5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-890905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-873760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-890905</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-873760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-890905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-873760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-890905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-873760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FAIR VALUE OF FINANCIAL INSTRUMENTS</w:t>
      </w:r>
    </w:p>
    <w:p>
      <w:pPr>
        <w:spacing w:after="0" w:line="158" w:lineRule="exact"/>
        <w:rPr>
          <w:sz w:val="20"/>
          <w:szCs w:val="20"/>
          <w:color w:val="auto"/>
        </w:rPr>
      </w:pPr>
    </w:p>
    <w:p>
      <w:pPr>
        <w:ind w:right="20" w:firstLine="494"/>
        <w:spacing w:after="0"/>
        <w:rPr>
          <w:sz w:val="20"/>
          <w:szCs w:val="20"/>
          <w:color w:val="auto"/>
        </w:rPr>
      </w:pPr>
      <w:r>
        <w:rPr>
          <w:rFonts w:ascii="Arial" w:cs="Arial" w:eastAsia="Arial" w:hAnsi="Arial"/>
          <w:sz w:val="18"/>
          <w:szCs w:val="18"/>
          <w:color w:val="auto"/>
        </w:rPr>
        <w:t>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w:t>
      </w:r>
    </w:p>
    <w:p>
      <w:pPr>
        <w:spacing w:after="0" w:line="104"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Level 2 — Inputs are other than quoted prices in active markets included in Level 1, which are either directly or indirectly observable as of the reporting date. Level 2 includes financial instruments that are valued using quoted prices in markets that are not active and those financial instruments that are valued using models or other valuation methodologies in which all significant value-drivers are observable in active markets or are supported by observable levels at which transactions are executed in the marketplace.</w:t>
      </w:r>
    </w:p>
    <w:p>
      <w:pPr>
        <w:spacing w:after="0" w:line="66"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Level 3 — Certain inputs are unobservable or have little or no market data available.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2025 and December 31, 2024, the Company did not have any Level 3 financial assets or liabilities.</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(liabilities) measured at fair value as of September 30, 2025 and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2024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Measurements Using</w:t>
            </w: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46"/>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3"/>
          </w:tcPr>
          <w:p>
            <w:pPr>
              <w:jc w:val="center"/>
              <w:ind w:left="158"/>
              <w:spacing w:after="0" w:line="147" w:lineRule="exact"/>
              <w:rPr>
                <w:sz w:val="20"/>
                <w:szCs w:val="20"/>
                <w:color w:val="auto"/>
              </w:rPr>
            </w:pPr>
            <w:r>
              <w:rPr>
                <w:rFonts w:ascii="Arial" w:cs="Arial" w:eastAsia="Arial" w:hAnsi="Arial"/>
                <w:sz w:val="14"/>
                <w:szCs w:val="14"/>
                <w:b w:val="1"/>
                <w:bCs w:val="1"/>
                <w:color w:val="auto"/>
              </w:rPr>
              <w:t>Quoted Prices in Active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3"/>
          </w:tcPr>
          <w:p>
            <w:pPr>
              <w:jc w:val="center"/>
              <w:spacing w:after="0" w:line="147"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3"/>
          </w:tcPr>
          <w:p>
            <w:pPr>
              <w:jc w:val="center"/>
              <w:ind w:left="138"/>
              <w:spacing w:after="0"/>
              <w:rPr>
                <w:sz w:val="20"/>
                <w:szCs w:val="20"/>
                <w:color w:val="auto"/>
              </w:rPr>
            </w:pPr>
            <w:r>
              <w:rPr>
                <w:rFonts w:ascii="Arial" w:cs="Arial" w:eastAsia="Arial" w:hAnsi="Arial"/>
                <w:sz w:val="14"/>
                <w:szCs w:val="14"/>
                <w:b w:val="1"/>
                <w:bCs w:val="1"/>
                <w:color w:val="auto"/>
              </w:rPr>
              <w:t>Markets for Identical</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158"/>
              <w:spacing w:after="0"/>
              <w:rPr>
                <w:sz w:val="20"/>
                <w:szCs w:val="20"/>
                <w:color w:val="auto"/>
              </w:rPr>
            </w:pPr>
            <w:r>
              <w:rPr>
                <w:rFonts w:ascii="Arial" w:cs="Arial" w:eastAsia="Arial" w:hAnsi="Arial"/>
                <w:sz w:val="14"/>
                <w:szCs w:val="14"/>
                <w:b w:val="1"/>
                <w:bCs w:val="1"/>
                <w:color w:val="auto"/>
              </w:rPr>
              <w:t>Assets (Level 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center"/>
              <w:ind w:left="18"/>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TOTAL</w:t>
            </w:r>
          </w:p>
        </w:tc>
        <w:tc>
          <w:tcPr>
            <w:tcW w:w="1000" w:type="dxa"/>
            <w:vAlign w:val="bottom"/>
            <w:tcBorders>
              <w:bottom w:val="single" w:sz="8" w:color="auto"/>
            </w:tcBorders>
          </w:tcPr>
          <w:p>
            <w:pPr>
              <w:spacing w:after="0"/>
              <w:rPr>
                <w:sz w:val="14"/>
                <w:szCs w:val="14"/>
                <w:color w:val="auto"/>
              </w:rPr>
            </w:pPr>
          </w:p>
        </w:tc>
      </w:tr>
      <w:tr>
        <w:trPr>
          <w:trHeight w:val="146"/>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right"/>
              <w:ind w:right="158"/>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10"/>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38"/>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30"/>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right"/>
              <w:ind w:right="135"/>
              <w:spacing w:after="0" w:line="147"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2"/>
                <w:szCs w:val="12"/>
                <w:color w:val="auto"/>
              </w:rPr>
            </w:pPr>
          </w:p>
        </w:tc>
        <w:tc>
          <w:tcPr>
            <w:tcW w:w="1240" w:type="dxa"/>
            <w:vAlign w:val="bottom"/>
            <w:gridSpan w:val="2"/>
          </w:tcPr>
          <w:p>
            <w:pPr>
              <w:jc w:val="right"/>
              <w:ind w:right="132"/>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196"/>
        </w:trPr>
        <w:tc>
          <w:tcPr>
            <w:tcW w:w="28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equivalents</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b w:val="1"/>
                <w:bCs w:val="1"/>
                <w:color w:val="auto"/>
              </w:rPr>
              <w:t>738</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664</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FF0FC"/>
          </w:tcPr>
          <w:p>
            <w:pPr>
              <w:jc w:val="right"/>
              <w:ind w:right="74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738</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664</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58"/>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5"/>
              <w:spacing w:after="0" w:line="202" w:lineRule="exact"/>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11</w:t>
            </w:r>
          </w:p>
        </w:tc>
      </w:tr>
      <w:tr>
        <w:trPr>
          <w:trHeight w:val="203"/>
        </w:trPr>
        <w:tc>
          <w:tcPr>
            <w:tcW w:w="2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Rabbi trust assets</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20</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Deferred compensation obligation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2"/>
        </w:trPr>
        <w:tc>
          <w:tcPr>
            <w:tcW w:w="28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Debt securities</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5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8"/>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r>
      <w:tr>
        <w:trPr>
          <w:trHeight w:val="203"/>
        </w:trPr>
        <w:tc>
          <w:tcPr>
            <w:tcW w:w="284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5</w:t>
            </w:r>
          </w:p>
        </w:tc>
      </w:tr>
      <w:tr>
        <w:trPr>
          <w:trHeight w:val="216"/>
        </w:trPr>
        <w:tc>
          <w:tcPr>
            <w:tcW w:w="2840" w:type="dxa"/>
            <w:vAlign w:val="bottom"/>
            <w:shd w:val="clear" w:color="auto" w:fill="CFF0FC"/>
          </w:tcPr>
          <w:p>
            <w:pPr>
              <w:ind w:left="80"/>
              <w:spacing w:after="0" w:line="196" w:lineRule="exact"/>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58"/>
              <w:spacing w:after="0" w:line="196" w:lineRule="exact"/>
              <w:rPr>
                <w:sz w:val="20"/>
                <w:szCs w:val="20"/>
                <w:color w:val="auto"/>
              </w:rPr>
            </w:pPr>
            <w:r>
              <w:rPr>
                <w:rFonts w:ascii="Arial" w:cs="Arial" w:eastAsia="Arial" w:hAnsi="Arial"/>
                <w:sz w:val="18"/>
                <w:szCs w:val="18"/>
                <w:b w:val="1"/>
                <w:bCs w:val="1"/>
                <w:color w:val="auto"/>
              </w:rPr>
              <w:t>761</w:t>
            </w:r>
          </w:p>
        </w:tc>
        <w:tc>
          <w:tcPr>
            <w:tcW w:w="900" w:type="dxa"/>
            <w:vAlign w:val="bottom"/>
            <w:gridSpan w:val="2"/>
            <w:shd w:val="clear" w:color="auto" w:fill="CFF0FC"/>
          </w:tcPr>
          <w:p>
            <w:pPr>
              <w:jc w:val="right"/>
              <w:ind w:right="608"/>
              <w:spacing w:after="0" w:line="196" w:lineRule="exact"/>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675</w:t>
            </w:r>
          </w:p>
        </w:tc>
        <w:tc>
          <w:tcPr>
            <w:tcW w:w="22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3</w:t>
            </w:r>
          </w:p>
        </w:tc>
        <w:tc>
          <w:tcPr>
            <w:tcW w:w="1040" w:type="dxa"/>
            <w:vAlign w:val="bottom"/>
            <w:gridSpan w:val="2"/>
            <w:shd w:val="clear" w:color="auto" w:fill="CFF0FC"/>
          </w:tcPr>
          <w:p>
            <w:pPr>
              <w:jc w:val="right"/>
              <w:ind w:right="748"/>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w:t>
            </w:r>
          </w:p>
        </w:tc>
        <w:tc>
          <w:tcPr>
            <w:tcW w:w="2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b w:val="1"/>
                <w:bCs w:val="1"/>
                <w:color w:val="auto"/>
              </w:rPr>
              <w:t>764</w:t>
            </w:r>
          </w:p>
        </w:tc>
        <w:tc>
          <w:tcPr>
            <w:tcW w:w="360" w:type="dxa"/>
            <w:vAlign w:val="bottom"/>
            <w:gridSpan w:val="2"/>
            <w:shd w:val="clear" w:color="auto" w:fill="CFF0FC"/>
          </w:tcPr>
          <w:p>
            <w:pPr>
              <w:jc w:val="right"/>
              <w:ind w:right="68"/>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680</w:t>
            </w:r>
          </w:p>
        </w:tc>
      </w:tr>
      <w:tr>
        <w:trPr>
          <w:trHeight w:val="20"/>
        </w:trPr>
        <w:tc>
          <w:tcPr>
            <w:tcW w:w="28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-24765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-7620</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Company’s valuation techniques used to calculate the fair value of cash equivalents, marketable securities, assets held in the rabbi trust and the deferred compensation obligation represent a market approach in active markets for identical assets that qualify as Level 1 in the fair value hierarchy. A description of the Company’s Level 1 assets is as follows:</w:t>
      </w:r>
    </w:p>
    <w:p>
      <w:pPr>
        <w:spacing w:after="0" w:line="61" w:lineRule="exact"/>
        <w:rPr>
          <w:sz w:val="20"/>
          <w:szCs w:val="20"/>
          <w:color w:val="auto"/>
        </w:rPr>
      </w:pPr>
    </w:p>
    <w:p>
      <w:pPr>
        <w:ind w:left="1260" w:hanging="384"/>
        <w:spacing w:after="0"/>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equivalents consist primarily of short-term U.S. government backed securities and time deposits.</w:t>
      </w:r>
    </w:p>
    <w:p>
      <w:pPr>
        <w:spacing w:after="0" w:line="116" w:lineRule="exact"/>
        <w:rPr>
          <w:rFonts w:ascii="Times New Roman" w:cs="Times New Roman" w:eastAsia="Times New Roman" w:hAnsi="Times New Roman"/>
          <w:sz w:val="18"/>
          <w:szCs w:val="18"/>
          <w:color w:val="auto"/>
        </w:rPr>
      </w:pPr>
    </w:p>
    <w:p>
      <w:pPr>
        <w:ind w:left="1260" w:right="860" w:hanging="384"/>
        <w:spacing w:after="0" w:line="270" w:lineRule="auto"/>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Marketable securities consist of publicly traded stock of Jing-Jin Electric Technologies Co. Ltd., which has a readily determinable fair value.</w:t>
      </w:r>
    </w:p>
    <w:p>
      <w:pPr>
        <w:spacing w:after="0" w:line="46" w:lineRule="exact"/>
        <w:rPr>
          <w:rFonts w:ascii="Times New Roman" w:cs="Times New Roman" w:eastAsia="Times New Roman" w:hAnsi="Times New Roman"/>
          <w:sz w:val="18"/>
          <w:szCs w:val="18"/>
          <w:color w:val="auto"/>
        </w:rPr>
      </w:pPr>
    </w:p>
    <w:p>
      <w:pPr>
        <w:ind w:left="1260" w:hanging="384"/>
        <w:spacing w:after="0"/>
        <w:tabs>
          <w:tab w:leader="none" w:pos="12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Rabbi trust assets consist principally of publicly available mutual funds and target date retirement funds.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60" w:hanging="384"/>
        <w:spacing w:after="0"/>
        <w:tabs>
          <w:tab w:leader="none" w:pos="12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Deferred compensation obligation is directly related to the fair value of assets held in the rabbi trust.</w:t>
      </w:r>
    </w:p>
    <w:p>
      <w:pPr>
        <w:spacing w:after="0" w:line="116"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Company's debt securities are classified as available-for-sale and qualify as Level 2 in the fair value hierarchy. The Company’s valuation techniques used to calculate the fair value of derivative instruments represent a market approach with observable inputs that qualify as Level 2 in the fair value hierarchy. The Company uses valuations from the issuing financial institutions for the fair value measurement of interest rate swaps. The floating-to-fixed interest rate swaps are based on the Secured Overnight Financing Rate ("SOFR"), which is observable at commonly quoted intervals. The fair values are included in Other current assets in the Condensed Consolidated Balance Sheets. See "Note H. Derivatives” for more information regarding the Company's interest rate swaps.</w:t>
      </w:r>
    </w:p>
    <w:p>
      <w:pPr>
        <w:spacing w:after="0" w:line="71"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The Company holds equity securities in unconsolidated entities without a readily determinable fair value. Each of these investments represents a less than 20% ownership interest in the respective privately-held entity, and the Company does not maintain significant influence over or control of any of the entities. The Company has elected the measurement alternative and measures the investments at cost, less any impairment, plus or minus adjustments related to observable price changes in orderly transactions for identical or similar investments of the same issuer. These equity investments are recorded in Other non-current assets in the Condensed Consolidated Balance Sheets, with changes in the value recorded in Other income (expense), net in the Condensed Consolidated Statements of Comprehensive Income. As of both September 30, 2025 and December 31, 2024, the Company held equity securities without a readily determinable fair value of $7 million. During the three and nine months ended September 30, 2025, no impairment charges or adjustments resulting from observable price changes in orderly transactions for identical or similar investments of the same issuer occurred for any of these investments.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DEBT</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and maturities are as follows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2024</w:t>
            </w:r>
          </w:p>
        </w:tc>
      </w:tr>
      <w:tr>
        <w:trPr>
          <w:trHeight w:val="196"/>
        </w:trPr>
        <w:tc>
          <w:tcPr>
            <w:tcW w:w="6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Long-term debt:</w:t>
            </w: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Senior Notes, fixed 4.75%, due 2027</w:t>
            </w:r>
          </w:p>
        </w:tc>
        <w:tc>
          <w:tcPr>
            <w:tcW w:w="16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400</w:t>
            </w:r>
          </w:p>
        </w:tc>
        <w:tc>
          <w:tcPr>
            <w:tcW w:w="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400</w:t>
            </w: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Senior Notes, fixed 5.875%, due 2029</w:t>
            </w: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500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500</w:t>
            </w: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Senior Notes, fixed 3.75%, due 2031</w:t>
            </w: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63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Senior Secured Credit Facility Term Loan, variable, due 2031</w:t>
            </w:r>
          </w:p>
        </w:tc>
        <w:tc>
          <w:tcPr>
            <w:tcW w:w="14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510</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514</w:t>
            </w:r>
          </w:p>
        </w:tc>
      </w:tr>
      <w:tr>
        <w:trPr>
          <w:trHeight w:val="196"/>
        </w:trPr>
        <w:tc>
          <w:tcPr>
            <w:tcW w:w="6300" w:type="dxa"/>
            <w:vAlign w:val="bottom"/>
          </w:tcPr>
          <w:p>
            <w:pPr>
              <w:ind w:left="200"/>
              <w:spacing w:after="0" w:line="196" w:lineRule="exact"/>
              <w:rPr>
                <w:sz w:val="20"/>
                <w:szCs w:val="20"/>
                <w:color w:val="auto"/>
              </w:rPr>
            </w:pPr>
            <w:r>
              <w:rPr>
                <w:rFonts w:ascii="Arial" w:cs="Arial" w:eastAsia="Arial" w:hAnsi="Arial"/>
                <w:sz w:val="18"/>
                <w:szCs w:val="18"/>
                <w:color w:val="auto"/>
              </w:rPr>
              <w:t>Total long-term debt</w:t>
            </w:r>
          </w:p>
        </w:tc>
        <w:tc>
          <w:tcPr>
            <w:tcW w:w="1600" w:type="dxa"/>
            <w:vAlign w:val="bottom"/>
            <w:gridSpan w:val="2"/>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54"/>
              <w:spacing w:after="0" w:line="196" w:lineRule="exact"/>
              <w:rPr>
                <w:sz w:val="20"/>
                <w:szCs w:val="20"/>
                <w:color w:val="auto"/>
              </w:rPr>
            </w:pPr>
            <w:r>
              <w:rPr>
                <w:rFonts w:ascii="Arial" w:cs="Arial" w:eastAsia="Arial" w:hAnsi="Arial"/>
                <w:sz w:val="18"/>
                <w:szCs w:val="18"/>
                <w:b w:val="1"/>
                <w:bCs w:val="1"/>
                <w:color w:val="auto"/>
              </w:rPr>
              <w:t>2,410</w:t>
            </w:r>
          </w:p>
        </w:tc>
        <w:tc>
          <w:tcPr>
            <w:tcW w:w="3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line="196" w:lineRule="exact"/>
              <w:rPr>
                <w:sz w:val="20"/>
                <w:szCs w:val="20"/>
                <w:color w:val="auto"/>
              </w:rPr>
            </w:pPr>
            <w:r>
              <w:rPr>
                <w:rFonts w:ascii="Arial" w:cs="Arial" w:eastAsia="Arial" w:hAnsi="Arial"/>
                <w:sz w:val="18"/>
                <w:szCs w:val="18"/>
                <w:color w:val="auto"/>
              </w:rPr>
              <w:t>2,414</w:t>
            </w:r>
          </w:p>
        </w:tc>
      </w:tr>
      <w:tr>
        <w:trPr>
          <w:trHeight w:val="203"/>
        </w:trPr>
        <w:tc>
          <w:tcPr>
            <w:tcW w:w="6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current maturities of long-term debt</w:t>
            </w: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5</w:t>
            </w:r>
          </w:p>
        </w:tc>
      </w:tr>
      <w:tr>
        <w:trPr>
          <w:trHeight w:val="203"/>
        </w:trPr>
        <w:tc>
          <w:tcPr>
            <w:tcW w:w="6300" w:type="dxa"/>
            <w:vAlign w:val="bottom"/>
          </w:tcPr>
          <w:p>
            <w:pPr>
              <w:ind w:left="400"/>
              <w:spacing w:after="0" w:line="202" w:lineRule="exact"/>
              <w:rPr>
                <w:sz w:val="20"/>
                <w:szCs w:val="20"/>
                <w:color w:val="auto"/>
              </w:rPr>
            </w:pPr>
            <w:r>
              <w:rPr>
                <w:rFonts w:ascii="Arial" w:cs="Arial" w:eastAsia="Arial" w:hAnsi="Arial"/>
                <w:sz w:val="18"/>
                <w:szCs w:val="18"/>
                <w:color w:val="auto"/>
              </w:rPr>
              <w:t>deferred financing costs, net</w:t>
            </w:r>
          </w:p>
        </w:tc>
        <w:tc>
          <w:tcPr>
            <w:tcW w:w="1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12</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14</w:t>
            </w:r>
          </w:p>
        </w:tc>
      </w:tr>
      <w:tr>
        <w:trPr>
          <w:trHeight w:val="216"/>
        </w:trPr>
        <w:tc>
          <w:tcPr>
            <w:tcW w:w="63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long-term debt, net</w:t>
            </w:r>
          </w:p>
        </w:tc>
        <w:tc>
          <w:tcPr>
            <w:tcW w:w="160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2,393</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2,395</w:t>
            </w:r>
          </w:p>
        </w:tc>
      </w:tr>
      <w:tr>
        <w:trPr>
          <w:trHeight w:val="20"/>
        </w:trPr>
        <w:tc>
          <w:tcPr>
            <w:tcW w:w="63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-556895</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117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4"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As of September 30, 2025, the Company had $2,410 million of indebtedness associated with Allison Transmission, Inc.’s (“ATI”), the Company’s wholly-owned subsidiary, 4.75% Senior Notes due October 2027 (“4.75% Senior Notes”), ATI’s 5.875% Senior Notes due June 2029 (“5.875% Senior Notes”), ATI’s 3.75% Senior Notes due January 2031 (“3.75% Senior Notes” and, together with the 4.75% Senior Notes and 5.875% Senior Notes, the “Senior Notes”) and the Second Amended and Restated Credit Agreement dated as of March 29, 2019, as amended (the “Credit Agreement”), governing ATI’s term loan facility in the amount of $510 million due March 2031 (“Term Loan”) and ATI’s revolving credit facility with commitments in the amount of $750 million due March 2029 (“Revolving Credit Facility” and, together with the Term Loan, the “Senior Secured Credit Facility”).</w:t>
      </w:r>
    </w:p>
    <w:p>
      <w:pPr>
        <w:spacing w:after="0" w:line="77" w:lineRule="exact"/>
        <w:rPr>
          <w:sz w:val="20"/>
          <w:szCs w:val="20"/>
          <w:color w:val="auto"/>
        </w:rPr>
      </w:pPr>
    </w:p>
    <w:p>
      <w:pPr>
        <w:jc w:val="both"/>
        <w:ind w:right="160" w:firstLine="494"/>
        <w:spacing w:after="0" w:line="253" w:lineRule="auto"/>
        <w:rPr>
          <w:sz w:val="20"/>
          <w:szCs w:val="20"/>
          <w:color w:val="auto"/>
        </w:rPr>
      </w:pPr>
      <w:r>
        <w:rPr>
          <w:rFonts w:ascii="Arial" w:cs="Arial" w:eastAsia="Arial" w:hAnsi="Arial"/>
          <w:sz w:val="18"/>
          <w:szCs w:val="18"/>
          <w:color w:val="auto"/>
        </w:rPr>
        <w:t>The fair value of the Company’s long-term debt obligations as of September 30, 2025 was $2,332 million. The fair value is based on quoted Level 2 market prices of the Company’s debt as of September 30, 2025. The difference between the fair value and carrying value of the long-term debt is driven primarily by trends in the financial markets.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02"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The borrowings under the Senior Secured Credit Facility are collateralized by a lien on substantially all assets of the Company, ATI and certain existing and future U.S. subsidiary guarantors, as provided in the Credit Agreement. Interest on the Term Loan, as of September 30, 2025, is either (a) 1.75% over a SOFR rate on deposits in U.S. dollars for one-, three- or six-month periods (or a twelve-month period if, at the time of the borrowing, consented to by all relevant lenders and the administrative agent) ("Term SOFR"), or (b) 0.75% over the greater of the prime lending rate as quoted by the administrative agent, the Term SOFR rate for an interest period of one month plus 1.00% and the federal funds effective rate published by the Federal Reserve Bank of New York plus 0.50%, subject to a 1.00% floor (the "Base Rate"). As of September 30, 2025, the Company elected to pay the lowest all-in rate of Term SOFR plus the applicable margin, or 5.90%, on the Term Loan. The Credit Agreement requires minimum quarterly principal payments on the Term Loan, as well as prepayments from certain net cash proceeds of non-ordinary course asset sales and casualty and condemnation events, the incurrence of certain debt and from a percentage of excess cash flow, if applicable. The minimum required quarterly principal payment on the Term Loan through its maturity date of March 2031 is $1 million. As of September 30, 2025, there had been no payments required for certain net cash proceeds of non-ordinary course asset sales and casualty and condemnation events. The remaining principal balance is due upon maturity.</w:t>
      </w:r>
    </w:p>
    <w:p>
      <w:pPr>
        <w:spacing w:after="0" w:line="75" w:lineRule="exact"/>
        <w:rPr>
          <w:sz w:val="20"/>
          <w:szCs w:val="20"/>
          <w:color w:val="auto"/>
        </w:rPr>
      </w:pPr>
    </w:p>
    <w:p>
      <w:pPr>
        <w:ind w:right="200" w:firstLine="494"/>
        <w:spacing w:after="0" w:line="244" w:lineRule="auto"/>
        <w:rPr>
          <w:sz w:val="20"/>
          <w:szCs w:val="20"/>
          <w:color w:val="auto"/>
        </w:rPr>
      </w:pPr>
      <w:r>
        <w:rPr>
          <w:rFonts w:ascii="Arial" w:cs="Arial" w:eastAsia="Arial" w:hAnsi="Arial"/>
          <w:sz w:val="18"/>
          <w:szCs w:val="18"/>
          <w:color w:val="auto"/>
        </w:rPr>
        <w:t>The Senior Secured Credit Facility also provides a Revolving Credit Facility, net of an allowance for up to $75 million in outstanding letters of credit commitments. During the nine months ended September 30, 2025, the Company made no withdrawals on the Revolving Credit Facility. As of September 30, 2025, the Company had $745 million available under the Revolving Credit Facility, net of $5 million in letters of credit. Borrowings under the Revolving Credit Facility bear interest at a variable base rate plus an applicable margin based on the Company’s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first lien net leverage ratio. When the Company’s first lien net leverage ratio is above 4.00x, interest on the Revolving Credit Facility is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0.75% over the Base Rate or (b) 1.75% over the Term SOFR rate; when the Company’s first lien net leverage ratio is equal to or less than</w:t>
      </w:r>
    </w:p>
    <w:p>
      <w:pPr>
        <w:ind w:right="160"/>
        <w:spacing w:after="0" w:line="248" w:lineRule="auto"/>
        <w:rPr>
          <w:sz w:val="20"/>
          <w:szCs w:val="20"/>
          <w:color w:val="auto"/>
        </w:rPr>
      </w:pPr>
      <w:r>
        <w:rPr>
          <w:rFonts w:ascii="Arial" w:cs="Arial" w:eastAsia="Arial" w:hAnsi="Arial"/>
          <w:sz w:val="17"/>
          <w:szCs w:val="17"/>
          <w:color w:val="auto"/>
        </w:rPr>
        <w:t>4.00x and above 3.50x, interest on the Revolving Credit Facility is (i) 0.50% over the Base Rate or (ii) 1.50% over the Term SOFR rate; and when the Company’s first lien net leverage ratio is equal to or below 3.50x, interest on the Revolving Credit Facility is (y) 0.25% over the Base Rate or (z) 1.25% over the Term SOFR rate. As of September 30, 2025, the applicable margin for the Revolving Credit Facility was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1.25%. In addition, there is an annual commitment fee, based on the Company’s first lien net leverage ratio, on the average unused revolving credit borrowings available under the Revolving Credit Facility. As of September 30, 2025, the commitment fee was 0.25%. Borrowings under the Revolving Credit Facility are payable at the option of the Company throughout the term of the Revolving Credit Facility with the balance due in March 2029.</w:t>
      </w:r>
    </w:p>
    <w:p>
      <w:pPr>
        <w:spacing w:after="0" w:line="72" w:lineRule="exact"/>
        <w:rPr>
          <w:sz w:val="20"/>
          <w:szCs w:val="20"/>
          <w:color w:val="auto"/>
        </w:rPr>
      </w:pPr>
    </w:p>
    <w:p>
      <w:pPr>
        <w:ind w:right="80" w:firstLine="494"/>
        <w:spacing w:after="0" w:line="242" w:lineRule="auto"/>
        <w:rPr>
          <w:sz w:val="20"/>
          <w:szCs w:val="20"/>
          <w:color w:val="auto"/>
        </w:rPr>
      </w:pPr>
      <w:r>
        <w:rPr>
          <w:rFonts w:ascii="Arial" w:cs="Arial" w:eastAsia="Arial" w:hAnsi="Arial"/>
          <w:sz w:val="18"/>
          <w:szCs w:val="18"/>
          <w:color w:val="auto"/>
        </w:rPr>
        <w:t>The Senior Secured Credit Facility requires the Company to maintain a specified maximum first lien net leverage ratio of 5.50x when revolving loan commitments remain outstanding on the Revolving Credit Facility at the end of a fiscal quarter. As of September 30, 2025, the Company had no amounts outstanding under the Revolving Credit Facility; however, the Company would have been in compliance with the maximum first lien net leverage ratio, achieving a (0.35x) ratio. Additionally, within the terms of the Senior Secured Credit Facility, a first lien net leverage ratio at or below 4.00x results in the elimination of excess cash flow payments on the Senior Secured Credit Facility for the applicable year.</w:t>
      </w:r>
    </w:p>
    <w:p>
      <w:pPr>
        <w:spacing w:after="0" w:line="71"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2025, the Company was in compliance with all covenants under the Credit Agreement.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02" w:lineRule="exact"/>
        <w:rPr>
          <w:sz w:val="20"/>
          <w:szCs w:val="20"/>
          <w:color w:val="auto"/>
        </w:rPr>
      </w:pPr>
    </w:p>
    <w:p>
      <w:pPr>
        <w:ind w:right="60" w:firstLine="494"/>
        <w:spacing w:after="0" w:line="239" w:lineRule="auto"/>
        <w:rPr>
          <w:sz w:val="20"/>
          <w:szCs w:val="20"/>
          <w:color w:val="auto"/>
        </w:rPr>
      </w:pPr>
      <w:r>
        <w:rPr>
          <w:rFonts w:ascii="Arial" w:cs="Arial" w:eastAsia="Arial" w:hAnsi="Arial"/>
          <w:sz w:val="18"/>
          <w:szCs w:val="18"/>
          <w:color w:val="auto"/>
        </w:rPr>
        <w:t>Each series of the Senior Notes is unsecured and is guaranteed by each of ATI’s domestic subsidiaries that is a borrower under or guarantees the Senior Secured Credit Facility and is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ATI’s domestic subsidiaries currently guarantee any series of the Senior Notes. The indentures governing the Senior Notes contain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2025, the Company was in compliance with all covenants under the indentures governing the Senior Notes.</w:t>
      </w:r>
    </w:p>
    <w:p>
      <w:pPr>
        <w:spacing w:after="0" w:line="75"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ATI may from time to time seek to retire its Senior Notes through cash purchases, exchanges for equity securities, open market purchases, privately negotiated transactions, contractual redemptions or otherwise. Such repurchases or exchanges, if any, will depend on prevailing market conditions, liquidity requirements, contractual restrictions and other factors and will be in accordance with the respective indenture governing such notes. The amounts involved may be material. Some or all of the 4.75% Senior Notes and the 5.875% Senior Notes may be redeemed at any time at redemption prices specified in the indentures governing such notes. Prior to January 30, 2026, ATI may redeem some or all of the 3.75% Senior Notes by paying a price equal to 100.00% of the principal amount being redeemed, plus an “applicable premium”. At any time on or after January 30, 2026, ATI may redeem some or all of the 3.75% Senior Notes at redemption prices specified in the indenture governing such notes.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DERIVATIVES</w:t>
      </w:r>
    </w:p>
    <w:p>
      <w:pPr>
        <w:spacing w:after="0" w:line="104" w:lineRule="exact"/>
        <w:rPr>
          <w:sz w:val="20"/>
          <w:szCs w:val="20"/>
          <w:color w:val="auto"/>
        </w:rPr>
      </w:pPr>
    </w:p>
    <w:p>
      <w:pPr>
        <w:ind w:right="180" w:firstLine="494"/>
        <w:spacing w:after="0" w:line="247" w:lineRule="auto"/>
        <w:rPr>
          <w:sz w:val="20"/>
          <w:szCs w:val="20"/>
          <w:color w:val="auto"/>
        </w:rPr>
      </w:pPr>
      <w:r>
        <w:rPr>
          <w:rFonts w:ascii="Arial" w:cs="Arial" w:eastAsia="Arial" w:hAnsi="Arial"/>
          <w:sz w:val="18"/>
          <w:szCs w:val="18"/>
          <w:color w:val="auto"/>
        </w:rPr>
        <w:t>The Company is subject to interest rate risk related to the Senior Secured Credit Facility and entered into interest rate swaps to manage a portion of this exposure. The interest rate swaps were designated as cash flow hedges that qualified for hedge accounting under the hypothetical derivative method and effectively hedged $500 million of the variable rate debt associated with the Term Loan at the Term SOFR weighted average fixed rate of 2.81% through September 2025.</w:t>
      </w:r>
    </w:p>
    <w:p>
      <w:pPr>
        <w:spacing w:after="0" w:line="66" w:lineRule="exact"/>
        <w:rPr>
          <w:sz w:val="20"/>
          <w:szCs w:val="20"/>
          <w:color w:val="auto"/>
        </w:rPr>
      </w:pPr>
    </w:p>
    <w:p>
      <w:pPr>
        <w:ind w:right="20" w:firstLine="494"/>
        <w:spacing w:after="0" w:line="253" w:lineRule="auto"/>
        <w:rPr>
          <w:sz w:val="20"/>
          <w:szCs w:val="20"/>
          <w:color w:val="auto"/>
        </w:rPr>
      </w:pPr>
      <w:r>
        <w:rPr>
          <w:rFonts w:ascii="Arial" w:cs="Arial" w:eastAsia="Arial" w:hAnsi="Arial"/>
          <w:sz w:val="18"/>
          <w:szCs w:val="18"/>
          <w:color w:val="auto"/>
        </w:rPr>
        <w:t>Fair value adjustments associated with the interest rate swaps were recorded as a component of Accumulated other comprehensive loss, net of tax (“AOCL”) in the Condensed Consolidated Balance Sheets. Balances in AOCL were reclassified to earnings when transactions related to the underlying risk were settled.</w:t>
      </w:r>
    </w:p>
    <w:p>
      <w:pPr>
        <w:spacing w:after="0" w:line="61"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In September 2025, all of the Company's interest rate swap contracts reached maturity and were terminated. See "Note F. Fair Value of Financial Instruments” for information regarding the fair value of the Company’s interest rate swaps. The following tabular disclosures further describe the Company’s interest rate swap derivatives qualifying and designated for hedge accounting and their impact on the financial condition of the Company (dollars in millions):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Fair Value</w:t>
            </w:r>
          </w:p>
        </w:tc>
        <w:tc>
          <w:tcPr>
            <w:tcW w:w="1480" w:type="dxa"/>
            <w:vAlign w:val="bottom"/>
            <w:tcBorders>
              <w:bottom w:val="single" w:sz="8" w:color="auto"/>
            </w:tcBorders>
          </w:tcPr>
          <w:p>
            <w:pPr>
              <w:spacing w:after="0"/>
              <w:rPr>
                <w:sz w:val="14"/>
                <w:szCs w:val="14"/>
                <w:color w:val="auto"/>
              </w:rPr>
            </w:pPr>
          </w:p>
        </w:tc>
      </w:tr>
      <w:tr>
        <w:trPr>
          <w:trHeight w:val="146"/>
        </w:trPr>
        <w:tc>
          <w:tcPr>
            <w:tcW w:w="2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Pr>
          <w:p>
            <w:pPr>
              <w:jc w:val="center"/>
              <w:ind w:right="241"/>
              <w:spacing w:after="0" w:line="147"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tcPr>
          <w:p>
            <w:pPr>
              <w:jc w:val="right"/>
              <w:ind w:right="379"/>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9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0" w:type="dxa"/>
            <w:vAlign w:val="bottom"/>
            <w:gridSpan w:val="2"/>
          </w:tcPr>
          <w:p>
            <w:pPr>
              <w:ind w:left="90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520" w:type="dxa"/>
            <w:vAlign w:val="bottom"/>
          </w:tcPr>
          <w:p>
            <w:pPr>
              <w:jc w:val="right"/>
              <w:ind w:right="68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tcPr>
          <w:p>
            <w:pPr>
              <w:jc w:val="right"/>
              <w:ind w:right="699"/>
              <w:spacing w:after="0"/>
              <w:rPr>
                <w:sz w:val="20"/>
                <w:szCs w:val="20"/>
                <w:color w:val="auto"/>
              </w:rPr>
            </w:pPr>
            <w:r>
              <w:rPr>
                <w:rFonts w:ascii="Arial" w:cs="Arial" w:eastAsia="Arial" w:hAnsi="Arial"/>
                <w:sz w:val="14"/>
                <w:szCs w:val="14"/>
                <w:b w:val="1"/>
                <w:bCs w:val="1"/>
                <w:color w:val="auto"/>
              </w:rPr>
              <w:t>2024</w:t>
            </w:r>
          </w:p>
        </w:tc>
      </w:tr>
      <w:tr>
        <w:trPr>
          <w:trHeight w:val="196"/>
        </w:trPr>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Derivative Assets:</w:t>
            </w:r>
          </w:p>
        </w:tc>
        <w:tc>
          <w:tcPr>
            <w:tcW w:w="1040" w:type="dxa"/>
            <w:vAlign w:val="bottom"/>
            <w:shd w:val="clear" w:color="auto" w:fill="CFF0FC"/>
          </w:tcPr>
          <w:p>
            <w:pPr>
              <w:spacing w:after="0"/>
              <w:rPr>
                <w:sz w:val="17"/>
                <w:szCs w:val="17"/>
                <w:color w:val="auto"/>
              </w:rPr>
            </w:pPr>
          </w:p>
        </w:tc>
        <w:tc>
          <w:tcPr>
            <w:tcW w:w="34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r>
      <w:tr>
        <w:trPr>
          <w:trHeight w:val="203"/>
        </w:trPr>
        <w:tc>
          <w:tcPr>
            <w:tcW w:w="2920" w:type="dxa"/>
            <w:vAlign w:val="bottom"/>
          </w:tcPr>
          <w:p>
            <w:pPr>
              <w:ind w:left="100"/>
              <w:spacing w:after="0" w:line="202" w:lineRule="exact"/>
              <w:rPr>
                <w:sz w:val="20"/>
                <w:szCs w:val="20"/>
                <w:color w:val="auto"/>
              </w:rPr>
            </w:pPr>
            <w:r>
              <w:rPr>
                <w:rFonts w:ascii="Arial" w:cs="Arial" w:eastAsia="Arial" w:hAnsi="Arial"/>
                <w:sz w:val="18"/>
                <w:szCs w:val="18"/>
                <w:color w:val="auto"/>
              </w:rPr>
              <w:t>Interest rate swaps</w:t>
            </w:r>
          </w:p>
        </w:tc>
        <w:tc>
          <w:tcPr>
            <w:tcW w:w="4640" w:type="dxa"/>
            <w:vAlign w:val="bottom"/>
            <w:gridSpan w:val="3"/>
          </w:tcPr>
          <w:p>
            <w:pPr>
              <w:ind w:left="104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79"/>
              </w:rPr>
              <w:t>$</w:t>
            </w:r>
          </w:p>
        </w:tc>
        <w:tc>
          <w:tcPr>
            <w:tcW w:w="1520" w:type="dxa"/>
            <w:vAlign w:val="bottom"/>
          </w:tcPr>
          <w:p>
            <w:pPr>
              <w:ind w:left="1220"/>
              <w:spacing w:after="0" w:line="202" w:lineRule="exact"/>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9"/>
              <w:spacing w:after="0" w:line="202" w:lineRule="exact"/>
              <w:rPr>
                <w:sz w:val="20"/>
                <w:szCs w:val="20"/>
                <w:color w:val="auto"/>
              </w:rPr>
            </w:pPr>
            <w:r>
              <w:rPr>
                <w:rFonts w:ascii="Arial" w:cs="Arial" w:eastAsia="Arial" w:hAnsi="Arial"/>
                <w:sz w:val="18"/>
                <w:szCs w:val="18"/>
                <w:color w:val="auto"/>
              </w:rPr>
              <w:t>5</w:t>
            </w:r>
          </w:p>
        </w:tc>
      </w:tr>
      <w:tr>
        <w:trPr>
          <w:trHeight w:val="236"/>
        </w:trPr>
        <w:tc>
          <w:tcPr>
            <w:tcW w:w="2920" w:type="dxa"/>
            <w:vAlign w:val="bottom"/>
            <w:tcBorders>
              <w:top w:val="single" w:sz="8" w:color="CFF0FC"/>
              <w:bottom w:val="single" w:sz="8" w:color="CFF0FC"/>
            </w:tcBorders>
            <w:shd w:val="clear" w:color="auto" w:fill="CFF0FC"/>
          </w:tcPr>
          <w:p>
            <w:pPr>
              <w:ind w:left="100"/>
              <w:spacing w:after="0" w:line="196" w:lineRule="exact"/>
              <w:rPr>
                <w:sz w:val="20"/>
                <w:szCs w:val="20"/>
                <w:color w:val="auto"/>
              </w:rPr>
            </w:pPr>
            <w:r>
              <w:rPr>
                <w:rFonts w:ascii="Arial" w:cs="Arial" w:eastAsia="Arial" w:hAnsi="Arial"/>
                <w:sz w:val="18"/>
                <w:szCs w:val="18"/>
                <w:color w:val="auto"/>
              </w:rPr>
              <w:t>Total derivative assets</w:t>
            </w:r>
          </w:p>
        </w:tc>
        <w:tc>
          <w:tcPr>
            <w:tcW w:w="1040" w:type="dxa"/>
            <w:vAlign w:val="bottom"/>
            <w:tcBorders>
              <w:top w:val="single" w:sz="8" w:color="CFF0FC"/>
              <w:bottom w:val="single" w:sz="8" w:color="CFF0FC"/>
            </w:tcBorders>
            <w:shd w:val="clear" w:color="auto" w:fill="CFF0FC"/>
          </w:tcPr>
          <w:p>
            <w:pPr>
              <w:spacing w:after="0"/>
              <w:rPr>
                <w:sz w:val="20"/>
                <w:szCs w:val="20"/>
                <w:color w:val="auto"/>
              </w:rPr>
            </w:pPr>
          </w:p>
        </w:tc>
        <w:tc>
          <w:tcPr>
            <w:tcW w:w="3420" w:type="dxa"/>
            <w:vAlign w:val="bottom"/>
            <w:tcBorders>
              <w:top w:val="single" w:sz="8" w:color="CFF0FC"/>
              <w:bottom w:val="single" w:sz="8" w:color="CFF0FC"/>
            </w:tcBorders>
            <w:shd w:val="clear" w:color="auto" w:fill="CFF0FC"/>
          </w:tcPr>
          <w:p>
            <w:pPr>
              <w:spacing w:after="0"/>
              <w:rPr>
                <w:sz w:val="20"/>
                <w:szCs w:val="20"/>
                <w:color w:val="auto"/>
              </w:rPr>
            </w:pP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1520" w:type="dxa"/>
            <w:vAlign w:val="bottom"/>
            <w:tcBorders>
              <w:top w:val="single" w:sz="8" w:color="auto"/>
              <w:bottom w:val="single" w:sz="8" w:color="auto"/>
            </w:tcBorders>
            <w:shd w:val="clear" w:color="auto" w:fill="CFF0FC"/>
          </w:tcPr>
          <w:p>
            <w:pPr>
              <w:ind w:left="1220"/>
              <w:spacing w:after="0" w:line="196" w:lineRule="exact"/>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ind w:right="39"/>
              <w:spacing w:after="0" w:line="196" w:lineRule="exact"/>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-24765</wp:posOffset>
            </wp:positionV>
            <wp:extent cx="1200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200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-161925</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64" w:lineRule="exact"/>
        <w:rPr>
          <w:sz w:val="20"/>
          <w:szCs w:val="20"/>
          <w:color w:val="auto"/>
        </w:rPr>
      </w:pPr>
    </w:p>
    <w:p>
      <w:pPr>
        <w:jc w:val="both"/>
        <w:ind w:right="80" w:firstLine="494"/>
        <w:spacing w:after="0" w:line="253" w:lineRule="auto"/>
        <w:rPr>
          <w:sz w:val="20"/>
          <w:szCs w:val="20"/>
          <w:color w:val="auto"/>
        </w:rPr>
      </w:pPr>
      <w:r>
        <w:rPr>
          <w:rFonts w:ascii="Arial" w:cs="Arial" w:eastAsia="Arial" w:hAnsi="Arial"/>
          <w:sz w:val="18"/>
          <w:szCs w:val="18"/>
          <w:color w:val="auto"/>
        </w:rPr>
        <w:t>As of September 30, 2025, all derivative gains recorded in AOCL were reclassified to earnings. There were $5 million of net derivative gains recorded in AOCL as of December 31, 2024. See "Note O. Accumulated Other Comprehensive Loss” for information regarding activity recorded as a component of AOCL during the three and nine months ended September 30, 2025 and 2024.</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PRODUCT WARRANTY LIABILITIES</w:t>
      </w:r>
    </w:p>
    <w:p>
      <w:pPr>
        <w:spacing w:after="0" w:line="104" w:lineRule="exact"/>
        <w:rPr>
          <w:sz w:val="20"/>
          <w:szCs w:val="20"/>
          <w:color w:val="auto"/>
        </w:rPr>
      </w:pPr>
    </w:p>
    <w:p>
      <w:pPr>
        <w:ind w:right="380" w:firstLine="494"/>
        <w:spacing w:after="0" w:line="271" w:lineRule="auto"/>
        <w:rPr>
          <w:sz w:val="20"/>
          <w:szCs w:val="20"/>
          <w:color w:val="auto"/>
        </w:rPr>
      </w:pPr>
      <w:r>
        <w:rPr>
          <w:rFonts w:ascii="Arial" w:cs="Arial" w:eastAsia="Arial" w:hAnsi="Arial"/>
          <w:sz w:val="18"/>
          <w:szCs w:val="18"/>
          <w:color w:val="auto"/>
        </w:rPr>
        <w:t>As of September 30, 2025, current and non-current product warranty liabilities were $34 million and $47 million, respectively. As of September 30, 2024, current and non-current product warranty liabilities were $29 million and $32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12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Pr>
          <w:p>
            <w:pPr>
              <w:spacing w:after="0"/>
              <w:rPr>
                <w:sz w:val="14"/>
                <w:szCs w:val="14"/>
                <w:color w:val="auto"/>
              </w:rPr>
            </w:pPr>
          </w:p>
        </w:tc>
      </w:tr>
      <w:tr>
        <w:trPr>
          <w:trHeight w:val="162"/>
        </w:trPr>
        <w:tc>
          <w:tcPr>
            <w:tcW w:w="6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0" w:type="dxa"/>
            <w:vAlign w:val="bottom"/>
            <w:gridSpan w:val="3"/>
          </w:tcPr>
          <w:p>
            <w:pPr>
              <w:jc w:val="right"/>
              <w:ind w:right="31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Pr>
          <w:p>
            <w:pPr>
              <w:spacing w:after="0"/>
              <w:rPr>
                <w:sz w:val="14"/>
                <w:szCs w:val="14"/>
                <w:color w:val="auto"/>
              </w:rPr>
            </w:pPr>
          </w:p>
        </w:tc>
      </w:tr>
      <w:tr>
        <w:trPr>
          <w:trHeight w:val="171"/>
        </w:trPr>
        <w:tc>
          <w:tcPr>
            <w:tcW w:w="600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40" w:type="dxa"/>
            <w:vAlign w:val="bottom"/>
            <w:tcBorders>
              <w:bottom w:val="single" w:sz="8" w:color="auto"/>
            </w:tcBorders>
          </w:tcPr>
          <w:p>
            <w:pPr>
              <w:spacing w:after="0"/>
              <w:rPr>
                <w:sz w:val="14"/>
                <w:szCs w:val="14"/>
                <w:color w:val="auto"/>
              </w:rPr>
            </w:pPr>
          </w:p>
        </w:tc>
      </w:tr>
      <w:tr>
        <w:trPr>
          <w:trHeight w:val="196"/>
        </w:trPr>
        <w:tc>
          <w:tcPr>
            <w:tcW w:w="6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720" w:type="dxa"/>
            <w:vAlign w:val="bottom"/>
            <w:shd w:val="clear" w:color="auto" w:fill="CFF0FC"/>
          </w:tcPr>
          <w:p>
            <w:pPr>
              <w:jc w:val="right"/>
              <w:ind w:right="539"/>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79</w:t>
            </w:r>
          </w:p>
        </w:tc>
        <w:tc>
          <w:tcPr>
            <w:tcW w:w="880" w:type="dxa"/>
            <w:vAlign w:val="bottom"/>
            <w:gridSpan w:val="2"/>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59</w:t>
            </w:r>
          </w:p>
        </w:tc>
        <w:tc>
          <w:tcPr>
            <w:tcW w:w="860" w:type="dxa"/>
            <w:vAlign w:val="bottom"/>
            <w:gridSpan w:val="2"/>
            <w:shd w:val="clear" w:color="auto" w:fill="CFF0FC"/>
          </w:tcPr>
          <w:p>
            <w:pPr>
              <w:jc w:val="right"/>
              <w:ind w:right="542"/>
              <w:spacing w:after="0" w:line="196"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67</w:t>
            </w:r>
          </w:p>
        </w:tc>
        <w:tc>
          <w:tcPr>
            <w:tcW w:w="900" w:type="dxa"/>
            <w:vAlign w:val="bottom"/>
            <w:gridSpan w:val="2"/>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59</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Payments</w:t>
            </w:r>
          </w:p>
        </w:tc>
        <w:tc>
          <w:tcPr>
            <w:tcW w:w="72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6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Increase in liability (warranty issued during period)</w:t>
            </w: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53"/>
              <w:spacing w:after="0" w:line="202" w:lineRule="exact"/>
              <w:rPr>
                <w:sz w:val="20"/>
                <w:szCs w:val="20"/>
                <w:color w:val="auto"/>
              </w:rPr>
            </w:pPr>
            <w:r>
              <w:rPr>
                <w:rFonts w:ascii="Arial" w:cs="Arial" w:eastAsia="Arial" w:hAnsi="Arial"/>
                <w:sz w:val="18"/>
                <w:szCs w:val="18"/>
                <w:b w:val="1"/>
                <w:bCs w:val="1"/>
                <w:color w:val="auto"/>
              </w:rPr>
              <w:t>9</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26</w:t>
            </w: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w:t>
            </w: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Net adjustments to liability</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3"/>
              <w:spacing w:after="0" w:line="202" w:lineRule="exact"/>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r>
      <w:tr>
        <w:trPr>
          <w:trHeight w:val="216"/>
        </w:trPr>
        <w:tc>
          <w:tcPr>
            <w:tcW w:w="6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 balance</w:t>
            </w:r>
          </w:p>
        </w:tc>
        <w:tc>
          <w:tcPr>
            <w:tcW w:w="720" w:type="dxa"/>
            <w:vAlign w:val="bottom"/>
            <w:shd w:val="clear" w:color="auto" w:fill="CFF0FC"/>
          </w:tcPr>
          <w:p>
            <w:pPr>
              <w:jc w:val="right"/>
              <w:ind w:right="539"/>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ind w:right="53"/>
              <w:spacing w:after="0" w:line="196" w:lineRule="exact"/>
              <w:rPr>
                <w:sz w:val="20"/>
                <w:szCs w:val="20"/>
                <w:color w:val="auto"/>
              </w:rPr>
            </w:pPr>
            <w:r>
              <w:rPr>
                <w:rFonts w:ascii="Arial" w:cs="Arial" w:eastAsia="Arial" w:hAnsi="Arial"/>
                <w:sz w:val="18"/>
                <w:szCs w:val="18"/>
                <w:b w:val="1"/>
                <w:bCs w:val="1"/>
                <w:color w:val="auto"/>
              </w:rPr>
              <w:t>81</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79"/>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61</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42"/>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81</w:t>
            </w:r>
          </w:p>
        </w:tc>
        <w:tc>
          <w:tcPr>
            <w:tcW w:w="900" w:type="dxa"/>
            <w:vAlign w:val="bottom"/>
            <w:gridSpan w:val="2"/>
            <w:shd w:val="clear" w:color="auto" w:fill="CFF0FC"/>
          </w:tcPr>
          <w:p>
            <w:pPr>
              <w:jc w:val="right"/>
              <w:ind w:right="588"/>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61</w:t>
            </w:r>
          </w:p>
        </w:tc>
      </w:tr>
      <w:tr>
        <w:trPr>
          <w:trHeight w:val="20"/>
        </w:trPr>
        <w:tc>
          <w:tcPr>
            <w:tcW w:w="60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-25400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DEFERRED REVENUE</w:t>
      </w:r>
    </w:p>
    <w:p>
      <w:pPr>
        <w:spacing w:after="0" w:line="104" w:lineRule="exact"/>
        <w:rPr>
          <w:sz w:val="20"/>
          <w:szCs w:val="20"/>
          <w:color w:val="auto"/>
        </w:rPr>
      </w:pPr>
    </w:p>
    <w:p>
      <w:pPr>
        <w:jc w:val="both"/>
        <w:ind w:right="40" w:firstLine="494"/>
        <w:spacing w:after="0" w:line="271" w:lineRule="auto"/>
        <w:rPr>
          <w:sz w:val="20"/>
          <w:szCs w:val="20"/>
          <w:color w:val="auto"/>
        </w:rPr>
      </w:pPr>
      <w:r>
        <w:rPr>
          <w:rFonts w:ascii="Arial" w:cs="Arial" w:eastAsia="Arial" w:hAnsi="Arial"/>
          <w:sz w:val="18"/>
          <w:szCs w:val="18"/>
          <w:color w:val="auto"/>
        </w:rPr>
        <w:t>As of September 30, 2025, current and non-current deferred revenue were $35 million and $101 million, respectively. As of September 30, 2024, current and non-current deferred revenue were $45 million and $93 million, respectively.</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Deferred revenue activity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62"/>
        </w:trPr>
        <w:tc>
          <w:tcPr>
            <w:tcW w:w="4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Pr>
          <w:p>
            <w:pPr>
              <w:spacing w:after="0"/>
              <w:rPr>
                <w:sz w:val="14"/>
                <w:szCs w:val="14"/>
                <w:color w:val="auto"/>
              </w:rPr>
            </w:pPr>
          </w:p>
        </w:tc>
      </w:tr>
      <w:tr>
        <w:trPr>
          <w:trHeight w:val="171"/>
        </w:trPr>
        <w:tc>
          <w:tcPr>
            <w:tcW w:w="44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w w:val="96"/>
              </w:rPr>
              <w:t>2024</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196"/>
        </w:trPr>
        <w:tc>
          <w:tcPr>
            <w:tcW w:w="4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Beginning balance</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720" w:type="dxa"/>
            <w:vAlign w:val="bottom"/>
            <w:gridSpan w:val="2"/>
            <w:shd w:val="clear" w:color="auto" w:fill="CFF0FC"/>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136</w:t>
            </w:r>
          </w:p>
        </w:tc>
        <w:tc>
          <w:tcPr>
            <w:tcW w:w="50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FF0FC"/>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700" w:type="dxa"/>
            <w:vAlign w:val="bottom"/>
            <w:gridSpan w:val="2"/>
            <w:shd w:val="clear" w:color="auto" w:fill="CFF0FC"/>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130</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Increases</w:t>
            </w:r>
          </w:p>
        </w:tc>
        <w:tc>
          <w:tcPr>
            <w:tcW w:w="340" w:type="dxa"/>
            <w:vAlign w:val="bottom"/>
          </w:tcPr>
          <w:p>
            <w:pPr>
              <w:spacing w:after="0"/>
              <w:rPr>
                <w:sz w:val="17"/>
                <w:szCs w:val="17"/>
                <w:color w:val="auto"/>
              </w:rPr>
            </w:pPr>
          </w:p>
        </w:tc>
        <w:tc>
          <w:tcPr>
            <w:tcW w:w="126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jc w:val="right"/>
              <w:ind w:right="38"/>
              <w:spacing w:after="0" w:line="202" w:lineRule="exact"/>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37</w:t>
            </w:r>
          </w:p>
        </w:tc>
      </w:tr>
      <w:tr>
        <w:trPr>
          <w:trHeight w:val="203"/>
        </w:trPr>
        <w:tc>
          <w:tcPr>
            <w:tcW w:w="44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Revenue earned</w:t>
            </w:r>
          </w:p>
        </w:tc>
        <w:tc>
          <w:tcPr>
            <w:tcW w:w="34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(36)</w:t>
            </w:r>
          </w:p>
        </w:tc>
        <w:tc>
          <w:tcPr>
            <w:tcW w:w="1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w:t>
            </w:r>
          </w:p>
        </w:tc>
      </w:tr>
      <w:tr>
        <w:trPr>
          <w:trHeight w:val="196"/>
        </w:trPr>
        <w:tc>
          <w:tcPr>
            <w:tcW w:w="4460" w:type="dxa"/>
            <w:vAlign w:val="bottom"/>
          </w:tcPr>
          <w:p>
            <w:pPr>
              <w:spacing w:after="0" w:line="196" w:lineRule="exact"/>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79"/>
              </w:rPr>
              <w:t>$</w:t>
            </w:r>
          </w:p>
        </w:tc>
        <w:tc>
          <w:tcPr>
            <w:tcW w:w="126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72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38"/>
              <w:spacing w:after="0" w:line="196" w:lineRule="exact"/>
              <w:rPr>
                <w:sz w:val="20"/>
                <w:szCs w:val="20"/>
                <w:color w:val="auto"/>
              </w:rPr>
            </w:pPr>
            <w:r>
              <w:rPr>
                <w:rFonts w:ascii="Arial" w:cs="Arial" w:eastAsia="Arial" w:hAnsi="Arial"/>
                <w:sz w:val="18"/>
                <w:szCs w:val="18"/>
                <w:b w:val="1"/>
                <w:bCs w:val="1"/>
                <w:color w:val="auto"/>
              </w:rPr>
              <w:t>136</w:t>
            </w:r>
          </w:p>
        </w:tc>
        <w:tc>
          <w:tcPr>
            <w:tcW w:w="70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138</w:t>
            </w:r>
          </w:p>
        </w:tc>
      </w:tr>
      <w:tr>
        <w:trPr>
          <w:trHeight w:val="20"/>
        </w:trPr>
        <w:tc>
          <w:tcPr>
            <w:tcW w:w="4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-162560</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-162560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-162560</wp:posOffset>
            </wp:positionV>
            <wp:extent cx="1028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4"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Deferred revenue recorded in current and non-current liabilities related to ETC as of September 30, 2025 was $29 million and $101 million, respectively. Deferred revenue recorded in current and non-current liabilities related to ETC as of September 30, 2024 was $30 million and $92 million, respectively.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LEASES</w:t>
      </w:r>
    </w:p>
    <w:p>
      <w:pPr>
        <w:spacing w:after="0" w:line="104" w:lineRule="exact"/>
        <w:rPr>
          <w:sz w:val="20"/>
          <w:szCs w:val="20"/>
          <w:color w:val="auto"/>
        </w:rPr>
      </w:pPr>
    </w:p>
    <w:p>
      <w:pPr>
        <w:ind w:right="160" w:firstLine="494"/>
        <w:spacing w:after="0"/>
        <w:rPr>
          <w:sz w:val="20"/>
          <w:szCs w:val="20"/>
          <w:color w:val="auto"/>
        </w:rPr>
      </w:pPr>
      <w:r>
        <w:rPr>
          <w:rFonts w:ascii="Arial" w:cs="Arial" w:eastAsia="Arial" w:hAnsi="Arial"/>
          <w:sz w:val="18"/>
          <w:szCs w:val="18"/>
          <w:color w:val="auto"/>
        </w:rPr>
        <w:t>Contracts are assessed by the Company to determine if the contract conveys the right to control an identified asset in exchange for consideration during a period of time. The Company classifies all identified leases as either operating or finance leases. The Company's operating leases consist of real estate, vehicles and IT equipment. As of both September 30, 2025 and December 31, 2024, the Company was not a party to any finance leases. Contracts that contain leases are assessed to determine if the consideration in the contract is related to a lease component, non-lease component or other components not related to the lease. Lease components are recorded as right-of-use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72" w:lineRule="exact"/>
        <w:rPr>
          <w:sz w:val="20"/>
          <w:szCs w:val="20"/>
          <w:color w:val="auto"/>
        </w:rPr>
      </w:pPr>
    </w:p>
    <w:p>
      <w:pPr>
        <w:ind w:right="320" w:firstLine="494"/>
        <w:spacing w:after="0" w:line="253" w:lineRule="auto"/>
        <w:rPr>
          <w:sz w:val="20"/>
          <w:szCs w:val="20"/>
          <w:color w:val="auto"/>
        </w:rPr>
      </w:pPr>
      <w:r>
        <w:rPr>
          <w:rFonts w:ascii="Arial" w:cs="Arial" w:eastAsia="Arial" w:hAnsi="Arial"/>
          <w:sz w:val="18"/>
          <w:szCs w:val="18"/>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at inception of the contract.</w:t>
      </w:r>
    </w:p>
    <w:p>
      <w:pPr>
        <w:spacing w:after="0" w:line="61"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ROU assets are calculated as the related lease liability adjusted for lease incentives, any initial direct costs, prepayments and the effect of escalating lease payments on period expense. As of September 30, 2025 and December 31, 2024, total ROU assets were $18 million and $20 million, respectively, and were recorded in Other non-current assets in the Condensed Consolidated Balance Sheets. During the nine months ended September 30, 2025 and 2024, the Company recorded $2 million and $6 million, respectively, of new ROU assets obtained in exchange for lease obligations.</w:t>
      </w:r>
    </w:p>
    <w:p>
      <w:pPr>
        <w:spacing w:after="0" w:line="68" w:lineRule="exact"/>
        <w:rPr>
          <w:sz w:val="20"/>
          <w:szCs w:val="20"/>
          <w:color w:val="auto"/>
        </w:rPr>
      </w:pPr>
    </w:p>
    <w:p>
      <w:pPr>
        <w:ind w:right="140" w:firstLine="494"/>
        <w:spacing w:after="0" w:line="242" w:lineRule="auto"/>
        <w:rPr>
          <w:sz w:val="20"/>
          <w:szCs w:val="20"/>
          <w:color w:val="auto"/>
        </w:rPr>
      </w:pPr>
      <w:r>
        <w:rPr>
          <w:rFonts w:ascii="Arial" w:cs="Arial" w:eastAsia="Arial" w:hAnsi="Arial"/>
          <w:sz w:val="18"/>
          <w:szCs w:val="18"/>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Term SOFR on the Term Loan. The Company believes this rate effectively represents a borrowing rate the Company could obtain on a debt instrument possessing similar terms as the lease. Lease liabilities are classified between current and non-current liabilities based on the terms of the underlying leases. The weighted average discount rate on operating leases as of September 30, 2025 and December 31, 2024 was 4.83% and 4.84%, respectively.</w:t>
      </w:r>
    </w:p>
    <w:p>
      <w:pPr>
        <w:spacing w:after="0" w:line="71"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As of September 30, 2025, the Company recorded current and non-current operating lease liabilities of $5 million and $12 million, respectively. As of December 31, 2024, the Company recorded current and non-current operating lease liabilities of $6 million and $14 million, respectively. The Company's current and non-current operating lease liabilities are recorded in Other current liabilities and Other non-current liabilities, respectively, in the Condensed Consolidated Balance Sheets. The following table reconciles future undiscounted cash flows for operating leases to total operating lease liabilities as of September 30, 2025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jc w:val="right"/>
              <w:ind w:right="473"/>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45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813"/>
              <w:spacing w:after="0"/>
              <w:rPr>
                <w:sz w:val="20"/>
                <w:szCs w:val="20"/>
                <w:color w:val="auto"/>
              </w:rPr>
            </w:pPr>
            <w:r>
              <w:rPr>
                <w:rFonts w:ascii="Arial" w:cs="Arial" w:eastAsia="Arial" w:hAnsi="Arial"/>
                <w:sz w:val="14"/>
                <w:szCs w:val="14"/>
                <w:b w:val="1"/>
                <w:bCs w:val="1"/>
                <w:color w:val="auto"/>
              </w:rPr>
              <w:t>2025</w:t>
            </w:r>
          </w:p>
        </w:tc>
      </w:tr>
      <w:tr>
        <w:trPr>
          <w:trHeight w:val="196"/>
        </w:trPr>
        <w:tc>
          <w:tcPr>
            <w:tcW w:w="45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For the remainder of 2025</w:t>
            </w:r>
          </w:p>
        </w:tc>
        <w:tc>
          <w:tcPr>
            <w:tcW w:w="49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2</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5</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2027</w:t>
            </w:r>
          </w:p>
        </w:tc>
        <w:tc>
          <w:tcPr>
            <w:tcW w:w="4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4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203"/>
        </w:trPr>
        <w:tc>
          <w:tcPr>
            <w:tcW w:w="45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2029</w:t>
            </w:r>
          </w:p>
        </w:tc>
        <w:tc>
          <w:tcPr>
            <w:tcW w:w="47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3</w:t>
            </w:r>
          </w:p>
        </w:tc>
      </w:tr>
      <w:tr>
        <w:trPr>
          <w:trHeight w:val="196"/>
        </w:trPr>
        <w:tc>
          <w:tcPr>
            <w:tcW w:w="45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Total lease payments</w:t>
            </w:r>
          </w:p>
        </w:tc>
        <w:tc>
          <w:tcPr>
            <w:tcW w:w="49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19</w:t>
            </w:r>
          </w:p>
        </w:tc>
      </w:tr>
      <w:tr>
        <w:trPr>
          <w:trHeight w:val="203"/>
        </w:trPr>
        <w:tc>
          <w:tcPr>
            <w:tcW w:w="4540" w:type="dxa"/>
            <w:vAlign w:val="bottom"/>
          </w:tcPr>
          <w:p>
            <w:pPr>
              <w:ind w:left="480"/>
              <w:spacing w:after="0" w:line="202" w:lineRule="exact"/>
              <w:rPr>
                <w:sz w:val="20"/>
                <w:szCs w:val="20"/>
                <w:color w:val="auto"/>
              </w:rPr>
            </w:pPr>
            <w:r>
              <w:rPr>
                <w:rFonts w:ascii="Arial" w:cs="Arial" w:eastAsia="Arial" w:hAnsi="Arial"/>
                <w:sz w:val="18"/>
                <w:szCs w:val="18"/>
                <w:color w:val="auto"/>
              </w:rPr>
              <w:t>Less: Interest</w:t>
            </w:r>
          </w:p>
        </w:tc>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3"/>
              <w:spacing w:after="0" w:line="202" w:lineRule="exact"/>
              <w:rPr>
                <w:sz w:val="20"/>
                <w:szCs w:val="20"/>
                <w:color w:val="auto"/>
              </w:rPr>
            </w:pPr>
            <w:r>
              <w:rPr>
                <w:rFonts w:ascii="Arial" w:cs="Arial" w:eastAsia="Arial" w:hAnsi="Arial"/>
                <w:sz w:val="18"/>
                <w:szCs w:val="18"/>
                <w:b w:val="1"/>
                <w:bCs w:val="1"/>
                <w:color w:val="auto"/>
              </w:rPr>
              <w:t>2</w:t>
            </w:r>
          </w:p>
        </w:tc>
      </w:tr>
      <w:tr>
        <w:trPr>
          <w:trHeight w:val="236"/>
        </w:trPr>
        <w:tc>
          <w:tcPr>
            <w:tcW w:w="4540" w:type="dxa"/>
            <w:vAlign w:val="bottom"/>
            <w:shd w:val="clear" w:color="auto" w:fill="CFF0FC"/>
          </w:tcPr>
          <w:p>
            <w:pPr>
              <w:ind w:left="24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4980" w:type="dxa"/>
            <w:vAlign w:val="bottom"/>
            <w:gridSpan w:val="2"/>
            <w:shd w:val="clear" w:color="auto" w:fill="CFF0FC"/>
          </w:tcPr>
          <w:p>
            <w:pPr>
              <w:jc w:val="right"/>
              <w:ind w:right="180"/>
              <w:spacing w:after="0" w:line="196" w:lineRule="exact"/>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FF0FC"/>
          </w:tcPr>
          <w:p>
            <w:pPr>
              <w:jc w:val="right"/>
              <w:ind w:right="13"/>
              <w:spacing w:after="0" w:line="196" w:lineRule="exact"/>
              <w:rPr>
                <w:sz w:val="20"/>
                <w:szCs w:val="20"/>
                <w:color w:val="auto"/>
              </w:rPr>
            </w:pPr>
            <w:r>
              <w:rPr>
                <w:rFonts w:ascii="Arial" w:cs="Arial" w:eastAsia="Arial" w:hAnsi="Arial"/>
                <w:sz w:val="18"/>
                <w:szCs w:val="18"/>
                <w:b w:val="1"/>
                <w:bCs w:val="1"/>
                <w:color w:val="auto"/>
              </w:rPr>
              <w:t>17</w:t>
            </w:r>
          </w:p>
        </w:tc>
      </w:tr>
      <w:tr>
        <w:trPr>
          <w:trHeight w:val="578"/>
        </w:trPr>
        <w:tc>
          <w:tcPr>
            <w:tcW w:w="4540" w:type="dxa"/>
            <w:vAlign w:val="bottom"/>
            <w:tcBorders>
              <w:top w:val="single" w:sz="8" w:color="CFF0FC"/>
            </w:tcBorders>
          </w:tcPr>
          <w:p>
            <w:pPr>
              <w:spacing w:after="0"/>
              <w:rPr>
                <w:sz w:val="24"/>
                <w:szCs w:val="24"/>
                <w:color w:val="auto"/>
              </w:rPr>
            </w:pPr>
          </w:p>
        </w:tc>
        <w:tc>
          <w:tcPr>
            <w:tcW w:w="4700" w:type="dxa"/>
            <w:vAlign w:val="bottom"/>
            <w:tcBorders>
              <w:top w:val="single" w:sz="8" w:color="CFF0FC"/>
            </w:tcBorders>
          </w:tcPr>
          <w:p>
            <w:pPr>
              <w:jc w:val="right"/>
              <w:ind w:right="3430"/>
              <w:spacing w:after="0"/>
              <w:rPr>
                <w:sz w:val="20"/>
                <w:szCs w:val="20"/>
                <w:color w:val="auto"/>
              </w:rPr>
            </w:pPr>
            <w:r>
              <w:rPr>
                <w:rFonts w:ascii="Arial" w:cs="Arial" w:eastAsia="Arial" w:hAnsi="Arial"/>
                <w:sz w:val="18"/>
                <w:szCs w:val="18"/>
                <w:color w:val="auto"/>
              </w:rPr>
              <w:t>18</w:t>
            </w:r>
          </w:p>
        </w:tc>
        <w:tc>
          <w:tcPr>
            <w:tcW w:w="28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r>
        <w:trPr>
          <w:trHeight w:val="746"/>
        </w:trPr>
        <w:tc>
          <w:tcPr>
            <w:tcW w:w="4540" w:type="dxa"/>
            <w:vAlign w:val="bottom"/>
            <w:tcBorders>
              <w:bottom w:val="single" w:sz="8" w:color="9A9A9A"/>
            </w:tcBorders>
          </w:tcPr>
          <w:p>
            <w:pPr>
              <w:spacing w:after="0"/>
              <w:rPr>
                <w:sz w:val="24"/>
                <w:szCs w:val="24"/>
                <w:color w:val="auto"/>
              </w:rPr>
            </w:pPr>
          </w:p>
        </w:tc>
        <w:tc>
          <w:tcPr>
            <w:tcW w:w="47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720" w:firstLine="494"/>
        <w:spacing w:after="0" w:line="271" w:lineRule="auto"/>
        <w:rPr>
          <w:sz w:val="20"/>
          <w:szCs w:val="20"/>
          <w:color w:val="auto"/>
        </w:rPr>
      </w:pPr>
      <w:r>
        <w:rPr>
          <w:rFonts w:ascii="Arial" w:cs="Arial" w:eastAsia="Arial" w:hAnsi="Arial"/>
          <w:sz w:val="18"/>
          <w:szCs w:val="18"/>
          <w:color w:val="auto"/>
        </w:rPr>
        <w:t>The weighted average remaining lease term as of September 30, 2025 and September 30, 2024 was 4.8 years and 5.4 years, respectively.</w:t>
      </w:r>
    </w:p>
    <w:p>
      <w:pPr>
        <w:spacing w:after="0" w:line="46" w:lineRule="exact"/>
        <w:rPr>
          <w:sz w:val="20"/>
          <w:szCs w:val="20"/>
          <w:color w:val="auto"/>
        </w:rPr>
      </w:pPr>
    </w:p>
    <w:p>
      <w:pPr>
        <w:ind w:right="40" w:firstLine="494"/>
        <w:spacing w:after="0" w:line="247" w:lineRule="auto"/>
        <w:rPr>
          <w:sz w:val="20"/>
          <w:szCs w:val="20"/>
          <w:color w:val="auto"/>
        </w:rPr>
      </w:pPr>
      <w:r>
        <w:rPr>
          <w:rFonts w:ascii="Arial" w:cs="Arial" w:eastAsia="Arial" w:hAnsi="Arial"/>
          <w:sz w:val="18"/>
          <w:szCs w:val="18"/>
          <w:color w:val="auto"/>
        </w:rPr>
        <w:t>Operating lease expense was $2 million for each of the three months ended September 30, 2025 and 2024 and $5 million for each of the nine months ended September 30, 2025 and 2024, and was recorded within Selling, general and administrative and Engineering — research and development on the Company's Condensed Consolidated Statements of Comprehensive Income. There was no material short-term operating lease expense for any of the three or nine months ended September 30, 2025 or 2024.</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OTHER CURRENT LIABILITIES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right"/>
              <w:ind w:right="334"/>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3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2024</w:t>
            </w:r>
          </w:p>
        </w:tc>
      </w:tr>
      <w:tr>
        <w:trPr>
          <w:trHeight w:val="196"/>
        </w:trPr>
        <w:tc>
          <w:tcPr>
            <w:tcW w:w="4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Sales incentives</w:t>
            </w:r>
          </w:p>
        </w:tc>
        <w:tc>
          <w:tcPr>
            <w:tcW w:w="29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42</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42</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Payroll and related costs</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31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90</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interest payable</w:t>
            </w:r>
          </w:p>
        </w:tc>
        <w:tc>
          <w:tcPr>
            <w:tcW w:w="2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28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25</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Vendor buyback obligation</w:t>
            </w:r>
          </w:p>
        </w:tc>
        <w:tc>
          <w:tcPr>
            <w:tcW w:w="2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54"/>
              <w:spacing w:after="0" w:line="202" w:lineRule="exact"/>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19</w:t>
            </w:r>
          </w:p>
        </w:tc>
      </w:tr>
      <w:tr>
        <w:trPr>
          <w:trHeight w:val="203"/>
        </w:trPr>
        <w:tc>
          <w:tcPr>
            <w:tcW w:w="49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Taxes payable</w:t>
            </w:r>
          </w:p>
        </w:tc>
        <w:tc>
          <w:tcPr>
            <w:tcW w:w="28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4"/>
              <w:spacing w:after="0" w:line="202" w:lineRule="exact"/>
              <w:rPr>
                <w:sz w:val="20"/>
                <w:szCs w:val="20"/>
                <w:color w:val="auto"/>
              </w:rPr>
            </w:pPr>
            <w:r>
              <w:rPr>
                <w:rFonts w:ascii="Arial" w:cs="Arial" w:eastAsia="Arial" w:hAnsi="Arial"/>
                <w:sz w:val="18"/>
                <w:szCs w:val="18"/>
                <w:b w:val="1"/>
                <w:bCs w:val="1"/>
                <w:color w:val="auto"/>
              </w:rPr>
              <w:t>15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14</w:t>
            </w:r>
          </w:p>
        </w:tc>
      </w:tr>
      <w:tr>
        <w:trPr>
          <w:trHeight w:val="203"/>
        </w:trPr>
        <w:tc>
          <w:tcPr>
            <w:tcW w:w="4920" w:type="dxa"/>
            <w:vAlign w:val="bottom"/>
          </w:tcPr>
          <w:p>
            <w:pPr>
              <w:spacing w:after="0" w:line="202" w:lineRule="exact"/>
              <w:rPr>
                <w:sz w:val="20"/>
                <w:szCs w:val="20"/>
                <w:color w:val="auto"/>
              </w:rPr>
            </w:pPr>
            <w:r>
              <w:rPr>
                <w:rFonts w:ascii="Arial" w:cs="Arial" w:eastAsia="Arial" w:hAnsi="Arial"/>
                <w:sz w:val="18"/>
                <w:szCs w:val="18"/>
                <w:color w:val="auto"/>
              </w:rPr>
              <w:t>Other accruals</w:t>
            </w:r>
          </w:p>
        </w:tc>
        <w:tc>
          <w:tcPr>
            <w:tcW w:w="28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54"/>
              <w:spacing w:after="0" w:line="202" w:lineRule="exact"/>
              <w:rPr>
                <w:sz w:val="20"/>
                <w:szCs w:val="20"/>
                <w:color w:val="auto"/>
              </w:rPr>
            </w:pPr>
            <w:r>
              <w:rPr>
                <w:rFonts w:ascii="Arial" w:cs="Arial" w:eastAsia="Arial" w:hAnsi="Arial"/>
                <w:sz w:val="18"/>
                <w:szCs w:val="18"/>
                <w:b w:val="1"/>
                <w:bCs w:val="1"/>
                <w:color w:val="auto"/>
              </w:rPr>
              <w:t>36</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27</w:t>
            </w:r>
          </w:p>
        </w:tc>
      </w:tr>
      <w:tr>
        <w:trPr>
          <w:trHeight w:val="216"/>
        </w:trPr>
        <w:tc>
          <w:tcPr>
            <w:tcW w:w="49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98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FF0FC"/>
          </w:tcPr>
          <w:p>
            <w:pPr>
              <w:jc w:val="right"/>
              <w:ind w:right="54"/>
              <w:spacing w:after="0" w:line="196" w:lineRule="exact"/>
              <w:rPr>
                <w:sz w:val="20"/>
                <w:szCs w:val="20"/>
                <w:color w:val="auto"/>
              </w:rPr>
            </w:pPr>
            <w:r>
              <w:rPr>
                <w:rFonts w:ascii="Arial" w:cs="Arial" w:eastAsia="Arial" w:hAnsi="Arial"/>
                <w:sz w:val="18"/>
                <w:szCs w:val="18"/>
                <w:b w:val="1"/>
                <w:bCs w:val="1"/>
                <w:color w:val="auto"/>
              </w:rPr>
              <w:t>172</w:t>
            </w:r>
          </w:p>
        </w:tc>
        <w:tc>
          <w:tcPr>
            <w:tcW w:w="38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217</w:t>
            </w:r>
          </w:p>
        </w:tc>
      </w:tr>
      <w:tr>
        <w:trPr>
          <w:trHeight w:val="20"/>
        </w:trPr>
        <w:tc>
          <w:tcPr>
            <w:tcW w:w="492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-25400</wp:posOffset>
            </wp:positionV>
            <wp:extent cx="1117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117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EMPLOYEE BENEFIT PLANS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Components of net periodic benefit cost (credit) consisted of the following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rPr>
              <w:t>Post-retirement Benefits</w:t>
            </w:r>
          </w:p>
        </w:tc>
        <w:tc>
          <w:tcPr>
            <w:tcW w:w="420" w:type="dxa"/>
            <w:vAlign w:val="bottom"/>
            <w:tcBorders>
              <w:bottom w:val="single" w:sz="8" w:color="auto"/>
            </w:tcBorders>
          </w:tcPr>
          <w:p>
            <w:pPr>
              <w:spacing w:after="0"/>
              <w:rPr>
                <w:sz w:val="14"/>
                <w:szCs w:val="14"/>
                <w:color w:val="auto"/>
              </w:rPr>
            </w:pPr>
          </w:p>
        </w:tc>
      </w:tr>
      <w:tr>
        <w:trPr>
          <w:trHeight w:val="146"/>
        </w:trPr>
        <w:tc>
          <w:tcPr>
            <w:tcW w:w="5800" w:type="dxa"/>
            <w:vAlign w:val="bottom"/>
          </w:tcPr>
          <w:p>
            <w:pPr>
              <w:spacing w:after="0"/>
              <w:rPr>
                <w:sz w:val="12"/>
                <w:szCs w:val="12"/>
                <w:color w:val="auto"/>
              </w:rPr>
            </w:pPr>
          </w:p>
        </w:tc>
        <w:tc>
          <w:tcPr>
            <w:tcW w:w="2240" w:type="dxa"/>
            <w:vAlign w:val="bottom"/>
            <w:gridSpan w:val="4"/>
          </w:tcPr>
          <w:p>
            <w:pPr>
              <w:jc w:val="center"/>
              <w:ind w:left="219"/>
              <w:spacing w:after="0" w:line="147" w:lineRule="exact"/>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4"/>
          </w:tcPr>
          <w:p>
            <w:pPr>
              <w:jc w:val="center"/>
              <w:ind w:left="224"/>
              <w:spacing w:after="0" w:line="147" w:lineRule="exact"/>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4"/>
                <w:szCs w:val="14"/>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7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740" w:type="dxa"/>
            <w:vAlign w:val="bottom"/>
          </w:tcPr>
          <w:p>
            <w:pPr>
              <w:jc w:val="right"/>
              <w:ind w:right="559"/>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564"/>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7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Prior service credit</w:t>
            </w: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Recognized actuarial gain</w:t>
            </w: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1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740" w:type="dxa"/>
            <w:vAlign w:val="bottom"/>
            <w:shd w:val="clear" w:color="auto" w:fill="CFF0FC"/>
          </w:tcPr>
          <w:p>
            <w:pPr>
              <w:jc w:val="right"/>
              <w:ind w:right="559"/>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99"/>
              </w:rPr>
              <w:t>$</w:t>
            </w:r>
          </w:p>
        </w:tc>
        <w:tc>
          <w:tcPr>
            <w:tcW w:w="4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564"/>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980" w:type="dxa"/>
            <w:vAlign w:val="bottom"/>
            <w:gridSpan w:val="2"/>
            <w:shd w:val="clear" w:color="auto" w:fill="CFF0FC"/>
          </w:tcPr>
          <w:p>
            <w:pPr>
              <w:jc w:val="right"/>
              <w:ind w:right="74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80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r>
      <w:tr>
        <w:trPr>
          <w:trHeight w:val="345"/>
        </w:trPr>
        <w:tc>
          <w:tcPr>
            <w:tcW w:w="58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350"/>
              <w:spacing w:after="0"/>
              <w:rPr>
                <w:sz w:val="20"/>
                <w:szCs w:val="20"/>
                <w:color w:val="auto"/>
              </w:rPr>
            </w:pPr>
            <w:r>
              <w:rPr>
                <w:rFonts w:ascii="Arial" w:cs="Arial" w:eastAsia="Arial" w:hAnsi="Arial"/>
                <w:sz w:val="14"/>
                <w:szCs w:val="14"/>
                <w:b w:val="1"/>
                <w:bCs w:val="1"/>
                <w:color w:val="auto"/>
              </w:rPr>
              <w:t>Pension Plans</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tcBorders>
              <w:bottom w:val="single" w:sz="8" w:color="auto"/>
            </w:tcBorders>
            <w:gridSpan w:val="4"/>
          </w:tcPr>
          <w:p>
            <w:pPr>
              <w:jc w:val="center"/>
              <w:ind w:left="204"/>
              <w:spacing w:after="0"/>
              <w:rPr>
                <w:sz w:val="20"/>
                <w:szCs w:val="20"/>
                <w:color w:val="auto"/>
              </w:rPr>
            </w:pPr>
            <w:r>
              <w:rPr>
                <w:rFonts w:ascii="Arial" w:cs="Arial" w:eastAsia="Arial" w:hAnsi="Arial"/>
                <w:sz w:val="14"/>
                <w:szCs w:val="14"/>
                <w:b w:val="1"/>
                <w:bCs w:val="1"/>
                <w:color w:val="auto"/>
              </w:rPr>
              <w:t>Post-retirement Benefits</w:t>
            </w:r>
          </w:p>
        </w:tc>
        <w:tc>
          <w:tcPr>
            <w:tcW w:w="420" w:type="dxa"/>
            <w:vAlign w:val="bottom"/>
            <w:tcBorders>
              <w:bottom w:val="single" w:sz="8" w:color="auto"/>
            </w:tcBorders>
          </w:tcPr>
          <w:p>
            <w:pPr>
              <w:spacing w:after="0"/>
              <w:rPr>
                <w:sz w:val="24"/>
                <w:szCs w:val="24"/>
                <w:color w:val="auto"/>
              </w:rPr>
            </w:pPr>
          </w:p>
        </w:tc>
      </w:tr>
      <w:tr>
        <w:trPr>
          <w:trHeight w:val="146"/>
        </w:trPr>
        <w:tc>
          <w:tcPr>
            <w:tcW w:w="5800" w:type="dxa"/>
            <w:vAlign w:val="bottom"/>
          </w:tcPr>
          <w:p>
            <w:pPr>
              <w:spacing w:after="0"/>
              <w:rPr>
                <w:sz w:val="12"/>
                <w:szCs w:val="12"/>
                <w:color w:val="auto"/>
              </w:rPr>
            </w:pPr>
          </w:p>
        </w:tc>
        <w:tc>
          <w:tcPr>
            <w:tcW w:w="2240" w:type="dxa"/>
            <w:vAlign w:val="bottom"/>
            <w:gridSpan w:val="4"/>
          </w:tcPr>
          <w:p>
            <w:pPr>
              <w:jc w:val="center"/>
              <w:ind w:left="219"/>
              <w:spacing w:after="0" w:line="147" w:lineRule="exact"/>
              <w:rPr>
                <w:sz w:val="20"/>
                <w:szCs w:val="20"/>
                <w:color w:val="auto"/>
              </w:rPr>
            </w:pPr>
            <w:r>
              <w:rPr>
                <w:rFonts w:ascii="Arial" w:cs="Arial" w:eastAsia="Arial" w:hAnsi="Arial"/>
                <w:sz w:val="14"/>
                <w:szCs w:val="14"/>
                <w:b w:val="1"/>
                <w:bCs w:val="1"/>
                <w:color w:val="auto"/>
              </w:rPr>
              <w:t>Nine Months Ended</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40" w:type="dxa"/>
            <w:vAlign w:val="bottom"/>
            <w:gridSpan w:val="4"/>
          </w:tcPr>
          <w:p>
            <w:pPr>
              <w:jc w:val="center"/>
              <w:ind w:left="224"/>
              <w:spacing w:after="0" w:line="147" w:lineRule="exact"/>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2"/>
                <w:szCs w:val="12"/>
                <w:color w:val="auto"/>
              </w:rPr>
            </w:pPr>
          </w:p>
        </w:tc>
      </w:tr>
      <w:tr>
        <w:trPr>
          <w:trHeight w:val="162"/>
        </w:trPr>
        <w:tc>
          <w:tcPr>
            <w:tcW w:w="5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right="350"/>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Pr>
          <w:p>
            <w:pPr>
              <w:spacing w:after="0"/>
              <w:rPr>
                <w:sz w:val="14"/>
                <w:szCs w:val="14"/>
                <w:color w:val="auto"/>
              </w:rPr>
            </w:pPr>
          </w:p>
        </w:tc>
      </w:tr>
      <w:tr>
        <w:trPr>
          <w:trHeight w:val="171"/>
        </w:trPr>
        <w:tc>
          <w:tcPr>
            <w:tcW w:w="58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c>
          <w:tcPr>
            <w:tcW w:w="9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2024</w:t>
            </w:r>
          </w:p>
        </w:tc>
        <w:tc>
          <w:tcPr>
            <w:tcW w:w="4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4"/>
                <w:szCs w:val="14"/>
                <w:color w:val="auto"/>
              </w:rPr>
            </w:pPr>
          </w:p>
        </w:tc>
      </w:tr>
      <w:tr>
        <w:trPr>
          <w:trHeight w:val="196"/>
        </w:trPr>
        <w:tc>
          <w:tcPr>
            <w:tcW w:w="58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7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Service cost</w:t>
            </w:r>
          </w:p>
        </w:tc>
        <w:tc>
          <w:tcPr>
            <w:tcW w:w="740" w:type="dxa"/>
            <w:vAlign w:val="bottom"/>
          </w:tcPr>
          <w:p>
            <w:pPr>
              <w:jc w:val="right"/>
              <w:ind w:right="559"/>
              <w:spacing w:after="0" w:line="202"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2</w:t>
            </w:r>
          </w:p>
        </w:tc>
        <w:tc>
          <w:tcPr>
            <w:tcW w:w="980" w:type="dxa"/>
            <w:vAlign w:val="bottom"/>
            <w:gridSpan w:val="2"/>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564"/>
              <w:spacing w:after="0" w:line="20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cost</w:t>
            </w: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7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Settlement loss</w:t>
            </w: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Prior service credit</w:t>
            </w:r>
          </w:p>
        </w:tc>
        <w:tc>
          <w:tcPr>
            <w:tcW w:w="740" w:type="dxa"/>
            <w:vAlign w:val="bottom"/>
          </w:tcPr>
          <w:p>
            <w:pPr>
              <w:spacing w:after="0"/>
              <w:rPr>
                <w:sz w:val="17"/>
                <w:szCs w:val="17"/>
                <w:color w:val="auto"/>
              </w:rPr>
            </w:pPr>
          </w:p>
        </w:tc>
        <w:tc>
          <w:tcPr>
            <w:tcW w:w="5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03"/>
        </w:trPr>
        <w:tc>
          <w:tcPr>
            <w:tcW w:w="58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Recognized actuarial gain</w:t>
            </w:r>
          </w:p>
        </w:tc>
        <w:tc>
          <w:tcPr>
            <w:tcW w:w="7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w:t>
            </w:r>
          </w:p>
        </w:tc>
      </w:tr>
      <w:tr>
        <w:trPr>
          <w:trHeight w:val="196"/>
        </w:trPr>
        <w:tc>
          <w:tcPr>
            <w:tcW w:w="5800" w:type="dxa"/>
            <w:vAlign w:val="bottom"/>
          </w:tcPr>
          <w:p>
            <w:pPr>
              <w:spacing w:after="0" w:line="196" w:lineRule="exact"/>
              <w:rPr>
                <w:sz w:val="20"/>
                <w:szCs w:val="20"/>
                <w:color w:val="auto"/>
              </w:rPr>
            </w:pPr>
            <w:r>
              <w:rPr>
                <w:rFonts w:ascii="Arial" w:cs="Arial" w:eastAsia="Arial" w:hAnsi="Arial"/>
                <w:sz w:val="18"/>
                <w:szCs w:val="18"/>
                <w:color w:val="auto"/>
              </w:rPr>
              <w:t>Net periodic benefit cost (credit)</w:t>
            </w:r>
          </w:p>
        </w:tc>
        <w:tc>
          <w:tcPr>
            <w:tcW w:w="740" w:type="dxa"/>
            <w:vAlign w:val="bottom"/>
          </w:tcPr>
          <w:p>
            <w:pPr>
              <w:jc w:val="right"/>
              <w:ind w:right="559"/>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34"/>
              <w:spacing w:after="0" w:line="196" w:lineRule="exact"/>
              <w:rPr>
                <w:sz w:val="20"/>
                <w:szCs w:val="20"/>
                <w:color w:val="auto"/>
              </w:rPr>
            </w:pPr>
            <w:r>
              <w:rPr>
                <w:rFonts w:ascii="Arial" w:cs="Arial" w:eastAsia="Arial" w:hAnsi="Arial"/>
                <w:sz w:val="18"/>
                <w:szCs w:val="18"/>
                <w:b w:val="1"/>
                <w:bCs w:val="1"/>
                <w:color w:val="auto"/>
              </w:rPr>
              <w:t>2</w:t>
            </w:r>
          </w:p>
        </w:tc>
        <w:tc>
          <w:tcPr>
            <w:tcW w:w="980" w:type="dxa"/>
            <w:vAlign w:val="bottom"/>
            <w:gridSpan w:val="2"/>
          </w:tcPr>
          <w:p>
            <w:pPr>
              <w:jc w:val="right"/>
              <w:ind w:right="65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w:t>
            </w:r>
          </w:p>
        </w:tc>
        <w:tc>
          <w:tcPr>
            <w:tcW w:w="880" w:type="dxa"/>
            <w:vAlign w:val="bottom"/>
            <w:gridSpan w:val="2"/>
          </w:tcPr>
          <w:p>
            <w:pPr>
              <w:jc w:val="right"/>
              <w:ind w:right="564"/>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c>
          <w:tcPr>
            <w:tcW w:w="980" w:type="dxa"/>
            <w:vAlign w:val="bottom"/>
            <w:gridSpan w:val="2"/>
          </w:tcPr>
          <w:p>
            <w:pPr>
              <w:jc w:val="right"/>
              <w:ind w:right="74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-1645285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-1628140</wp:posOffset>
            </wp:positionV>
            <wp:extent cx="857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-1645285</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-1628140</wp:posOffset>
            </wp:positionV>
            <wp:extent cx="8572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-1645285</wp:posOffset>
            </wp:positionV>
            <wp:extent cx="857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-1628140</wp:posOffset>
            </wp:positionV>
            <wp:extent cx="857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69" w:lineRule="exact"/>
        <w:rPr>
          <w:sz w:val="20"/>
          <w:szCs w:val="20"/>
          <w:color w:val="auto"/>
        </w:rPr>
      </w:pPr>
    </w:p>
    <w:p>
      <w:pPr>
        <w:ind w:right="280" w:firstLine="494"/>
        <w:spacing w:after="0" w:line="271" w:lineRule="auto"/>
        <w:rPr>
          <w:sz w:val="20"/>
          <w:szCs w:val="20"/>
          <w:color w:val="auto"/>
        </w:rPr>
      </w:pPr>
      <w:r>
        <w:rPr>
          <w:rFonts w:ascii="Arial" w:cs="Arial" w:eastAsia="Arial" w:hAnsi="Arial"/>
          <w:sz w:val="18"/>
          <w:szCs w:val="18"/>
          <w:color w:val="auto"/>
        </w:rPr>
        <w:t>The components of net periodic benefit cost (credit) other than the service cost component are included in Other income (expense), net in the Condensed Consolidated Statements of Comprehensive Income.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260" w:firstLine="494"/>
        <w:spacing w:after="0"/>
        <w:rPr>
          <w:sz w:val="20"/>
          <w:szCs w:val="20"/>
          <w:color w:val="auto"/>
        </w:rPr>
      </w:pPr>
      <w:r>
        <w:rPr>
          <w:rFonts w:ascii="Arial" w:cs="Arial" w:eastAsia="Arial" w:hAnsi="Arial"/>
          <w:sz w:val="18"/>
          <w:szCs w:val="18"/>
          <w:color w:val="auto"/>
        </w:rPr>
        <w:t>In June 2024, the Company completed a pension risk transfer to a third-party insurance company of a portion of its salaried defined benefit pension plan's obligations for certain participants and their beneficiaries. The Company agreed to an annuity contract that was purchased using pension plan assets, resulting in the transfer of $30 million of pension plan assets and $30 million of pension plan benefit obligations to the insurance company. As a result of this transaction, in the second quarter of 2024, the Company recognized a non-recurring, non-cash $4 million settlement charge for a pro rata portion of previously unrecognized pension plan actuarial net losses, which was recorded in Other income (expense), net in the Condensed Consolidated Statements of Comprehensive Income for the nine months ended September 30, 2024.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INCOME TAXES</w:t>
      </w:r>
    </w:p>
    <w:p>
      <w:pPr>
        <w:spacing w:after="0" w:line="10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For the three and nine months ended September 30, 2025, the Company recorded total income tax expense of $45 million and $133 million, respectively. The effective tax rate for the three and nine months ended September 30, 2025 was 25% and 20%, respectively. For the three and nine months ended September 30, 2024, the Company recorded total income tax expense of $49 million and $131 million, respectively. The effective tax rate for the three and nine months ended September 30, 2024 was 20% and 19%, respectively. The increase in the effective tax rate for the three months ended September 30, 2025 was principally driven by decreased taxable income as a result of the One Big Beautiful Bill Act ("OBBBA").</w:t>
      </w:r>
    </w:p>
    <w:p>
      <w:pPr>
        <w:spacing w:after="0" w:line="71"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On July 4, 2025, the OBBBA was enacted into law. The OBBBA made a number of changes to U.S. federal income tax law that will impact the Company, including: allowing immediate deduction of the full cost of qualified capital investments, suspending the requirement to capitalize and amortize domestic research and development expenditures, and modifying the applicable rules for global intangible low-taxed income and foreign derived intangible income. Management is currently evaluating the full impact the OBBBA will have on the Company's consolidated financial statements. However, the Company expects to realize cash tax savings during the year ending December 31, 2025.</w:t>
      </w:r>
    </w:p>
    <w:p>
      <w:pPr>
        <w:spacing w:after="0" w:line="68"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68" w:lineRule="exact"/>
        <w:rPr>
          <w:sz w:val="20"/>
          <w:szCs w:val="20"/>
          <w:color w:val="auto"/>
        </w:rPr>
      </w:pPr>
    </w:p>
    <w:p>
      <w:pPr>
        <w:ind w:right="60" w:firstLine="494"/>
        <w:spacing w:after="0" w:line="271"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federal and state deferred tax assets will not be realized; therefore, these deferred tax assets are offset with a valuation allowance.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ACCUMULATED OTHER COMPREHENSIVE LOSS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reconcile changes in AOCL by component (net of tax,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and OPEB</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4"/>
                <w:szCs w:val="14"/>
                <w:b w:val="1"/>
                <w:bCs w:val="1"/>
                <w:color w:val="auto"/>
              </w:rPr>
              <w:t>adjustments</w:t>
            </w:r>
          </w:p>
        </w:tc>
        <w:tc>
          <w:tcPr>
            <w:tcW w:w="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rate swaps</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94"/>
              <w:spacing w:after="0"/>
              <w:rPr>
                <w:sz w:val="20"/>
                <w:szCs w:val="20"/>
                <w:color w:val="auto"/>
              </w:rPr>
            </w:pPr>
            <w:r>
              <w:rPr>
                <w:rFonts w:ascii="Arial" w:cs="Arial" w:eastAsia="Arial" w:hAnsi="Arial"/>
                <w:sz w:val="14"/>
                <w:szCs w:val="14"/>
                <w:b w:val="1"/>
                <w:bCs w:val="1"/>
                <w:color w:val="auto"/>
                <w:w w:val="98"/>
              </w:rPr>
              <w:t>items</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Total</w:t>
            </w: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June 30, 2024</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420" w:type="dxa"/>
            <w:vAlign w:val="bottom"/>
            <w:gridSpan w:val="4"/>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11</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(47)</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(loss) income before reclassifications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4"/>
              <w:spacing w:after="0" w:line="202" w:lineRule="exact"/>
              <w:rPr>
                <w:sz w:val="20"/>
                <w:szCs w:val="20"/>
                <w:color w:val="auto"/>
              </w:rPr>
            </w:pPr>
            <w:r>
              <w:rPr>
                <w:rFonts w:ascii="Arial" w:cs="Arial" w:eastAsia="Arial" w:hAnsi="Arial"/>
                <w:sz w:val="18"/>
                <w:szCs w:val="18"/>
                <w:color w:val="auto"/>
              </w:rPr>
              <w:t>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w:t>
            </w:r>
          </w:p>
        </w:tc>
      </w:tr>
      <w:tr>
        <w:trPr>
          <w:trHeight w:val="203"/>
        </w:trPr>
        <w:tc>
          <w:tcPr>
            <w:tcW w:w="5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w:t>
            </w: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auto"/>
              </w:rPr>
              <w:t>Income tax benefit</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w:t>
            </w:r>
          </w:p>
        </w:tc>
      </w:tr>
      <w:tr>
        <w:trPr>
          <w:trHeight w:val="196"/>
        </w:trPr>
        <w:tc>
          <w:tcPr>
            <w:tcW w:w="5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4"/>
              <w:spacing w:after="0" w:line="196" w:lineRule="exact"/>
              <w:rPr>
                <w:sz w:val="20"/>
                <w:szCs w:val="20"/>
                <w:color w:val="auto"/>
              </w:rPr>
            </w:pPr>
            <w:r>
              <w:rPr>
                <w:rFonts w:ascii="Arial" w:cs="Arial" w:eastAsia="Arial" w:hAnsi="Arial"/>
                <w:sz w:val="18"/>
                <w:szCs w:val="18"/>
                <w:color w:val="auto"/>
              </w:rPr>
              <w:t>8</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5440" w:type="dxa"/>
            <w:vAlign w:val="bottom"/>
          </w:tcPr>
          <w:p>
            <w:pPr>
              <w:spacing w:after="0" w:line="196" w:lineRule="exact"/>
              <w:rPr>
                <w:sz w:val="20"/>
                <w:szCs w:val="20"/>
                <w:color w:val="auto"/>
              </w:rPr>
            </w:pPr>
            <w:r>
              <w:rPr>
                <w:rFonts w:ascii="Arial" w:cs="Arial" w:eastAsia="Arial" w:hAnsi="Arial"/>
                <w:sz w:val="18"/>
                <w:szCs w:val="18"/>
                <w:color w:val="auto"/>
              </w:rPr>
              <w:t>AOCL as of September 30, 2024</w:t>
            </w:r>
          </w:p>
        </w:tc>
        <w:tc>
          <w:tcPr>
            <w:tcW w:w="14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420" w:type="dxa"/>
            <w:vAlign w:val="bottom"/>
            <w:gridSpan w:val="4"/>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20" w:type="dxa"/>
            <w:vAlign w:val="bottom"/>
          </w:tcPr>
          <w:p>
            <w:pPr>
              <w:jc w:val="right"/>
              <w:ind w:right="33"/>
              <w:spacing w:after="0" w:line="196"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140" w:type="dxa"/>
            <w:vAlign w:val="bottom"/>
          </w:tcPr>
          <w:p>
            <w:pPr>
              <w:spacing w:after="0"/>
              <w:rPr>
                <w:sz w:val="17"/>
                <w:szCs w:val="17"/>
                <w:color w:val="auto"/>
              </w:rPr>
            </w:pPr>
          </w:p>
        </w:tc>
        <w:tc>
          <w:tcPr>
            <w:tcW w:w="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AOCL as of June 30, 2025</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8"/>
                <w:szCs w:val="18"/>
                <w:color w:val="auto"/>
              </w:rPr>
              <w:t>(6)</w:t>
            </w:r>
          </w:p>
        </w:tc>
        <w:tc>
          <w:tcPr>
            <w:tcW w:w="420" w:type="dxa"/>
            <w:vAlign w:val="bottom"/>
            <w:gridSpan w:val="4"/>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33"/>
              <w:spacing w:after="0" w:line="183" w:lineRule="exact"/>
              <w:rPr>
                <w:sz w:val="20"/>
                <w:szCs w:val="20"/>
                <w:color w:val="auto"/>
              </w:rPr>
            </w:pPr>
            <w:r>
              <w:rPr>
                <w:rFonts w:ascii="Arial" w:cs="Arial" w:eastAsia="Arial" w:hAnsi="Arial"/>
                <w:sz w:val="18"/>
                <w:szCs w:val="18"/>
                <w:color w:val="auto"/>
              </w:rPr>
              <w:t>3</w:t>
            </w:r>
          </w:p>
        </w:tc>
        <w:tc>
          <w:tcPr>
            <w:tcW w:w="16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(34)</w:t>
            </w:r>
          </w:p>
        </w:tc>
        <w:tc>
          <w:tcPr>
            <w:tcW w:w="140" w:type="dxa"/>
            <w:vAlign w:val="bottom"/>
            <w:tcBorders>
              <w:right w:val="single" w:sz="8" w:color="CFF0FC"/>
            </w:tcBorders>
            <w:shd w:val="clear" w:color="auto" w:fill="CFF0FC"/>
          </w:tcPr>
          <w:p>
            <w:pPr>
              <w:spacing w:after="0"/>
              <w:rPr>
                <w:sz w:val="15"/>
                <w:szCs w:val="15"/>
                <w:color w:val="auto"/>
              </w:rPr>
            </w:pPr>
          </w:p>
        </w:tc>
        <w:tc>
          <w:tcPr>
            <w:tcW w:w="3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(37)</w:t>
            </w: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203"/>
        </w:trPr>
        <w:tc>
          <w:tcPr>
            <w:tcW w:w="54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16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(4)</w:t>
            </w:r>
          </w:p>
        </w:tc>
      </w:tr>
      <w:tr>
        <w:trPr>
          <w:trHeight w:val="203"/>
        </w:trPr>
        <w:tc>
          <w:tcPr>
            <w:tcW w:w="5440" w:type="dxa"/>
            <w:vAlign w:val="bottom"/>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w:t>
            </w:r>
          </w:p>
        </w:tc>
      </w:tr>
      <w:tr>
        <w:trPr>
          <w:trHeight w:val="196"/>
        </w:trPr>
        <w:tc>
          <w:tcPr>
            <w:tcW w:w="54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w:t>
            </w:r>
          </w:p>
        </w:tc>
        <w:tc>
          <w:tcPr>
            <w:tcW w:w="6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right w:val="single" w:sz="8" w:color="CFF0FC"/>
            </w:tcBorders>
            <w:shd w:val="clear" w:color="auto" w:fill="CFF0FC"/>
          </w:tcPr>
          <w:p>
            <w:pPr>
              <w:spacing w:after="0"/>
              <w:rPr>
                <w:sz w:val="17"/>
                <w:szCs w:val="17"/>
                <w:color w:val="auto"/>
              </w:rPr>
            </w:pPr>
          </w:p>
        </w:tc>
        <w:tc>
          <w:tcPr>
            <w:tcW w:w="300" w:type="dxa"/>
            <w:vAlign w:val="bottom"/>
            <w:tcBorders>
              <w:bottom w:val="single" w:sz="8" w:color="auto"/>
            </w:tcBorders>
            <w:gridSpan w:val="2"/>
            <w:shd w:val="clear" w:color="auto" w:fill="CFF0FC"/>
          </w:tcPr>
          <w:p>
            <w:pPr>
              <w:jc w:val="right"/>
              <w:ind w:right="20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5440" w:type="dxa"/>
            <w:vAlign w:val="bottom"/>
          </w:tcPr>
          <w:p>
            <w:pPr>
              <w:spacing w:after="0" w:line="196" w:lineRule="exact"/>
              <w:rPr>
                <w:sz w:val="20"/>
                <w:szCs w:val="20"/>
                <w:color w:val="auto"/>
              </w:rPr>
            </w:pPr>
            <w:r>
              <w:rPr>
                <w:rFonts w:ascii="Arial" w:cs="Arial" w:eastAsia="Arial" w:hAnsi="Arial"/>
                <w:sz w:val="18"/>
                <w:szCs w:val="18"/>
                <w:color w:val="auto"/>
              </w:rPr>
              <w:t>AOCL as of September 30, 2025</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(8)</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w w:val="79"/>
              </w:rPr>
              <w:t>$</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w:t>
            </w:r>
          </w:p>
        </w:tc>
        <w:tc>
          <w:tcPr>
            <w:tcW w:w="140" w:type="dxa"/>
            <w:vAlign w:val="bottom"/>
          </w:tcPr>
          <w:p>
            <w:pPr>
              <w:spacing w:after="0"/>
              <w:rPr>
                <w:sz w:val="17"/>
                <w:szCs w:val="17"/>
                <w:color w:val="auto"/>
              </w:rPr>
            </w:pPr>
          </w:p>
        </w:tc>
        <w:tc>
          <w:tcPr>
            <w:tcW w:w="30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45"/>
        </w:trPr>
        <w:tc>
          <w:tcPr>
            <w:tcW w:w="5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6"/>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left="79"/>
              <w:spacing w:after="0" w:line="147" w:lineRule="exact"/>
              <w:rPr>
                <w:sz w:val="20"/>
                <w:szCs w:val="20"/>
                <w:color w:val="auto"/>
              </w:rPr>
            </w:pPr>
            <w:r>
              <w:rPr>
                <w:rFonts w:ascii="Arial" w:cs="Arial" w:eastAsia="Arial" w:hAnsi="Arial"/>
                <w:sz w:val="14"/>
                <w:szCs w:val="14"/>
                <w:b w:val="1"/>
                <w:bCs w:val="1"/>
                <w:color w:val="auto"/>
              </w:rPr>
              <w:t>Pension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99"/>
              <w:spacing w:after="0"/>
              <w:rPr>
                <w:sz w:val="20"/>
                <w:szCs w:val="20"/>
                <w:color w:val="auto"/>
              </w:rPr>
            </w:pPr>
            <w:r>
              <w:rPr>
                <w:rFonts w:ascii="Arial" w:cs="Arial" w:eastAsia="Arial" w:hAnsi="Arial"/>
                <w:sz w:val="14"/>
                <w:szCs w:val="14"/>
                <w:b w:val="1"/>
                <w:bCs w:val="1"/>
                <w:color w:val="auto"/>
              </w:rPr>
              <w:t>and OPEB</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Foreign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center"/>
              <w:ind w:left="59"/>
              <w:spacing w:after="0"/>
              <w:rPr>
                <w:sz w:val="20"/>
                <w:szCs w:val="20"/>
                <w:color w:val="auto"/>
              </w:rPr>
            </w:pPr>
            <w:r>
              <w:rPr>
                <w:rFonts w:ascii="Arial" w:cs="Arial" w:eastAsia="Arial" w:hAnsi="Arial"/>
                <w:sz w:val="14"/>
                <w:szCs w:val="14"/>
                <w:b w:val="1"/>
                <w:bCs w:val="1"/>
                <w:color w:val="auto"/>
              </w:rPr>
              <w:t>liability</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currency</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Borders>
              <w:bottom w:val="single" w:sz="8" w:color="auto"/>
            </w:tcBorders>
            <w:gridSpan w:val="4"/>
          </w:tcPr>
          <w:p>
            <w:pPr>
              <w:jc w:val="center"/>
              <w:ind w:right="3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rate swaps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items</w:t>
            </w: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AOCL as of December 31, 2023</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11</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(40)</w:t>
            </w:r>
          </w:p>
        </w:tc>
        <w:tc>
          <w:tcPr>
            <w:tcW w:w="3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2"/>
        </w:trPr>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51"/>
              <w:spacing w:after="0" w:line="202" w:lineRule="exact"/>
              <w:rPr>
                <w:sz w:val="20"/>
                <w:szCs w:val="20"/>
                <w:color w:val="auto"/>
              </w:rPr>
            </w:pPr>
            <w:r>
              <w:rPr>
                <w:rFonts w:ascii="Arial" w:cs="Arial" w:eastAsia="Arial" w:hAnsi="Arial"/>
                <w:sz w:val="18"/>
                <w:szCs w:val="18"/>
                <w:color w:val="auto"/>
              </w:rPr>
              <w:t>7</w:t>
            </w:r>
          </w:p>
        </w:tc>
      </w:tr>
      <w:tr>
        <w:trPr>
          <w:trHeight w:val="203"/>
        </w:trPr>
        <w:tc>
          <w:tcPr>
            <w:tcW w:w="5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3"/>
          </w:tcPr>
          <w:p>
            <w:pPr>
              <w:jc w:val="right"/>
              <w:ind w:right="30"/>
              <w:spacing w:after="0" w:line="202" w:lineRule="exact"/>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color w:val="auto"/>
              </w:rPr>
              <w:t>1</w:t>
            </w: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(2)</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color w:val="auto"/>
              </w:rPr>
              <w:t>(6)</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54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6"/>
        </w:trPr>
        <w:tc>
          <w:tcPr>
            <w:tcW w:w="5440" w:type="dxa"/>
            <w:vAlign w:val="bottom"/>
          </w:tcPr>
          <w:p>
            <w:pPr>
              <w:spacing w:after="0" w:line="196" w:lineRule="exact"/>
              <w:rPr>
                <w:sz w:val="20"/>
                <w:szCs w:val="20"/>
                <w:color w:val="auto"/>
              </w:rPr>
            </w:pPr>
            <w:r>
              <w:rPr>
                <w:rFonts w:ascii="Arial" w:cs="Arial" w:eastAsia="Arial" w:hAnsi="Arial"/>
                <w:sz w:val="18"/>
                <w:szCs w:val="18"/>
                <w:color w:val="auto"/>
              </w:rPr>
              <w:t>AOCL as of September 30, 2024</w:t>
            </w:r>
          </w:p>
        </w:tc>
        <w:tc>
          <w:tcPr>
            <w:tcW w:w="140" w:type="dxa"/>
            <w:vAlign w:val="bottom"/>
          </w:tcPr>
          <w:p>
            <w:pPr>
              <w:spacing w:after="0"/>
              <w:rPr>
                <w:sz w:val="17"/>
                <w:szCs w:val="17"/>
                <w:color w:val="auto"/>
              </w:rPr>
            </w:pPr>
          </w:p>
        </w:tc>
        <w:tc>
          <w:tcPr>
            <w:tcW w:w="118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5</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(39)</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AOCL as of December 31, 2024</w:t>
            </w: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ind w:left="220"/>
              <w:spacing w:after="0" w:line="183" w:lineRule="exact"/>
              <w:rPr>
                <w:sz w:val="20"/>
                <w:szCs w:val="20"/>
                <w:color w:val="auto"/>
              </w:rPr>
            </w:pPr>
            <w:r>
              <w:rPr>
                <w:rFonts w:ascii="Arial" w:cs="Arial" w:eastAsia="Arial" w:hAnsi="Arial"/>
                <w:sz w:val="18"/>
                <w:szCs w:val="18"/>
                <w:color w:val="auto"/>
              </w:rPr>
              <w:t>$</w:t>
            </w:r>
          </w:p>
        </w:tc>
        <w:tc>
          <w:tcPr>
            <w:tcW w:w="3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tcBorders>
              <w:right w:val="single" w:sz="8" w:color="CFF0FC"/>
            </w:tcBorders>
            <w:gridSpan w:val="2"/>
            <w:shd w:val="clear" w:color="auto" w:fill="CFF0FC"/>
          </w:tcPr>
          <w:p>
            <w:pPr>
              <w:jc w:val="right"/>
              <w:ind w:right="140"/>
              <w:spacing w:after="0" w:line="183"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8"/>
                <w:szCs w:val="18"/>
                <w:color w:val="auto"/>
              </w:rPr>
              <w:t>$</w:t>
            </w:r>
          </w:p>
        </w:tc>
        <w:tc>
          <w:tcPr>
            <w:tcW w:w="1200" w:type="dxa"/>
            <w:vAlign w:val="bottom"/>
            <w:tcBorders>
              <w:right w:val="single" w:sz="8" w:color="CFF0FC"/>
            </w:tcBorders>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(53)</w:t>
            </w:r>
          </w:p>
        </w:tc>
        <w:tc>
          <w:tcPr>
            <w:tcW w:w="30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(51)</w:t>
            </w:r>
          </w:p>
        </w:tc>
      </w:tr>
      <w:tr>
        <w:trPr>
          <w:trHeight w:val="203"/>
        </w:trPr>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gridSpan w:val="4"/>
          </w:tcPr>
          <w:p>
            <w:pPr>
              <w:jc w:val="right"/>
              <w:ind w:right="240"/>
              <w:spacing w:after="0" w:line="202" w:lineRule="exact"/>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51"/>
              <w:spacing w:after="0" w:line="202" w:lineRule="exact"/>
              <w:rPr>
                <w:sz w:val="20"/>
                <w:szCs w:val="20"/>
                <w:color w:val="auto"/>
              </w:rPr>
            </w:pPr>
            <w:r>
              <w:rPr>
                <w:rFonts w:ascii="Arial" w:cs="Arial" w:eastAsia="Arial" w:hAnsi="Arial"/>
                <w:sz w:val="18"/>
                <w:szCs w:val="18"/>
                <w:b w:val="1"/>
                <w:bCs w:val="1"/>
                <w:color w:val="auto"/>
              </w:rPr>
              <w:t>19</w:t>
            </w:r>
          </w:p>
        </w:tc>
      </w:tr>
      <w:tr>
        <w:trPr>
          <w:trHeight w:val="203"/>
        </w:trPr>
        <w:tc>
          <w:tcPr>
            <w:tcW w:w="54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Amounts reclassified from AOCL</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0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w w:val="99"/>
              </w:rPr>
              <w:t>(6)</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0" w:type="dxa"/>
            <w:vAlign w:val="bottom"/>
            <w:tcBorders>
              <w:right w:val="single" w:sz="8" w:color="CFF0FC"/>
            </w:tcBorders>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w:t>
            </w:r>
          </w:p>
        </w:tc>
      </w:tr>
      <w:tr>
        <w:trPr>
          <w:trHeight w:val="203"/>
        </w:trPr>
        <w:tc>
          <w:tcPr>
            <w:tcW w:w="5440" w:type="dxa"/>
            <w:vAlign w:val="bottom"/>
          </w:tcPr>
          <w:p>
            <w:pPr>
              <w:ind w:left="160"/>
              <w:spacing w:after="0" w:line="202" w:lineRule="exact"/>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
              <w:spacing w:after="0" w:line="202" w:lineRule="exact"/>
              <w:rPr>
                <w:sz w:val="20"/>
                <w:szCs w:val="20"/>
                <w:color w:val="auto"/>
              </w:rPr>
            </w:pPr>
            <w:r>
              <w:rPr>
                <w:rFonts w:ascii="Arial" w:cs="Arial" w:eastAsia="Arial" w:hAnsi="Arial"/>
                <w:sz w:val="18"/>
                <w:szCs w:val="18"/>
                <w:b w:val="1"/>
                <w:bCs w:val="1"/>
                <w:color w:val="auto"/>
              </w:rPr>
              <w:t>1</w:t>
            </w:r>
          </w:p>
        </w:tc>
      </w:tr>
      <w:tr>
        <w:trPr>
          <w:trHeight w:val="196"/>
        </w:trPr>
        <w:tc>
          <w:tcPr>
            <w:tcW w:w="54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current period other comprehensive (loss) income</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gridSpan w:val="3"/>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w w:val="99"/>
              </w:rPr>
              <w:t>(5)</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FF0FC"/>
            </w:tcBorders>
            <w:gridSpan w:val="2"/>
            <w:shd w:val="clear" w:color="auto" w:fill="CFF0FC"/>
          </w:tcPr>
          <w:p>
            <w:pPr>
              <w:jc w:val="right"/>
              <w:ind w:right="60"/>
              <w:spacing w:after="0" w:line="196" w:lineRule="exact"/>
              <w:rPr>
                <w:sz w:val="20"/>
                <w:szCs w:val="20"/>
                <w:color w:val="auto"/>
              </w:rPr>
            </w:pPr>
            <w:r>
              <w:rPr>
                <w:rFonts w:ascii="Arial" w:cs="Arial" w:eastAsia="Arial" w:hAnsi="Arial"/>
                <w:sz w:val="18"/>
                <w:szCs w:val="18"/>
                <w:b w:val="1"/>
                <w:bCs w:val="1"/>
                <w:color w:val="auto"/>
              </w:rPr>
              <w:t>(5)</w:t>
            </w:r>
          </w:p>
        </w:tc>
        <w:tc>
          <w:tcPr>
            <w:tcW w:w="2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140" w:type="dxa"/>
            <w:vAlign w:val="bottom"/>
            <w:tcBorders>
              <w:right w:val="single" w:sz="8" w:color="CFF0FC"/>
            </w:tcBorders>
            <w:shd w:val="clear" w:color="auto" w:fill="CFF0FC"/>
          </w:tcPr>
          <w:p>
            <w:pPr>
              <w:spacing w:after="0"/>
              <w:rPr>
                <w:sz w:val="17"/>
                <w:szCs w:val="17"/>
                <w:color w:val="auto"/>
              </w:rPr>
            </w:pPr>
          </w:p>
        </w:tc>
        <w:tc>
          <w:tcPr>
            <w:tcW w:w="300" w:type="dxa"/>
            <w:vAlign w:val="bottom"/>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ind w:right="51"/>
              <w:spacing w:after="0" w:line="196" w:lineRule="exact"/>
              <w:rPr>
                <w:sz w:val="20"/>
                <w:szCs w:val="20"/>
                <w:color w:val="auto"/>
              </w:rPr>
            </w:pPr>
            <w:r>
              <w:rPr>
                <w:rFonts w:ascii="Arial" w:cs="Arial" w:eastAsia="Arial" w:hAnsi="Arial"/>
                <w:sz w:val="18"/>
                <w:szCs w:val="18"/>
                <w:b w:val="1"/>
                <w:bCs w:val="1"/>
                <w:color w:val="auto"/>
              </w:rPr>
              <w:t>8</w:t>
            </w:r>
          </w:p>
        </w:tc>
      </w:tr>
      <w:tr>
        <w:trPr>
          <w:trHeight w:val="20"/>
        </w:trPr>
        <w:tc>
          <w:tcPr>
            <w:tcW w:w="54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196"/>
        </w:trPr>
        <w:tc>
          <w:tcPr>
            <w:tcW w:w="5440" w:type="dxa"/>
            <w:vAlign w:val="bottom"/>
          </w:tcPr>
          <w:p>
            <w:pPr>
              <w:spacing w:after="0" w:line="196" w:lineRule="exact"/>
              <w:rPr>
                <w:sz w:val="20"/>
                <w:szCs w:val="20"/>
                <w:color w:val="auto"/>
              </w:rPr>
            </w:pPr>
            <w:r>
              <w:rPr>
                <w:rFonts w:ascii="Arial" w:cs="Arial" w:eastAsia="Arial" w:hAnsi="Arial"/>
                <w:sz w:val="18"/>
                <w:szCs w:val="18"/>
                <w:color w:val="auto"/>
              </w:rPr>
              <w:t>AOCL as of September 30, 2025</w:t>
            </w:r>
          </w:p>
        </w:tc>
        <w:tc>
          <w:tcPr>
            <w:tcW w:w="140" w:type="dxa"/>
            <w:vAlign w:val="bottom"/>
          </w:tcPr>
          <w:p>
            <w:pPr>
              <w:spacing w:after="0"/>
              <w:rPr>
                <w:sz w:val="17"/>
                <w:szCs w:val="17"/>
                <w:color w:val="auto"/>
              </w:rPr>
            </w:pPr>
          </w:p>
        </w:tc>
        <w:tc>
          <w:tcPr>
            <w:tcW w:w="1180" w:type="dxa"/>
            <w:vAlign w:val="bottom"/>
            <w:gridSpan w:val="2"/>
          </w:tcPr>
          <w:p>
            <w:pPr>
              <w:ind w:left="220"/>
              <w:spacing w:after="0" w:line="196" w:lineRule="exact"/>
              <w:rPr>
                <w:sz w:val="20"/>
                <w:szCs w:val="20"/>
                <w:color w:val="auto"/>
              </w:rPr>
            </w:pPr>
            <w:r>
              <w:rPr>
                <w:rFonts w:ascii="Arial" w:cs="Arial" w:eastAsia="Arial" w:hAnsi="Arial"/>
                <w:sz w:val="18"/>
                <w:szCs w:val="18"/>
                <w:b w:val="1"/>
                <w:bCs w:val="1"/>
                <w:color w:val="auto"/>
              </w:rPr>
              <w:t>$</w:t>
            </w:r>
          </w:p>
        </w:tc>
        <w:tc>
          <w:tcPr>
            <w:tcW w:w="3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(8)</w:t>
            </w:r>
          </w:p>
        </w:tc>
        <w:tc>
          <w:tcPr>
            <w:tcW w:w="1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12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(35)</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20"/>
        </w:trPr>
        <w:tc>
          <w:tcPr>
            <w:tcW w:w="5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-3265170</wp:posOffset>
            </wp:positionV>
            <wp:extent cx="946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-3265170</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-3265170</wp:posOffset>
            </wp:positionV>
            <wp:extent cx="857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-2451100</wp:posOffset>
            </wp:positionV>
            <wp:extent cx="946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-2451100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-2451100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-976630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-976630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-976630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-161925</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-161925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-161925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720" w:type="dxa"/>
            <w:vAlign w:val="bottom"/>
            <w:tcBorders>
              <w:bottom w:val="single" w:sz="8" w:color="auto"/>
            </w:tcBorders>
            <w:gridSpan w:val="4"/>
          </w:tcPr>
          <w:p>
            <w:pPr>
              <w:jc w:val="right"/>
              <w:ind w:right="542"/>
              <w:spacing w:after="0"/>
              <w:rPr>
                <w:sz w:val="20"/>
                <w:szCs w:val="20"/>
                <w:color w:val="auto"/>
              </w:rPr>
            </w:pPr>
            <w:r>
              <w:rPr>
                <w:rFonts w:ascii="Arial" w:cs="Arial" w:eastAsia="Arial" w:hAnsi="Arial"/>
                <w:sz w:val="14"/>
                <w:szCs w:val="14"/>
                <w:b w:val="1"/>
                <w:bCs w:val="1"/>
                <w:color w:val="auto"/>
              </w:rPr>
              <w:t>Amounts reclassified from AOCL</w:t>
            </w:r>
          </w:p>
        </w:tc>
        <w:tc>
          <w:tcPr>
            <w:tcW w:w="320" w:type="dxa"/>
            <w:vAlign w:val="bottom"/>
            <w:tcBorders>
              <w:bottom w:val="single" w:sz="8" w:color="auto"/>
            </w:tcBorders>
          </w:tcPr>
          <w:p>
            <w:pPr>
              <w:spacing w:after="0"/>
              <w:rPr>
                <w:sz w:val="14"/>
                <w:szCs w:val="14"/>
                <w:color w:val="auto"/>
              </w:rPr>
            </w:pPr>
          </w:p>
        </w:tc>
        <w:tc>
          <w:tcPr>
            <w:tcW w:w="3340" w:type="dxa"/>
            <w:vAlign w:val="bottom"/>
            <w:vMerge w:val="restart"/>
          </w:tcPr>
          <w:p>
            <w:pPr>
              <w:jc w:val="center"/>
              <w:ind w:left="97"/>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jc w:val="center"/>
              <w:ind w:left="77"/>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2025</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Borders>
              <w:bottom w:val="single" w:sz="8" w:color="auto"/>
            </w:tcBorders>
          </w:tcPr>
          <w:p>
            <w:pPr>
              <w:spacing w:after="0"/>
              <w:rPr>
                <w:sz w:val="14"/>
                <w:szCs w:val="14"/>
                <w:color w:val="auto"/>
              </w:rPr>
            </w:pPr>
          </w:p>
        </w:tc>
        <w:tc>
          <w:tcPr>
            <w:tcW w:w="3340" w:type="dxa"/>
            <w:vAlign w:val="bottom"/>
          </w:tcPr>
          <w:p>
            <w:pPr>
              <w:jc w:val="center"/>
              <w:ind w:left="77"/>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rate swaps</w:t>
            </w:r>
          </w:p>
        </w:tc>
        <w:tc>
          <w:tcPr>
            <w:tcW w:w="1640" w:type="dxa"/>
            <w:vAlign w:val="bottom"/>
            <w:shd w:val="clear" w:color="auto" w:fill="CFF0FC"/>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2</w:t>
            </w:r>
          </w:p>
        </w:tc>
        <w:tc>
          <w:tcPr>
            <w:tcW w:w="1780" w:type="dxa"/>
            <w:vAlign w:val="bottom"/>
            <w:gridSpan w:val="2"/>
            <w:shd w:val="clear" w:color="auto" w:fill="CFF0FC"/>
          </w:tcPr>
          <w:p>
            <w:pPr>
              <w:jc w:val="right"/>
              <w:ind w:right="1422"/>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w:t>
            </w:r>
          </w:p>
        </w:tc>
        <w:tc>
          <w:tcPr>
            <w:tcW w:w="3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credit</w:t>
            </w:r>
          </w:p>
        </w:tc>
        <w:tc>
          <w:tcPr>
            <w:tcW w:w="1640" w:type="dxa"/>
            <w:vAlign w:val="bottom"/>
          </w:tcPr>
          <w:p>
            <w:pPr>
              <w:spacing w:after="0"/>
              <w:rPr>
                <w:sz w:val="17"/>
                <w:szCs w:val="17"/>
                <w:color w:val="auto"/>
              </w:rPr>
            </w:pPr>
          </w:p>
        </w:tc>
        <w:tc>
          <w:tcPr>
            <w:tcW w:w="3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16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1640" w:type="dxa"/>
            <w:vAlign w:val="bottom"/>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7"/>
                <w:szCs w:val="17"/>
                <w:color w:val="auto"/>
              </w:rPr>
            </w:pPr>
          </w:p>
        </w:tc>
        <w:tc>
          <w:tcPr>
            <w:tcW w:w="1600" w:type="dxa"/>
            <w:vAlign w:val="bottom"/>
          </w:tcPr>
          <w:p>
            <w:pPr>
              <w:jc w:val="right"/>
              <w:ind w:right="1422"/>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w:t>
            </w:r>
          </w:p>
        </w:tc>
        <w:tc>
          <w:tcPr>
            <w:tcW w:w="3340" w:type="dxa"/>
            <w:vAlign w:val="bottom"/>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Income tax expense</w:t>
            </w:r>
          </w:p>
        </w:tc>
        <w:tc>
          <w:tcPr>
            <w:tcW w:w="164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w:t>
            </w:r>
          </w:p>
        </w:tc>
        <w:tc>
          <w:tcPr>
            <w:tcW w:w="180" w:type="dxa"/>
            <w:vAlign w:val="bottom"/>
            <w:tcBorders>
              <w:bottom w:val="single" w:sz="8" w:color="CFF0FC"/>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334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196"/>
        </w:trPr>
        <w:tc>
          <w:tcPr>
            <w:tcW w:w="3860" w:type="dxa"/>
            <w:vAlign w:val="bottom"/>
          </w:tcPr>
          <w:p>
            <w:pPr>
              <w:spacing w:after="0" w:line="196" w:lineRule="exact"/>
              <w:rPr>
                <w:sz w:val="20"/>
                <w:szCs w:val="20"/>
                <w:color w:val="auto"/>
              </w:rPr>
            </w:pPr>
            <w:r>
              <w:rPr>
                <w:rFonts w:ascii="Arial" w:cs="Arial" w:eastAsia="Arial" w:hAnsi="Arial"/>
                <w:sz w:val="18"/>
                <w:szCs w:val="18"/>
                <w:color w:val="auto"/>
              </w:rPr>
              <w:t>Total reclassifications, net of tax</w:t>
            </w:r>
          </w:p>
        </w:tc>
        <w:tc>
          <w:tcPr>
            <w:tcW w:w="1640" w:type="dxa"/>
            <w:vAlign w:val="bottom"/>
          </w:tcPr>
          <w:p>
            <w:pPr>
              <w:jc w:val="right"/>
              <w:ind w:right="1459"/>
              <w:spacing w:after="0" w:line="196" w:lineRule="exact"/>
              <w:rPr>
                <w:sz w:val="20"/>
                <w:szCs w:val="20"/>
                <w:color w:val="auto"/>
              </w:rPr>
            </w:pPr>
            <w:r>
              <w:rPr>
                <w:rFonts w:ascii="Arial" w:cs="Arial" w:eastAsia="Arial" w:hAnsi="Arial"/>
                <w:sz w:val="18"/>
                <w:szCs w:val="18"/>
                <w:b w:val="1"/>
                <w:bCs w:val="1"/>
                <w:color w:val="auto"/>
                <w:w w:val="79"/>
              </w:rPr>
              <w:t>$</w:t>
            </w:r>
          </w:p>
        </w:tc>
        <w:tc>
          <w:tcPr>
            <w:tcW w:w="30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3</w:t>
            </w:r>
          </w:p>
        </w:tc>
        <w:tc>
          <w:tcPr>
            <w:tcW w:w="1780" w:type="dxa"/>
            <w:vAlign w:val="bottom"/>
            <w:gridSpan w:val="2"/>
          </w:tcPr>
          <w:p>
            <w:pPr>
              <w:jc w:val="right"/>
              <w:ind w:right="142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w:t>
            </w: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8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38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-1028065</wp:posOffset>
            </wp:positionV>
            <wp:extent cx="1111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-1028065</wp:posOffset>
            </wp:positionV>
            <wp:extent cx="1111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37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Amounts reclassified from AOCL</w:t>
            </w:r>
          </w:p>
        </w:tc>
        <w:tc>
          <w:tcPr>
            <w:tcW w:w="340" w:type="dxa"/>
            <w:vAlign w:val="bottom"/>
            <w:tcBorders>
              <w:bottom w:val="single" w:sz="8" w:color="auto"/>
            </w:tcBorders>
          </w:tcPr>
          <w:p>
            <w:pPr>
              <w:spacing w:after="0"/>
              <w:rPr>
                <w:sz w:val="14"/>
                <w:szCs w:val="14"/>
                <w:color w:val="auto"/>
              </w:rPr>
            </w:pPr>
          </w:p>
        </w:tc>
        <w:tc>
          <w:tcPr>
            <w:tcW w:w="33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Affected line item in the Condensed</w:t>
            </w: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340" w:type="dxa"/>
            <w:vAlign w:val="bottom"/>
          </w:tcPr>
          <w:p>
            <w:pPr>
              <w:ind w:left="760"/>
              <w:spacing w:after="0" w:line="149" w:lineRule="exact"/>
              <w:rPr>
                <w:sz w:val="20"/>
                <w:szCs w:val="20"/>
                <w:color w:val="auto"/>
              </w:rPr>
            </w:pPr>
            <w:r>
              <w:rPr>
                <w:rFonts w:ascii="Arial" w:cs="Arial" w:eastAsia="Arial" w:hAnsi="Arial"/>
                <w:sz w:val="14"/>
                <w:szCs w:val="14"/>
                <w:b w:val="1"/>
                <w:bCs w:val="1"/>
                <w:color w:val="auto"/>
              </w:rPr>
              <w:t>Consolidated Statements of</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20"/>
                <w:szCs w:val="20"/>
                <w:color w:val="auto"/>
              </w:rPr>
            </w:pPr>
            <w:r>
              <w:rPr>
                <w:rFonts w:ascii="Arial" w:cs="Arial" w:eastAsia="Arial" w:hAnsi="Arial"/>
                <w:sz w:val="14"/>
                <w:szCs w:val="14"/>
                <w:b w:val="1"/>
                <w:bCs w:val="1"/>
                <w:color w:val="auto"/>
              </w:rPr>
              <w:t>AOCL Components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2025</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Borders>
              <w:bottom w:val="single" w:sz="8" w:color="auto"/>
            </w:tcBorders>
          </w:tcPr>
          <w:p>
            <w:pPr>
              <w:spacing w:after="0"/>
              <w:rPr>
                <w:sz w:val="14"/>
                <w:szCs w:val="14"/>
                <w:color w:val="auto"/>
              </w:rPr>
            </w:pPr>
          </w:p>
        </w:tc>
        <w:tc>
          <w:tcPr>
            <w:tcW w:w="3340" w:type="dxa"/>
            <w:vAlign w:val="bottom"/>
          </w:tcPr>
          <w:p>
            <w:pPr>
              <w:ind w:left="940"/>
              <w:spacing w:after="0"/>
              <w:rPr>
                <w:sz w:val="20"/>
                <w:szCs w:val="20"/>
                <w:color w:val="auto"/>
              </w:rPr>
            </w:pPr>
            <w:r>
              <w:rPr>
                <w:rFonts w:ascii="Arial" w:cs="Arial" w:eastAsia="Arial" w:hAnsi="Arial"/>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ind w:left="100"/>
              <w:spacing w:after="0" w:line="196" w:lineRule="exact"/>
              <w:rPr>
                <w:sz w:val="20"/>
                <w:szCs w:val="20"/>
                <w:color w:val="auto"/>
              </w:rPr>
            </w:pPr>
            <w:r>
              <w:rPr>
                <w:rFonts w:ascii="Arial" w:cs="Arial" w:eastAsia="Arial" w:hAnsi="Arial"/>
                <w:sz w:val="18"/>
                <w:szCs w:val="18"/>
                <w:color w:val="auto"/>
              </w:rPr>
              <w:t>Interest rate swaps</w:t>
            </w:r>
          </w:p>
        </w:tc>
        <w:tc>
          <w:tcPr>
            <w:tcW w:w="1600" w:type="dxa"/>
            <w:vAlign w:val="bottom"/>
            <w:shd w:val="clear" w:color="auto" w:fill="CFF0FC"/>
          </w:tcPr>
          <w:p>
            <w:pPr>
              <w:jc w:val="right"/>
              <w:ind w:right="1419"/>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6</w:t>
            </w:r>
          </w:p>
        </w:tc>
        <w:tc>
          <w:tcPr>
            <w:tcW w:w="1760" w:type="dxa"/>
            <w:vAlign w:val="bottom"/>
            <w:gridSpan w:val="2"/>
            <w:shd w:val="clear" w:color="auto" w:fill="CFF0FC"/>
          </w:tcPr>
          <w:p>
            <w:pPr>
              <w:jc w:val="right"/>
              <w:ind w:right="140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10</w:t>
            </w:r>
          </w:p>
        </w:tc>
        <w:tc>
          <w:tcPr>
            <w:tcW w:w="3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Interest expense, net</w:t>
            </w:r>
          </w:p>
        </w:tc>
        <w:tc>
          <w:tcPr>
            <w:tcW w:w="0" w:type="dxa"/>
            <w:vAlign w:val="bottom"/>
          </w:tcPr>
          <w:p>
            <w:pPr>
              <w:spacing w:after="0"/>
              <w:rPr>
                <w:sz w:val="1"/>
                <w:szCs w:val="1"/>
                <w:color w:val="auto"/>
              </w:rPr>
            </w:pPr>
          </w:p>
        </w:tc>
      </w:tr>
      <w:tr>
        <w:trPr>
          <w:trHeight w:val="203"/>
        </w:trPr>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Prior service credit</w:t>
            </w:r>
          </w:p>
        </w:tc>
        <w:tc>
          <w:tcPr>
            <w:tcW w:w="160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86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Recognized actuarial gain</w:t>
            </w:r>
          </w:p>
        </w:tc>
        <w:tc>
          <w:tcPr>
            <w:tcW w:w="16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334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03"/>
        </w:trPr>
        <w:tc>
          <w:tcPr>
            <w:tcW w:w="3860" w:type="dxa"/>
            <w:vAlign w:val="bottom"/>
          </w:tcPr>
          <w:p>
            <w:pPr>
              <w:ind w:left="100"/>
              <w:spacing w:after="0" w:line="202" w:lineRule="exact"/>
              <w:rPr>
                <w:sz w:val="20"/>
                <w:szCs w:val="20"/>
                <w:color w:val="auto"/>
              </w:rPr>
            </w:pPr>
            <w:r>
              <w:rPr>
                <w:rFonts w:ascii="Arial" w:cs="Arial" w:eastAsia="Arial" w:hAnsi="Arial"/>
                <w:sz w:val="18"/>
                <w:szCs w:val="18"/>
                <w:color w:val="auto"/>
              </w:rPr>
              <w:t>Pension settlement loss</w:t>
            </w:r>
          </w:p>
        </w:tc>
        <w:tc>
          <w:tcPr>
            <w:tcW w:w="1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9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reclassifications, before tax</w:t>
            </w:r>
          </w:p>
        </w:tc>
        <w:tc>
          <w:tcPr>
            <w:tcW w:w="1600" w:type="dxa"/>
            <w:vAlign w:val="bottom"/>
            <w:shd w:val="clear" w:color="auto" w:fill="CFF0FC"/>
          </w:tcPr>
          <w:p>
            <w:pPr>
              <w:jc w:val="right"/>
              <w:ind w:right="1419"/>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99"/>
              </w:rPr>
              <w:t>12</w:t>
            </w:r>
          </w:p>
        </w:tc>
        <w:tc>
          <w:tcPr>
            <w:tcW w:w="1760" w:type="dxa"/>
            <w:vAlign w:val="bottom"/>
            <w:gridSpan w:val="2"/>
            <w:shd w:val="clear" w:color="auto" w:fill="CFF0FC"/>
          </w:tcPr>
          <w:p>
            <w:pPr>
              <w:jc w:val="right"/>
              <w:ind w:right="140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15</w:t>
            </w:r>
          </w:p>
        </w:tc>
        <w:tc>
          <w:tcPr>
            <w:tcW w:w="3340" w:type="dxa"/>
            <w:vAlign w:val="bottom"/>
            <w:shd w:val="clear" w:color="auto" w:fill="CFF0FC"/>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1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w:t>
            </w:r>
          </w:p>
        </w:tc>
        <w:tc>
          <w:tcPr>
            <w:tcW w:w="18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c>
          <w:tcPr>
            <w:tcW w:w="3340" w:type="dxa"/>
            <w:vAlign w:val="bottom"/>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reclassifications, net of tax</w:t>
            </w:r>
          </w:p>
        </w:tc>
        <w:tc>
          <w:tcPr>
            <w:tcW w:w="1600" w:type="dxa"/>
            <w:vAlign w:val="bottom"/>
            <w:shd w:val="clear" w:color="auto" w:fill="CFF0FC"/>
          </w:tcPr>
          <w:p>
            <w:pPr>
              <w:jc w:val="right"/>
              <w:ind w:right="1419"/>
              <w:spacing w:after="0" w:line="196" w:lineRule="exact"/>
              <w:rPr>
                <w:sz w:val="20"/>
                <w:szCs w:val="20"/>
                <w:color w:val="auto"/>
              </w:rPr>
            </w:pPr>
            <w:r>
              <w:rPr>
                <w:rFonts w:ascii="Arial" w:cs="Arial" w:eastAsia="Arial" w:hAnsi="Arial"/>
                <w:sz w:val="18"/>
                <w:szCs w:val="18"/>
                <w:b w:val="1"/>
                <w:bCs w:val="1"/>
                <w:color w:val="auto"/>
                <w:w w:val="79"/>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rPr>
              <w:t>9</w:t>
            </w:r>
          </w:p>
        </w:tc>
        <w:tc>
          <w:tcPr>
            <w:tcW w:w="1760" w:type="dxa"/>
            <w:vAlign w:val="bottom"/>
            <w:gridSpan w:val="2"/>
            <w:shd w:val="clear" w:color="auto" w:fill="CFF0FC"/>
          </w:tcPr>
          <w:p>
            <w:pPr>
              <w:jc w:val="right"/>
              <w:ind w:right="1408"/>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12</w:t>
            </w:r>
          </w:p>
        </w:tc>
        <w:tc>
          <w:tcPr>
            <w:tcW w:w="3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3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-24765</wp:posOffset>
            </wp:positionV>
            <wp:extent cx="1111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-7620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1111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1111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9" w:lineRule="exact"/>
        <w:rPr>
          <w:sz w:val="20"/>
          <w:szCs w:val="20"/>
          <w:color w:val="auto"/>
        </w:rPr>
      </w:pPr>
    </w:p>
    <w:p>
      <w:pPr>
        <w:ind w:right="120" w:firstLine="494"/>
        <w:spacing w:after="0" w:line="271" w:lineRule="auto"/>
        <w:rPr>
          <w:sz w:val="20"/>
          <w:szCs w:val="20"/>
          <w:color w:val="auto"/>
        </w:rPr>
      </w:pPr>
      <w:r>
        <w:rPr>
          <w:rFonts w:ascii="Arial" w:cs="Arial" w:eastAsia="Arial" w:hAnsi="Arial"/>
          <w:sz w:val="18"/>
          <w:szCs w:val="18"/>
          <w:color w:val="auto"/>
        </w:rPr>
        <w:t>Prior service credits and actuarial gains are included in the computation of the Company’s net periodic benefit cost (credit). See "Note M. Employee Benefit Plans” for additional details.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COMMITMENTS AND CONTINGENCIES</w:t>
      </w:r>
    </w:p>
    <w:p>
      <w:pPr>
        <w:spacing w:after="0" w:line="104" w:lineRule="exact"/>
        <w:rPr>
          <w:sz w:val="20"/>
          <w:szCs w:val="20"/>
          <w:color w:val="auto"/>
        </w:rPr>
      </w:pPr>
    </w:p>
    <w:p>
      <w:pPr>
        <w:ind w:right="220" w:firstLine="494"/>
        <w:spacing w:after="0" w:line="244"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EARNINGS PER SHARE</w:t>
      </w:r>
    </w:p>
    <w:p>
      <w:pPr>
        <w:spacing w:after="0" w:line="104"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The following table reconciles the numerators and denominators used to calculate basic EPS and diluted EPS (in millions,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212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4"/>
          </w:tcPr>
          <w:p>
            <w:pPr>
              <w:jc w:val="right"/>
              <w:ind w:right="128"/>
              <w:spacing w:after="0"/>
              <w:rPr>
                <w:sz w:val="20"/>
                <w:szCs w:val="20"/>
                <w:color w:val="auto"/>
              </w:rPr>
            </w:pPr>
            <w:r>
              <w:rPr>
                <w:rFonts w:ascii="Arial" w:cs="Arial" w:eastAsia="Arial" w:hAnsi="Arial"/>
                <w:sz w:val="14"/>
                <w:szCs w:val="14"/>
                <w:b w:val="1"/>
                <w:bCs w:val="1"/>
                <w:color w:val="auto"/>
              </w:rPr>
              <w:t>Nine Months Ended</w:t>
            </w:r>
          </w:p>
        </w:tc>
        <w:tc>
          <w:tcPr>
            <w:tcW w:w="520" w:type="dxa"/>
            <w:vAlign w:val="bottom"/>
          </w:tcPr>
          <w:p>
            <w:pPr>
              <w:spacing w:after="0"/>
              <w:rPr>
                <w:sz w:val="14"/>
                <w:szCs w:val="14"/>
                <w:color w:val="auto"/>
              </w:rPr>
            </w:pPr>
          </w:p>
        </w:tc>
      </w:tr>
      <w:tr>
        <w:trPr>
          <w:trHeight w:val="171"/>
        </w:trPr>
        <w:tc>
          <w:tcPr>
            <w:tcW w:w="58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r>
      <w:tr>
        <w:trPr>
          <w:trHeight w:val="155"/>
        </w:trPr>
        <w:tc>
          <w:tcPr>
            <w:tcW w:w="58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3"/>
                <w:szCs w:val="13"/>
                <w:color w:val="auto"/>
              </w:rPr>
            </w:pPr>
          </w:p>
        </w:tc>
      </w:tr>
      <w:tr>
        <w:trPr>
          <w:trHeight w:val="236"/>
        </w:trPr>
        <w:tc>
          <w:tcPr>
            <w:tcW w:w="582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137</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200</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524</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556</w:t>
            </w:r>
          </w:p>
        </w:tc>
      </w:tr>
      <w:tr>
        <w:trPr>
          <w:trHeight w:val="183"/>
        </w:trPr>
        <w:tc>
          <w:tcPr>
            <w:tcW w:w="58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Weighted average shares of common stock outstanding</w:t>
            </w:r>
          </w:p>
        </w:tc>
        <w:tc>
          <w:tcPr>
            <w:tcW w:w="7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b w:val="1"/>
                <w:bCs w:val="1"/>
                <w:color w:val="auto"/>
              </w:rPr>
              <w:t>84</w:t>
            </w:r>
          </w:p>
        </w:tc>
        <w:tc>
          <w:tcPr>
            <w:tcW w:w="120" w:type="dxa"/>
            <w:vAlign w:val="bottom"/>
            <w:tcBorders>
              <w:top w:val="single" w:sz="8" w:color="CFF0FC"/>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30"/>
              <w:spacing w:after="0" w:line="183" w:lineRule="exact"/>
              <w:rPr>
                <w:sz w:val="20"/>
                <w:szCs w:val="20"/>
                <w:color w:val="auto"/>
              </w:rPr>
            </w:pPr>
            <w:r>
              <w:rPr>
                <w:rFonts w:ascii="Arial" w:cs="Arial" w:eastAsia="Arial" w:hAnsi="Arial"/>
                <w:sz w:val="18"/>
                <w:szCs w:val="18"/>
                <w:color w:val="auto"/>
              </w:rPr>
              <w:t>87</w:t>
            </w: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33"/>
              <w:spacing w:after="0" w:line="183" w:lineRule="exact"/>
              <w:rPr>
                <w:sz w:val="20"/>
                <w:szCs w:val="20"/>
                <w:color w:val="auto"/>
              </w:rPr>
            </w:pPr>
            <w:r>
              <w:rPr>
                <w:rFonts w:ascii="Arial" w:cs="Arial" w:eastAsia="Arial" w:hAnsi="Arial"/>
                <w:sz w:val="18"/>
                <w:szCs w:val="18"/>
                <w:b w:val="1"/>
                <w:bCs w:val="1"/>
                <w:color w:val="auto"/>
              </w:rPr>
              <w:t>84</w:t>
            </w:r>
          </w:p>
        </w:tc>
        <w:tc>
          <w:tcPr>
            <w:tcW w:w="14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50"/>
              <w:spacing w:after="0" w:line="183" w:lineRule="exact"/>
              <w:rPr>
                <w:sz w:val="20"/>
                <w:szCs w:val="20"/>
                <w:color w:val="auto"/>
              </w:rPr>
            </w:pPr>
            <w:r>
              <w:rPr>
                <w:rFonts w:ascii="Arial" w:cs="Arial" w:eastAsia="Arial" w:hAnsi="Arial"/>
                <w:sz w:val="18"/>
                <w:szCs w:val="18"/>
                <w:color w:val="auto"/>
              </w:rPr>
              <w:t>87</w:t>
            </w:r>
          </w:p>
        </w:tc>
      </w:tr>
      <w:tr>
        <w:trPr>
          <w:trHeight w:val="203"/>
        </w:trPr>
        <w:tc>
          <w:tcPr>
            <w:tcW w:w="582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Dilutive effect of stock-based awards</w:t>
            </w:r>
          </w:p>
        </w:tc>
        <w:tc>
          <w:tcPr>
            <w:tcW w:w="7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w:t>
            </w:r>
          </w:p>
        </w:tc>
      </w:tr>
      <w:tr>
        <w:trPr>
          <w:trHeight w:val="196"/>
        </w:trPr>
        <w:tc>
          <w:tcPr>
            <w:tcW w:w="5820" w:type="dxa"/>
            <w:vAlign w:val="bottom"/>
          </w:tcPr>
          <w:p>
            <w:pPr>
              <w:ind w:left="160"/>
              <w:spacing w:after="0" w:line="196" w:lineRule="exact"/>
              <w:rPr>
                <w:sz w:val="20"/>
                <w:szCs w:val="20"/>
                <w:color w:val="auto"/>
              </w:rPr>
            </w:pPr>
            <w:r>
              <w:rPr>
                <w:rFonts w:ascii="Arial" w:cs="Arial" w:eastAsia="Arial" w:hAnsi="Arial"/>
                <w:sz w:val="18"/>
                <w:szCs w:val="18"/>
                <w:color w:val="auto"/>
              </w:rPr>
              <w:t>Diluted weighted average shares of common stock outstanding</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88</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b w:val="1"/>
                <w:bCs w:val="1"/>
                <w:color w:val="auto"/>
              </w:rPr>
              <w:t>85</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88</w:t>
            </w:r>
          </w:p>
        </w:tc>
      </w:tr>
      <w:tr>
        <w:trPr>
          <w:trHeight w:val="20"/>
        </w:trPr>
        <w:tc>
          <w:tcPr>
            <w:tcW w:w="58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3"/>
        </w:trPr>
        <w:tc>
          <w:tcPr>
            <w:tcW w:w="5820" w:type="dxa"/>
            <w:vAlign w:val="bottom"/>
            <w:tcBorders>
              <w:right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Basic earnings per share attributable to common stockholders</w:t>
            </w:r>
          </w:p>
        </w:tc>
        <w:tc>
          <w:tcPr>
            <w:tcW w:w="720" w:type="dxa"/>
            <w:vAlign w:val="bottom"/>
            <w:shd w:val="clear" w:color="auto" w:fill="CFF0FC"/>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2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1.63</w:t>
            </w:r>
          </w:p>
        </w:tc>
        <w:tc>
          <w:tcPr>
            <w:tcW w:w="880" w:type="dxa"/>
            <w:vAlign w:val="bottom"/>
            <w:gridSpan w:val="2"/>
            <w:shd w:val="clear" w:color="auto" w:fill="CFF0FC"/>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2.30</w:t>
            </w:r>
          </w:p>
        </w:tc>
        <w:tc>
          <w:tcPr>
            <w:tcW w:w="880" w:type="dxa"/>
            <w:vAlign w:val="bottom"/>
            <w:gridSpan w:val="2"/>
            <w:shd w:val="clear" w:color="auto" w:fill="CFF0FC"/>
          </w:tcPr>
          <w:p>
            <w:pPr>
              <w:jc w:val="right"/>
              <w:ind w:right="568"/>
              <w:spacing w:after="0" w:line="182" w:lineRule="exact"/>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6.24</w:t>
            </w:r>
          </w:p>
        </w:tc>
        <w:tc>
          <w:tcPr>
            <w:tcW w:w="880" w:type="dxa"/>
            <w:vAlign w:val="bottom"/>
            <w:gridSpan w:val="2"/>
            <w:shd w:val="clear" w:color="auto" w:fill="CFF0FC"/>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rPr>
              <w:t>6.39</w:t>
            </w:r>
          </w:p>
        </w:tc>
      </w:tr>
      <w:tr>
        <w:trPr>
          <w:trHeight w:val="20"/>
        </w:trPr>
        <w:tc>
          <w:tcPr>
            <w:tcW w:w="58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r>
      <w:tr>
        <w:trPr>
          <w:trHeight w:val="183"/>
        </w:trPr>
        <w:tc>
          <w:tcPr>
            <w:tcW w:w="5820" w:type="dxa"/>
            <w:vAlign w:val="bottom"/>
          </w:tcPr>
          <w:p>
            <w:pPr>
              <w:ind w:left="160"/>
              <w:spacing w:after="0" w:line="182" w:lineRule="exact"/>
              <w:rPr>
                <w:sz w:val="20"/>
                <w:szCs w:val="20"/>
                <w:color w:val="auto"/>
              </w:rPr>
            </w:pPr>
            <w:r>
              <w:rPr>
                <w:rFonts w:ascii="Arial" w:cs="Arial" w:eastAsia="Arial" w:hAnsi="Arial"/>
                <w:sz w:val="18"/>
                <w:szCs w:val="18"/>
                <w:color w:val="auto"/>
              </w:rPr>
              <w:t>Diluted earnings per share attributable to common stockholders</w:t>
            </w:r>
          </w:p>
        </w:tc>
        <w:tc>
          <w:tcPr>
            <w:tcW w:w="720" w:type="dxa"/>
            <w:vAlign w:val="bottom"/>
          </w:tcPr>
          <w:p>
            <w:pPr>
              <w:jc w:val="right"/>
              <w:ind w:right="56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1.63</w:t>
            </w:r>
          </w:p>
        </w:tc>
        <w:tc>
          <w:tcPr>
            <w:tcW w:w="880" w:type="dxa"/>
            <w:vAlign w:val="bottom"/>
            <w:gridSpan w:val="2"/>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2.27</w:t>
            </w:r>
          </w:p>
        </w:tc>
        <w:tc>
          <w:tcPr>
            <w:tcW w:w="880" w:type="dxa"/>
            <w:vAlign w:val="bottom"/>
            <w:gridSpan w:val="2"/>
          </w:tcPr>
          <w:p>
            <w:pPr>
              <w:jc w:val="right"/>
              <w:ind w:right="568"/>
              <w:spacing w:after="0" w:line="182" w:lineRule="exact"/>
              <w:rPr>
                <w:sz w:val="20"/>
                <w:szCs w:val="20"/>
                <w:color w:val="auto"/>
              </w:rPr>
            </w:pPr>
            <w:r>
              <w:rPr>
                <w:rFonts w:ascii="Arial" w:cs="Arial" w:eastAsia="Arial" w:hAnsi="Arial"/>
                <w:sz w:val="18"/>
                <w:szCs w:val="18"/>
                <w:b w:val="1"/>
                <w:bCs w:val="1"/>
                <w:color w:val="auto"/>
              </w:rPr>
              <w:t>$</w:t>
            </w:r>
          </w:p>
        </w:tc>
        <w:tc>
          <w:tcPr>
            <w:tcW w:w="52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6.16</w:t>
            </w:r>
          </w:p>
        </w:tc>
        <w:tc>
          <w:tcPr>
            <w:tcW w:w="880" w:type="dxa"/>
            <w:vAlign w:val="bottom"/>
            <w:gridSpan w:val="2"/>
          </w:tcPr>
          <w:p>
            <w:pPr>
              <w:jc w:val="right"/>
              <w:ind w:right="568"/>
              <w:spacing w:after="0" w:line="182" w:lineRule="exact"/>
              <w:rPr>
                <w:sz w:val="20"/>
                <w:szCs w:val="20"/>
                <w:color w:val="auto"/>
              </w:rPr>
            </w:pPr>
            <w:r>
              <w:rPr>
                <w:rFonts w:ascii="Arial" w:cs="Arial" w:eastAsia="Arial" w:hAnsi="Arial"/>
                <w:sz w:val="18"/>
                <w:szCs w:val="18"/>
                <w:color w:val="auto"/>
              </w:rPr>
              <w:t>$</w:t>
            </w:r>
          </w:p>
        </w:tc>
        <w:tc>
          <w:tcPr>
            <w:tcW w:w="520" w:type="dxa"/>
            <w:vAlign w:val="bottom"/>
          </w:tcPr>
          <w:p>
            <w:pPr>
              <w:jc w:val="right"/>
              <w:ind w:right="50"/>
              <w:spacing w:after="0" w:line="182" w:lineRule="exact"/>
              <w:rPr>
                <w:sz w:val="20"/>
                <w:szCs w:val="20"/>
                <w:color w:val="auto"/>
              </w:rPr>
            </w:pPr>
            <w:r>
              <w:rPr>
                <w:rFonts w:ascii="Arial" w:cs="Arial" w:eastAsia="Arial" w:hAnsi="Arial"/>
                <w:sz w:val="18"/>
                <w:szCs w:val="18"/>
                <w:color w:val="auto"/>
              </w:rPr>
              <w:t>6.32</w:t>
            </w:r>
          </w:p>
        </w:tc>
      </w:tr>
      <w:tr>
        <w:trPr>
          <w:trHeight w:val="20"/>
        </w:trPr>
        <w:tc>
          <w:tcPr>
            <w:tcW w:w="5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-753745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-736600</wp:posOffset>
            </wp:positionV>
            <wp:extent cx="857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-753745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-736600</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-753745</wp:posOffset>
            </wp:positionV>
            <wp:extent cx="8572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-736600</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-471170</wp:posOffset>
            </wp:positionV>
            <wp:extent cx="857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-471170</wp:posOffset>
            </wp:positionV>
            <wp:extent cx="857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-179705</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-162560</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-179705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-179705</wp:posOffset>
            </wp:positionV>
            <wp:extent cx="857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-162560</wp:posOffset>
            </wp:positionV>
            <wp:extent cx="857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9" w:lineRule="exact"/>
        <w:rPr>
          <w:sz w:val="20"/>
          <w:szCs w:val="20"/>
          <w:color w:val="auto"/>
        </w:rPr>
      </w:pPr>
    </w:p>
    <w:p>
      <w:pPr>
        <w:ind w:right="20" w:firstLine="494"/>
        <w:spacing w:after="0" w:line="242" w:lineRule="auto"/>
        <w:rPr>
          <w:sz w:val="20"/>
          <w:szCs w:val="20"/>
          <w:color w:val="auto"/>
        </w:rPr>
      </w:pPr>
      <w:r>
        <w:rPr>
          <w:rFonts w:ascii="Arial" w:cs="Arial" w:eastAsia="Arial" w:hAnsi="Arial"/>
          <w:sz w:val="18"/>
          <w:szCs w:val="18"/>
          <w:color w:val="auto"/>
        </w:rPr>
        <w:t>The dilutive impact of stock-based compensation is calculated using the treasury stock method. The treasury stock method assumes that the Company uses the proceeds from the exercise of awards to repurchase common stock at the average market price during the period. For each of the three and nine months ended September 30, 2025 and 2024, there were no outstanding stock options that were anti-dilutive and excluded from the diluted EPS calculation. Basic and diluted EPS for the full-year are calculated using the weighted average shares of common stock outstanding during the year while quarterly basic and diluted EPS are calculated using the weighted average shares of common stock outstanding during the quarter; therefore, the sum of each quarter's EPS may not equal full-year EPS.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COMMON STOCK</w:t>
      </w:r>
    </w:p>
    <w:p>
      <w:pPr>
        <w:spacing w:after="0" w:line="104" w:lineRule="exact"/>
        <w:rPr>
          <w:sz w:val="20"/>
          <w:szCs w:val="20"/>
          <w:color w:val="auto"/>
        </w:rPr>
      </w:pPr>
    </w:p>
    <w:p>
      <w:pPr>
        <w:ind w:right="80" w:firstLine="494"/>
        <w:spacing w:after="0" w:line="253" w:lineRule="auto"/>
        <w:rPr>
          <w:sz w:val="20"/>
          <w:szCs w:val="20"/>
          <w:color w:val="auto"/>
        </w:rPr>
      </w:pPr>
      <w:r>
        <w:rPr>
          <w:rFonts w:ascii="Arial" w:cs="Arial" w:eastAsia="Arial" w:hAnsi="Arial"/>
          <w:sz w:val="18"/>
          <w:szCs w:val="18"/>
          <w:color w:val="auto"/>
        </w:rPr>
        <w:t>On February 20, 2025, the Board of Directors authorized the Company to repurchase an additional $1,000 million of its common stock pursuant to the Company's stock repurchase program (the "Repurchase Program"), bringing the total amount authorized pursuant to the Repurchase Program to $5,000 million.</w:t>
      </w:r>
    </w:p>
    <w:p>
      <w:pPr>
        <w:spacing w:after="0" w:line="61"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During the three and nine months ended September 30, 2025, the Company repurchased approximately $27 million and $283 million, respectively, of its common stock under the Repurchase Program, leaving $1,236 million of authorized repurchases remaining under the Repurchase Program as of September 30, 2025. The Repurchase Program has no termination date, and the timing and amount of stock purchases are subject to market conditions and corporate needs. The Repurchase Program may be modified, suspended or discontinued at any time at the Company’s discretion.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 SEGMENT INFORMATION</w:t>
      </w:r>
    </w:p>
    <w:p>
      <w:pPr>
        <w:spacing w:after="0" w:line="117" w:lineRule="exact"/>
        <w:rPr>
          <w:sz w:val="20"/>
          <w:szCs w:val="20"/>
          <w:color w:val="auto"/>
        </w:rPr>
      </w:pPr>
    </w:p>
    <w:p>
      <w:pPr>
        <w:ind w:right="40" w:firstLine="494"/>
        <w:spacing w:after="0" w:line="253" w:lineRule="auto"/>
        <w:rPr>
          <w:sz w:val="20"/>
          <w:szCs w:val="20"/>
          <w:color w:val="auto"/>
        </w:rPr>
      </w:pPr>
      <w:r>
        <w:rPr>
          <w:rFonts w:ascii="Arial" w:cs="Arial" w:eastAsia="Arial" w:hAnsi="Arial"/>
          <w:sz w:val="18"/>
          <w:szCs w:val="18"/>
          <w:color w:val="auto"/>
        </w:rPr>
        <w:t>In accordance with the FASB’s authoritative accounting guidance on segment reporting, the Company has one operating segment and reportable segment. The Company is managed by the Chief Operating Decision Maker ("CODM") based on its one line of business, the design, manufacture and distribution of vehicle propulsion solutions.</w:t>
      </w:r>
    </w:p>
    <w:p>
      <w:pPr>
        <w:spacing w:after="0" w:line="61"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The Company’s CODM is its Chair, President and Chief Executive Officer. The CODM evaluates Company performance and makes decisions on the allocation of resources based on Net income, a GAAP measure, and Adjusted Earnings before Interest, Taxes, Depreciation, and Amortization (“EBITDA”), a non-GAAP measure. The most directly comparable GAAP measure to Adjusted EBITDA is Net income. The Company believes that Net income and Adjusted EBITDA provide management, investors and creditors with useful measures of the operational results of its business and increase the period-to-period comparability of the Company's operating profitability and comparability with other companies.</w:t>
      </w:r>
    </w:p>
    <w:p>
      <w:pPr>
        <w:spacing w:after="0" w:line="71" w:lineRule="exact"/>
        <w:rPr>
          <w:sz w:val="20"/>
          <w:szCs w:val="20"/>
          <w:color w:val="auto"/>
        </w:rPr>
      </w:pPr>
    </w:p>
    <w:p>
      <w:pPr>
        <w:ind w:right="60" w:firstLine="494"/>
        <w:spacing w:after="0" w:line="244" w:lineRule="auto"/>
        <w:rPr>
          <w:sz w:val="20"/>
          <w:szCs w:val="20"/>
          <w:color w:val="auto"/>
        </w:rPr>
      </w:pPr>
      <w:r>
        <w:rPr>
          <w:rFonts w:ascii="Arial" w:cs="Arial" w:eastAsia="Arial" w:hAnsi="Arial"/>
          <w:sz w:val="18"/>
          <w:szCs w:val="18"/>
          <w:color w:val="auto"/>
        </w:rPr>
        <w:t xml:space="preserve">The CODM assesses Company performance utilizing Net income and Adjusted EBITDA by comparing budget versus actual and year-over-year variances. Certain variances identified in the analysis of Net income and Adjusted EBITDA are evaluated to assist the CODM in assessing Company performance and making decisions on the allocation of Company resources. The following expenses included in Net income and Adjusted EBITDA are identified as significant expenses regularly provided to the CODM: Cost of sales, Selling, general and administrative, and Engineering </w:t>
      </w:r>
      <w:r>
        <w:rPr>
          <w:rFonts w:ascii="Arial" w:cs="Arial" w:eastAsia="Arial" w:hAnsi="Arial"/>
          <w:sz w:val="18"/>
          <w:szCs w:val="18"/>
          <w:i w:val="1"/>
          <w:iCs w:val="1"/>
          <w:color w:val="auto"/>
        </w:rPr>
        <w:t>—</w:t>
      </w:r>
      <w:r>
        <w:rPr>
          <w:rFonts w:ascii="Arial" w:cs="Arial" w:eastAsia="Arial" w:hAnsi="Arial"/>
          <w:sz w:val="18"/>
          <w:szCs w:val="18"/>
          <w:color w:val="auto"/>
        </w:rPr>
        <w:t xml:space="preserve"> research and development.</w:t>
      </w:r>
    </w:p>
    <w:p>
      <w:pPr>
        <w:spacing w:after="0" w:line="68" w:lineRule="exact"/>
        <w:rPr>
          <w:sz w:val="20"/>
          <w:szCs w:val="20"/>
          <w:color w:val="auto"/>
        </w:rPr>
      </w:pPr>
    </w:p>
    <w:p>
      <w:pPr>
        <w:ind w:right="140" w:firstLine="494"/>
        <w:spacing w:after="0" w:line="253" w:lineRule="auto"/>
        <w:rPr>
          <w:sz w:val="20"/>
          <w:szCs w:val="20"/>
          <w:color w:val="auto"/>
        </w:rPr>
      </w:pPr>
      <w:r>
        <w:rPr>
          <w:rFonts w:ascii="Arial" w:cs="Arial" w:eastAsia="Arial" w:hAnsi="Arial"/>
          <w:sz w:val="18"/>
          <w:szCs w:val="18"/>
          <w:color w:val="auto"/>
        </w:rPr>
        <w:t>The Company’s one reportable segment is the same as its consolidated financial results; therefore, segment information for additions of long-lived assets and asset information can be found in the Company’s Condensed Consolidated Statements of Cash Flows and Condensed Consolidated Balance Sheets, respectively.</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a financial summary of the Company’s one reportable segment (dollars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r>
      <w:tr>
        <w:trPr>
          <w:trHeight w:val="196"/>
        </w:trPr>
        <w:tc>
          <w:tcPr>
            <w:tcW w:w="59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r>
      <w:tr>
        <w:trPr>
          <w:trHeight w:val="196"/>
        </w:trPr>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693</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824</w:t>
            </w:r>
          </w:p>
        </w:tc>
        <w:tc>
          <w:tcPr>
            <w:tcW w:w="46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2,273</w:t>
            </w:r>
          </w:p>
        </w:tc>
        <w:tc>
          <w:tcPr>
            <w:tcW w:w="580" w:type="dxa"/>
            <w:vAlign w:val="bottom"/>
            <w:gridSpan w:val="2"/>
            <w:shd w:val="clear" w:color="auto" w:fill="CFF0FC"/>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2,429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5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Cost of sales</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364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428</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1,164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1,273</w:t>
            </w:r>
          </w:p>
        </w:tc>
      </w:tr>
      <w:tr>
        <w:trPr>
          <w:trHeight w:val="203"/>
        </w:trPr>
        <w:tc>
          <w:tcPr>
            <w:tcW w:w="5900" w:type="dxa"/>
            <w:vAlign w:val="bottom"/>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82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270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253</w:t>
            </w:r>
          </w:p>
        </w:tc>
      </w:tr>
      <w:tr>
        <w:trPr>
          <w:trHeight w:val="203"/>
        </w:trPr>
        <w:tc>
          <w:tcPr>
            <w:tcW w:w="5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130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w:t>
            </w:r>
          </w:p>
        </w:tc>
      </w:tr>
      <w:tr>
        <w:trPr>
          <w:trHeight w:val="203"/>
        </w:trPr>
        <w:tc>
          <w:tcPr>
            <w:tcW w:w="5900" w:type="dxa"/>
            <w:vAlign w:val="bottom"/>
          </w:tcPr>
          <w:p>
            <w:pPr>
              <w:ind w:left="160"/>
              <w:spacing w:after="0" w:line="202" w:lineRule="exact"/>
              <w:rPr>
                <w:sz w:val="20"/>
                <w:szCs w:val="20"/>
                <w:color w:val="auto"/>
              </w:rPr>
            </w:pPr>
            <w:r>
              <w:rPr>
                <w:rFonts w:ascii="Arial" w:cs="Arial" w:eastAsia="Arial" w:hAnsi="Arial"/>
                <w:sz w:val="18"/>
                <w:szCs w:val="18"/>
                <w:color w:val="auto"/>
              </w:rPr>
              <w:t>Other segment items (a)</w:t>
            </w: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67</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b w:val="1"/>
                <w:bCs w:val="1"/>
                <w:color w:val="auto"/>
              </w:rPr>
              <w:t>185</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201</w:t>
            </w:r>
          </w:p>
        </w:tc>
      </w:tr>
      <w:tr>
        <w:trPr>
          <w:trHeight w:val="196"/>
        </w:trPr>
        <w:tc>
          <w:tcPr>
            <w:tcW w:w="590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137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b w:val="1"/>
                <w:bCs w:val="1"/>
                <w:color w:val="auto"/>
              </w:rPr>
              <w:t>524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556</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plus: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3"/>
        </w:trPr>
        <w:tc>
          <w:tcPr>
            <w:tcW w:w="5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45</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133</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131</w:t>
            </w:r>
          </w:p>
        </w:tc>
      </w:tr>
      <w:tr>
        <w:trPr>
          <w:trHeight w:val="203"/>
        </w:trPr>
        <w:tc>
          <w:tcPr>
            <w:tcW w:w="5900" w:type="dxa"/>
            <w:vAlign w:val="bottom"/>
          </w:tcPr>
          <w:p>
            <w:pPr>
              <w:ind w:left="16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87</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82</w:t>
            </w:r>
          </w:p>
        </w:tc>
      </w:tr>
      <w:tr>
        <w:trPr>
          <w:trHeight w:val="203"/>
        </w:trPr>
        <w:tc>
          <w:tcPr>
            <w:tcW w:w="59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67</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68</w:t>
            </w:r>
          </w:p>
        </w:tc>
      </w:tr>
      <w:tr>
        <w:trPr>
          <w:trHeight w:val="203"/>
        </w:trPr>
        <w:tc>
          <w:tcPr>
            <w:tcW w:w="5900" w:type="dxa"/>
            <w:vAlign w:val="bottom"/>
          </w:tcPr>
          <w:p>
            <w:pPr>
              <w:ind w:left="160"/>
              <w:spacing w:after="0" w:line="202" w:lineRule="exact"/>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7"/>
                <w:szCs w:val="17"/>
                <w:color w:val="auto"/>
              </w:rPr>
            </w:pPr>
          </w:p>
        </w:tc>
        <w:tc>
          <w:tcPr>
            <w:tcW w:w="94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w:t>
            </w:r>
          </w:p>
        </w:tc>
      </w:tr>
      <w:tr>
        <w:trPr>
          <w:trHeight w:val="203"/>
        </w:trPr>
        <w:tc>
          <w:tcPr>
            <w:tcW w:w="59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Other adjustments (b)</w:t>
            </w: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49</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50</w:t>
            </w:r>
          </w:p>
        </w:tc>
      </w:tr>
      <w:tr>
        <w:trPr>
          <w:trHeight w:val="196"/>
        </w:trPr>
        <w:tc>
          <w:tcPr>
            <w:tcW w:w="5900" w:type="dxa"/>
            <w:vAlign w:val="bottom"/>
          </w:tcPr>
          <w:p>
            <w:pPr>
              <w:spacing w:after="0" w:line="182" w:lineRule="exact"/>
              <w:rPr>
                <w:sz w:val="20"/>
                <w:szCs w:val="20"/>
                <w:color w:val="auto"/>
              </w:rPr>
            </w:pPr>
            <w:r>
              <w:rPr>
                <w:rFonts w:ascii="Arial" w:cs="Arial" w:eastAsia="Arial" w:hAnsi="Arial"/>
                <w:sz w:val="18"/>
                <w:szCs w:val="18"/>
                <w:b w:val="1"/>
                <w:bCs w:val="1"/>
                <w:color w:val="auto"/>
              </w:rPr>
              <w:t>Adjusted EBITDA (Non-GAAP)</w:t>
            </w:r>
          </w:p>
        </w:tc>
        <w:tc>
          <w:tcPr>
            <w:tcW w:w="220" w:type="dxa"/>
            <w:vAlign w:val="bottom"/>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256</w:t>
            </w:r>
          </w:p>
        </w:tc>
        <w:tc>
          <w:tcPr>
            <w:tcW w:w="5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305</w:t>
            </w:r>
          </w:p>
        </w:tc>
        <w:tc>
          <w:tcPr>
            <w:tcW w:w="460" w:type="dxa"/>
            <w:vAlign w:val="bottom"/>
            <w:gridSpan w:val="2"/>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33"/>
              <w:spacing w:after="0" w:line="182" w:lineRule="exact"/>
              <w:rPr>
                <w:sz w:val="20"/>
                <w:szCs w:val="20"/>
                <w:color w:val="auto"/>
              </w:rPr>
            </w:pPr>
            <w:r>
              <w:rPr>
                <w:rFonts w:ascii="Arial" w:cs="Arial" w:eastAsia="Arial" w:hAnsi="Arial"/>
                <w:sz w:val="18"/>
                <w:szCs w:val="18"/>
                <w:b w:val="1"/>
                <w:bCs w:val="1"/>
                <w:color w:val="auto"/>
              </w:rPr>
              <w:t>865</w:t>
            </w:r>
          </w:p>
        </w:tc>
        <w:tc>
          <w:tcPr>
            <w:tcW w:w="5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line="182" w:lineRule="exact"/>
              <w:rPr>
                <w:sz w:val="20"/>
                <w:szCs w:val="20"/>
                <w:color w:val="auto"/>
              </w:rPr>
            </w:pPr>
            <w:r>
              <w:rPr>
                <w:rFonts w:ascii="Arial" w:cs="Arial" w:eastAsia="Arial" w:hAnsi="Arial"/>
                <w:sz w:val="18"/>
                <w:szCs w:val="18"/>
                <w:color w:val="auto"/>
              </w:rPr>
              <w:t>895</w:t>
            </w:r>
          </w:p>
        </w:tc>
      </w:tr>
      <w:tr>
        <w:trPr>
          <w:trHeight w:val="20"/>
        </w:trPr>
        <w:tc>
          <w:tcPr>
            <w:tcW w:w="5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900" w:type="dxa"/>
            <w:vAlign w:val="bottom"/>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5,517</w:t>
            </w:r>
          </w:p>
        </w:tc>
        <w:tc>
          <w:tcPr>
            <w:tcW w:w="58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5,368</w:t>
            </w:r>
          </w:p>
        </w:tc>
        <w:tc>
          <w:tcPr>
            <w:tcW w:w="460" w:type="dxa"/>
            <w:vAlign w:val="bottom"/>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33"/>
              <w:spacing w:after="0" w:line="182" w:lineRule="exact"/>
              <w:rPr>
                <w:sz w:val="20"/>
                <w:szCs w:val="20"/>
                <w:color w:val="auto"/>
              </w:rPr>
            </w:pPr>
            <w:r>
              <w:rPr>
                <w:rFonts w:ascii="Arial" w:cs="Arial" w:eastAsia="Arial" w:hAnsi="Arial"/>
                <w:sz w:val="18"/>
                <w:szCs w:val="18"/>
                <w:b w:val="1"/>
                <w:bCs w:val="1"/>
                <w:color w:val="auto"/>
              </w:rPr>
              <w:t>5,517</w:t>
            </w:r>
          </w:p>
        </w:tc>
        <w:tc>
          <w:tcPr>
            <w:tcW w:w="580" w:type="dxa"/>
            <w:vAlign w:val="bottom"/>
            <w:gridSpan w:val="2"/>
            <w:shd w:val="clear" w:color="auto" w:fill="CFF0FC"/>
          </w:tcPr>
          <w:p>
            <w:pPr>
              <w:jc w:val="right"/>
              <w:ind w:right="240"/>
              <w:spacing w:after="0" w:line="18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1"/>
              <w:spacing w:after="0" w:line="182" w:lineRule="exact"/>
              <w:rPr>
                <w:sz w:val="20"/>
                <w:szCs w:val="20"/>
                <w:color w:val="auto"/>
              </w:rPr>
            </w:pPr>
            <w:r>
              <w:rPr>
                <w:rFonts w:ascii="Arial" w:cs="Arial" w:eastAsia="Arial" w:hAnsi="Arial"/>
                <w:sz w:val="18"/>
                <w:szCs w:val="18"/>
                <w:color w:val="auto"/>
              </w:rPr>
              <w:t>5,368</w:t>
            </w:r>
          </w:p>
        </w:tc>
      </w:tr>
      <w:tr>
        <w:trPr>
          <w:trHeight w:val="20"/>
        </w:trPr>
        <w:tc>
          <w:tcPr>
            <w:tcW w:w="59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-316865</wp:posOffset>
            </wp:positionV>
            <wp:extent cx="14605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-316865</wp:posOffset>
            </wp:positionV>
            <wp:extent cx="14605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-316865</wp:posOffset>
            </wp:positionV>
            <wp:extent cx="14605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14605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-8255</wp:posOffset>
            </wp:positionV>
            <wp:extent cx="1460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14605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-8255</wp:posOffset>
            </wp:positionV>
            <wp:extent cx="1460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14605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-8255</wp:posOffset>
            </wp:positionV>
            <wp:extent cx="14605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56" w:lineRule="exact"/>
        <w:rPr>
          <w:sz w:val="20"/>
          <w:szCs w:val="20"/>
          <w:color w:val="auto"/>
        </w:rPr>
      </w:pPr>
    </w:p>
    <w:p>
      <w:pPr>
        <w:ind w:left="640" w:right="460" w:hanging="377"/>
        <w:spacing w:after="0" w:line="245"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other segment items included in Net income including Income tax expense, Interest expense, net and Other income (expense), net.</w:t>
      </w:r>
    </w:p>
    <w:p>
      <w:pPr>
        <w:ind w:left="640" w:hanging="377"/>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other reconciling items between Net income and Adjusted EBITDA.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 ACQUISITIONS</w:t>
      </w:r>
    </w:p>
    <w:p>
      <w:pPr>
        <w:spacing w:after="0" w:line="117" w:lineRule="exact"/>
        <w:rPr>
          <w:sz w:val="20"/>
          <w:szCs w:val="20"/>
          <w:color w:val="auto"/>
        </w:rPr>
      </w:pPr>
    </w:p>
    <w:p>
      <w:pPr>
        <w:ind w:right="140" w:firstLine="494"/>
        <w:spacing w:after="0"/>
        <w:rPr>
          <w:sz w:val="20"/>
          <w:szCs w:val="20"/>
          <w:color w:val="auto"/>
        </w:rPr>
      </w:pPr>
      <w:r>
        <w:rPr>
          <w:rFonts w:ascii="Arial" w:cs="Arial" w:eastAsia="Arial" w:hAnsi="Arial"/>
          <w:sz w:val="18"/>
          <w:szCs w:val="18"/>
          <w:color w:val="auto"/>
        </w:rPr>
        <w:t>On June 11, 2025, the Company entered into a Stock Purchase Agreement (the “Purchase Agreement”) with Dana Incorporated (“Dana”) to acquire the off-highway business of Dana. Pursuant to the Purchase Agreement, the Company plans to acquire Dana's off-highway business for a purchase price of approximately $2,732 million, subject to certain adjustments, using a combination of cash on hand and debt. The closing of the transaction is not subject to a financing condition or to the approval of Dana’s or Allison’s stockholders and is projected to occur late in the fourth quarter of 2025, pending customary regulatory approvals. The Company will be required to pay Dana a termination fee of $120 million if the Purchase Agreement is terminated due to the failure of the transactions contemplated by the Purchase Agreement to be completed by a specified outside date as a result of the failure to obtain required approvals or clearances under, or as a result of an injunction or order relating to, competition and foreign investment laws.</w:t>
      </w:r>
    </w:p>
    <w:p>
      <w:pPr>
        <w:spacing w:after="0" w:line="72" w:lineRule="exact"/>
        <w:rPr>
          <w:sz w:val="20"/>
          <w:szCs w:val="20"/>
          <w:color w:val="auto"/>
        </w:rPr>
      </w:pPr>
    </w:p>
    <w:p>
      <w:pPr>
        <w:ind w:right="100" w:firstLine="494"/>
        <w:spacing w:after="0"/>
        <w:rPr>
          <w:sz w:val="20"/>
          <w:szCs w:val="20"/>
          <w:color w:val="auto"/>
        </w:rPr>
      </w:pPr>
      <w:r>
        <w:rPr>
          <w:rFonts w:ascii="Arial" w:cs="Arial" w:eastAsia="Arial" w:hAnsi="Arial"/>
          <w:sz w:val="18"/>
          <w:szCs w:val="18"/>
          <w:color w:val="auto"/>
        </w:rPr>
        <w:t>Also on June 11, 2025, in connection with the entry into the Purchase Agreement, the Company entered into a commitment letter (the “Commitment Letter”) with a group of lenders (the "Lenders"), pursuant to which the Lenders have committed to provide a 364-day senior unsecured bridge term loan facility (the “Bridge Facility”), in an aggregate principal amount of up to $2,000 million, subject to customary conditions, including the execution and delivery of definitive documentation with respect to the Bridge Facility in accordance with the terms set forth in the Commitment Letter. The proceeds of the Bridge Facility may be used to finance a portion of the purchase price under the Purchase Agreement and to pay costs, fees and expenses in connection with the Bridge Facility and the transactions contemplated thereby. The Company expects to replace the Bridge Facility prior to the closing of the transaction with permanent financing, which may include the issuance of debt securities.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81" w:lineRule="exact"/>
        <w:rPr>
          <w:sz w:val="20"/>
          <w:szCs w:val="20"/>
          <w:color w:val="auto"/>
        </w:rPr>
      </w:pPr>
    </w:p>
    <w:p>
      <w:pPr>
        <w:ind w:firstLine="494"/>
        <w:spacing w:after="0" w:line="252"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4" w:lineRule="exact"/>
        <w:rPr>
          <w:sz w:val="20"/>
          <w:szCs w:val="20"/>
          <w:color w:val="auto"/>
        </w:rPr>
      </w:pPr>
    </w:p>
    <w:p>
      <w:pPr>
        <w:ind w:right="160" w:firstLine="494"/>
        <w:spacing w:after="0" w:line="241" w:lineRule="auto"/>
        <w:rPr>
          <w:sz w:val="20"/>
          <w:szCs w:val="20"/>
          <w:color w:val="auto"/>
        </w:rPr>
      </w:pPr>
      <w:r>
        <w:rPr>
          <w:rFonts w:ascii="Arial" w:cs="Arial" w:eastAsia="Arial" w:hAnsi="Arial"/>
          <w:sz w:val="18"/>
          <w:szCs w:val="18"/>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2024 as filed with the Securities and Exchange Commission on February 13, 2025. Our actual results may differ materially from those contained in or implied by any forward-looking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Allison Transmission Holdings, Inc. and its subsidiaries (“Allison,” the “Company,” “we,” “us” or “our”) is a leading designer and manufacturer of propulsion solutions for commercial and defense vehicles and the largest global manufacturer of medium- and heavy-duty fully automatic transmissions. The business was founded in 1915 and has been headquartered in Indianapolis, Indiana since inception. Allison is traded on the New York Stock Exchange under the symbol “ALSN”.</w:t>
      </w:r>
    </w:p>
    <w:p>
      <w:pPr>
        <w:spacing w:after="0" w:line="66" w:lineRule="exact"/>
        <w:rPr>
          <w:sz w:val="20"/>
          <w:szCs w:val="20"/>
          <w:color w:val="auto"/>
        </w:rPr>
      </w:pPr>
    </w:p>
    <w:p>
      <w:pPr>
        <w:ind w:right="60" w:firstLine="499"/>
        <w:spacing w:after="0" w:line="253" w:lineRule="auto"/>
        <w:rPr>
          <w:sz w:val="20"/>
          <w:szCs w:val="20"/>
          <w:color w:val="auto"/>
        </w:rPr>
      </w:pPr>
      <w:r>
        <w:rPr>
          <w:rFonts w:ascii="Arial" w:cs="Arial" w:eastAsia="Arial" w:hAnsi="Arial"/>
          <w:sz w:val="18"/>
          <w:szCs w:val="18"/>
          <w:color w:val="auto"/>
        </w:rPr>
        <w:t>We have a global presence by serving customers in North America, Asia, Europe, South America, and Africa, with approximately 77% of our revenues being generated in North America in 2024. We serve customers through an independent network of approximately 1,600 independent distributor and dealer locations worldwide.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On June 11, 2025, we entered into a Stock Purchase Agreement (the “Purchase Agreement”) with Dana Incorporated (“Dana”) to acquire the off-highway business of Dana (the "Acquisition"). Pursuant to the Purchase Agreement, we plan to acquire Dana's off-highway business for a purchase price of approximately $2,732 million, subject to certain adjustments, using a combination of cash on hand and debt. The closing of the transaction is not subject to a financing condition or to the approval of Dana’s or Allison’s stockholders and is projected to occur late in the fourth quarter of 2025, pending customary regulatory approvals. We will be required to pay Dana a termination fee of $120 million if the Purchase Agreement is terminated due to the failure of the transactions contemplated by the Purchase Agreement to be completed by a specified outside date as a result of the failure to obtain required approvals or clearances under, or as a result of an injunction or order relating to, competition and foreign investment laws.</w:t>
      </w:r>
    </w:p>
    <w:p>
      <w:pPr>
        <w:spacing w:after="0" w:line="72"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Also on June 11, 2025, in connection with the entry into the Purchase Agreement, we entered into a commitment letter (the “Commitment Letter”) with a group of lenders (the "Lenders"), pursuant to which the Lenders have committed to provide a 364-day senior unsecured bridge term loan facility (the “Bridge Facility”), in an aggregate principal amount of up to $2,000 million, subject to customary conditions, including the execution and delivery of definitive documentation with respect to the Bridge Facility in accordance with the terms set forth in the Commitment Letter. The proceeds of the Bridge Facility may be used to finance a portion of the purchase price under the Purchase Agreement and to pay costs, fees and expenses in connection with the Bridge Facility and the transactions contemplated thereby. We expect to replace the Bridge Facility prior to the closing of the transaction with permanent financing, which may include the issuance of debt securities.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04" w:lineRule="exact"/>
        <w:rPr>
          <w:sz w:val="20"/>
          <w:szCs w:val="20"/>
          <w:color w:val="auto"/>
        </w:rPr>
      </w:pPr>
    </w:p>
    <w:p>
      <w:pPr>
        <w:ind w:firstLine="499"/>
        <w:spacing w:after="0" w:line="271" w:lineRule="auto"/>
        <w:rPr>
          <w:sz w:val="20"/>
          <w:szCs w:val="20"/>
          <w:color w:val="auto"/>
        </w:rPr>
      </w:pPr>
      <w:r>
        <w:rPr>
          <w:rFonts w:ascii="Arial" w:cs="Arial" w:eastAsia="Arial" w:hAnsi="Arial"/>
          <w:sz w:val="18"/>
          <w:szCs w:val="18"/>
          <w:color w:val="auto"/>
        </w:rPr>
        <w:t>In 2025, we expect decreased net sales in our North America On-Highway end market, partially offset by price increases on certain products and increased demand for Tracked vehicle applications in our Defense end market.</w:t>
      </w:r>
    </w:p>
    <w:p>
      <w:pPr>
        <w:spacing w:after="0" w:line="1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 w:right="6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Quarter Net Sales by End Market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3020" w:type="dxa"/>
            <w:vAlign w:val="bottom"/>
            <w:gridSpan w:val="6"/>
          </w:tcPr>
          <w:p>
            <w:pPr>
              <w:jc w:val="center"/>
              <w:ind w:right="73"/>
              <w:spacing w:after="0"/>
              <w:rPr>
                <w:sz w:val="20"/>
                <w:szCs w:val="20"/>
                <w:color w:val="auto"/>
              </w:rPr>
            </w:pPr>
            <w:r>
              <w:rPr>
                <w:rFonts w:ascii="Arial" w:cs="Arial" w:eastAsia="Arial" w:hAnsi="Arial"/>
                <w:sz w:val="14"/>
                <w:szCs w:val="14"/>
                <w:b w:val="1"/>
                <w:bCs w:val="1"/>
                <w:color w:val="auto"/>
              </w:rPr>
              <w:t>For the Three Months Ended September</w:t>
            </w: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End Market</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 Variance</w:t>
            </w:r>
          </w:p>
        </w:tc>
        <w:tc>
          <w:tcPr>
            <w:tcW w:w="0" w:type="dxa"/>
            <w:vAlign w:val="bottom"/>
          </w:tcPr>
          <w:p>
            <w:pPr>
              <w:spacing w:after="0"/>
              <w:rPr>
                <w:sz w:val="1"/>
                <w:szCs w:val="1"/>
                <w:color w:val="auto"/>
              </w:rPr>
            </w:pPr>
          </w:p>
        </w:tc>
      </w:tr>
      <w:tr>
        <w:trPr>
          <w:trHeight w:val="155"/>
        </w:trPr>
        <w:tc>
          <w:tcPr>
            <w:tcW w:w="6520" w:type="dxa"/>
            <w:vAlign w:val="bottom"/>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33"/>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16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North America On-Highway</w:t>
            </w:r>
          </w:p>
        </w:tc>
        <w:tc>
          <w:tcPr>
            <w:tcW w:w="300" w:type="dxa"/>
            <w:vAlign w:val="bottom"/>
            <w:shd w:val="clear" w:color="auto" w:fill="CFF0FC"/>
          </w:tcPr>
          <w:p>
            <w:pPr>
              <w:jc w:val="right"/>
              <w:ind w:right="116"/>
              <w:spacing w:after="0" w:line="196" w:lineRule="exact"/>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327</w:t>
            </w:r>
          </w:p>
        </w:tc>
        <w:tc>
          <w:tcPr>
            <w:tcW w:w="540" w:type="dxa"/>
            <w:vAlign w:val="bottom"/>
            <w:gridSpan w:val="3"/>
            <w:shd w:val="clear" w:color="auto" w:fill="CFF0FC"/>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457</w:t>
            </w:r>
          </w:p>
        </w:tc>
        <w:tc>
          <w:tcPr>
            <w:tcW w:w="170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Outside North America On-Highway</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126</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65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Global Off-Highway</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20</w:t>
            </w:r>
          </w:p>
        </w:tc>
        <w:tc>
          <w:tcPr>
            <w:tcW w:w="17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Defense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53</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3"/>
        </w:trPr>
        <w:tc>
          <w:tcPr>
            <w:tcW w:w="65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Service Parts, Support Equipment and Other</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159</w:t>
            </w:r>
          </w:p>
        </w:tc>
        <w:tc>
          <w:tcPr>
            <w:tcW w:w="10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168</w:t>
            </w:r>
          </w:p>
        </w:tc>
        <w:tc>
          <w:tcPr>
            <w:tcW w:w="17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6520" w:type="dxa"/>
            <w:vAlign w:val="bottom"/>
          </w:tcPr>
          <w:p>
            <w:pPr>
              <w:spacing w:after="0" w:line="182" w:lineRule="exact"/>
              <w:rPr>
                <w:sz w:val="20"/>
                <w:szCs w:val="20"/>
                <w:color w:val="auto"/>
              </w:rPr>
            </w:pPr>
            <w:r>
              <w:rPr>
                <w:rFonts w:ascii="Arial" w:cs="Arial" w:eastAsia="Arial" w:hAnsi="Arial"/>
                <w:sz w:val="18"/>
                <w:szCs w:val="18"/>
                <w:color w:val="auto"/>
              </w:rPr>
              <w:t>Total Net Sales</w:t>
            </w:r>
          </w:p>
        </w:tc>
        <w:tc>
          <w:tcPr>
            <w:tcW w:w="300" w:type="dxa"/>
            <w:vAlign w:val="bottom"/>
          </w:tcPr>
          <w:p>
            <w:pPr>
              <w:jc w:val="right"/>
              <w:ind w:right="116"/>
              <w:spacing w:after="0" w:line="182" w:lineRule="exact"/>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693</w:t>
            </w:r>
          </w:p>
        </w:tc>
        <w:tc>
          <w:tcPr>
            <w:tcW w:w="540" w:type="dxa"/>
            <w:vAlign w:val="bottom"/>
            <w:gridSpan w:val="3"/>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line="182" w:lineRule="exact"/>
              <w:rPr>
                <w:sz w:val="20"/>
                <w:szCs w:val="20"/>
                <w:color w:val="auto"/>
              </w:rPr>
            </w:pPr>
            <w:r>
              <w:rPr>
                <w:rFonts w:ascii="Arial" w:cs="Arial" w:eastAsia="Arial" w:hAnsi="Arial"/>
                <w:sz w:val="18"/>
                <w:szCs w:val="18"/>
                <w:color w:val="auto"/>
              </w:rPr>
              <w:t>824</w:t>
            </w:r>
          </w:p>
        </w:tc>
        <w:tc>
          <w:tcPr>
            <w:tcW w:w="1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-161925</wp:posOffset>
            </wp:positionV>
            <wp:extent cx="946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-161925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100" w:firstLine="494"/>
        <w:spacing w:after="0" w:line="253" w:lineRule="auto"/>
        <w:rPr>
          <w:sz w:val="20"/>
          <w:szCs w:val="20"/>
          <w:color w:val="auto"/>
        </w:rPr>
      </w:pPr>
      <w:r>
        <w:rPr>
          <w:rFonts w:ascii="Arial" w:cs="Arial" w:eastAsia="Arial" w:hAnsi="Arial"/>
          <w:sz w:val="18"/>
          <w:szCs w:val="18"/>
          <w:color w:val="auto"/>
        </w:rPr>
        <w:t>North America On-Highway end market net sales were down 28% for the third quarter 2025 compared to the third quarter 2024, principally driven by lower demand for Class 8 vocational and medium-duty trucks, partially offset by price increases on certain products and market share gains for hybrid propulsion systems for transit buses.</w:t>
      </w:r>
    </w:p>
    <w:p>
      <w:pPr>
        <w:spacing w:after="0" w:line="61" w:lineRule="exact"/>
        <w:rPr>
          <w:sz w:val="20"/>
          <w:szCs w:val="20"/>
          <w:color w:val="auto"/>
        </w:rPr>
      </w:pPr>
    </w:p>
    <w:p>
      <w:pPr>
        <w:ind w:right="20" w:firstLine="494"/>
        <w:spacing w:after="0" w:line="271" w:lineRule="auto"/>
        <w:rPr>
          <w:sz w:val="20"/>
          <w:szCs w:val="20"/>
          <w:color w:val="auto"/>
        </w:rPr>
      </w:pPr>
      <w:r>
        <w:rPr>
          <w:rFonts w:ascii="Arial" w:cs="Arial" w:eastAsia="Arial" w:hAnsi="Arial"/>
          <w:sz w:val="18"/>
          <w:szCs w:val="18"/>
          <w:color w:val="auto"/>
        </w:rPr>
        <w:t>Outside North America On-Highway end market net sales were down 3% for the third quarter 2025 compared to the third quarter 2024, principally driven by lower demand in Asia, partially offset by higher demand in Europe.</w:t>
      </w:r>
    </w:p>
    <w:p>
      <w:pPr>
        <w:spacing w:after="0" w:line="46"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Global Off-Highway net sales were down $13 million for the third quarter 2025 compared to the third quarter 2024, principally driven by lower demand from the energy, mining and construction sectors outside of North America.</w:t>
      </w:r>
    </w:p>
    <w:p>
      <w:pPr>
        <w:spacing w:after="0" w:line="46" w:lineRule="exact"/>
        <w:rPr>
          <w:sz w:val="20"/>
          <w:szCs w:val="20"/>
          <w:color w:val="auto"/>
        </w:rPr>
      </w:pPr>
    </w:p>
    <w:p>
      <w:pPr>
        <w:ind w:right="40" w:firstLine="494"/>
        <w:spacing w:after="0" w:line="271" w:lineRule="auto"/>
        <w:rPr>
          <w:sz w:val="20"/>
          <w:szCs w:val="20"/>
          <w:color w:val="auto"/>
        </w:rPr>
      </w:pPr>
      <w:r>
        <w:rPr>
          <w:rFonts w:ascii="Arial" w:cs="Arial" w:eastAsia="Arial" w:hAnsi="Arial"/>
          <w:sz w:val="18"/>
          <w:szCs w:val="18"/>
          <w:color w:val="auto"/>
        </w:rPr>
        <w:t>Defense end market net sales were up 47% for the third quarter 2025 compared to the third quarter 2024, principally driven by increased demand for Tracked vehicle applications, price increases on certain products and the continued execution of our growth initiatives.</w:t>
      </w:r>
    </w:p>
    <w:p>
      <w:pPr>
        <w:spacing w:after="0" w:line="46" w:lineRule="exact"/>
        <w:rPr>
          <w:sz w:val="20"/>
          <w:szCs w:val="20"/>
          <w:color w:val="auto"/>
        </w:rPr>
      </w:pPr>
    </w:p>
    <w:p>
      <w:pPr>
        <w:ind w:right="440" w:firstLine="494"/>
        <w:spacing w:after="0" w:line="253" w:lineRule="auto"/>
        <w:rPr>
          <w:sz w:val="20"/>
          <w:szCs w:val="20"/>
          <w:color w:val="auto"/>
        </w:rPr>
      </w:pPr>
      <w:r>
        <w:rPr>
          <w:rFonts w:ascii="Arial" w:cs="Arial" w:eastAsia="Arial" w:hAnsi="Arial"/>
          <w:sz w:val="18"/>
          <w:szCs w:val="18"/>
          <w:color w:val="auto"/>
        </w:rPr>
        <w:t>Service Parts, Support Equipment and Other end market net sales were down 5% for the third quarter 2025 compared to the third quarter 2024, principally driven by lower demand for aluminum die cast components and support equipment, partially offset by price increases on certain products.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right="260" w:firstLine="494"/>
        <w:spacing w:after="0" w:line="242" w:lineRule="auto"/>
        <w:rPr>
          <w:sz w:val="20"/>
          <w:szCs w:val="20"/>
          <w:color w:val="auto"/>
        </w:rPr>
      </w:pPr>
      <w:r>
        <w:rPr>
          <w:rFonts w:ascii="Arial" w:cs="Arial" w:eastAsia="Arial" w:hAnsi="Arial"/>
          <w:sz w:val="18"/>
          <w:szCs w:val="18"/>
          <w:color w:val="auto"/>
        </w:rPr>
        <w:t>We generate our net sales primarily from the sale of vehicle propulsion solutions, service and component parts, support equipment, defense kits, engineering services, royalties and extended transmission coverage to a wide array of original equipment manufacturers, distributors and the U.S. government. Sales are recorded in accordance with the terms of the contract, net of provisions for customer incentives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Our primary components of cost of sales are purchased parts, the overhead expense related to our manufacturing operations and direct labor associated with the manufacture and assembly of vehicle propulsion solutions and parts. For the nine months ended September 30, 2025, direct material costs were approximately 66%, overhead costs were approximately 26%, and direct labor costs were approximately 8% of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600" w:firstLine="494"/>
        <w:spacing w:after="0" w:line="253" w:lineRule="auto"/>
        <w:rPr>
          <w:sz w:val="20"/>
          <w:szCs w:val="20"/>
          <w:color w:val="auto"/>
        </w:rPr>
      </w:pPr>
      <w:r>
        <w:rPr>
          <w:rFonts w:ascii="Arial" w:cs="Arial" w:eastAsia="Arial" w:hAnsi="Arial"/>
          <w:sz w:val="18"/>
          <w:szCs w:val="18"/>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 assets.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right="160" w:firstLine="494"/>
        <w:spacing w:after="0" w:line="271"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56" w:lineRule="exact"/>
        <w:rPr>
          <w:sz w:val="20"/>
          <w:szCs w:val="20"/>
          <w:color w:val="auto"/>
        </w:rPr>
      </w:pPr>
    </w:p>
    <w:p>
      <w:pPr>
        <w:ind w:firstLine="494"/>
        <w:spacing w:after="0" w:line="238"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net, income tax expense, amortization of intangible assets, depreciation of property, plant and equipment and other adjustments as defined by the Second Amended and Restated Credit Agreement dated as of March 29, 2019, as amended (the “Credit Agreement”), governing Allison Transmission, Inc.’s (“ATI”), our wholly-owned subsidiary, term loan facility in the amount of $510 million due March 2031 (“Term Loan”) and ATI’s revolving credit facility with commitments in the amount of $750 million due March 2029 ("Revolving Credit Facility" and, together with the Term Loan, the "Senior Secured Credit Facility"). Adjusted EBITDA as a percent of net sales is calculated as Adjusted EBITDA divided by net sales.</w:t>
      </w:r>
    </w:p>
    <w:p>
      <w:pPr>
        <w:spacing w:after="0" w:line="129" w:lineRule="exact"/>
        <w:rPr>
          <w:sz w:val="20"/>
          <w:szCs w:val="20"/>
          <w:color w:val="auto"/>
        </w:rPr>
      </w:pPr>
    </w:p>
    <w:p>
      <w:pPr>
        <w:ind w:right="40" w:firstLine="494"/>
        <w:spacing w:after="0"/>
        <w:rPr>
          <w:sz w:val="20"/>
          <w:szCs w:val="20"/>
          <w:color w:val="auto"/>
        </w:rPr>
      </w:pPr>
      <w:r>
        <w:rPr>
          <w:rFonts w:ascii="Arial" w:cs="Arial" w:eastAsia="Arial" w:hAnsi="Arial"/>
          <w:sz w:val="18"/>
          <w:szCs w:val="18"/>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80" w:firstLine="494"/>
        <w:spacing w:after="0" w:line="248" w:lineRule="auto"/>
        <w:rPr>
          <w:sz w:val="20"/>
          <w:szCs w:val="20"/>
          <w:color w:val="auto"/>
        </w:rPr>
      </w:pPr>
      <w:r>
        <w:rPr>
          <w:rFonts w:ascii="Arial" w:cs="Arial" w:eastAsia="Arial" w:hAnsi="Arial"/>
          <w:sz w:val="18"/>
          <w:szCs w:val="18"/>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tbl>
      <w:tblPr>
        <w:tblLayout w:type="fixed"/>
        <w:tblInd w:w="0" w:type="dxa"/>
        <w:tblCellMar>
          <w:top w:w="0" w:type="dxa"/>
          <w:left w:w="0" w:type="dxa"/>
          <w:bottom w:w="0" w:type="dxa"/>
          <w:right w:w="0" w:type="dxa"/>
        </w:tblCellMar>
      </w:tblPr>
      <w:tr>
        <w:trPr>
          <w:trHeight w:val="149"/>
        </w:trPr>
        <w:tc>
          <w:tcPr>
            <w:tcW w:w="5640" w:type="dxa"/>
            <w:vAlign w:val="bottom"/>
          </w:tcPr>
          <w:p>
            <w:pPr>
              <w:spacing w:after="0"/>
              <w:rPr>
                <w:sz w:val="12"/>
                <w:szCs w:val="12"/>
                <w:color w:val="auto"/>
              </w:rPr>
            </w:pPr>
          </w:p>
        </w:tc>
        <w:tc>
          <w:tcPr>
            <w:tcW w:w="2140" w:type="dxa"/>
            <w:vAlign w:val="bottom"/>
            <w:gridSpan w:val="4"/>
          </w:tcPr>
          <w:p>
            <w:pPr>
              <w:jc w:val="right"/>
              <w:ind w:right="108"/>
              <w:spacing w:after="0" w:line="149" w:lineRule="exact"/>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500" w:type="dxa"/>
            <w:vAlign w:val="bottom"/>
            <w:gridSpan w:val="4"/>
          </w:tcPr>
          <w:p>
            <w:pPr>
              <w:jc w:val="right"/>
              <w:ind w:right="711"/>
              <w:spacing w:after="0" w:line="149" w:lineRule="exact"/>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7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40" w:type="dxa"/>
            <w:vAlign w:val="bottom"/>
            <w:vMerge w:val="continue"/>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6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income (GAAP)</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b w:val="1"/>
                <w:bCs w:val="1"/>
                <w:color w:val="auto"/>
              </w:rPr>
              <w:t>137</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200</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b w:val="1"/>
                <w:bCs w:val="1"/>
                <w:color w:val="auto"/>
              </w:rPr>
              <w:t>524</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plus:</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Income tax expense</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45</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133</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3"/>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700" w:type="dxa"/>
            <w:vAlign w:val="bottom"/>
          </w:tcPr>
          <w:p>
            <w:pPr>
              <w:spacing w:after="0"/>
              <w:rPr>
                <w:sz w:val="17"/>
                <w:szCs w:val="17"/>
                <w:color w:val="auto"/>
              </w:rPr>
            </w:pPr>
          </w:p>
        </w:tc>
        <w:tc>
          <w:tcPr>
            <w:tcW w:w="5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87</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Interest expense, net</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24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67</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3"/>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Amortization of intangible assets</w:t>
            </w:r>
          </w:p>
        </w:tc>
        <w:tc>
          <w:tcPr>
            <w:tcW w:w="700" w:type="dxa"/>
            <w:vAlign w:val="bottom"/>
          </w:tcPr>
          <w:p>
            <w:pPr>
              <w:spacing w:after="0"/>
              <w:rPr>
                <w:sz w:val="17"/>
                <w:szCs w:val="17"/>
                <w:color w:val="auto"/>
              </w:rPr>
            </w:pPr>
          </w:p>
        </w:tc>
        <w:tc>
          <w:tcPr>
            <w:tcW w:w="5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Acquisition-related expenses (a)</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38</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Stock-based compensation expense (b)</w:t>
            </w:r>
          </w:p>
        </w:tc>
        <w:tc>
          <w:tcPr>
            <w:tcW w:w="700" w:type="dxa"/>
            <w:vAlign w:val="bottom"/>
          </w:tcPr>
          <w:p>
            <w:pPr>
              <w:spacing w:after="0"/>
              <w:rPr>
                <w:sz w:val="17"/>
                <w:szCs w:val="17"/>
                <w:color w:val="auto"/>
              </w:rPr>
            </w:pPr>
          </w:p>
        </w:tc>
        <w:tc>
          <w:tcPr>
            <w:tcW w:w="5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Unrealized (gain) loss on marketable securities (c)</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(11)</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UAW Local 933 contract signing incentives (d)</w:t>
            </w:r>
          </w:p>
        </w:tc>
        <w:tc>
          <w:tcPr>
            <w:tcW w:w="700" w:type="dxa"/>
            <w:vAlign w:val="bottom"/>
          </w:tcPr>
          <w:p>
            <w:pPr>
              <w:spacing w:after="0"/>
              <w:rPr>
                <w:sz w:val="17"/>
                <w:szCs w:val="17"/>
                <w:color w:val="auto"/>
              </w:rPr>
            </w:pPr>
          </w:p>
        </w:tc>
        <w:tc>
          <w:tcPr>
            <w:tcW w:w="560" w:type="dxa"/>
            <w:vAlign w:val="bottom"/>
          </w:tcPr>
          <w:p>
            <w:pPr>
              <w:jc w:val="right"/>
              <w:ind w:right="91"/>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91"/>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ind w:left="140"/>
              <w:spacing w:after="0" w:line="202" w:lineRule="exact"/>
              <w:rPr>
                <w:sz w:val="20"/>
                <w:szCs w:val="20"/>
                <w:color w:val="auto"/>
              </w:rPr>
            </w:pPr>
            <w:r>
              <w:rPr>
                <w:rFonts w:ascii="Arial" w:cs="Arial" w:eastAsia="Arial" w:hAnsi="Arial"/>
                <w:sz w:val="18"/>
                <w:szCs w:val="18"/>
                <w:color w:val="auto"/>
              </w:rPr>
              <w:t>Pension plan settlement loss (e)</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640" w:type="dxa"/>
            <w:vAlign w:val="bottom"/>
          </w:tcPr>
          <w:p>
            <w:pPr>
              <w:ind w:left="140"/>
              <w:spacing w:after="0" w:line="202" w:lineRule="exact"/>
              <w:rPr>
                <w:sz w:val="20"/>
                <w:szCs w:val="20"/>
                <w:color w:val="auto"/>
              </w:rPr>
            </w:pPr>
            <w:r>
              <w:rPr>
                <w:rFonts w:ascii="Arial" w:cs="Arial" w:eastAsia="Arial" w:hAnsi="Arial"/>
                <w:sz w:val="18"/>
                <w:szCs w:val="18"/>
                <w:color w:val="auto"/>
              </w:rPr>
              <w:t>Other (f)</w:t>
            </w:r>
          </w:p>
        </w:tc>
        <w:tc>
          <w:tcPr>
            <w:tcW w:w="7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3"/>
              <w:spacing w:after="0" w:line="202" w:lineRule="exact"/>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1"/>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640" w:type="dxa"/>
            <w:vAlign w:val="bottom"/>
            <w:tcBorders>
              <w:right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b w:val="1"/>
                <w:bCs w:val="1"/>
                <w:color w:val="auto"/>
              </w:rPr>
              <w:t>256</w:t>
            </w:r>
          </w:p>
        </w:tc>
        <w:tc>
          <w:tcPr>
            <w:tcW w:w="880" w:type="dxa"/>
            <w:vAlign w:val="bottom"/>
            <w:gridSpan w:val="2"/>
            <w:shd w:val="clear" w:color="auto" w:fill="CFF0FC"/>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rPr>
              <w:t>305</w:t>
            </w:r>
          </w:p>
        </w:tc>
        <w:tc>
          <w:tcPr>
            <w:tcW w:w="380" w:type="dxa"/>
            <w:vAlign w:val="bottom"/>
            <w:gridSpan w:val="2"/>
            <w:shd w:val="clear" w:color="auto" w:fill="CFF0FC"/>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113"/>
              <w:spacing w:after="0" w:line="196" w:lineRule="exact"/>
              <w:rPr>
                <w:sz w:val="20"/>
                <w:szCs w:val="20"/>
                <w:color w:val="auto"/>
              </w:rPr>
            </w:pPr>
            <w:r>
              <w:rPr>
                <w:rFonts w:ascii="Arial" w:cs="Arial" w:eastAsia="Arial" w:hAnsi="Arial"/>
                <w:sz w:val="18"/>
                <w:szCs w:val="18"/>
                <w:b w:val="1"/>
                <w:bCs w:val="1"/>
                <w:color w:val="auto"/>
              </w:rPr>
              <w:t>865</w:t>
            </w:r>
          </w:p>
        </w:tc>
        <w:tc>
          <w:tcPr>
            <w:tcW w:w="500" w:type="dxa"/>
            <w:vAlign w:val="bottom"/>
            <w:gridSpan w:val="2"/>
            <w:shd w:val="clear" w:color="auto" w:fill="CFF0FC"/>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196" w:lineRule="exact"/>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40" w:type="dxa"/>
            <w:vAlign w:val="bottom"/>
          </w:tcPr>
          <w:p>
            <w:pPr>
              <w:spacing w:after="0" w:line="183" w:lineRule="exact"/>
              <w:rPr>
                <w:sz w:val="20"/>
                <w:szCs w:val="20"/>
                <w:color w:val="auto"/>
              </w:rPr>
            </w:pPr>
            <w:r>
              <w:rPr>
                <w:rFonts w:ascii="Arial" w:cs="Arial" w:eastAsia="Arial" w:hAnsi="Arial"/>
                <w:sz w:val="18"/>
                <w:szCs w:val="18"/>
                <w:b w:val="1"/>
                <w:bCs w:val="1"/>
                <w:color w:val="auto"/>
              </w:rPr>
              <w:t>Net sales (GAAP)</w:t>
            </w:r>
          </w:p>
        </w:tc>
        <w:tc>
          <w:tcPr>
            <w:tcW w:w="700" w:type="dxa"/>
            <w:vAlign w:val="bottom"/>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ind w:right="91"/>
              <w:spacing w:after="0" w:line="183" w:lineRule="exact"/>
              <w:rPr>
                <w:sz w:val="20"/>
                <w:szCs w:val="20"/>
                <w:color w:val="auto"/>
              </w:rPr>
            </w:pPr>
            <w:r>
              <w:rPr>
                <w:rFonts w:ascii="Arial" w:cs="Arial" w:eastAsia="Arial" w:hAnsi="Arial"/>
                <w:sz w:val="18"/>
                <w:szCs w:val="18"/>
                <w:b w:val="1"/>
                <w:bCs w:val="1"/>
                <w:color w:val="auto"/>
              </w:rPr>
              <w:t>693</w:t>
            </w:r>
          </w:p>
        </w:tc>
        <w:tc>
          <w:tcPr>
            <w:tcW w:w="880" w:type="dxa"/>
            <w:vAlign w:val="bottom"/>
            <w:gridSpan w:val="2"/>
          </w:tcPr>
          <w:p>
            <w:pPr>
              <w:jc w:val="right"/>
              <w:ind w:right="568"/>
              <w:spacing w:after="0" w:line="183"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line="183" w:lineRule="exact"/>
              <w:rPr>
                <w:sz w:val="20"/>
                <w:szCs w:val="20"/>
                <w:color w:val="auto"/>
              </w:rPr>
            </w:pPr>
            <w:r>
              <w:rPr>
                <w:rFonts w:ascii="Arial" w:cs="Arial" w:eastAsia="Arial" w:hAnsi="Arial"/>
                <w:sz w:val="18"/>
                <w:szCs w:val="18"/>
                <w:color w:val="auto"/>
              </w:rPr>
              <w:t>824</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3"/>
              <w:spacing w:after="0" w:line="183" w:lineRule="exact"/>
              <w:rPr>
                <w:sz w:val="20"/>
                <w:szCs w:val="20"/>
                <w:color w:val="auto"/>
              </w:rPr>
            </w:pPr>
            <w:r>
              <w:rPr>
                <w:rFonts w:ascii="Arial" w:cs="Arial" w:eastAsia="Arial" w:hAnsi="Arial"/>
                <w:sz w:val="18"/>
                <w:szCs w:val="18"/>
                <w:b w:val="1"/>
                <w:bCs w:val="1"/>
                <w:color w:val="auto"/>
              </w:rPr>
              <w:t>2,273</w:t>
            </w:r>
          </w:p>
        </w:tc>
        <w:tc>
          <w:tcPr>
            <w:tcW w:w="500" w:type="dxa"/>
            <w:vAlign w:val="bottom"/>
            <w:gridSpan w:val="2"/>
          </w:tcPr>
          <w:p>
            <w:pPr>
              <w:jc w:val="right"/>
              <w:ind w:right="260"/>
              <w:spacing w:after="0" w:line="183"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line="183" w:lineRule="exact"/>
              <w:rPr>
                <w:sz w:val="20"/>
                <w:szCs w:val="20"/>
                <w:color w:val="auto"/>
              </w:rPr>
            </w:pPr>
            <w:r>
              <w:rPr>
                <w:rFonts w:ascii="Arial" w:cs="Arial" w:eastAsia="Arial" w:hAnsi="Arial"/>
                <w:sz w:val="18"/>
                <w:szCs w:val="18"/>
                <w:color w:val="auto"/>
              </w:rPr>
              <w:t>2,429</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income as a percent of Net sales (GAAP)</w:t>
            </w:r>
          </w:p>
        </w:tc>
        <w:tc>
          <w:tcPr>
            <w:tcW w:w="7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19.8%</w:t>
            </w: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23.1%</w:t>
            </w: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2"/>
        </w:trPr>
        <w:tc>
          <w:tcPr>
            <w:tcW w:w="5640" w:type="dxa"/>
            <w:vAlign w:val="bottom"/>
          </w:tcPr>
          <w:p>
            <w:pPr>
              <w:spacing w:after="0" w:line="202" w:lineRule="exact"/>
              <w:rPr>
                <w:sz w:val="20"/>
                <w:szCs w:val="20"/>
                <w:color w:val="auto"/>
              </w:rPr>
            </w:pPr>
            <w:r>
              <w:rPr>
                <w:rFonts w:ascii="Arial" w:cs="Arial" w:eastAsia="Arial" w:hAnsi="Arial"/>
                <w:sz w:val="18"/>
                <w:szCs w:val="18"/>
                <w:b w:val="1"/>
                <w:bCs w:val="1"/>
                <w:color w:val="auto"/>
              </w:rPr>
              <w:t>Adjusted EBITDA as a percent of Net sales (Non-GAAP)</w:t>
            </w:r>
          </w:p>
        </w:tc>
        <w:tc>
          <w:tcPr>
            <w:tcW w:w="7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36.9%</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38.1%</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5640" w:type="dxa"/>
            <w:vAlign w:val="bottom"/>
            <w:tcBorders>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 (GAAP) (g)</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b w:val="1"/>
                <w:bCs w:val="1"/>
                <w:color w:val="auto"/>
              </w:rPr>
              <w:t>228</w:t>
            </w:r>
          </w:p>
        </w:tc>
        <w:tc>
          <w:tcPr>
            <w:tcW w:w="880" w:type="dxa"/>
            <w:vAlign w:val="bottom"/>
            <w:gridSpan w:val="2"/>
            <w:shd w:val="clear" w:color="auto" w:fill="CFF0FC"/>
          </w:tcPr>
          <w:p>
            <w:pPr>
              <w:jc w:val="right"/>
              <w:ind w:right="568"/>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246</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FF0FC"/>
          </w:tcPr>
          <w:p>
            <w:pPr>
              <w:jc w:val="right"/>
              <w:ind w:right="113"/>
              <w:spacing w:after="0" w:line="202" w:lineRule="exact"/>
              <w:rPr>
                <w:sz w:val="20"/>
                <w:szCs w:val="20"/>
                <w:color w:val="auto"/>
              </w:rPr>
            </w:pPr>
            <w:r>
              <w:rPr>
                <w:rFonts w:ascii="Arial" w:cs="Arial" w:eastAsia="Arial" w:hAnsi="Arial"/>
                <w:sz w:val="18"/>
                <w:szCs w:val="18"/>
                <w:b w:val="1"/>
                <w:bCs w:val="1"/>
                <w:color w:val="auto"/>
              </w:rPr>
              <w:t>593</w:t>
            </w:r>
          </w:p>
        </w:tc>
        <w:tc>
          <w:tcPr>
            <w:tcW w:w="500" w:type="dxa"/>
            <w:vAlign w:val="bottom"/>
            <w:gridSpan w:val="2"/>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91"/>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5640" w:type="dxa"/>
            <w:vAlign w:val="bottom"/>
          </w:tcPr>
          <w:p>
            <w:pPr>
              <w:spacing w:after="0" w:line="202" w:lineRule="exact"/>
              <w:rPr>
                <w:sz w:val="20"/>
                <w:szCs w:val="20"/>
                <w:color w:val="auto"/>
              </w:rPr>
            </w:pPr>
            <w:r>
              <w:rPr>
                <w:rFonts w:ascii="Arial" w:cs="Arial" w:eastAsia="Arial" w:hAnsi="Arial"/>
                <w:sz w:val="18"/>
                <w:szCs w:val="18"/>
                <w:color w:val="auto"/>
              </w:rPr>
              <w:t>Deductions to reconcile to Adjusted free cash flow:</w:t>
            </w: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Borders>
              <w:bottom w:val="single" w:sz="8" w:color="CFF0FC"/>
              <w:right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Additions of long-lived assets</w:t>
            </w:r>
          </w:p>
        </w:tc>
        <w:tc>
          <w:tcPr>
            <w:tcW w:w="7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ind w:right="11"/>
              <w:spacing w:after="0" w:line="202" w:lineRule="exact"/>
              <w:rPr>
                <w:sz w:val="20"/>
                <w:szCs w:val="20"/>
                <w:color w:val="auto"/>
              </w:rPr>
            </w:pPr>
            <w:r>
              <w:rPr>
                <w:rFonts w:ascii="Arial" w:cs="Arial" w:eastAsia="Arial" w:hAnsi="Arial"/>
                <w:sz w:val="18"/>
                <w:szCs w:val="18"/>
                <w:b w:val="1"/>
                <w:bCs w:val="1"/>
                <w:color w:val="auto"/>
              </w:rPr>
              <w:t>(44)</w:t>
            </w:r>
          </w:p>
        </w:tc>
        <w:tc>
          <w:tcPr>
            <w:tcW w:w="14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b w:val="1"/>
                <w:bCs w:val="1"/>
                <w:color w:val="auto"/>
              </w:rPr>
              <w:t>(101)</w:t>
            </w:r>
          </w:p>
        </w:tc>
        <w:tc>
          <w:tcPr>
            <w:tcW w:w="14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640" w:type="dxa"/>
            <w:vAlign w:val="bottom"/>
          </w:tcPr>
          <w:p>
            <w:pPr>
              <w:spacing w:after="0" w:line="196" w:lineRule="exact"/>
              <w:rPr>
                <w:sz w:val="20"/>
                <w:szCs w:val="20"/>
                <w:color w:val="auto"/>
              </w:rPr>
            </w:pPr>
            <w:r>
              <w:rPr>
                <w:rFonts w:ascii="Arial" w:cs="Arial" w:eastAsia="Arial" w:hAnsi="Arial"/>
                <w:sz w:val="18"/>
                <w:szCs w:val="18"/>
                <w:b w:val="1"/>
                <w:bCs w:val="1"/>
                <w:color w:val="auto"/>
              </w:rPr>
              <w:t>Adjusted free cash flow (Non-GAAP) (g)</w:t>
            </w:r>
          </w:p>
        </w:tc>
        <w:tc>
          <w:tcPr>
            <w:tcW w:w="700" w:type="dxa"/>
            <w:vAlign w:val="bottom"/>
          </w:tcPr>
          <w:p>
            <w:pPr>
              <w:jc w:val="right"/>
              <w:ind w:right="547"/>
              <w:spacing w:after="0"/>
              <w:rPr>
                <w:sz w:val="20"/>
                <w:szCs w:val="20"/>
                <w:color w:val="auto"/>
              </w:rPr>
            </w:pPr>
            <w:r>
              <w:rPr>
                <w:rFonts w:ascii="Arial" w:cs="Arial" w:eastAsia="Arial" w:hAnsi="Arial"/>
                <w:sz w:val="15"/>
                <w:szCs w:val="15"/>
                <w:b w:val="1"/>
                <w:bCs w:val="1"/>
                <w:color w:val="auto"/>
                <w:w w:val="71"/>
              </w:rPr>
              <w:t>$</w:t>
            </w:r>
          </w:p>
        </w:tc>
        <w:tc>
          <w:tcPr>
            <w:tcW w:w="56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rPr>
              <w:t>184</w:t>
            </w:r>
          </w:p>
        </w:tc>
        <w:tc>
          <w:tcPr>
            <w:tcW w:w="880" w:type="dxa"/>
            <w:vAlign w:val="bottom"/>
            <w:gridSpan w:val="2"/>
          </w:tcPr>
          <w:p>
            <w:pPr>
              <w:jc w:val="right"/>
              <w:ind w:right="568"/>
              <w:spacing w:after="0" w:line="196"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210</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13"/>
              <w:spacing w:after="0" w:line="196" w:lineRule="exact"/>
              <w:rPr>
                <w:sz w:val="20"/>
                <w:szCs w:val="20"/>
                <w:color w:val="auto"/>
              </w:rPr>
            </w:pPr>
            <w:r>
              <w:rPr>
                <w:rFonts w:ascii="Arial" w:cs="Arial" w:eastAsia="Arial" w:hAnsi="Arial"/>
                <w:sz w:val="18"/>
                <w:szCs w:val="18"/>
                <w:b w:val="1"/>
                <w:bCs w:val="1"/>
                <w:color w:val="auto"/>
              </w:rPr>
              <w:t>492</w:t>
            </w:r>
          </w:p>
        </w:tc>
        <w:tc>
          <w:tcPr>
            <w:tcW w:w="50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ind w:right="91"/>
              <w:spacing w:after="0" w:line="196"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-959485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-942340</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-959485</wp:posOffset>
            </wp:positionV>
            <wp:extent cx="857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-942340</wp:posOffset>
            </wp:positionV>
            <wp:extent cx="857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-959485</wp:posOffset>
            </wp:positionV>
            <wp:extent cx="857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-942340</wp:posOffset>
            </wp:positionV>
            <wp:extent cx="8572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-162560</wp:posOffset>
            </wp:positionV>
            <wp:extent cx="857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857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-162560</wp:posOffset>
            </wp:positionV>
            <wp:extent cx="857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64" w:lineRule="exact"/>
        <w:rPr>
          <w:sz w:val="20"/>
          <w:szCs w:val="20"/>
          <w:color w:val="auto"/>
        </w:rPr>
      </w:pPr>
    </w:p>
    <w:p>
      <w:pPr>
        <w:ind w:left="640" w:right="20" w:hanging="377"/>
        <w:spacing w:after="0" w:line="245"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acquisition-related expenses (recorded in Selling, general and administrative), primarily consulting and legal fees, related to our pending Acquisition.</w:t>
      </w:r>
    </w:p>
    <w:p>
      <w:pPr>
        <w:ind w:left="640" w:right="180" w:hanging="377"/>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 w:lineRule="exact"/>
        <w:rPr>
          <w:rFonts w:ascii="Arial" w:cs="Arial" w:eastAsia="Arial" w:hAnsi="Arial"/>
          <w:sz w:val="18"/>
          <w:szCs w:val="18"/>
          <w:color w:val="auto"/>
        </w:rPr>
      </w:pPr>
    </w:p>
    <w:p>
      <w:pPr>
        <w:ind w:left="640" w:right="380" w:hanging="377"/>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unrealized (gains) losses (recorded in Other income (expense), net) related to an investment in the common stock of Jing-Jin Electric Technologies Co. Ltd.</w:t>
      </w:r>
    </w:p>
    <w:p>
      <w:pPr>
        <w:spacing w:after="0" w:line="1" w:lineRule="exact"/>
        <w:rPr>
          <w:rFonts w:ascii="Arial" w:cs="Arial" w:eastAsia="Arial" w:hAnsi="Arial"/>
          <w:sz w:val="18"/>
          <w:szCs w:val="18"/>
          <w:color w:val="auto"/>
        </w:rPr>
      </w:pPr>
    </w:p>
    <w:p>
      <w:pPr>
        <w:ind w:left="640" w:right="120" w:hanging="377"/>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non-recurring incentives (recorded in Cost of sales, Selling, general and administrative, and Engineering - research and development) to eligible employees as a result of the International Union, United Automobile, Aerospace and Agricultural Implement Workers of America ("UAW") Local 933 represented employees ratifying a four-year collective bargaining agreement effective through November 2027.</w:t>
      </w:r>
    </w:p>
    <w:p>
      <w:pPr>
        <w:spacing w:after="0" w:line="2" w:lineRule="exact"/>
        <w:rPr>
          <w:rFonts w:ascii="Arial" w:cs="Arial" w:eastAsia="Arial" w:hAnsi="Arial"/>
          <w:sz w:val="18"/>
          <w:szCs w:val="18"/>
          <w:color w:val="auto"/>
        </w:rPr>
      </w:pPr>
    </w:p>
    <w:p>
      <w:pPr>
        <w:ind w:left="640" w:right="240" w:hanging="377"/>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 non-cash settlement charge (recorded in Other income (expense), net) for a pro rata portion of previously unrecognized pension plan actuarial net losses associated with the pension risk transfer of a portion of our salaried defined benefit pension plan obligations to a third-party insurance company.</w:t>
      </w:r>
    </w:p>
    <w:p>
      <w:pPr>
        <w:spacing w:after="0" w:line="2" w:lineRule="exact"/>
        <w:rPr>
          <w:rFonts w:ascii="Arial" w:cs="Arial" w:eastAsia="Arial" w:hAnsi="Arial"/>
          <w:sz w:val="18"/>
          <w:szCs w:val="18"/>
          <w:color w:val="auto"/>
        </w:rPr>
      </w:pPr>
    </w:p>
    <w:p>
      <w:pPr>
        <w:ind w:left="640" w:hanging="377"/>
        <w:spacing w:after="0" w:line="234"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other adjustments as defined by the Credit Agreement.</w:t>
      </w:r>
    </w:p>
    <w:p>
      <w:pPr>
        <w:ind w:left="640" w:right="40" w:hanging="377"/>
        <w:spacing w:after="0" w:line="242"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cash provided by operating activities (GAAP) and Adjusted free cash flow (Non-GAAP) include $13 million and $30 million of payments for expenses related to the Acquisition for the three and nine months ended September 30, 2025, respectively. There were no payments for expenses related to the Acquisition in either of the three or nine months ended September 30, 2024.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three months ended September 30, 2025 and 2024</w:t>
      </w:r>
    </w:p>
    <w:p>
      <w:pPr>
        <w:spacing w:after="0" w:line="102" w:lineRule="exact"/>
        <w:rPr>
          <w:sz w:val="20"/>
          <w:szCs w:val="20"/>
          <w:color w:val="auto"/>
        </w:rPr>
      </w:pPr>
    </w:p>
    <w:p>
      <w:pPr>
        <w:jc w:val="both"/>
        <w:ind w:right="28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2025 and 2024. The following table and discussion should be read in conjunction with the information contained in our condensed consolidated financial statements and the notes thereto included in Part I, Item 1 of this Quarterly Report on Form 10-Q.</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jc w:val="right"/>
              <w:ind w:right="26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34"/>
              <w:spacing w:after="0" w:line="147"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right"/>
              <w:ind w:right="433"/>
              <w:spacing w:after="0" w:line="147"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of net sales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of net sales</w:t>
            </w:r>
          </w:p>
        </w:tc>
        <w:tc>
          <w:tcPr>
            <w:tcW w:w="180" w:type="dxa"/>
            <w:vAlign w:val="bottom"/>
          </w:tcPr>
          <w:p>
            <w:pPr>
              <w:spacing w:after="0"/>
              <w:rPr>
                <w:sz w:val="14"/>
                <w:szCs w:val="14"/>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693</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100%</w:t>
            </w:r>
          </w:p>
        </w:tc>
        <w:tc>
          <w:tcPr>
            <w:tcW w:w="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824</w:t>
            </w:r>
          </w:p>
        </w:tc>
        <w:tc>
          <w:tcPr>
            <w:tcW w:w="20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364</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428</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w:t>
            </w:r>
          </w:p>
        </w:tc>
        <w:tc>
          <w:tcPr>
            <w:tcW w:w="18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329</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396</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5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82</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12</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w:t>
            </w: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80" w:type="dxa"/>
            <w:vAlign w:val="bottom"/>
          </w:tcPr>
          <w:p>
            <w:pPr>
              <w:spacing w:after="0"/>
              <w:rPr>
                <w:sz w:val="17"/>
                <w:szCs w:val="17"/>
                <w:color w:val="auto"/>
              </w:rPr>
            </w:pPr>
          </w:p>
        </w:tc>
      </w:tr>
      <w:tr>
        <w:trPr>
          <w:trHeight w:val="196"/>
        </w:trPr>
        <w:tc>
          <w:tcPr>
            <w:tcW w:w="57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125</w:t>
            </w: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136</w:t>
            </w:r>
          </w:p>
        </w:tc>
        <w:tc>
          <w:tcPr>
            <w:tcW w:w="20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shd w:val="clear" w:color="auto" w:fill="CFF0FC"/>
          </w:tcPr>
          <w:p>
            <w:pPr>
              <w:spacing w:after="0"/>
              <w:rPr>
                <w:sz w:val="17"/>
                <w:szCs w:val="17"/>
                <w:color w:val="auto"/>
              </w:rPr>
            </w:pP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204</w:t>
            </w: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29</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260</w:t>
            </w:r>
          </w:p>
        </w:tc>
        <w:tc>
          <w:tcPr>
            <w:tcW w:w="2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b w:val="1"/>
                <w:bCs w:val="1"/>
                <w:color w:val="auto"/>
              </w:rPr>
              <w:t>(24)</w:t>
            </w:r>
          </w:p>
        </w:tc>
        <w:tc>
          <w:tcPr>
            <w:tcW w:w="14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(21)</w:t>
            </w:r>
          </w:p>
        </w:tc>
        <w:tc>
          <w:tcPr>
            <w:tcW w:w="136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20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182</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7"/>
                <w:szCs w:val="17"/>
                <w:color w:val="auto"/>
              </w:rPr>
            </w:pP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b w:val="1"/>
                <w:bCs w:val="1"/>
                <w:color w:val="auto"/>
              </w:rPr>
              <w:t>(45)</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b w:val="1"/>
                <w:bCs w:val="1"/>
                <w:color w:val="auto"/>
              </w:rPr>
              <w:t>(6)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w:t>
            </w:r>
          </w:p>
        </w:tc>
      </w:tr>
      <w:tr>
        <w:trPr>
          <w:trHeight w:val="20"/>
        </w:trPr>
        <w:tc>
          <w:tcPr>
            <w:tcW w:w="5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137</w:t>
            </w:r>
          </w:p>
        </w:tc>
        <w:tc>
          <w:tcPr>
            <w:tcW w:w="2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line="196" w:lineRule="exact"/>
              <w:rPr>
                <w:sz w:val="20"/>
                <w:szCs w:val="20"/>
                <w:color w:val="auto"/>
              </w:rPr>
            </w:pPr>
            <w:r>
              <w:rPr>
                <w:rFonts w:ascii="Arial" w:cs="Arial" w:eastAsia="Arial" w:hAnsi="Arial"/>
                <w:sz w:val="18"/>
                <w:szCs w:val="18"/>
                <w:b w:val="1"/>
                <w:bCs w:val="1"/>
                <w:color w:val="auto"/>
              </w:rPr>
              <w:t>20%</w:t>
            </w:r>
          </w:p>
        </w:tc>
        <w:tc>
          <w:tcPr>
            <w:tcW w:w="32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24%</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-822325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-822325</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-822325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-822325</wp:posOffset>
            </wp:positionV>
            <wp:extent cx="1117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-25400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-25400</wp:posOffset>
            </wp:positionV>
            <wp:extent cx="1117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sales for the quarter ended September 30, 2025 were $693 million compared to $824 million for the quarter ended September 30,</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8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was principally driven by:</w:t>
      </w:r>
    </w:p>
    <w:p>
      <w:pPr>
        <w:spacing w:after="0" w:line="104" w:lineRule="exact"/>
        <w:rPr>
          <w:sz w:val="20"/>
          <w:szCs w:val="20"/>
          <w:color w:val="auto"/>
        </w:rPr>
      </w:pPr>
    </w:p>
    <w:p>
      <w:pPr>
        <w:ind w:left="1780" w:right="40" w:hanging="515"/>
        <w:spacing w:after="0" w:line="252" w:lineRule="auto"/>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decreased $130 million, or 28%, principally driven by lower demand for Class 8 vocational and medium-duty trucks, partially offset by price increases on certain products and market share gains for hybrid propulsion systems for transit buses.</w:t>
      </w:r>
    </w:p>
    <w:p>
      <w:pPr>
        <w:spacing w:after="0" w:line="62" w:lineRule="exact"/>
        <w:rPr>
          <w:rFonts w:ascii="Times New Roman" w:cs="Times New Roman" w:eastAsia="Times New Roman" w:hAnsi="Times New Roman"/>
          <w:sz w:val="18"/>
          <w:szCs w:val="18"/>
          <w:color w:val="auto"/>
        </w:rPr>
      </w:pPr>
    </w:p>
    <w:p>
      <w:pPr>
        <w:ind w:left="1780" w:right="140" w:hanging="515"/>
        <w:spacing w:after="0" w:line="270" w:lineRule="auto"/>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end market net sales decreased $13 million, or 65%, principally driven by lower demand from the energy, mining and construction sectors outside of North America.</w:t>
      </w:r>
    </w:p>
    <w:p>
      <w:pPr>
        <w:spacing w:after="0" w:line="46" w:lineRule="exact"/>
        <w:rPr>
          <w:rFonts w:ascii="Times New Roman" w:cs="Times New Roman" w:eastAsia="Times New Roman" w:hAnsi="Times New Roman"/>
          <w:sz w:val="18"/>
          <w:szCs w:val="18"/>
          <w:color w:val="auto"/>
        </w:rPr>
      </w:pPr>
    </w:p>
    <w:p>
      <w:pPr>
        <w:ind w:left="1780" w:right="100" w:hanging="515"/>
        <w:spacing w:after="0" w:line="252" w:lineRule="auto"/>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decreased $9 million, or 5%, principally driven by lower demand for aluminum die cast components and support equipment, partially offset by price increases on certain products.</w:t>
      </w:r>
    </w:p>
    <w:p>
      <w:pPr>
        <w:spacing w:after="0" w:line="62" w:lineRule="exact"/>
        <w:rPr>
          <w:rFonts w:ascii="Times New Roman" w:cs="Times New Roman" w:eastAsia="Times New Roman" w:hAnsi="Times New Roman"/>
          <w:sz w:val="18"/>
          <w:szCs w:val="18"/>
          <w:color w:val="auto"/>
        </w:rPr>
      </w:pPr>
    </w:p>
    <w:p>
      <w:pPr>
        <w:ind w:left="1780" w:right="460" w:hanging="515"/>
        <w:spacing w:after="0" w:line="270" w:lineRule="auto"/>
        <w:tabs>
          <w:tab w:leader="none" w:pos="17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Outside North America On-Highway end market net sales decreased $4 million, or 3%, principally driven by lower demand in Asia, partially offset by higher demand in Europe.</w:t>
      </w: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decreases were partially offset by:</w:t>
      </w:r>
    </w:p>
    <w:p>
      <w:pPr>
        <w:spacing w:after="0" w:line="104" w:lineRule="exact"/>
        <w:rPr>
          <w:sz w:val="20"/>
          <w:szCs w:val="20"/>
          <w:color w:val="auto"/>
        </w:rPr>
      </w:pPr>
    </w:p>
    <w:p>
      <w:pPr>
        <w:ind w:left="1780" w:right="500" w:hanging="515"/>
        <w:spacing w:after="0" w:line="300" w:lineRule="auto"/>
        <w:tabs>
          <w:tab w:leader="none" w:pos="178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Defense end market net sales increased $25 million, or 47%, principally driven by increased demand for Tracked vehicle applications, price increases on certain products and the continued execution of our growth initiatives.</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right="180" w:firstLine="494"/>
        <w:spacing w:after="0" w:line="271" w:lineRule="auto"/>
        <w:rPr>
          <w:sz w:val="20"/>
          <w:szCs w:val="20"/>
          <w:color w:val="auto"/>
        </w:rPr>
      </w:pPr>
      <w:r>
        <w:rPr>
          <w:rFonts w:ascii="Arial" w:cs="Arial" w:eastAsia="Arial" w:hAnsi="Arial"/>
          <w:sz w:val="18"/>
          <w:szCs w:val="18"/>
          <w:color w:val="auto"/>
        </w:rPr>
        <w:t>Cost of sales for the quarter ended September 30, 2025 was $364 million compared to $428 million for the quarter ended September 30, 2024, a decrease of 15%. The decrease was principally driven by lower direct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380" w:firstLine="50"/>
        <w:spacing w:after="0" w:line="271" w:lineRule="auto"/>
        <w:rPr>
          <w:sz w:val="20"/>
          <w:szCs w:val="20"/>
          <w:color w:val="auto"/>
        </w:rPr>
      </w:pPr>
      <w:r>
        <w:rPr>
          <w:rFonts w:ascii="Arial" w:cs="Arial" w:eastAsia="Arial" w:hAnsi="Arial"/>
          <w:sz w:val="18"/>
          <w:szCs w:val="18"/>
          <w:color w:val="auto"/>
        </w:rPr>
        <w:t>material and manufacturing expense commensurate with decreased net sales and $6 million of lower incentive compensation expense, partially offset by unfavorable direct material costs.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2" w:lineRule="exact"/>
        <w:rPr>
          <w:sz w:val="20"/>
          <w:szCs w:val="20"/>
          <w:color w:val="auto"/>
        </w:rPr>
      </w:pPr>
    </w:p>
    <w:p>
      <w:pPr>
        <w:jc w:val="both"/>
        <w:ind w:right="40" w:firstLine="494"/>
        <w:spacing w:after="0" w:line="244" w:lineRule="auto"/>
        <w:rPr>
          <w:sz w:val="20"/>
          <w:szCs w:val="20"/>
          <w:color w:val="auto"/>
        </w:rPr>
      </w:pPr>
      <w:r>
        <w:rPr>
          <w:rFonts w:ascii="Arial" w:cs="Arial" w:eastAsia="Arial" w:hAnsi="Arial"/>
          <w:sz w:val="18"/>
          <w:szCs w:val="18"/>
          <w:color w:val="auto"/>
        </w:rPr>
        <w:t>Gross profit for the quarter ended September 30, 2025 was $329 million compared to $396 million for the quarter ended September 30, 2024, a decrease of 17%. The decrease was principally driven by $ 106 million from decreased net sales and $14 million of unfavorable direct material costs, partially offset by $31 million from price increases on certain products, $ 16 million of lower manufacturing expense and $6 million of lower incentive compensation expense. Gross profit as a percent of net sales for the three months ended September 30, 2025 decreased 60 basis points compared to the same period in 2024.</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ind w:right="100" w:firstLine="494"/>
        <w:spacing w:after="0" w:line="247" w:lineRule="auto"/>
        <w:rPr>
          <w:sz w:val="20"/>
          <w:szCs w:val="20"/>
          <w:color w:val="auto"/>
        </w:rPr>
      </w:pPr>
      <w:r>
        <w:rPr>
          <w:rFonts w:ascii="Arial" w:cs="Arial" w:eastAsia="Arial" w:hAnsi="Arial"/>
          <w:sz w:val="18"/>
          <w:szCs w:val="18"/>
          <w:color w:val="auto"/>
        </w:rPr>
        <w:t>Selling, general and administrative expenses for the quarter ended September 30, 2025 were $82 million compared to $85 million for the quarter ended September 30, 2024, a decrease of 4%. The decrease was principally driven by lower incentive compensation expense and lower commercial activities spending to align costs and programs across our business with end markets demand conditions, partially offset by expenses related to the Acquisition.</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jc w:val="both"/>
        <w:ind w:right="340" w:firstLine="494"/>
        <w:spacing w:after="0" w:line="253" w:lineRule="auto"/>
        <w:rPr>
          <w:sz w:val="20"/>
          <w:szCs w:val="20"/>
          <w:color w:val="auto"/>
        </w:rPr>
      </w:pPr>
      <w:r>
        <w:rPr>
          <w:rFonts w:ascii="Arial" w:cs="Arial" w:eastAsia="Arial" w:hAnsi="Arial"/>
          <w:sz w:val="18"/>
          <w:szCs w:val="18"/>
          <w:color w:val="auto"/>
        </w:rPr>
        <w:t>Engineering expenses for the quarter ended September 30, 2025 were $43 million compared to $51 million for the quarter ended September 30, 2024, a decrease of 16%. The decrease was principally driven by reduced product initiatives spending to align costs and programs across our business with end markets demand conditions and lower incentive compensation expense.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2"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Interest expense, net for the quarter ended September 30, 2025 was $24 million compared to $21 million, an increase of 14%. The increase was principally driven by $3 million of increased interest expense from amortization of deferred financing costs related to the Bridge Facility.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ind w:right="100" w:firstLine="494"/>
        <w:spacing w:after="0" w:line="271" w:lineRule="auto"/>
        <w:rPr>
          <w:sz w:val="20"/>
          <w:szCs w:val="20"/>
          <w:color w:val="auto"/>
        </w:rPr>
      </w:pPr>
      <w:r>
        <w:rPr>
          <w:rFonts w:ascii="Arial" w:cs="Arial" w:eastAsia="Arial" w:hAnsi="Arial"/>
          <w:sz w:val="18"/>
          <w:szCs w:val="18"/>
          <w:color w:val="auto"/>
        </w:rPr>
        <w:t>Other income (expense), net for the quarter ended September 30, 2025 was $ 2 million compared to $10 million for the quarter ended September 30, 2024. The change was principally driven by $6 million of unfavorable foreign exchange.</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right="200" w:firstLine="494"/>
        <w:spacing w:after="0" w:line="247" w:lineRule="auto"/>
        <w:rPr>
          <w:sz w:val="20"/>
          <w:szCs w:val="20"/>
          <w:color w:val="auto"/>
        </w:rPr>
      </w:pPr>
      <w:r>
        <w:rPr>
          <w:rFonts w:ascii="Arial" w:cs="Arial" w:eastAsia="Arial" w:hAnsi="Arial"/>
          <w:sz w:val="18"/>
          <w:szCs w:val="18"/>
          <w:color w:val="auto"/>
        </w:rPr>
        <w:t>Income tax expense for the three months ended September 30, 2025 was $45 million, resulting in an effective tax rate of 25%, compared to $49 million of income tax expense and an effective tax rate of 20% for the three months ended September 30, 2024. The decrease in income tax expense was principally driven by decreased taxable income. The increase in the effective tax rate was principally driven by decreased taxable income as a result of the One Big Beautiful Bill Act.</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nine months ended September 30, 2025 and 2024</w:t>
      </w:r>
    </w:p>
    <w:p>
      <w:pPr>
        <w:spacing w:after="0" w:line="102" w:lineRule="exact"/>
        <w:rPr>
          <w:sz w:val="20"/>
          <w:szCs w:val="20"/>
          <w:color w:val="auto"/>
        </w:rPr>
      </w:pPr>
    </w:p>
    <w:p>
      <w:pPr>
        <w:ind w:right="280" w:firstLine="494"/>
        <w:spacing w:after="0" w:line="253"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2025 and 2024. The following table and discussion should be read in conjunction with the information contained in our condensed consolidated financial statements and the notes thereto included in Part I, Item 1 of this Quarterly Report on Form 10-Q.</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5"/>
              <w:spacing w:after="0" w:line="147"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60" w:type="dxa"/>
            <w:vAlign w:val="bottom"/>
            <w:gridSpan w:val="2"/>
          </w:tcPr>
          <w:p>
            <w:pPr>
              <w:jc w:val="right"/>
              <w:ind w:right="613"/>
              <w:spacing w:after="0" w:line="147" w:lineRule="exact"/>
              <w:rPr>
                <w:sz w:val="20"/>
                <w:szCs w:val="20"/>
                <w:color w:val="auto"/>
              </w:rPr>
            </w:pPr>
            <w:r>
              <w:rPr>
                <w:rFonts w:ascii="Arial" w:cs="Arial" w:eastAsia="Arial" w:hAnsi="Arial"/>
                <w:sz w:val="14"/>
                <w:szCs w:val="14"/>
                <w:b w:val="1"/>
                <w:bCs w:val="1"/>
                <w:color w:val="auto"/>
              </w:rPr>
              <w:t>%</w:t>
            </w:r>
          </w:p>
        </w:tc>
      </w:tr>
      <w:tr>
        <w:trPr>
          <w:trHeight w:val="171"/>
        </w:trPr>
        <w:tc>
          <w:tcPr>
            <w:tcW w:w="5740" w:type="dxa"/>
            <w:vAlign w:val="bottom"/>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of net sales</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4"/>
                <w:szCs w:val="14"/>
                <w:color w:val="auto"/>
              </w:rPr>
            </w:pPr>
          </w:p>
        </w:tc>
        <w:tc>
          <w:tcPr>
            <w:tcW w:w="13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of net sales</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2,273</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100%</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2,429</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1,164</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51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1,273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52</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1,109</w:t>
            </w:r>
          </w:p>
        </w:tc>
        <w:tc>
          <w:tcPr>
            <w:tcW w:w="1460" w:type="dxa"/>
            <w:vAlign w:val="bottom"/>
            <w:gridSpan w:val="2"/>
            <w:shd w:val="clear" w:color="auto" w:fill="CFF0FC"/>
          </w:tcPr>
          <w:p>
            <w:pPr>
              <w:jc w:val="right"/>
              <w:ind w:right="95"/>
              <w:spacing w:after="0" w:line="196" w:lineRule="exact"/>
              <w:rPr>
                <w:sz w:val="20"/>
                <w:szCs w:val="20"/>
                <w:color w:val="auto"/>
              </w:rPr>
            </w:pPr>
            <w:r>
              <w:rPr>
                <w:rFonts w:ascii="Arial" w:cs="Arial" w:eastAsia="Arial" w:hAnsi="Arial"/>
                <w:sz w:val="18"/>
                <w:szCs w:val="18"/>
                <w:b w:val="1"/>
                <w:bCs w:val="1"/>
                <w:color w:val="auto"/>
              </w:rPr>
              <w:t>49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1,156</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48</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74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b w:val="1"/>
                <w:bCs w:val="1"/>
                <w:color w:val="auto"/>
              </w:rPr>
              <w:t>270</w:t>
            </w:r>
          </w:p>
        </w:tc>
        <w:tc>
          <w:tcPr>
            <w:tcW w:w="1460" w:type="dxa"/>
            <w:vAlign w:val="bottom"/>
            <w:gridSpan w:val="2"/>
            <w:shd w:val="clear" w:color="auto" w:fill="CFF0FC"/>
          </w:tcPr>
          <w:p>
            <w:pPr>
              <w:jc w:val="right"/>
              <w:ind w:right="95"/>
              <w:spacing w:after="0" w:line="202" w:lineRule="exact"/>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253</w:t>
            </w:r>
          </w:p>
        </w:tc>
        <w:tc>
          <w:tcPr>
            <w:tcW w:w="1460" w:type="dxa"/>
            <w:vAlign w:val="bottom"/>
            <w:gridSpan w:val="2"/>
            <w:shd w:val="clear" w:color="auto" w:fill="CFF0FC"/>
          </w:tcPr>
          <w:p>
            <w:pPr>
              <w:jc w:val="right"/>
              <w:ind w:right="93"/>
              <w:spacing w:after="0" w:line="202" w:lineRule="exact"/>
              <w:rPr>
                <w:sz w:val="20"/>
                <w:szCs w:val="20"/>
                <w:color w:val="auto"/>
              </w:rPr>
            </w:pPr>
            <w:r>
              <w:rPr>
                <w:rFonts w:ascii="Arial" w:cs="Arial" w:eastAsia="Arial" w:hAnsi="Arial"/>
                <w:sz w:val="18"/>
                <w:szCs w:val="18"/>
                <w:color w:val="auto"/>
              </w:rPr>
              <w:t>11</w:t>
            </w:r>
          </w:p>
        </w:tc>
      </w:tr>
      <w:tr>
        <w:trPr>
          <w:trHeight w:val="203"/>
        </w:trPr>
        <w:tc>
          <w:tcPr>
            <w:tcW w:w="5740" w:type="dxa"/>
            <w:vAlign w:val="bottom"/>
          </w:tcPr>
          <w:p>
            <w:pPr>
              <w:ind w:left="160"/>
              <w:spacing w:after="0" w:line="202" w:lineRule="exact"/>
              <w:rPr>
                <w:sz w:val="20"/>
                <w:szCs w:val="20"/>
                <w:color w:val="auto"/>
              </w:rPr>
            </w:pPr>
            <w:r>
              <w:rPr>
                <w:rFonts w:ascii="Arial" w:cs="Arial" w:eastAsia="Arial" w:hAnsi="Arial"/>
                <w:sz w:val="18"/>
                <w:szCs w:val="18"/>
                <w:color w:val="auto"/>
              </w:rPr>
              <w:t>Engineering — research and development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146</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6</w:t>
            </w:r>
          </w:p>
        </w:tc>
      </w:tr>
      <w:tr>
        <w:trPr>
          <w:trHeight w:val="196"/>
        </w:trPr>
        <w:tc>
          <w:tcPr>
            <w:tcW w:w="57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5"/>
              <w:spacing w:after="0" w:line="196" w:lineRule="exact"/>
              <w:rPr>
                <w:sz w:val="20"/>
                <w:szCs w:val="20"/>
                <w:color w:val="auto"/>
              </w:rPr>
            </w:pPr>
            <w:r>
              <w:rPr>
                <w:rFonts w:ascii="Arial" w:cs="Arial" w:eastAsia="Arial" w:hAnsi="Arial"/>
                <w:sz w:val="18"/>
                <w:szCs w:val="18"/>
                <w:b w:val="1"/>
                <w:bCs w:val="1"/>
                <w:color w:val="auto"/>
              </w:rPr>
              <w:t>18</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399</w:t>
            </w:r>
          </w:p>
        </w:tc>
        <w:tc>
          <w:tcPr>
            <w:tcW w:w="10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auto"/>
            </w:tcBorders>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17</w:t>
            </w:r>
          </w:p>
        </w:tc>
      </w:tr>
      <w:tr>
        <w:trPr>
          <w:trHeight w:val="196"/>
        </w:trPr>
        <w:tc>
          <w:tcPr>
            <w:tcW w:w="5740" w:type="dxa"/>
            <w:vAlign w:val="bottom"/>
          </w:tcPr>
          <w:p>
            <w:pPr>
              <w:spacing w:after="0" w:line="196" w:lineRule="exact"/>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b w:val="1"/>
                <w:bCs w:val="1"/>
                <w:color w:val="auto"/>
              </w:rPr>
              <w:t>709</w:t>
            </w:r>
          </w:p>
        </w:tc>
        <w:tc>
          <w:tcPr>
            <w:tcW w:w="1460" w:type="dxa"/>
            <w:vAlign w:val="bottom"/>
            <w:gridSpan w:val="2"/>
          </w:tcPr>
          <w:p>
            <w:pPr>
              <w:jc w:val="right"/>
              <w:ind w:right="95"/>
              <w:spacing w:after="0" w:line="196" w:lineRule="exact"/>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1"/>
              <w:spacing w:after="0" w:line="196" w:lineRule="exact"/>
              <w:rPr>
                <w:sz w:val="20"/>
                <w:szCs w:val="20"/>
                <w:color w:val="auto"/>
              </w:rPr>
            </w:pPr>
            <w:r>
              <w:rPr>
                <w:rFonts w:ascii="Arial" w:cs="Arial" w:eastAsia="Arial" w:hAnsi="Arial"/>
                <w:sz w:val="18"/>
                <w:szCs w:val="18"/>
                <w:color w:val="auto"/>
              </w:rPr>
              <w:t>757</w:t>
            </w:r>
          </w:p>
        </w:tc>
        <w:tc>
          <w:tcPr>
            <w:tcW w:w="1460" w:type="dxa"/>
            <w:vAlign w:val="bottom"/>
            <w:gridSpan w:val="2"/>
          </w:tcPr>
          <w:p>
            <w:pPr>
              <w:jc w:val="right"/>
              <w:ind w:right="93"/>
              <w:spacing w:after="0" w:line="196" w:lineRule="exact"/>
              <w:rPr>
                <w:sz w:val="20"/>
                <w:szCs w:val="20"/>
                <w:color w:val="auto"/>
              </w:rPr>
            </w:pPr>
            <w:r>
              <w:rPr>
                <w:rFonts w:ascii="Arial" w:cs="Arial" w:eastAsia="Arial" w:hAnsi="Arial"/>
                <w:sz w:val="18"/>
                <w:szCs w:val="18"/>
                <w:color w:val="auto"/>
              </w:rPr>
              <w:t>31</w:t>
            </w:r>
          </w:p>
        </w:tc>
      </w:tr>
      <w:tr>
        <w:trPr>
          <w:trHeight w:val="203"/>
        </w:trPr>
        <w:tc>
          <w:tcPr>
            <w:tcW w:w="57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Interest expense, net</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(67)</w:t>
            </w:r>
          </w:p>
        </w:tc>
        <w:tc>
          <w:tcPr>
            <w:tcW w:w="1460" w:type="dxa"/>
            <w:vAlign w:val="bottom"/>
            <w:gridSpan w:val="2"/>
            <w:shd w:val="clear" w:color="auto" w:fill="CFF0FC"/>
          </w:tcPr>
          <w:p>
            <w:pPr>
              <w:jc w:val="right"/>
              <w:ind w:right="35"/>
              <w:spacing w:after="0" w:line="202" w:lineRule="exact"/>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w:t>
            </w:r>
          </w:p>
        </w:tc>
        <w:tc>
          <w:tcPr>
            <w:tcW w:w="1460" w:type="dxa"/>
            <w:vAlign w:val="bottom"/>
            <w:gridSpan w:val="2"/>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(3)</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93"/>
              <w:spacing w:after="0" w:line="202" w:lineRule="exact"/>
              <w:rPr>
                <w:sz w:val="20"/>
                <w:szCs w:val="20"/>
                <w:color w:val="auto"/>
              </w:rPr>
            </w:pPr>
            <w:r>
              <w:rPr>
                <w:rFonts w:ascii="Arial" w:cs="Arial" w:eastAsia="Arial" w:hAnsi="Arial"/>
                <w:sz w:val="18"/>
                <w:szCs w:val="18"/>
                <w:color w:val="auto"/>
              </w:rPr>
              <w:t>—</w:t>
            </w:r>
          </w:p>
        </w:tc>
      </w:tr>
      <w:tr>
        <w:trPr>
          <w:trHeight w:val="19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657</w:t>
            </w:r>
          </w:p>
        </w:tc>
        <w:tc>
          <w:tcPr>
            <w:tcW w:w="1460" w:type="dxa"/>
            <w:vAlign w:val="bottom"/>
            <w:gridSpan w:val="2"/>
            <w:shd w:val="clear" w:color="auto" w:fill="CFF0FC"/>
          </w:tcPr>
          <w:p>
            <w:pPr>
              <w:jc w:val="right"/>
              <w:ind w:right="95"/>
              <w:spacing w:after="0" w:line="196" w:lineRule="exact"/>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687</w:t>
            </w:r>
          </w:p>
        </w:tc>
        <w:tc>
          <w:tcPr>
            <w:tcW w:w="1460" w:type="dxa"/>
            <w:vAlign w:val="bottom"/>
            <w:gridSpan w:val="2"/>
            <w:shd w:val="clear" w:color="auto" w:fill="CFF0FC"/>
          </w:tcPr>
          <w:p>
            <w:pPr>
              <w:jc w:val="right"/>
              <w:ind w:right="93"/>
              <w:spacing w:after="0" w:line="196" w:lineRule="exact"/>
              <w:rPr>
                <w:sz w:val="20"/>
                <w:szCs w:val="20"/>
                <w:color w:val="auto"/>
              </w:rPr>
            </w:pPr>
            <w:r>
              <w:rPr>
                <w:rFonts w:ascii="Arial" w:cs="Arial" w:eastAsia="Arial" w:hAnsi="Arial"/>
                <w:sz w:val="18"/>
                <w:szCs w:val="18"/>
                <w:color w:val="auto"/>
              </w:rPr>
              <w:t>28</w:t>
            </w:r>
          </w:p>
        </w:tc>
      </w:tr>
      <w:tr>
        <w:trPr>
          <w:trHeight w:val="203"/>
        </w:trPr>
        <w:tc>
          <w:tcPr>
            <w:tcW w:w="574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(133)</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b w:val="1"/>
                <w:bCs w:val="1"/>
                <w:color w:val="auto"/>
              </w:rPr>
              <w:t>(6)</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33"/>
              <w:spacing w:after="0" w:line="202" w:lineRule="exact"/>
              <w:rPr>
                <w:sz w:val="20"/>
                <w:szCs w:val="20"/>
                <w:color w:val="auto"/>
              </w:rPr>
            </w:pPr>
            <w:r>
              <w:rPr>
                <w:rFonts w:ascii="Arial" w:cs="Arial" w:eastAsia="Arial" w:hAnsi="Arial"/>
                <w:sz w:val="18"/>
                <w:szCs w:val="18"/>
                <w:color w:val="auto"/>
              </w:rPr>
              <w:t>(5)</w:t>
            </w:r>
          </w:p>
        </w:tc>
      </w:tr>
      <w:tr>
        <w:trPr>
          <w:trHeight w:val="216"/>
        </w:trPr>
        <w:tc>
          <w:tcPr>
            <w:tcW w:w="5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income</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b w:val="1"/>
                <w:bCs w:val="1"/>
                <w:color w:val="auto"/>
              </w:rPr>
              <w:t>524</w:t>
            </w: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23%</w:t>
            </w:r>
          </w:p>
        </w:tc>
        <w:tc>
          <w:tcPr>
            <w:tcW w:w="380" w:type="dxa"/>
            <w:vAlign w:val="bottom"/>
            <w:gridSpan w:val="2"/>
            <w:shd w:val="clear" w:color="auto" w:fill="CFF0FC"/>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556</w:t>
            </w:r>
          </w:p>
        </w:tc>
        <w:tc>
          <w:tcPr>
            <w:tcW w:w="14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-822325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-822325</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-822325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-25400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-8255</wp:posOffset>
            </wp:positionV>
            <wp:extent cx="857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sales</w:t>
      </w:r>
    </w:p>
    <w:p>
      <w:pPr>
        <w:spacing w:after="0" w:line="102" w:lineRule="exact"/>
        <w:rPr>
          <w:sz w:val="20"/>
          <w:szCs w:val="20"/>
          <w:color w:val="auto"/>
        </w:rPr>
      </w:pPr>
    </w:p>
    <w:p>
      <w:pPr>
        <w:ind w:right="220" w:firstLine="494"/>
        <w:spacing w:after="0" w:line="271" w:lineRule="auto"/>
        <w:rPr>
          <w:sz w:val="20"/>
          <w:szCs w:val="20"/>
          <w:color w:val="auto"/>
        </w:rPr>
      </w:pPr>
      <w:r>
        <w:rPr>
          <w:rFonts w:ascii="Arial" w:cs="Arial" w:eastAsia="Arial" w:hAnsi="Arial"/>
          <w:sz w:val="18"/>
          <w:szCs w:val="18"/>
          <w:color w:val="auto"/>
        </w:rPr>
        <w:t>Net sales for the nine months ended September 30, 2025 were $2,273 million compared to $2,429 million for the nine months ended September 30, 2024, a decrease of 6%.</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was principally driven by:</w:t>
      </w:r>
    </w:p>
    <w:p>
      <w:pPr>
        <w:spacing w:after="0" w:line="104" w:lineRule="exact"/>
        <w:rPr>
          <w:sz w:val="20"/>
          <w:szCs w:val="20"/>
          <w:color w:val="auto"/>
        </w:rPr>
      </w:pPr>
    </w:p>
    <w:p>
      <w:pPr>
        <w:jc w:val="both"/>
        <w:ind w:left="1780" w:right="80" w:hanging="515"/>
        <w:spacing w:after="0" w:line="252"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North America On-Highway end market net sales decreased $154 million, or 12%, principally driven by lower demand for medium-duty and class 8 vocational trucks, partially offset by price increases on certain products and market share gains for hybrid propulsion systems for transit buses.</w:t>
      </w:r>
    </w:p>
    <w:p>
      <w:pPr>
        <w:spacing w:after="0" w:line="62" w:lineRule="exact"/>
        <w:rPr>
          <w:rFonts w:ascii="Times New Roman" w:cs="Times New Roman" w:eastAsia="Times New Roman" w:hAnsi="Times New Roman"/>
          <w:sz w:val="18"/>
          <w:szCs w:val="18"/>
          <w:color w:val="auto"/>
        </w:rPr>
      </w:pPr>
    </w:p>
    <w:p>
      <w:pPr>
        <w:ind w:left="1780" w:right="140" w:hanging="515"/>
        <w:spacing w:after="0" w:line="270"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Global Off-Highway end market net sales decreased $48 million, or 54%, principally driven by lower demand from the energy, mining and construction sectors outside of North America.</w:t>
      </w:r>
    </w:p>
    <w:p>
      <w:pPr>
        <w:spacing w:after="0" w:line="46" w:lineRule="exact"/>
        <w:rPr>
          <w:rFonts w:ascii="Times New Roman" w:cs="Times New Roman" w:eastAsia="Times New Roman" w:hAnsi="Times New Roman"/>
          <w:sz w:val="18"/>
          <w:szCs w:val="18"/>
          <w:color w:val="auto"/>
        </w:rPr>
      </w:pPr>
    </w:p>
    <w:p>
      <w:pPr>
        <w:jc w:val="both"/>
        <w:ind w:left="1780" w:right="100" w:hanging="515"/>
        <w:spacing w:after="0" w:line="252" w:lineRule="auto"/>
        <w:tabs>
          <w:tab w:leader="none" w:pos="178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Service Parts, Support Equipment and Other end market net sales decreased $11 million, or 2%, principally driven by lower demand for aluminum die cast components and support equipment, partially offset by price increases on certain products and higher demand for service parts.</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decreases were partially offset by:</w:t>
      </w:r>
    </w:p>
    <w:p>
      <w:pPr>
        <w:spacing w:after="0" w:line="104" w:lineRule="exact"/>
        <w:rPr>
          <w:sz w:val="20"/>
          <w:szCs w:val="20"/>
          <w:color w:val="auto"/>
        </w:rPr>
      </w:pPr>
    </w:p>
    <w:p>
      <w:pPr>
        <w:ind w:left="1780" w:right="500" w:hanging="515"/>
        <w:spacing w:after="0" w:line="300" w:lineRule="auto"/>
        <w:tabs>
          <w:tab w:leader="none" w:pos="17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Defense end market net sales increased $50 million, or 35%, principally driven by increased demand for Tracked vehicle applications, price increases on certain products and the continued execution of our growth initiatives.</w:t>
      </w:r>
    </w:p>
    <w:p>
      <w:pPr>
        <w:spacing w:after="0" w:line="23" w:lineRule="exact"/>
        <w:rPr>
          <w:rFonts w:ascii="Times New Roman" w:cs="Times New Roman" w:eastAsia="Times New Roman" w:hAnsi="Times New Roman"/>
          <w:sz w:val="17"/>
          <w:szCs w:val="17"/>
          <w:color w:val="auto"/>
        </w:rPr>
      </w:pPr>
    </w:p>
    <w:p>
      <w:pPr>
        <w:ind w:left="1780" w:right="440" w:hanging="515"/>
        <w:spacing w:after="0" w:line="300" w:lineRule="auto"/>
        <w:tabs>
          <w:tab w:leader="none" w:pos="1780" w:val="left"/>
        </w:tabs>
        <w:numPr>
          <w:ilvl w:val="0"/>
          <w:numId w:val="10"/>
        </w:numPr>
        <w:rPr>
          <w:rFonts w:ascii="Times New Roman" w:cs="Times New Roman" w:eastAsia="Times New Roman" w:hAnsi="Times New Roman"/>
          <w:sz w:val="17"/>
          <w:szCs w:val="17"/>
          <w:color w:val="auto"/>
        </w:rPr>
      </w:pPr>
      <w:r>
        <w:rPr>
          <w:rFonts w:ascii="Arial" w:cs="Arial" w:eastAsia="Arial" w:hAnsi="Arial"/>
          <w:sz w:val="17"/>
          <w:szCs w:val="17"/>
          <w:color w:val="auto"/>
        </w:rPr>
        <w:t>Outside North America On-Highway end market net sales increased $7 million, or 2%, principally driven by higher demand in South America and price increases on certain products, partially offset by lower demand in Asia.</w:t>
      </w:r>
    </w:p>
    <w:p>
      <w:pPr>
        <w:spacing w:after="0" w:line="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sales</w:t>
      </w:r>
    </w:p>
    <w:p>
      <w:pPr>
        <w:spacing w:after="0" w:line="102" w:lineRule="exact"/>
        <w:rPr>
          <w:sz w:val="20"/>
          <w:szCs w:val="20"/>
          <w:color w:val="auto"/>
        </w:rPr>
      </w:pPr>
    </w:p>
    <w:p>
      <w:pPr>
        <w:ind w:right="420" w:firstLine="494"/>
        <w:spacing w:after="0" w:line="253" w:lineRule="auto"/>
        <w:rPr>
          <w:sz w:val="20"/>
          <w:szCs w:val="20"/>
          <w:color w:val="auto"/>
        </w:rPr>
      </w:pPr>
      <w:r>
        <w:rPr>
          <w:rFonts w:ascii="Arial" w:cs="Arial" w:eastAsia="Arial" w:hAnsi="Arial"/>
          <w:sz w:val="18"/>
          <w:szCs w:val="18"/>
          <w:color w:val="auto"/>
        </w:rPr>
        <w:t>Cost of sales for the nine months ended September 30, 2025 was $1,164 million compared to $1,273 million for the nine months ended September 30, 2024, a decrease of 9%. The decrease was principally driven by lower direct material and manufacturing expense commensurate with decreased net sales, $15 million of lower incentive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compensation expense and $ 13 million of UAW Local 933 contract signing incentives recognized in 2024 that did not reoccur in 2025, partially offset by unfavorable direct material costs.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Gross profit</w:t>
      </w:r>
    </w:p>
    <w:p>
      <w:pPr>
        <w:spacing w:after="0" w:line="102" w:lineRule="exact"/>
        <w:rPr>
          <w:sz w:val="20"/>
          <w:szCs w:val="20"/>
          <w:color w:val="auto"/>
        </w:rPr>
      </w:pPr>
    </w:p>
    <w:p>
      <w:pPr>
        <w:ind w:right="40" w:firstLine="494"/>
        <w:spacing w:after="0" w:line="242" w:lineRule="auto"/>
        <w:rPr>
          <w:sz w:val="20"/>
          <w:szCs w:val="20"/>
          <w:color w:val="auto"/>
        </w:rPr>
      </w:pPr>
      <w:r>
        <w:rPr>
          <w:rFonts w:ascii="Arial" w:cs="Arial" w:eastAsia="Arial" w:hAnsi="Arial"/>
          <w:sz w:val="18"/>
          <w:szCs w:val="18"/>
          <w:color w:val="auto"/>
        </w:rPr>
        <w:t>Gross profit for the nine months ended September 30, 2025 was $1,109 million compared to $1,156 million for the nine months ended September 30, 2024, a decrease of 4%. The decrease was principally driven by $168 million from decreased net sales and $31 million of unfavorable direct material costs, partially offset by $104 million of price increases on certain products, $20 million of lower manufacturing expense, $15 million of lower incentive compensation expense and $13 million of UAW Local 933 contract signing incentives recognized in 2024 that did not reoccur in 2025. Gross profit as a percent of net sales for the nine months ended September 30, 2025 increased 120 basis points compared to the same period in 2024, principally driven by price increases on certain products.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02" w:lineRule="exact"/>
        <w:rPr>
          <w:sz w:val="20"/>
          <w:szCs w:val="20"/>
          <w:color w:val="auto"/>
        </w:rPr>
      </w:pPr>
    </w:p>
    <w:p>
      <w:pPr>
        <w:jc w:val="both"/>
        <w:ind w:right="180" w:firstLine="494"/>
        <w:spacing w:after="0" w:line="247" w:lineRule="auto"/>
        <w:rPr>
          <w:sz w:val="20"/>
          <w:szCs w:val="20"/>
          <w:color w:val="auto"/>
        </w:rPr>
      </w:pPr>
      <w:r>
        <w:rPr>
          <w:rFonts w:ascii="Arial" w:cs="Arial" w:eastAsia="Arial" w:hAnsi="Arial"/>
          <w:sz w:val="18"/>
          <w:szCs w:val="18"/>
          <w:color w:val="auto"/>
        </w:rPr>
        <w:t>Selling, general and administrative expenses were $ 270 million for the nine months ended September 30, 2025 compared to $253 million for the nine months ended September 30, 2024, an increase of 7%. The increase was principally driven by expenses related to the Acquisition and higher product warranty expense, partially offset by lower incentive compensation expense and lower commercial activities spending to align costs and programs across our business with end markets demand conditions.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02" w:lineRule="exact"/>
        <w:rPr>
          <w:sz w:val="20"/>
          <w:szCs w:val="20"/>
          <w:color w:val="auto"/>
        </w:rPr>
      </w:pPr>
    </w:p>
    <w:p>
      <w:pPr>
        <w:ind w:firstLine="494"/>
        <w:spacing w:after="0" w:line="253" w:lineRule="auto"/>
        <w:rPr>
          <w:sz w:val="20"/>
          <w:szCs w:val="20"/>
          <w:color w:val="auto"/>
        </w:rPr>
      </w:pPr>
      <w:r>
        <w:rPr>
          <w:rFonts w:ascii="Arial" w:cs="Arial" w:eastAsia="Arial" w:hAnsi="Arial"/>
          <w:sz w:val="18"/>
          <w:szCs w:val="18"/>
          <w:color w:val="auto"/>
        </w:rPr>
        <w:t>Engineering expenses for the nine months ended September 30, 2025 were $130 million compared to $146 million for the nine months ended September 30, 2024, a decrease of 11%. The decrease was principally driven by reduced product initiatives spending to align costs and programs across our business with end markets demand conditions and lower incentive compensation expense.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02" w:lineRule="exact"/>
        <w:rPr>
          <w:sz w:val="20"/>
          <w:szCs w:val="20"/>
          <w:color w:val="auto"/>
        </w:rPr>
      </w:pPr>
    </w:p>
    <w:p>
      <w:pPr>
        <w:ind w:right="360" w:firstLine="494"/>
        <w:spacing w:after="0" w:line="271" w:lineRule="auto"/>
        <w:rPr>
          <w:sz w:val="20"/>
          <w:szCs w:val="20"/>
          <w:color w:val="auto"/>
        </w:rPr>
      </w:pPr>
      <w:r>
        <w:rPr>
          <w:rFonts w:ascii="Arial" w:cs="Arial" w:eastAsia="Arial" w:hAnsi="Arial"/>
          <w:sz w:val="18"/>
          <w:szCs w:val="18"/>
          <w:color w:val="auto"/>
        </w:rPr>
        <w:t>Interest expense, net for the nine months ended September 30, 2025 was $67 million compared to $68 million for the nine months ended September 30, 2024, a decrease of 1%.</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2" w:lineRule="exact"/>
        <w:rPr>
          <w:sz w:val="20"/>
          <w:szCs w:val="20"/>
          <w:color w:val="auto"/>
        </w:rPr>
      </w:pPr>
    </w:p>
    <w:p>
      <w:pPr>
        <w:ind w:firstLine="494"/>
        <w:spacing w:after="0" w:line="247" w:lineRule="auto"/>
        <w:rPr>
          <w:sz w:val="20"/>
          <w:szCs w:val="20"/>
          <w:color w:val="auto"/>
        </w:rPr>
      </w:pPr>
      <w:r>
        <w:rPr>
          <w:rFonts w:ascii="Arial" w:cs="Arial" w:eastAsia="Arial" w:hAnsi="Arial"/>
          <w:sz w:val="18"/>
          <w:szCs w:val="18"/>
          <w:color w:val="auto"/>
        </w:rPr>
        <w:t>Other income (expense), net for the nine months ended September 30, 2025 was $15 million compared to ($2) million for the nine months ended September 30, 2024. The change was principally driven by a $19 million change in unrealized mark-to-market adjustments for marketable securities and a $4 million non-cash defined benefit pension plan settlement charge recognized in 2024 that did not reoccur in 2025, partially offset by $4 million of reduced post-retirement benefit plan credits.</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2" w:lineRule="exact"/>
        <w:rPr>
          <w:sz w:val="20"/>
          <w:szCs w:val="20"/>
          <w:color w:val="auto"/>
        </w:rPr>
      </w:pPr>
    </w:p>
    <w:p>
      <w:pPr>
        <w:ind w:right="640" w:firstLine="494"/>
        <w:spacing w:after="0" w:line="301" w:lineRule="auto"/>
        <w:rPr>
          <w:sz w:val="20"/>
          <w:szCs w:val="20"/>
          <w:color w:val="auto"/>
        </w:rPr>
      </w:pPr>
      <w:r>
        <w:rPr>
          <w:rFonts w:ascii="Arial" w:cs="Arial" w:eastAsia="Arial" w:hAnsi="Arial"/>
          <w:sz w:val="17"/>
          <w:szCs w:val="17"/>
          <w:color w:val="auto"/>
        </w:rPr>
        <w:t>Income tax expense for the nine months ended September 30, 2025 was $ 133 million, resulting in an effective tax rate of 20%, compared to $131 million of income tax expense and an effective tax rate of 19% for the nine months ended September 30, 2024.</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ind w:firstLine="494"/>
        <w:spacing w:after="0"/>
        <w:rPr>
          <w:sz w:val="20"/>
          <w:szCs w:val="20"/>
          <w:color w:val="auto"/>
        </w:rPr>
      </w:pPr>
      <w:r>
        <w:rPr>
          <w:rFonts w:ascii="Arial" w:cs="Arial" w:eastAsia="Arial" w:hAnsi="Arial"/>
          <w:sz w:val="18"/>
          <w:szCs w:val="18"/>
          <w:color w:val="auto"/>
        </w:rPr>
        <w:t>We generate cash primarily from our operations to fund our operating, investing and financing activities. Our principal uses of cash are operating expenses, capital expenditures, working capital needs, debt service, dividends on common stock, stock repurchases and strategic growth initiatives, including investments, acquisitions and collaborations. Our ability to generate cash in the future and our future uses of cash are subject to general economic, financial, competitive, legislative, regulatory and other factors that may be beyond our control. We had total available cash and cash equivalents of $902 million and $781 million as of September 30, 2025 and December 31, 2024, respectively. Of the available cash and cash equivalents, $164 million was deposited in operating accounts and $738 million was invested primarily in U.S. government backed securities and time deposits as of September 30, 2025, compared to $117 million deposited in operating accounts and $664 million invested primarily in U.S. government backed securities as of December 31, 2024.</w:t>
      </w:r>
    </w:p>
    <w:p>
      <w:pPr>
        <w:spacing w:after="0" w:line="72"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As of September 30, 2025, the total of cash held by foreign subsidiaries was $ 131 million, the majority of which was at our subsidiaries located in the Netherlands, China, Japan and India. We manage our worldwide cash requirements considering available funds among the subsidiaries through which we conduct our business and the cost effectiveness with which those funds can be accessed. As a result, we do not currently anticipate that local liquidity restrictions will preclude us from funding our targeted initiatives or operating needs with local resources.</w:t>
      </w:r>
    </w:p>
    <w:p>
      <w:pPr>
        <w:spacing w:after="0" w:line="122" w:lineRule="exact"/>
        <w:rPr>
          <w:sz w:val="20"/>
          <w:szCs w:val="20"/>
          <w:color w:val="auto"/>
        </w:rPr>
      </w:pPr>
    </w:p>
    <w:p>
      <w:pPr>
        <w:ind w:right="20" w:firstLine="494"/>
        <w:spacing w:after="0" w:line="244" w:lineRule="auto"/>
        <w:rPr>
          <w:sz w:val="20"/>
          <w:szCs w:val="20"/>
          <w:color w:val="auto"/>
        </w:rPr>
      </w:pPr>
      <w:r>
        <w:rPr>
          <w:rFonts w:ascii="Arial" w:cs="Arial" w:eastAsia="Arial" w:hAnsi="Arial"/>
          <w:sz w:val="18"/>
          <w:szCs w:val="18"/>
          <w:color w:val="auto"/>
        </w:rPr>
        <w:t>We have not recognized any deferred tax liabilities associated with earnings in foreign subsidiaries, except for our subsidiary located in China, as they are intended to be permanently reinvested and used to support foreign operations or have no associated tax requirements. We have recorded a deferred tax liability of $3 million for the tax liability associated with the remittance of previously taxed income and unremitted earnings for our subsidiary located in China. The remaining deferred tax liabilities, if recorded, related to unremitted earnings that are indefinitely reinvested are not material.</w:t>
      </w:r>
    </w:p>
    <w:p>
      <w:pPr>
        <w:spacing w:after="0" w:line="122" w:lineRule="exact"/>
        <w:rPr>
          <w:sz w:val="20"/>
          <w:szCs w:val="20"/>
          <w:color w:val="auto"/>
        </w:rPr>
      </w:pPr>
    </w:p>
    <w:p>
      <w:pPr>
        <w:ind w:right="120" w:firstLine="494"/>
        <w:spacing w:after="0" w:line="239" w:lineRule="auto"/>
        <w:rPr>
          <w:sz w:val="20"/>
          <w:szCs w:val="20"/>
          <w:color w:val="auto"/>
        </w:rPr>
      </w:pPr>
      <w:r>
        <w:rPr>
          <w:rFonts w:ascii="Arial" w:cs="Arial" w:eastAsia="Arial" w:hAnsi="Arial"/>
          <w:sz w:val="18"/>
          <w:szCs w:val="18"/>
          <w:color w:val="auto"/>
        </w:rPr>
        <w:t>Our liquidity requirements are significant, primarily due to our debt service requirements. As of September 30, 2025, we had $510 million of indebtedness associated with ATI’s Term Loan, $400 million of indebtedness associated with ATI’s 4.75% Senior Notes due October 2027 (“4.75% Senior Notes”), $500 million of indebtedness associated with ATI’s 5.875% Senior Notes due June 2029 (“5.875% Senior Notes”) and $1,000 million of indebtedness associated with ATI’s 3.75% Senior Notes due January 2031 (“3.75% Senior Notes” and, together with the 4.75% Senior Notes and 5.875% Senior Notes, the “Senior Notes”). Short-term and long-term debt service liquidity requirements consist of $1 million of minimum required quarterly principal payments on ATI’s Term Loan through its maturity date of March 2031 and periodic interest payments on ATI’s Term Loan and the Senior Notes. There are no required quarterly principal payments on the Senior Notes. Long-term debt service liquidity requirements also consist of the payment in full of any remaining principal balance of ATI’s Term Loan and the Senior Notes upon their respective maturity dates.</w:t>
      </w:r>
    </w:p>
    <w:p>
      <w:pPr>
        <w:spacing w:after="0" w:line="129" w:lineRule="exact"/>
        <w:rPr>
          <w:sz w:val="20"/>
          <w:szCs w:val="20"/>
          <w:color w:val="auto"/>
        </w:rPr>
      </w:pPr>
    </w:p>
    <w:p>
      <w:pPr>
        <w:ind w:right="120" w:firstLine="494"/>
        <w:spacing w:after="0" w:line="253" w:lineRule="auto"/>
        <w:rPr>
          <w:sz w:val="20"/>
          <w:szCs w:val="20"/>
          <w:color w:val="auto"/>
        </w:rPr>
      </w:pPr>
      <w:r>
        <w:rPr>
          <w:rFonts w:ascii="Arial" w:cs="Arial" w:eastAsia="Arial" w:hAnsi="Arial"/>
          <w:sz w:val="18"/>
          <w:szCs w:val="18"/>
          <w:color w:val="auto"/>
        </w:rPr>
        <w:t>We made $4 million and $ 103 million of principal payments on the Term Loan during the nine months ended September 30, 2025 and 2024, respectively. Our ability to make payments on and refinance our indebtedness and to fund planned capital expenditures and growth initiatives will depend on our ability to generate cash in the future.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94"/>
        <w:spacing w:after="0" w:line="238" w:lineRule="auto"/>
        <w:rPr>
          <w:sz w:val="20"/>
          <w:szCs w:val="20"/>
          <w:color w:val="auto"/>
        </w:rPr>
      </w:pPr>
      <w:r>
        <w:rPr>
          <w:rFonts w:ascii="Arial" w:cs="Arial" w:eastAsia="Arial" w:hAnsi="Arial"/>
          <w:sz w:val="18"/>
          <w:szCs w:val="18"/>
          <w:color w:val="auto"/>
        </w:rPr>
        <w:t>The Senior Secured Credit Facility provides for a $750 million Revolving Credit Facility, net of an allowance for up to $75 million in outstanding letter of credit commitments. As of September 30, 2025, we had $745 million available under the Revolving Credit Facility, net of $5 million in letters of credit. As of September 30, 2025, we had no amounts outstanding under the Revolving Credit Facility. If we have commitments outstanding on the Revolving Credit Facility at the end of a fiscal quarter, the Senior Secured Credit Facility requires us to maintain a specified maximum first lien net leverage ratio of 5.50x. Additionally, within the terms of the Senior Secured Credit Facility, a first lien net leverage ratio at or below 4.00x results in the elimination of excess cash flow payments on the Senior Secured Credit Facility for the applicable year. As of September 30, 2025, our first lien net leverage ratio was (0.35x). The Senior Secured Credit Facility also provides certain financial incentives based on our first lien net leverage ratio. A first lien net leverage ratio at or below 4.00x and above 3.50x results in a 25 basis point reduction to the applicable margin on the Revolving Credit Facility. A first lien net leverage ratio at or below 3.50x results in an additional 25 basis point reduction to the applicable margin on the Revolving Credit Facility. These reductions remain in effect as long as we achieve a first lien net leverage ratio at or below the related threshold.</w:t>
      </w:r>
    </w:p>
    <w:p>
      <w:pPr>
        <w:spacing w:after="0" w:line="132" w:lineRule="exact"/>
        <w:rPr>
          <w:sz w:val="20"/>
          <w:szCs w:val="20"/>
          <w:color w:val="auto"/>
        </w:rPr>
      </w:pPr>
    </w:p>
    <w:p>
      <w:pPr>
        <w:ind w:right="60" w:firstLine="494"/>
        <w:spacing w:after="0"/>
        <w:rPr>
          <w:sz w:val="20"/>
          <w:szCs w:val="20"/>
          <w:color w:val="auto"/>
        </w:rPr>
      </w:pPr>
      <w:r>
        <w:rPr>
          <w:rFonts w:ascii="Arial" w:cs="Arial" w:eastAsia="Arial" w:hAnsi="Arial"/>
          <w:sz w:val="18"/>
          <w:szCs w:val="18"/>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2025, we are in compliance with all covenants under the Senior Secured Credit Facility and indentures governing the Senior Notes.</w:t>
      </w:r>
    </w:p>
    <w:p>
      <w:pPr>
        <w:spacing w:after="0" w:line="131" w:lineRule="exact"/>
        <w:rPr>
          <w:sz w:val="20"/>
          <w:szCs w:val="20"/>
          <w:color w:val="auto"/>
        </w:rPr>
      </w:pPr>
    </w:p>
    <w:p>
      <w:pPr>
        <w:ind w:right="100" w:firstLine="494"/>
        <w:spacing w:after="0" w:line="244" w:lineRule="auto"/>
        <w:rPr>
          <w:sz w:val="20"/>
          <w:szCs w:val="20"/>
          <w:color w:val="auto"/>
        </w:rPr>
      </w:pPr>
      <w:r>
        <w:rPr>
          <w:rFonts w:ascii="Arial" w:cs="Arial" w:eastAsia="Arial" w:hAnsi="Arial"/>
          <w:sz w:val="18"/>
          <w:szCs w:val="18"/>
          <w:color w:val="auto"/>
        </w:rPr>
        <w:t>In connection with the Acquisition, we entered into the Commitment Letter, which provides for up to $2,000 million of borrowing capacity under the Bridge Facility. The proceeds of the Bridge Facility may be used to finance a portion of the purchase price under the Purchase Agreement and to pay costs, fees and expenses in connection with the Bridge Facility and the transactions contemplated thereby. We expect to replace the Bridge Facility prior to the closing of the Acquisition with permanent financing, which may include the issuance of debt securities.</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credit ratings and outlook are reviewed periodically by Moody’s Ratings (“Moody’s”) and Fitch Ratings, Inc. (“Fitch”).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our credit ratings from both Moody's and Fitch are shown in the table below:</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Credit Ratings</w:t>
            </w:r>
          </w:p>
        </w:tc>
        <w:tc>
          <w:tcPr>
            <w:tcW w:w="17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September 30, 2025</w:t>
            </w:r>
          </w:p>
        </w:tc>
        <w:tc>
          <w:tcPr>
            <w:tcW w:w="0" w:type="dxa"/>
            <w:vAlign w:val="bottom"/>
          </w:tcPr>
          <w:p>
            <w:pPr>
              <w:spacing w:after="0"/>
              <w:rPr>
                <w:sz w:val="1"/>
                <w:szCs w:val="1"/>
                <w:color w:val="auto"/>
              </w:rPr>
            </w:pPr>
          </w:p>
        </w:tc>
      </w:tr>
      <w:tr>
        <w:trPr>
          <w:trHeight w:val="155"/>
        </w:trPr>
        <w:tc>
          <w:tcPr>
            <w:tcW w:w="6120" w:type="dxa"/>
            <w:vAlign w:val="bottom"/>
            <w:vMerge w:val="continue"/>
          </w:tcPr>
          <w:p>
            <w:pPr>
              <w:spacing w:after="0"/>
              <w:rPr>
                <w:sz w:val="13"/>
                <w:szCs w:val="13"/>
                <w:color w:val="auto"/>
              </w:rPr>
            </w:pPr>
          </w:p>
        </w:tc>
        <w:tc>
          <w:tcPr>
            <w:tcW w:w="1720" w:type="dxa"/>
            <w:vAlign w:val="bottom"/>
            <w:tcBorders>
              <w:bottom w:val="single" w:sz="8" w:color="auto"/>
            </w:tcBorders>
          </w:tcPr>
          <w:p>
            <w:pPr>
              <w:ind w:left="960"/>
              <w:spacing w:after="0" w:line="155" w:lineRule="exact"/>
              <w:rPr>
                <w:sz w:val="20"/>
                <w:szCs w:val="20"/>
                <w:color w:val="auto"/>
              </w:rPr>
            </w:pPr>
            <w:r>
              <w:rPr>
                <w:rFonts w:ascii="Arial" w:cs="Arial" w:eastAsia="Arial" w:hAnsi="Arial"/>
                <w:sz w:val="14"/>
                <w:szCs w:val="14"/>
                <w:b w:val="1"/>
                <w:bCs w:val="1"/>
                <w:color w:val="auto"/>
              </w:rPr>
              <w:t>Moody's</w:t>
            </w:r>
          </w:p>
        </w:tc>
        <w:tc>
          <w:tcPr>
            <w:tcW w:w="78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Fitch</w:t>
            </w:r>
          </w:p>
        </w:tc>
        <w:tc>
          <w:tcPr>
            <w:tcW w:w="0" w:type="dxa"/>
            <w:vAlign w:val="bottom"/>
          </w:tcPr>
          <w:p>
            <w:pPr>
              <w:spacing w:after="0"/>
              <w:rPr>
                <w:sz w:val="1"/>
                <w:szCs w:val="1"/>
                <w:color w:val="auto"/>
              </w:rPr>
            </w:pPr>
          </w:p>
        </w:tc>
      </w:tr>
      <w:tr>
        <w:trPr>
          <w:trHeight w:val="196"/>
        </w:trPr>
        <w:tc>
          <w:tcPr>
            <w:tcW w:w="61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Corporate Credit</w:t>
            </w:r>
          </w:p>
        </w:tc>
        <w:tc>
          <w:tcPr>
            <w:tcW w:w="1720" w:type="dxa"/>
            <w:vAlign w:val="bottom"/>
            <w:shd w:val="clear" w:color="auto" w:fill="CFF0FC"/>
          </w:tcPr>
          <w:p>
            <w:pPr>
              <w:jc w:val="center"/>
              <w:ind w:left="713"/>
              <w:spacing w:after="0" w:line="196" w:lineRule="exact"/>
              <w:rPr>
                <w:sz w:val="20"/>
                <w:szCs w:val="20"/>
                <w:color w:val="auto"/>
              </w:rPr>
            </w:pPr>
            <w:r>
              <w:rPr>
                <w:rFonts w:ascii="Arial" w:cs="Arial" w:eastAsia="Arial" w:hAnsi="Arial"/>
                <w:sz w:val="18"/>
                <w:szCs w:val="18"/>
                <w:color w:val="auto"/>
                <w:w w:val="99"/>
              </w:rPr>
              <w:t>Ba1</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Term Loan</w:t>
            </w:r>
          </w:p>
        </w:tc>
        <w:tc>
          <w:tcPr>
            <w:tcW w:w="1720" w:type="dxa"/>
            <w:vAlign w:val="bottom"/>
          </w:tcPr>
          <w:p>
            <w:pPr>
              <w:jc w:val="center"/>
              <w:ind w:left="693"/>
              <w:spacing w:after="0" w:line="202" w:lineRule="exact"/>
              <w:rPr>
                <w:sz w:val="20"/>
                <w:szCs w:val="20"/>
                <w:color w:val="auto"/>
              </w:rPr>
            </w:pPr>
            <w:r>
              <w:rPr>
                <w:rFonts w:ascii="Arial" w:cs="Arial" w:eastAsia="Arial" w:hAnsi="Arial"/>
                <w:sz w:val="18"/>
                <w:szCs w:val="18"/>
                <w:color w:val="auto"/>
                <w:w w:val="99"/>
              </w:rPr>
              <w:t>Baa2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9"/>
              </w:rPr>
              <w:t>BBB-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4.75% Senior Notes</w:t>
            </w:r>
          </w:p>
        </w:tc>
        <w:tc>
          <w:tcPr>
            <w:tcW w:w="1720" w:type="dxa"/>
            <w:vAlign w:val="bottom"/>
            <w:shd w:val="clear" w:color="auto" w:fill="CFF0FC"/>
          </w:tcPr>
          <w:p>
            <w:pPr>
              <w:jc w:val="center"/>
              <w:ind w:left="71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2"/>
        </w:trPr>
        <w:tc>
          <w:tcPr>
            <w:tcW w:w="6120" w:type="dxa"/>
            <w:vAlign w:val="bottom"/>
          </w:tcPr>
          <w:p>
            <w:pPr>
              <w:spacing w:after="0" w:line="202" w:lineRule="exact"/>
              <w:rPr>
                <w:sz w:val="20"/>
                <w:szCs w:val="20"/>
                <w:color w:val="auto"/>
              </w:rPr>
            </w:pPr>
            <w:r>
              <w:rPr>
                <w:rFonts w:ascii="Arial" w:cs="Arial" w:eastAsia="Arial" w:hAnsi="Arial"/>
                <w:sz w:val="18"/>
                <w:szCs w:val="18"/>
                <w:color w:val="auto"/>
              </w:rPr>
              <w:t>5.875% Senior Notes</w:t>
            </w:r>
          </w:p>
        </w:tc>
        <w:tc>
          <w:tcPr>
            <w:tcW w:w="1720" w:type="dxa"/>
            <w:vAlign w:val="bottom"/>
          </w:tcPr>
          <w:p>
            <w:pPr>
              <w:jc w:val="center"/>
              <w:ind w:left="71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r>
        <w:trPr>
          <w:trHeight w:val="203"/>
        </w:trPr>
        <w:tc>
          <w:tcPr>
            <w:tcW w:w="61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3.75% Senior Notes</w:t>
            </w:r>
          </w:p>
        </w:tc>
        <w:tc>
          <w:tcPr>
            <w:tcW w:w="1720" w:type="dxa"/>
            <w:vAlign w:val="bottom"/>
            <w:shd w:val="clear" w:color="auto" w:fill="CFF0FC"/>
          </w:tcPr>
          <w:p>
            <w:pPr>
              <w:jc w:val="center"/>
              <w:ind w:left="713"/>
              <w:spacing w:after="0" w:line="202" w:lineRule="exact"/>
              <w:rPr>
                <w:sz w:val="20"/>
                <w:szCs w:val="20"/>
                <w:color w:val="auto"/>
              </w:rPr>
            </w:pPr>
            <w:r>
              <w:rPr>
                <w:rFonts w:ascii="Arial" w:cs="Arial" w:eastAsia="Arial" w:hAnsi="Arial"/>
                <w:sz w:val="18"/>
                <w:szCs w:val="18"/>
                <w:color w:val="auto"/>
                <w:w w:val="99"/>
              </w:rPr>
              <w:t>Ba2</w:t>
            </w:r>
          </w:p>
        </w:tc>
        <w:tc>
          <w:tcPr>
            <w:tcW w:w="7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8"/>
              </w:rPr>
              <w:t>BB+</w:t>
            </w:r>
          </w:p>
        </w:tc>
        <w:tc>
          <w:tcPr>
            <w:tcW w:w="0" w:type="dxa"/>
            <w:vAlign w:val="bottom"/>
          </w:tcPr>
          <w:p>
            <w:pPr>
              <w:spacing w:after="0"/>
              <w:rPr>
                <w:sz w:val="1"/>
                <w:szCs w:val="1"/>
                <w:color w:val="auto"/>
              </w:rPr>
            </w:pPr>
          </w:p>
        </w:tc>
      </w:tr>
    </w:tbl>
    <w:p>
      <w:pPr>
        <w:spacing w:after="0" w:line="143" w:lineRule="exact"/>
        <w:rPr>
          <w:sz w:val="20"/>
          <w:szCs w:val="20"/>
          <w:color w:val="auto"/>
        </w:rPr>
      </w:pPr>
    </w:p>
    <w:p>
      <w:pPr>
        <w:ind w:right="140" w:firstLine="494"/>
        <w:spacing w:after="0" w:line="244" w:lineRule="auto"/>
        <w:rPr>
          <w:sz w:val="20"/>
          <w:szCs w:val="20"/>
          <w:color w:val="auto"/>
        </w:rPr>
      </w:pPr>
      <w:r>
        <w:rPr>
          <w:rFonts w:ascii="Arial" w:cs="Arial" w:eastAsia="Arial" w:hAnsi="Arial"/>
          <w:sz w:val="18"/>
          <w:szCs w:val="18"/>
          <w:color w:val="auto"/>
        </w:rPr>
        <w:t>On February 20, 2025, our Board of Directors authorized us to repurchase an additional $1,000 million of our common stock pursuant to our stock repurchase program (the "Repurchase Program"), bringing the total amount authorized pursuant to the Repurchase Program to $5,000 million. During the nine months ended September 30, 2025, we repurchased $283 million of our common stock under the Repurchase Program. Substantially all of the repurchase transactions during the nine months ended September 30, 2025 were settled in cash during the same period. As of September 30, 2025, we had approximately $1,236 million available under the Repurchase Program.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sources and uses of funds for the nine months ended September 30, 2025 and 2024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Nine Months Ended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2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8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5"/>
              <w:spacing w:after="0" w:line="15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5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3140" w:type="dxa"/>
            <w:vAlign w:val="bottom"/>
            <w:gridSpan w:val="2"/>
            <w:shd w:val="clear" w:color="auto" w:fill="CFF0FC"/>
          </w:tcPr>
          <w:p>
            <w:pPr>
              <w:jc w:val="right"/>
              <w:ind w:right="808"/>
              <w:spacing w:after="0" w:line="196"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ind w:right="17"/>
              <w:spacing w:after="0" w:line="196" w:lineRule="exact"/>
              <w:rPr>
                <w:sz w:val="20"/>
                <w:szCs w:val="20"/>
                <w:color w:val="auto"/>
              </w:rPr>
            </w:pPr>
            <w:r>
              <w:rPr>
                <w:rFonts w:ascii="Arial" w:cs="Arial" w:eastAsia="Arial" w:hAnsi="Arial"/>
                <w:sz w:val="18"/>
                <w:szCs w:val="18"/>
                <w:b w:val="1"/>
                <w:bCs w:val="1"/>
                <w:color w:val="auto"/>
              </w:rPr>
              <w:t>593</w:t>
            </w:r>
          </w:p>
        </w:tc>
        <w:tc>
          <w:tcPr>
            <w:tcW w:w="760" w:type="dxa"/>
            <w:vAlign w:val="bottom"/>
            <w:gridSpan w:val="2"/>
            <w:shd w:val="clear" w:color="auto" w:fill="CFF0FC"/>
          </w:tcPr>
          <w:p>
            <w:pPr>
              <w:jc w:val="right"/>
              <w:ind w:right="48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5"/>
              <w:spacing w:after="0" w:line="196"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Cash flows used for investing activities</w:t>
            </w:r>
          </w:p>
        </w:tc>
        <w:tc>
          <w:tcPr>
            <w:tcW w:w="3140" w:type="dxa"/>
            <w:vAlign w:val="bottom"/>
            <w:gridSpan w:val="2"/>
          </w:tcPr>
          <w:p>
            <w:pPr>
              <w:jc w:val="right"/>
              <w:ind w:right="808"/>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(108)</w:t>
            </w:r>
          </w:p>
        </w:tc>
        <w:tc>
          <w:tcPr>
            <w:tcW w:w="7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3"/>
        </w:trPr>
        <w:tc>
          <w:tcPr>
            <w:tcW w:w="55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flows used for financing activities</w:t>
            </w:r>
          </w:p>
        </w:tc>
        <w:tc>
          <w:tcPr>
            <w:tcW w:w="3140" w:type="dxa"/>
            <w:vAlign w:val="bottom"/>
            <w:gridSpan w:val="2"/>
            <w:shd w:val="clear" w:color="auto" w:fill="CFF0FC"/>
          </w:tcPr>
          <w:p>
            <w:pPr>
              <w:jc w:val="right"/>
              <w:ind w:right="808"/>
              <w:spacing w:after="0" w:line="202"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b w:val="1"/>
                <w:bCs w:val="1"/>
                <w:color w:val="auto"/>
              </w:rPr>
              <w:t>(368)</w:t>
            </w:r>
          </w:p>
        </w:tc>
        <w:tc>
          <w:tcPr>
            <w:tcW w:w="760" w:type="dxa"/>
            <w:vAlign w:val="bottom"/>
            <w:gridSpan w:val="2"/>
            <w:shd w:val="clear" w:color="auto" w:fill="CFF0FC"/>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firstLine="494"/>
        <w:spacing w:after="0" w:line="242" w:lineRule="auto"/>
        <w:rPr>
          <w:sz w:val="20"/>
          <w:szCs w:val="20"/>
          <w:color w:val="auto"/>
        </w:rPr>
      </w:pPr>
      <w:r>
        <w:rPr>
          <w:rFonts w:ascii="Arial" w:cs="Arial" w:eastAsia="Arial" w:hAnsi="Arial"/>
          <w:sz w:val="18"/>
          <w:szCs w:val="18"/>
          <w:color w:val="auto"/>
        </w:rPr>
        <w:t>Generally, cash provided by operating activities has been adequate to fund our operations. We have significant liquidity, including $902 million of cash and cash equivalents and $ 745 million available under the Revolving Credit Facility, net of $ 5 million of letters of credit, as of September 30, 2025. In addition, we have $2,000 million available under the Bridge Facility, which may be used to finance a portion of the purchase price of the Acquisition and other related costs, fees and expenses. At this time, we believe cash provided by operating activities, cash and cash equivalents and borrowing capacity under the Revolving Credit Facility and Bridge Facility will be sufficient to meet our known and anticipated cash requirements for the next twelve months and thereafter.</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02" w:lineRule="exact"/>
        <w:rPr>
          <w:sz w:val="20"/>
          <w:szCs w:val="20"/>
          <w:color w:val="auto"/>
        </w:rPr>
      </w:pPr>
    </w:p>
    <w:p>
      <w:pPr>
        <w:ind w:right="180" w:firstLine="494"/>
        <w:spacing w:after="0" w:line="244" w:lineRule="auto"/>
        <w:rPr>
          <w:sz w:val="20"/>
          <w:szCs w:val="20"/>
          <w:color w:val="auto"/>
        </w:rPr>
      </w:pPr>
      <w:r>
        <w:rPr>
          <w:rFonts w:ascii="Arial" w:cs="Arial" w:eastAsia="Arial" w:hAnsi="Arial"/>
          <w:sz w:val="18"/>
          <w:szCs w:val="18"/>
          <w:color w:val="auto"/>
        </w:rPr>
        <w:t>Operating activities for the nine months ended September 30, 2025 generated $ 593 million of cash compared to $590 million for the nine months ended September 30, 2024. The increase was principally driven by lower cash income taxes, lower operating working capital funding requirements, UAW Local 933 contract signing incentives recognized in 2024 that did not reoccur in 2025 and decreased defined benefit pension plans funding payments, partially offset by lower gross profit, payments for expenses related to the Acquisition, higher cash incentive compensation payments and lower cash interest received on interest rate swaps.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02" w:lineRule="exact"/>
        <w:rPr>
          <w:sz w:val="20"/>
          <w:szCs w:val="20"/>
          <w:color w:val="auto"/>
        </w:rPr>
      </w:pPr>
    </w:p>
    <w:p>
      <w:pPr>
        <w:ind w:right="460" w:firstLine="499"/>
        <w:spacing w:after="0" w:line="271" w:lineRule="auto"/>
        <w:rPr>
          <w:sz w:val="20"/>
          <w:szCs w:val="20"/>
          <w:color w:val="auto"/>
        </w:rPr>
      </w:pPr>
      <w:r>
        <w:rPr>
          <w:rFonts w:ascii="Arial" w:cs="Arial" w:eastAsia="Arial" w:hAnsi="Arial"/>
          <w:sz w:val="18"/>
          <w:szCs w:val="18"/>
          <w:color w:val="auto"/>
        </w:rPr>
        <w:t>Investing activities for the nine months ended September 30, 2025 used $108 million of cash compared to $70 million for the nine months ended September 30, 2024. The increase was principally driven by a $33 million increase in capital expenditures.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02" w:lineRule="exact"/>
        <w:rPr>
          <w:sz w:val="20"/>
          <w:szCs w:val="20"/>
          <w:color w:val="auto"/>
        </w:rPr>
      </w:pPr>
    </w:p>
    <w:p>
      <w:pPr>
        <w:ind w:right="160" w:firstLine="494"/>
        <w:spacing w:after="0" w:line="247" w:lineRule="auto"/>
        <w:rPr>
          <w:sz w:val="20"/>
          <w:szCs w:val="20"/>
          <w:color w:val="auto"/>
        </w:rPr>
      </w:pPr>
      <w:r>
        <w:rPr>
          <w:rFonts w:ascii="Arial" w:cs="Arial" w:eastAsia="Arial" w:hAnsi="Arial"/>
          <w:sz w:val="18"/>
          <w:szCs w:val="18"/>
          <w:color w:val="auto"/>
        </w:rPr>
        <w:t>Financing activities for the nine months ended September 30, 2025 used $ 368 million of cash compared to $287 million for the nine months ended September 30, 2024. The increase was principally driven by $149 million of higher stock repurchases under the Repurchase Program, $20 million of lower proceeds from the exercise of stock options and $6 million of higher taxes paid related to the net share settlement of equity awards, partially offset by $99 million of decreased payments on our long-term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04" w:lineRule="exact"/>
        <w:rPr>
          <w:sz w:val="20"/>
          <w:szCs w:val="20"/>
          <w:color w:val="auto"/>
        </w:rPr>
      </w:pPr>
    </w:p>
    <w:p>
      <w:pPr>
        <w:ind w:right="220" w:firstLine="494"/>
        <w:spacing w:after="0" w:line="247" w:lineRule="auto"/>
        <w:rPr>
          <w:sz w:val="20"/>
          <w:szCs w:val="20"/>
          <w:color w:val="auto"/>
        </w:rPr>
      </w:pPr>
      <w:r>
        <w:rPr>
          <w:rFonts w:ascii="Arial" w:cs="Arial" w:eastAsia="Arial" w:hAnsi="Arial"/>
          <w:sz w:val="18"/>
          <w:szCs w:val="18"/>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04" w:lineRule="exact"/>
        <w:rPr>
          <w:sz w:val="20"/>
          <w:szCs w:val="20"/>
          <w:color w:val="auto"/>
        </w:rPr>
      </w:pPr>
    </w:p>
    <w:p>
      <w:pPr>
        <w:ind w:right="160" w:firstLine="494"/>
        <w:spacing w:after="0" w:line="253" w:lineRule="auto"/>
        <w:rPr>
          <w:sz w:val="20"/>
          <w:szCs w:val="20"/>
          <w:color w:val="auto"/>
        </w:rPr>
      </w:pPr>
      <w:r>
        <w:rPr>
          <w:rFonts w:ascii="Arial" w:cs="Arial" w:eastAsia="Arial" w:hAnsi="Arial"/>
          <w:sz w:val="18"/>
          <w:szCs w:val="18"/>
          <w:color w:val="auto"/>
        </w:rPr>
        <w:t>A discussion of our critical accounting estimates is included in Part II, Item 7, “Management’s Discussion and Analysis of Financial Condition and Results of Operations” in our Annual Report on Form 10-K for the year ended December 31, 2024 as filed with the Securities and Exchange Commission on February 13, 2025. The preparation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estimates being reported for the three and nine months ended September 30, 2025.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B. Summary of Significant Accounting Policies” in Part I, Item 1, of this Quarterly Report on Form 10-Q.</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17" w:right="6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04" w:lineRule="exact"/>
        <w:rPr>
          <w:sz w:val="20"/>
          <w:szCs w:val="20"/>
          <w:color w:val="auto"/>
        </w:rPr>
      </w:pPr>
    </w:p>
    <w:p>
      <w:pPr>
        <w:ind w:firstLine="494"/>
        <w:spacing w:after="0" w:line="236" w:lineRule="auto"/>
        <w:rPr>
          <w:sz w:val="20"/>
          <w:szCs w:val="20"/>
          <w:color w:val="auto"/>
        </w:rPr>
      </w:pPr>
      <w:r>
        <w:rPr>
          <w:rFonts w:ascii="Arial" w:cs="Arial" w:eastAsia="Arial" w:hAnsi="Arial"/>
          <w:sz w:val="18"/>
          <w:szCs w:val="18"/>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relating to the pending Acquisition, including: the Acquisition may not be completed in a timely manner or at all; we may experience delays, unanticipated costs or restrictions resulting from regulatory review of the Acquisition, including the risk that we may be unable to obtain governmental and regulatory approvals required for the Acquisition or that such approvals may result in the imposition of conditions that could adversely affect the combined company or the expected benefits of the Acquisition; the financing intended to fund the Acquisition may not be obtained; uncertainties associated with the Acquisition may cause a loss of both companies’ management personnel and other key employees, and cause disruptions to both companies’ business relationships; the Purchase Agreement subjects the Company and Dana to restrictions on business activities prior to the effective time of the Acquisition; we are expected to incur significant costs in connection with the Acquisition and integration; litigation risks relating to the Acquisition; the off-highway business of Dana and its operations may not be integrated successfully in the expected time frame; the Acquisition may result in a loss of customers, vendors, and other business counterparties; and the combined company may fail to realize all of the anticipated benefits of the Acquisition or fail to effectively manage its expanded operations; our participation in markets that are competitive; our ability to prepare for, respond to and successfully achieve our objectives relating to technological and market developments, competitive threats and changing customer needs, including with respect to electric hybrid and fully electric commercial vehicles; increases in cost, disruption of supply or shortage of labor, freight, raw materials, energy or components used to manufacture or transport our products or those of our customers or suppliers, including as a result of geopolitical risks, natural disasters, extreme weather events, wars and public health crises such as pandemics; global economic volatility; general economic and industry conditions, including the risk of prolonged inflation and recession; labor strikes, work stoppages or similar labor disputes, which could significantly disrupt our operations or those of our principal customers or suppliers; the highly cyclical industries in which certain of our end users operate; uncertainty in the global regulatory and business environments in which we operate; the concentration of our net sales in our top five customers and the loss of any one of these; cybersecurity risks to our operational systems, security systems or infrastructure owned by us or our third-party vendors and suppliers; the failure of markets outside North America to increase adoption of fully automatic transmissions; the success of our research and development efforts, the outcome of which is uncertain; U.S. and foreign defense spending; risks associated with our international operations, including acts of war and increased trade protectionism and tariffs; the discovery of defects in our products, resulting in delays in new model launches, recall campaigns and/or increased warranty costs and reduction in future sales or damage to our brand and reputation; our ability to identify, consummate and effectively integrate acquisitions and collaborations; and risks related to our indebtedness.</w:t>
      </w:r>
    </w:p>
    <w:p>
      <w:pPr>
        <w:spacing w:after="0" w:line="74" w:lineRule="exact"/>
        <w:rPr>
          <w:sz w:val="20"/>
          <w:szCs w:val="20"/>
          <w:color w:val="auto"/>
        </w:rPr>
      </w:pPr>
    </w:p>
    <w:p>
      <w:pPr>
        <w:ind w:right="40" w:firstLine="494"/>
        <w:spacing w:after="0" w:line="24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2024 as filed with the Securities and Exchange Commission on February 13, 2025 and Part II, Item 1A of this Quarterly Report on Form 10-Q. All written and oral forward-looking statements attributable to us, or persons acting on our behalf, are expressly qualified in their entirety by these cautionary statements as well as other cautionary statements that are made from</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time to time in our other Securities and Exchange Commission filings or public communications. You should evaluate all forward-looking statements made in this Quarterly Report on Form 10-Q in the context of these risks and uncertainties.</w:t>
      </w:r>
    </w:p>
    <w:p>
      <w:pPr>
        <w:spacing w:after="0" w:line="10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79" w:lineRule="exact"/>
        <w:rPr>
          <w:sz w:val="20"/>
          <w:szCs w:val="20"/>
          <w:color w:val="auto"/>
        </w:rPr>
      </w:pPr>
    </w:p>
    <w:p>
      <w:pPr>
        <w:ind w:right="400" w:firstLine="499"/>
        <w:spacing w:after="0" w:line="271" w:lineRule="auto"/>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2" w:lineRule="exact"/>
        <w:rPr>
          <w:sz w:val="20"/>
          <w:szCs w:val="20"/>
          <w:color w:val="auto"/>
        </w:rPr>
      </w:pPr>
    </w:p>
    <w:p>
      <w:pPr>
        <w:ind w:right="80" w:firstLine="494"/>
        <w:spacing w:after="0" w:line="244" w:lineRule="auto"/>
        <w:rPr>
          <w:sz w:val="20"/>
          <w:szCs w:val="20"/>
          <w:color w:val="auto"/>
        </w:rPr>
      </w:pPr>
      <w:r>
        <w:rPr>
          <w:rFonts w:ascii="Arial" w:cs="Arial" w:eastAsia="Arial" w:hAnsi="Arial"/>
          <w:sz w:val="18"/>
          <w:szCs w:val="18"/>
          <w:color w:val="auto"/>
        </w:rPr>
        <w:t>Our principal interest rate exposure relates to outstanding amounts under our Senior Secured Credit Facility. Our Senior Secured Credit Facility provides for variable rate borrowings of up to $ 1,255 million, including our $510 million Term Loan and $745 million available under our Revolving Credit Facility, net of $5 million of letters of credit. A one-eighth percent increase or decrease in assumed interest rates for the Senior Secured Credit Facility, if fully drawn as of September 30, 2025, would have an impact of approximately $2 million on interest expense per year. As of September 30, 2025, we had no amounts outstanding under the Revolving Credit Facility.</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02" w:lineRule="exact"/>
        <w:rPr>
          <w:sz w:val="20"/>
          <w:szCs w:val="20"/>
          <w:color w:val="auto"/>
        </w:rPr>
      </w:pPr>
    </w:p>
    <w:p>
      <w:pPr>
        <w:ind w:right="140" w:firstLine="499"/>
        <w:spacing w:after="0" w:line="247"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Brazilian Real, British Pound, Canadian Dollar, Chinese Yuan Renminbi, Euro, Hungarian Forint, Indian Rupee and Japanese Yen. The expansion of our business outside North America may further increase the risk that cash flows resulting from these activities may be adversely affected by changes in currency exchange rates.</w:t>
      </w:r>
    </w:p>
    <w:p>
      <w:pPr>
        <w:spacing w:after="0" w:line="66" w:lineRule="exact"/>
        <w:rPr>
          <w:sz w:val="20"/>
          <w:szCs w:val="20"/>
          <w:color w:val="auto"/>
        </w:rPr>
      </w:pPr>
    </w:p>
    <w:p>
      <w:pPr>
        <w:ind w:firstLine="499"/>
        <w:spacing w:after="0" w:line="253"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Chinese Yuan Renminbi, Euro, Indian Rupee, and Japanese Yen would correspondingly change our earnings, net of tax, by an estimated $6 million per year. We believe our other direct exposure to foreign currencies is immaterial.</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2" w:lineRule="exact"/>
        <w:rPr>
          <w:sz w:val="20"/>
          <w:szCs w:val="20"/>
          <w:color w:val="auto"/>
        </w:rPr>
      </w:pPr>
    </w:p>
    <w:p>
      <w:pPr>
        <w:ind w:firstLine="499"/>
        <w:spacing w:after="0" w:line="242" w:lineRule="auto"/>
        <w:rPr>
          <w:sz w:val="20"/>
          <w:szCs w:val="20"/>
          <w:color w:val="auto"/>
        </w:rPr>
      </w:pPr>
      <w:r>
        <w:rPr>
          <w:rFonts w:ascii="Arial" w:cs="Arial" w:eastAsia="Arial" w:hAnsi="Arial"/>
          <w:sz w:val="18"/>
          <w:szCs w:val="18"/>
          <w:color w:val="auto"/>
        </w:rPr>
        <w:t>We are subject to changes in our cost of sales caused by movements in underlying commodity prices. As of September 30, 2025, approximately 66% of our cost of sales consisted of purchased components.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includes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1" w:lineRule="exact"/>
        <w:rPr>
          <w:sz w:val="20"/>
          <w:szCs w:val="20"/>
          <w:color w:val="auto"/>
        </w:rPr>
      </w:pPr>
    </w:p>
    <w:p>
      <w:pPr>
        <w:ind w:right="200" w:firstLine="499"/>
        <w:spacing w:after="0" w:line="271" w:lineRule="auto"/>
        <w:rPr>
          <w:sz w:val="20"/>
          <w:szCs w:val="20"/>
          <w:color w:val="auto"/>
        </w:rPr>
      </w:pPr>
      <w:r>
        <w:rPr>
          <w:rFonts w:ascii="Arial" w:cs="Arial" w:eastAsia="Arial" w:hAnsi="Arial"/>
          <w:sz w:val="18"/>
          <w:szCs w:val="18"/>
          <w:color w:val="auto"/>
        </w:rPr>
        <w:t>Assuming current levels of commodity purchases, a 10% variation in the price of aluminum and steel would correspondingly change our earnings by approximately $7 million and $11 million per year, respectively.</w:t>
      </w:r>
    </w:p>
    <w:p>
      <w:pPr>
        <w:spacing w:after="0" w:line="46" w:lineRule="exact"/>
        <w:rPr>
          <w:sz w:val="20"/>
          <w:szCs w:val="20"/>
          <w:color w:val="auto"/>
        </w:rPr>
      </w:pPr>
    </w:p>
    <w:p>
      <w:pPr>
        <w:ind w:firstLine="499"/>
        <w:spacing w:after="0" w:line="271" w:lineRule="auto"/>
        <w:rPr>
          <w:sz w:val="20"/>
          <w:szCs w:val="20"/>
          <w:color w:val="auto"/>
        </w:rPr>
      </w:pPr>
      <w:r>
        <w:rPr>
          <w:rFonts w:ascii="Arial" w:cs="Arial" w:eastAsia="Arial" w:hAnsi="Arial"/>
          <w:sz w:val="18"/>
          <w:szCs w:val="18"/>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ind w:right="60" w:firstLine="499"/>
        <w:spacing w:after="0"/>
        <w:rPr>
          <w:sz w:val="20"/>
          <w:szCs w:val="20"/>
          <w:color w:val="auto"/>
        </w:rPr>
      </w:pPr>
      <w:r>
        <w:rPr>
          <w:rFonts w:ascii="Arial" w:cs="Arial" w:eastAsia="Arial" w:hAnsi="Arial"/>
          <w:sz w:val="18"/>
          <w:szCs w:val="18"/>
          <w:color w:val="auto"/>
        </w:rPr>
        <w:t>Our management, with the participation of our Chief Executive Officer, who is our principal executive officer, and our Chief Financial Officer, who is our principal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77" w:lineRule="exact"/>
        <w:rPr>
          <w:sz w:val="20"/>
          <w:szCs w:val="20"/>
          <w:color w:val="auto"/>
        </w:rPr>
      </w:pPr>
    </w:p>
    <w:p>
      <w:pPr>
        <w:ind w:firstLine="499"/>
        <w:spacing w:after="0" w:line="242" w:lineRule="auto"/>
        <w:rPr>
          <w:sz w:val="20"/>
          <w:szCs w:val="20"/>
          <w:color w:val="auto"/>
        </w:rPr>
      </w:pPr>
      <w:r>
        <w:rPr>
          <w:rFonts w:ascii="Arial" w:cs="Arial" w:eastAsia="Arial" w:hAnsi="Arial"/>
          <w:sz w:val="18"/>
          <w:szCs w:val="18"/>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40" w:firstLine="499"/>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ind w:right="80" w:firstLine="499"/>
        <w:spacing w:after="0" w:line="26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Information pertaining to legal proceedings can be found in "Note P. Commitments and Contingencies” in the notes to the condensed consolidated financial statements included in Part I, Item 1 of this Quarterly Report on Form 10-Q, which information is incorporated herein by reference.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4" w:lineRule="exact"/>
        <w:rPr>
          <w:sz w:val="20"/>
          <w:szCs w:val="20"/>
          <w:color w:val="auto"/>
        </w:rPr>
      </w:pPr>
    </w:p>
    <w:p>
      <w:pPr>
        <w:ind w:right="100" w:firstLine="499"/>
        <w:spacing w:after="0" w:line="253" w:lineRule="auto"/>
        <w:rPr>
          <w:sz w:val="20"/>
          <w:szCs w:val="20"/>
          <w:color w:val="auto"/>
        </w:rPr>
      </w:pPr>
      <w:r>
        <w:rPr>
          <w:rFonts w:ascii="Arial" w:cs="Arial" w:eastAsia="Arial" w:hAnsi="Arial"/>
          <w:sz w:val="18"/>
          <w:szCs w:val="18"/>
          <w:color w:val="auto"/>
        </w:rPr>
        <w:t>Except as set forth below, there have been no material changes from our risk factors as previously reported in Part I, Item 1A of our Annual Report on Form 10-K for the year ended December 31, 2024 as filed with the Securities and Exchange Commission on February 13, 2025.</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risk factors have been added: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Pending Acquisition of Dana's Off-Highway Business (the "Acquisition")</w:t>
      </w:r>
    </w:p>
    <w:p>
      <w:pPr>
        <w:spacing w:after="0" w:line="214" w:lineRule="exact"/>
        <w:rPr>
          <w:sz w:val="20"/>
          <w:szCs w:val="20"/>
          <w:color w:val="auto"/>
        </w:rPr>
      </w:pPr>
    </w:p>
    <w:p>
      <w:pPr>
        <w:ind w:left="380" w:firstLine="85"/>
        <w:spacing w:after="0" w:line="278" w:lineRule="auto"/>
        <w:rPr>
          <w:sz w:val="20"/>
          <w:szCs w:val="20"/>
          <w:color w:val="auto"/>
        </w:rPr>
      </w:pPr>
      <w:r>
        <w:rPr>
          <w:rFonts w:ascii="Arial" w:cs="Arial" w:eastAsia="Arial" w:hAnsi="Arial"/>
          <w:sz w:val="18"/>
          <w:szCs w:val="18"/>
          <w:b w:val="1"/>
          <w:bCs w:val="1"/>
          <w:i w:val="1"/>
          <w:iCs w:val="1"/>
          <w:color w:val="auto"/>
        </w:rPr>
        <w:t>The Acquisition may not be completed in a timely manner or at all, and the Purchase Agreement may be terminated in accordance with its terms.</w:t>
      </w:r>
    </w:p>
    <w:p>
      <w:pPr>
        <w:spacing w:after="0" w:line="31" w:lineRule="exact"/>
        <w:rPr>
          <w:sz w:val="20"/>
          <w:szCs w:val="20"/>
          <w:color w:val="auto"/>
        </w:rPr>
      </w:pPr>
    </w:p>
    <w:p>
      <w:pPr>
        <w:ind w:right="60" w:firstLine="499"/>
        <w:spacing w:after="0" w:line="244" w:lineRule="auto"/>
        <w:rPr>
          <w:sz w:val="20"/>
          <w:szCs w:val="20"/>
          <w:color w:val="auto"/>
        </w:rPr>
      </w:pPr>
      <w:r>
        <w:rPr>
          <w:rFonts w:ascii="Arial" w:cs="Arial" w:eastAsia="Arial" w:hAnsi="Arial"/>
          <w:sz w:val="18"/>
          <w:szCs w:val="18"/>
          <w:color w:val="auto"/>
        </w:rPr>
        <w:t>The Acquisition is subject to certain customary closing conditions, including (a) the receipt of specified consents, clearances, authorizations and approvals from governmental entities, (b) the absence of any order, injunction, or other judgment or law that makes illegal or prohibits the closing of the Acquisition (the "Closing") and (c) subject to certain exceptions, the accuracy of the representations and warranties of, and compliance with covenants by, each of the parties to the Purchase Agreement. These conditions may not be satisfied or waived in a timely manner or at all, and, accordingly, the Acquisition may be delayed or may not be completed.</w:t>
      </w:r>
    </w:p>
    <w:p>
      <w:pPr>
        <w:spacing w:after="0" w:line="68" w:lineRule="exact"/>
        <w:rPr>
          <w:sz w:val="20"/>
          <w:szCs w:val="20"/>
          <w:color w:val="auto"/>
        </w:rPr>
      </w:pPr>
    </w:p>
    <w:p>
      <w:pPr>
        <w:ind w:right="260" w:firstLine="499"/>
        <w:spacing w:after="0" w:line="247" w:lineRule="auto"/>
        <w:rPr>
          <w:sz w:val="20"/>
          <w:szCs w:val="20"/>
          <w:color w:val="auto"/>
        </w:rPr>
      </w:pPr>
      <w:r>
        <w:rPr>
          <w:rFonts w:ascii="Arial" w:cs="Arial" w:eastAsia="Arial" w:hAnsi="Arial"/>
          <w:sz w:val="18"/>
          <w:szCs w:val="18"/>
          <w:color w:val="auto"/>
        </w:rPr>
        <w:t>In addition, either we or Dana may terminate the Purchase Agreement based on the customary termination rights for each party included therein. In addition, we will be required to pay Dana a termination fee of $120 million if the termination is due to the failure of the transactions contemplated by the Purchase Agreement to be completed by a specified outside date as a result of failure to obtain required approvals or clearances under, or as a result of an injunction or order relating to, competition and foreign investment laws.</w:t>
      </w:r>
    </w:p>
    <w:p>
      <w:pPr>
        <w:spacing w:after="0" w:line="176"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Failure to complete the Acquisition could negatively impact the price of shares of our common stock, as well as our business and results of operations.</w:t>
      </w:r>
    </w:p>
    <w:p>
      <w:pPr>
        <w:spacing w:after="0" w:line="31" w:lineRule="exact"/>
        <w:rPr>
          <w:sz w:val="20"/>
          <w:szCs w:val="20"/>
          <w:color w:val="auto"/>
        </w:rPr>
      </w:pPr>
    </w:p>
    <w:p>
      <w:pPr>
        <w:ind w:right="500" w:firstLine="549"/>
        <w:spacing w:after="0" w:line="271" w:lineRule="auto"/>
        <w:rPr>
          <w:sz w:val="20"/>
          <w:szCs w:val="20"/>
          <w:color w:val="auto"/>
        </w:rPr>
      </w:pPr>
      <w:r>
        <w:rPr>
          <w:rFonts w:ascii="Arial" w:cs="Arial" w:eastAsia="Arial" w:hAnsi="Arial"/>
          <w:sz w:val="18"/>
          <w:szCs w:val="18"/>
          <w:color w:val="auto"/>
        </w:rPr>
        <w:t>If the Acquisition is not completed for any reason, our business and results of operations may be adversely affected and, without realizing any of the benefits of having completed the Acquisition, we would be subject to a number of risks, including:</w:t>
      </w:r>
    </w:p>
    <w:p>
      <w:pPr>
        <w:spacing w:after="0" w:line="46" w:lineRule="exact"/>
        <w:rPr>
          <w:sz w:val="20"/>
          <w:szCs w:val="20"/>
          <w:color w:val="auto"/>
        </w:rPr>
      </w:pPr>
    </w:p>
    <w:p>
      <w:pPr>
        <w:ind w:left="1020" w:right="74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negative reactions from the financial markets, including negative impacts on the market price of our common stock;</w:t>
      </w:r>
    </w:p>
    <w:p>
      <w:pPr>
        <w:spacing w:after="0" w:line="46"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negative reactions from customers, suppliers, and other third parties with whom we do business, which in turn could result in a decline in our market share or negatively impact our ability to execute our strategic initiatives;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negative reactions from employees;</w:t>
      </w:r>
    </w:p>
    <w:p>
      <w:pPr>
        <w:spacing w:after="0" w:line="116"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still be required to pay certain significant costs relating to the Acquisition, such as fees to our financial, legal and accounting advisors; and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020" w:right="380" w:hanging="503"/>
        <w:spacing w:after="0" w:line="27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we will have expended time and resources that could otherwise have been spent on our existing business and the pursuit of other opportunities that could have been beneficial to us.</w:t>
      </w:r>
    </w:p>
    <w:p>
      <w:pPr>
        <w:spacing w:after="0" w:line="46" w:lineRule="exact"/>
        <w:rPr>
          <w:sz w:val="20"/>
          <w:szCs w:val="20"/>
          <w:color w:val="auto"/>
        </w:rPr>
      </w:pPr>
    </w:p>
    <w:p>
      <w:pPr>
        <w:ind w:right="340" w:firstLine="499"/>
        <w:spacing w:after="0" w:line="271" w:lineRule="auto"/>
        <w:rPr>
          <w:sz w:val="20"/>
          <w:szCs w:val="20"/>
          <w:color w:val="auto"/>
        </w:rPr>
      </w:pPr>
      <w:r>
        <w:rPr>
          <w:rFonts w:ascii="Arial" w:cs="Arial" w:eastAsia="Arial" w:hAnsi="Arial"/>
          <w:sz w:val="18"/>
          <w:szCs w:val="18"/>
          <w:color w:val="auto"/>
        </w:rPr>
        <w:t>Any of the above could negatively impact our ongoing business and results of operations. In addition, if the Purchase Agreement is terminated under certain specified circumstances, we may be required to pay Dana a termination fee as discussed above.</w:t>
      </w:r>
    </w:p>
    <w:p>
      <w:pPr>
        <w:spacing w:after="0" w:line="156"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We may fail to obtain financing intended to fund the Acquisition.</w:t>
      </w:r>
    </w:p>
    <w:p>
      <w:pPr>
        <w:spacing w:after="0" w:line="102" w:lineRule="exact"/>
        <w:rPr>
          <w:sz w:val="20"/>
          <w:szCs w:val="20"/>
          <w:color w:val="auto"/>
        </w:rPr>
      </w:pPr>
    </w:p>
    <w:p>
      <w:pPr>
        <w:ind w:right="60" w:firstLine="499"/>
        <w:spacing w:after="0" w:line="244" w:lineRule="auto"/>
        <w:rPr>
          <w:sz w:val="20"/>
          <w:szCs w:val="20"/>
          <w:color w:val="auto"/>
        </w:rPr>
      </w:pPr>
      <w:r>
        <w:rPr>
          <w:rFonts w:ascii="Arial" w:cs="Arial" w:eastAsia="Arial" w:hAnsi="Arial"/>
          <w:sz w:val="18"/>
          <w:szCs w:val="18"/>
          <w:color w:val="auto"/>
        </w:rPr>
        <w:t>As previously disclosed, we expect to replace the Bridge Facility prior to the Closing with permanent financing, which may include the issuance of debt securities. Our ability to obtain any such new debt financing will depend on, among other factors, prevailing market conditions and other factors beyond our control. We cannot assure you that we will be able to obtain new debt financing on terms acceptable to us, and any such failure could materially adversely affect our business, results of operations and financial condition. The consummation of the Acquisition is not conditioned upon the receipt of any financing.</w:t>
      </w:r>
    </w:p>
    <w:p>
      <w:pPr>
        <w:spacing w:after="0" w:line="178"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Uncertainties associated with the Acquisition may cause a loss of our and Dana’s management personnel and other key employees, which could adversely affect our business and operations.</w:t>
      </w:r>
    </w:p>
    <w:p>
      <w:pPr>
        <w:spacing w:after="0" w:line="31" w:lineRule="exact"/>
        <w:rPr>
          <w:sz w:val="20"/>
          <w:szCs w:val="20"/>
          <w:color w:val="auto"/>
        </w:rPr>
      </w:pPr>
    </w:p>
    <w:p>
      <w:pPr>
        <w:ind w:right="20" w:firstLine="499"/>
        <w:spacing w:after="0"/>
        <w:rPr>
          <w:sz w:val="20"/>
          <w:szCs w:val="20"/>
          <w:color w:val="auto"/>
        </w:rPr>
      </w:pPr>
      <w:r>
        <w:rPr>
          <w:rFonts w:ascii="Arial" w:cs="Arial" w:eastAsia="Arial" w:hAnsi="Arial"/>
          <w:sz w:val="18"/>
          <w:szCs w:val="18"/>
          <w:color w:val="auto"/>
        </w:rPr>
        <w:t>We depend on the experience and industry knowledge of our officers and other key employees to execute our business plans. The success of the combined business and operations after the Closing will depend, in part, on our ability to retain key management personnel and other key employees. Our and Dana’s current and prospective employees may experience uncertainty about their roles within Allison following the Acquisition or other concerns regarding the timing and completion of the Acquisition or the operations of Allison following the Acquisition, any of which may have an adverse effect on our ability to retain or attract key management and other key personnel, which could materially adversely affect our business, results of operations and financial condition. No assurance can be given that, following the Acquisition, we will be able to retain or attract our and Dana’s key management personnel and other key employees to the same extent that we and Dana have previously been able to retain or attract personnel.</w:t>
      </w:r>
    </w:p>
    <w:p>
      <w:pPr>
        <w:spacing w:after="0" w:line="182"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Our and Dana’s business relationships may be subject to disruption due to uncertainty associated with the Acquisition, which could have a material effect on our business, results of operations and financial condition following the Acquisition.</w:t>
      </w:r>
    </w:p>
    <w:p>
      <w:pPr>
        <w:spacing w:after="0" w:line="31" w:lineRule="exact"/>
        <w:rPr>
          <w:sz w:val="20"/>
          <w:szCs w:val="20"/>
          <w:color w:val="auto"/>
        </w:rPr>
      </w:pPr>
    </w:p>
    <w:p>
      <w:pPr>
        <w:ind w:right="80" w:firstLine="499"/>
        <w:spacing w:after="0"/>
        <w:rPr>
          <w:sz w:val="20"/>
          <w:szCs w:val="20"/>
          <w:color w:val="auto"/>
        </w:rPr>
      </w:pPr>
      <w:r>
        <w:rPr>
          <w:rFonts w:ascii="Arial" w:cs="Arial" w:eastAsia="Arial" w:hAnsi="Arial"/>
          <w:sz w:val="18"/>
          <w:szCs w:val="18"/>
          <w:color w:val="auto"/>
        </w:rPr>
        <w:t>Parties with whom we or Dana do business may experience uncertainty associated with the Acquisition, including with respect to current or future business relationships with us or Dana following the Acquisition. Our and Dana’s business relationships may be subject to disruption as customers, suppliers, and other third parties with whom we or Dana do business may attempt to delay or defer entering into new business relationships with us or Dana, negotiate changes in their existing business relationships with us or Dana or consider entering into business relationships with parties other than us or Dana. These disruptions could have a material and adverse effect on our business, results of operations and financial condition, regardless of whether the Acquisition is completed, as well as a material and adverse effect on our ability to realize the expected opportunities, cost savings, operating synergies and other benefits of the Acquisition. The adverse impacts could be exacerbated by a delay in completion of the Acquisition or termination of the Purchase Agreement.</w:t>
      </w:r>
    </w:p>
    <w:p>
      <w:pPr>
        <w:spacing w:after="0" w:line="182"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We expect to incur significant costs in connection with the Acquisition and integration of Dana's off-highway business (the "Business").</w:t>
      </w:r>
    </w:p>
    <w:p>
      <w:pPr>
        <w:spacing w:after="0" w:line="31" w:lineRule="exact"/>
        <w:rPr>
          <w:sz w:val="20"/>
          <w:szCs w:val="20"/>
          <w:color w:val="auto"/>
        </w:rPr>
      </w:pPr>
    </w:p>
    <w:p>
      <w:pPr>
        <w:ind w:right="20" w:firstLine="499"/>
        <w:spacing w:after="0" w:line="253" w:lineRule="auto"/>
        <w:rPr>
          <w:sz w:val="20"/>
          <w:szCs w:val="20"/>
          <w:color w:val="auto"/>
        </w:rPr>
      </w:pPr>
      <w:r>
        <w:rPr>
          <w:rFonts w:ascii="Arial" w:cs="Arial" w:eastAsia="Arial" w:hAnsi="Arial"/>
          <w:sz w:val="18"/>
          <w:szCs w:val="18"/>
          <w:color w:val="auto"/>
        </w:rPr>
        <w:t>We have incurred and expect to continue to incur costs associated with completing the Acquisition and integrating the Business. These costs have been, and will continue to be, substantial and include, among others, fees paid to financial, legal and accounting advisors. Many of these costs will be borne by us even if the Acquisition is not completed.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right="100" w:firstLine="499"/>
        <w:spacing w:after="0" w:line="210" w:lineRule="exact"/>
        <w:rPr>
          <w:sz w:val="20"/>
          <w:szCs w:val="20"/>
          <w:color w:val="auto"/>
        </w:rPr>
      </w:pPr>
      <w:r>
        <w:rPr>
          <w:rFonts w:ascii="Arial" w:cs="Arial" w:eastAsia="Arial" w:hAnsi="Arial"/>
          <w:sz w:val="18"/>
          <w:szCs w:val="18"/>
          <w:color w:val="auto"/>
        </w:rPr>
        <w:t>We have incurred and will continue to incur costs related to formulating and implementing integration plans, including facilities, systems and service contract consolidation costs and employment</w:t>
      </w:r>
      <w:r>
        <w:rPr>
          <w:rFonts w:ascii="MS PGothic" w:cs="MS PGothic" w:eastAsia="MS PGothic" w:hAnsi="MS PGothic"/>
          <w:sz w:val="18"/>
          <w:szCs w:val="18"/>
          <w:color w:val="auto"/>
        </w:rPr>
        <w:t>‑</w:t>
      </w:r>
      <w:r>
        <w:rPr>
          <w:rFonts w:ascii="Arial" w:cs="Arial" w:eastAsia="Arial" w:hAnsi="Arial"/>
          <w:sz w:val="18"/>
          <w:szCs w:val="18"/>
          <w:color w:val="auto"/>
        </w:rPr>
        <w:t>related costs. We will continue to assess the magnitude of these costs, and additional unanticipated costs may be incurred in connection with the Acquisition and the integration of the Business. The costs described above, as well as other unanticipated costs and expenses, could adversely affect our business, results of operations and financial condition.</w:t>
      </w:r>
    </w:p>
    <w:p>
      <w:pPr>
        <w:spacing w:after="0" w:line="183"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Litigation relating to the Acquisition, if any, could result in an injunction preventing the completion of the Acquisition and/or substantial costs to us.</w:t>
      </w:r>
    </w:p>
    <w:p>
      <w:pPr>
        <w:spacing w:after="0" w:line="31" w:lineRule="exact"/>
        <w:rPr>
          <w:sz w:val="20"/>
          <w:szCs w:val="20"/>
          <w:color w:val="auto"/>
        </w:rPr>
      </w:pPr>
    </w:p>
    <w:p>
      <w:pPr>
        <w:ind w:right="40" w:firstLine="499"/>
        <w:spacing w:after="0" w:line="239" w:lineRule="auto"/>
        <w:rPr>
          <w:sz w:val="20"/>
          <w:szCs w:val="20"/>
          <w:color w:val="auto"/>
        </w:rPr>
      </w:pPr>
      <w:r>
        <w:rPr>
          <w:rFonts w:ascii="Arial" w:cs="Arial" w:eastAsia="Arial" w:hAnsi="Arial"/>
          <w:sz w:val="18"/>
          <w:szCs w:val="18"/>
          <w:color w:val="auto"/>
        </w:rPr>
        <w:t>Securities class action lawsuits and derivative lawsuits are often brought against public companies that have entered into acquisition, merger or other business combination agreements like the Purchase Agreement. Even if such a lawsuit is without merit, defending against these claims can result in substantial costs and divert management time and resources. Any adverse judgment in such a lawsuit could result in monetary damages, which could have a negative impact on our results of operations and financial condition. Lawsuits that may be brought against us, Dana, or our or their directors could also seek, among other things, injunctive relief or other equitable relief, including a request to enjoin the parties from completing the Acquisition. One of the conditions to the closing of the Acquisition is the absence of any order, injunction, or other judgment or law that makes illegal or prohibits the Closing. Consequently, if a plaintiff is successful in obtaining an injunction prohibiting completion of the Acquisition, that injunction may delay or prevent the Acquisition from being completed within the expected timeframe or at all.</w:t>
      </w:r>
    </w:p>
    <w:p>
      <w:pPr>
        <w:spacing w:after="0" w:line="185" w:lineRule="exact"/>
        <w:rPr>
          <w:sz w:val="20"/>
          <w:szCs w:val="20"/>
          <w:color w:val="auto"/>
        </w:rPr>
      </w:pPr>
    </w:p>
    <w:p>
      <w:pPr>
        <w:ind w:left="380"/>
        <w:spacing w:after="0" w:line="278" w:lineRule="auto"/>
        <w:rPr>
          <w:sz w:val="20"/>
          <w:szCs w:val="20"/>
          <w:color w:val="auto"/>
        </w:rPr>
      </w:pPr>
      <w:r>
        <w:rPr>
          <w:rFonts w:ascii="Arial" w:cs="Arial" w:eastAsia="Arial" w:hAnsi="Arial"/>
          <w:sz w:val="18"/>
          <w:szCs w:val="18"/>
          <w:b w:val="1"/>
          <w:bCs w:val="1"/>
          <w:i w:val="1"/>
          <w:iCs w:val="1"/>
          <w:color w:val="auto"/>
        </w:rPr>
        <w:t>The failure to integrate the Business and its operations with ours successfully in the expected time frame may adversely affect our results of operations and financial condition.</w:t>
      </w:r>
    </w:p>
    <w:p>
      <w:pPr>
        <w:spacing w:after="0" w:line="31" w:lineRule="exact"/>
        <w:rPr>
          <w:sz w:val="20"/>
          <w:szCs w:val="20"/>
          <w:color w:val="auto"/>
        </w:rPr>
      </w:pPr>
    </w:p>
    <w:p>
      <w:pPr>
        <w:ind w:right="60" w:firstLine="499"/>
        <w:spacing w:after="0" w:line="207" w:lineRule="exact"/>
        <w:rPr>
          <w:sz w:val="20"/>
          <w:szCs w:val="20"/>
          <w:color w:val="auto"/>
        </w:rPr>
      </w:pPr>
      <w:r>
        <w:rPr>
          <w:rFonts w:ascii="Arial" w:cs="Arial" w:eastAsia="Arial" w:hAnsi="Arial"/>
          <w:sz w:val="18"/>
          <w:szCs w:val="18"/>
          <w:color w:val="auto"/>
        </w:rPr>
        <w:t>Following the completion of the Acquisition, the Business and its operations may not be integrated successfully with ours. It is possible that the integration process could result in the loss of our or Dana’s key employees, the loss of customers, suppliers, service providers or other business counterparties, the disruption of our ongoing businesses, inconsistencies in standards, controls, procedures and policies, potential unknown liabilities and unforeseen expenses, delays, or regulatory conditions associated with and following completion of the Acquisition, higher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expected integration costs and an overall post</w:t>
      </w:r>
      <w:r>
        <w:rPr>
          <w:rFonts w:ascii="MS PGothic" w:cs="MS PGothic" w:eastAsia="MS PGothic" w:hAnsi="MS PGothic"/>
          <w:sz w:val="18"/>
          <w:szCs w:val="18"/>
          <w:color w:val="auto"/>
        </w:rPr>
        <w:t>‑</w:t>
      </w:r>
      <w:r>
        <w:rPr>
          <w:rFonts w:ascii="Arial" w:cs="Arial" w:eastAsia="Arial" w:hAnsi="Arial"/>
          <w:sz w:val="18"/>
          <w:szCs w:val="18"/>
          <w:color w:val="auto"/>
        </w:rPr>
        <w:t>Closing integration process that takes longer than originally anticipated. In addition, the attention of our management team and our resources may be focused on the integration process, which may harm our day-to-day business operations or prevent us from pursuing other opportunities that may be beneficial.</w:t>
      </w:r>
    </w:p>
    <w:p>
      <w:pPr>
        <w:spacing w:after="0" w:line="187" w:lineRule="exact"/>
        <w:rPr>
          <w:sz w:val="20"/>
          <w:szCs w:val="20"/>
          <w:color w:val="auto"/>
        </w:rPr>
      </w:pPr>
    </w:p>
    <w:p>
      <w:pPr>
        <w:ind w:left="380" w:right="20"/>
        <w:spacing w:after="0" w:line="278" w:lineRule="auto"/>
        <w:rPr>
          <w:sz w:val="20"/>
          <w:szCs w:val="20"/>
          <w:color w:val="auto"/>
        </w:rPr>
      </w:pPr>
      <w:r>
        <w:rPr>
          <w:rFonts w:ascii="Arial" w:cs="Arial" w:eastAsia="Arial" w:hAnsi="Arial"/>
          <w:sz w:val="18"/>
          <w:szCs w:val="18"/>
          <w:b w:val="1"/>
          <w:bCs w:val="1"/>
          <w:i w:val="1"/>
          <w:iCs w:val="1"/>
          <w:color w:val="auto"/>
        </w:rPr>
        <w:t>We may fail to realize all of the anticipated benefits from the integration of the Business and its operations after the Acquisition.</w:t>
      </w:r>
    </w:p>
    <w:p>
      <w:pPr>
        <w:spacing w:after="0" w:line="31" w:lineRule="exact"/>
        <w:rPr>
          <w:sz w:val="20"/>
          <w:szCs w:val="20"/>
          <w:color w:val="auto"/>
        </w:rPr>
      </w:pPr>
    </w:p>
    <w:p>
      <w:pPr>
        <w:ind w:firstLine="499"/>
        <w:spacing w:after="0" w:line="244" w:lineRule="auto"/>
        <w:rPr>
          <w:sz w:val="20"/>
          <w:szCs w:val="20"/>
          <w:color w:val="auto"/>
        </w:rPr>
      </w:pPr>
      <w:r>
        <w:rPr>
          <w:rFonts w:ascii="Arial" w:cs="Arial" w:eastAsia="Arial" w:hAnsi="Arial"/>
          <w:sz w:val="18"/>
          <w:szCs w:val="18"/>
          <w:color w:val="auto"/>
        </w:rPr>
        <w:t>The success of the Acquisition will depend, in part, on our ability to achieve the expected opportunities, cost savings, operating synergies and other benefits from integrating the Business. However, the anticipated benefits of the Acquisition may not be realized fully or at all, may take longer to realize than expected, or may result in other adverse effects that we do not currently foresee. In addition, the estimates and assumptions that we and Dana have made when evaluating the anticipated benefits from the Acquisition may not be accurate, and there could be potential unknown liabilities and unforeseen expenses associated with the Acquisition that could adversely impact us.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Our future results following the Acquisition may suffer if we do not effectively manage our expanded operations.</w:t>
      </w:r>
    </w:p>
    <w:p>
      <w:pPr>
        <w:spacing w:after="0" w:line="102" w:lineRule="exact"/>
        <w:rPr>
          <w:sz w:val="20"/>
          <w:szCs w:val="20"/>
          <w:color w:val="auto"/>
        </w:rPr>
      </w:pPr>
    </w:p>
    <w:p>
      <w:pPr>
        <w:ind w:right="20" w:firstLine="494"/>
        <w:spacing w:after="0" w:line="247" w:lineRule="auto"/>
        <w:rPr>
          <w:sz w:val="20"/>
          <w:szCs w:val="20"/>
          <w:color w:val="auto"/>
        </w:rPr>
      </w:pPr>
      <w:r>
        <w:rPr>
          <w:rFonts w:ascii="Arial" w:cs="Arial" w:eastAsia="Arial" w:hAnsi="Arial"/>
          <w:sz w:val="18"/>
          <w:szCs w:val="18"/>
          <w:color w:val="auto"/>
        </w:rPr>
        <w:t>Following the Acquisition, the size and complexity of our businesses and operations will increase significantly. Our future success will depend, in part, upon our ability to manage the expanded business. There can be no assurances that the combined businesses and operations will be successful or that we will realize the expected operating synergies, cost savings or other benefits currently anticipated from the Acquisition.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04" w:lineRule="exact"/>
        <w:rPr>
          <w:sz w:val="20"/>
          <w:szCs w:val="20"/>
          <w:color w:val="auto"/>
        </w:rPr>
      </w:pPr>
    </w:p>
    <w:p>
      <w:pPr>
        <w:ind w:right="140" w:firstLine="499"/>
        <w:spacing w:after="0" w:line="271" w:lineRule="auto"/>
        <w:rPr>
          <w:sz w:val="20"/>
          <w:szCs w:val="20"/>
          <w:color w:val="auto"/>
        </w:rPr>
      </w:pPr>
      <w:r>
        <w:rPr>
          <w:rFonts w:ascii="Arial" w:cs="Arial" w:eastAsia="Arial" w:hAnsi="Arial"/>
          <w:sz w:val="18"/>
          <w:szCs w:val="18"/>
          <w:color w:val="auto"/>
        </w:rPr>
        <w:t>The following table sets forth information related to our repurchases of our common stock on a monthly basis during the three months ended September 30,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56"/>
              <w:spacing w:after="0"/>
              <w:rPr>
                <w:sz w:val="20"/>
                <w:szCs w:val="20"/>
                <w:color w:val="auto"/>
              </w:rPr>
            </w:pPr>
            <w:r>
              <w:rPr>
                <w:rFonts w:ascii="Arial" w:cs="Arial" w:eastAsia="Arial" w:hAnsi="Arial"/>
                <w:sz w:val="14"/>
                <w:szCs w:val="14"/>
                <w:b w:val="1"/>
                <w:bCs w:val="1"/>
                <w:color w:val="auto"/>
              </w:rPr>
              <w:t>Approximate</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4"/>
                <w:szCs w:val="14"/>
                <w:color w:val="auto"/>
              </w:rPr>
            </w:pPr>
          </w:p>
        </w:tc>
        <w:tc>
          <w:tcPr>
            <w:tcW w:w="1240" w:type="dxa"/>
            <w:vAlign w:val="bottom"/>
            <w:gridSpan w:val="2"/>
          </w:tcPr>
          <w:p>
            <w:pPr>
              <w:jc w:val="center"/>
              <w:ind w:right="36"/>
              <w:spacing w:after="0"/>
              <w:rPr>
                <w:sz w:val="20"/>
                <w:szCs w:val="20"/>
                <w:color w:val="auto"/>
              </w:rPr>
            </w:pPr>
            <w:r>
              <w:rPr>
                <w:rFonts w:ascii="Arial" w:cs="Arial" w:eastAsia="Arial" w:hAnsi="Arial"/>
                <w:sz w:val="14"/>
                <w:szCs w:val="14"/>
                <w:b w:val="1"/>
                <w:bCs w:val="1"/>
                <w:color w:val="auto"/>
              </w:rPr>
              <w:t>Dollar Value of</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as Part of</w:t>
            </w:r>
          </w:p>
        </w:tc>
        <w:tc>
          <w:tcPr>
            <w:tcW w:w="140" w:type="dxa"/>
            <w:vAlign w:val="bottom"/>
          </w:tcPr>
          <w:p>
            <w:pPr>
              <w:spacing w:after="0"/>
              <w:rPr>
                <w:sz w:val="14"/>
                <w:szCs w:val="14"/>
                <w:color w:val="auto"/>
              </w:rPr>
            </w:pPr>
          </w:p>
        </w:tc>
        <w:tc>
          <w:tcPr>
            <w:tcW w:w="1240" w:type="dxa"/>
            <w:vAlign w:val="bottom"/>
            <w:gridSpan w:val="2"/>
          </w:tcPr>
          <w:p>
            <w:pPr>
              <w:jc w:val="center"/>
              <w:ind w:right="16"/>
              <w:spacing w:after="0"/>
              <w:rPr>
                <w:sz w:val="20"/>
                <w:szCs w:val="20"/>
                <w:color w:val="auto"/>
              </w:rPr>
            </w:pPr>
            <w:r>
              <w:rPr>
                <w:rFonts w:ascii="Arial" w:cs="Arial" w:eastAsia="Arial" w:hAnsi="Arial"/>
                <w:sz w:val="14"/>
                <w:szCs w:val="14"/>
                <w:b w:val="1"/>
                <w:bCs w:val="1"/>
                <w:color w:val="auto"/>
              </w:rPr>
              <w:t>Shares that May</w:t>
            </w:r>
          </w:p>
        </w:tc>
      </w:tr>
      <w:tr>
        <w:trPr>
          <w:trHeight w:val="162"/>
        </w:trPr>
        <w:tc>
          <w:tcPr>
            <w:tcW w:w="5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Publicly</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96"/>
              <w:spacing w:after="0"/>
              <w:rPr>
                <w:sz w:val="20"/>
                <w:szCs w:val="20"/>
                <w:color w:val="auto"/>
              </w:rPr>
            </w:pPr>
            <w:r>
              <w:rPr>
                <w:rFonts w:ascii="Arial" w:cs="Arial" w:eastAsia="Arial" w:hAnsi="Arial"/>
                <w:sz w:val="14"/>
                <w:szCs w:val="14"/>
                <w:b w:val="1"/>
                <w:bCs w:val="1"/>
                <w:color w:val="auto"/>
              </w:rPr>
              <w:t>Yet Be</w:t>
            </w: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41"/>
              <w:spacing w:after="0"/>
              <w:rPr>
                <w:sz w:val="20"/>
                <w:szCs w:val="20"/>
                <w:color w:val="auto"/>
              </w:rPr>
            </w:pPr>
            <w:r>
              <w:rPr>
                <w:rFonts w:ascii="Arial" w:cs="Arial" w:eastAsia="Arial" w:hAnsi="Arial"/>
                <w:sz w:val="14"/>
                <w:szCs w:val="14"/>
                <w:b w:val="1"/>
                <w:bCs w:val="1"/>
                <w:color w:val="auto"/>
              </w:rPr>
              <w:t>Total Number</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Announced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136"/>
              <w:spacing w:after="0"/>
              <w:rPr>
                <w:sz w:val="20"/>
                <w:szCs w:val="20"/>
                <w:color w:val="auto"/>
              </w:rPr>
            </w:pPr>
            <w:r>
              <w:rPr>
                <w:rFonts w:ascii="Arial" w:cs="Arial" w:eastAsia="Arial" w:hAnsi="Arial"/>
                <w:sz w:val="14"/>
                <w:szCs w:val="14"/>
                <w:b w:val="1"/>
                <w:bCs w:val="1"/>
                <w:color w:val="auto"/>
              </w:rPr>
              <w:t>Purchased</w:t>
            </w:r>
          </w:p>
        </w:tc>
      </w:tr>
      <w:tr>
        <w:trPr>
          <w:trHeight w:val="162"/>
        </w:trPr>
        <w:tc>
          <w:tcPr>
            <w:tcW w:w="5740" w:type="dxa"/>
            <w:vAlign w:val="bottom"/>
          </w:tcPr>
          <w:p>
            <w:pPr>
              <w:spacing w:after="0"/>
              <w:rPr>
                <w:sz w:val="14"/>
                <w:szCs w:val="14"/>
                <w:color w:val="auto"/>
              </w:rPr>
            </w:pPr>
          </w:p>
        </w:tc>
        <w:tc>
          <w:tcPr>
            <w:tcW w:w="1320" w:type="dxa"/>
            <w:vAlign w:val="bottom"/>
          </w:tcPr>
          <w:p>
            <w:pPr>
              <w:jc w:val="center"/>
              <w:ind w:right="21"/>
              <w:spacing w:after="0"/>
              <w:rPr>
                <w:sz w:val="20"/>
                <w:szCs w:val="20"/>
                <w:color w:val="auto"/>
              </w:rPr>
            </w:pPr>
            <w:r>
              <w:rPr>
                <w:rFonts w:ascii="Arial" w:cs="Arial" w:eastAsia="Arial" w:hAnsi="Arial"/>
                <w:sz w:val="14"/>
                <w:szCs w:val="14"/>
                <w:b w:val="1"/>
                <w:bCs w:val="1"/>
                <w:color w:val="auto"/>
              </w:rPr>
              <w:t>of Shares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center"/>
              <w:ind w:right="198"/>
              <w:spacing w:after="0"/>
              <w:rPr>
                <w:sz w:val="20"/>
                <w:szCs w:val="20"/>
                <w:color w:val="auto"/>
              </w:rPr>
            </w:pPr>
            <w:r>
              <w:rPr>
                <w:rFonts w:ascii="Arial" w:cs="Arial" w:eastAsia="Arial" w:hAnsi="Arial"/>
                <w:sz w:val="14"/>
                <w:szCs w:val="14"/>
                <w:b w:val="1"/>
                <w:bCs w:val="1"/>
                <w:color w:val="auto"/>
              </w:rPr>
              <w:t>Price Paid</w:t>
            </w:r>
          </w:p>
        </w:tc>
        <w:tc>
          <w:tcPr>
            <w:tcW w:w="100" w:type="dxa"/>
            <w:vAlign w:val="bottom"/>
          </w:tcPr>
          <w:p>
            <w:pPr>
              <w:spacing w:after="0"/>
              <w:rPr>
                <w:sz w:val="14"/>
                <w:szCs w:val="14"/>
                <w:color w:val="auto"/>
              </w:rPr>
            </w:pPr>
          </w:p>
        </w:tc>
        <w:tc>
          <w:tcPr>
            <w:tcW w:w="1280" w:type="dxa"/>
            <w:vAlign w:val="bottom"/>
          </w:tcPr>
          <w:p>
            <w:pPr>
              <w:jc w:val="center"/>
              <w:ind w:right="24"/>
              <w:spacing w:after="0"/>
              <w:rPr>
                <w:sz w:val="20"/>
                <w:szCs w:val="20"/>
                <w:color w:val="auto"/>
              </w:rPr>
            </w:pPr>
            <w:r>
              <w:rPr>
                <w:rFonts w:ascii="Arial" w:cs="Arial" w:eastAsia="Arial" w:hAnsi="Arial"/>
                <w:sz w:val="14"/>
                <w:szCs w:val="14"/>
                <w:b w:val="1"/>
                <w:bCs w:val="1"/>
                <w:color w:val="auto"/>
              </w:rPr>
              <w:t>Plans or</w:t>
            </w:r>
          </w:p>
        </w:tc>
        <w:tc>
          <w:tcPr>
            <w:tcW w:w="140" w:type="dxa"/>
            <w:vAlign w:val="bottom"/>
          </w:tcPr>
          <w:p>
            <w:pPr>
              <w:spacing w:after="0"/>
              <w:rPr>
                <w:sz w:val="14"/>
                <w:szCs w:val="14"/>
                <w:color w:val="auto"/>
              </w:rPr>
            </w:pPr>
          </w:p>
        </w:tc>
        <w:tc>
          <w:tcPr>
            <w:tcW w:w="1240" w:type="dxa"/>
            <w:vAlign w:val="bottom"/>
            <w:gridSpan w:val="2"/>
          </w:tcPr>
          <w:p>
            <w:pPr>
              <w:jc w:val="center"/>
              <w:ind w:right="56"/>
              <w:spacing w:after="0"/>
              <w:rPr>
                <w:sz w:val="20"/>
                <w:szCs w:val="20"/>
                <w:color w:val="auto"/>
              </w:rPr>
            </w:pPr>
            <w:r>
              <w:rPr>
                <w:rFonts w:ascii="Arial" w:cs="Arial" w:eastAsia="Arial" w:hAnsi="Arial"/>
                <w:sz w:val="14"/>
                <w:szCs w:val="14"/>
                <w:b w:val="1"/>
                <w:bCs w:val="1"/>
                <w:color w:val="auto"/>
              </w:rPr>
              <w:t>Under the Plans</w:t>
            </w:r>
          </w:p>
        </w:tc>
      </w:tr>
      <w:tr>
        <w:trPr>
          <w:trHeight w:val="171"/>
        </w:trPr>
        <w:tc>
          <w:tcPr>
            <w:tcW w:w="5740" w:type="dxa"/>
            <w:vAlign w:val="bottom"/>
          </w:tcPr>
          <w:p>
            <w:pPr>
              <w:spacing w:after="0"/>
              <w:rPr>
                <w:sz w:val="14"/>
                <w:szCs w:val="14"/>
                <w:color w:val="auto"/>
              </w:rPr>
            </w:pPr>
          </w:p>
        </w:tc>
        <w:tc>
          <w:tcPr>
            <w:tcW w:w="13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rPr>
              <w:t>Purchased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Programs</w:t>
            </w:r>
          </w:p>
        </w:tc>
        <w:tc>
          <w:tcPr>
            <w:tcW w:w="14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right="36"/>
              <w:spacing w:after="0"/>
              <w:rPr>
                <w:sz w:val="20"/>
                <w:szCs w:val="20"/>
                <w:color w:val="auto"/>
              </w:rPr>
            </w:pPr>
            <w:r>
              <w:rPr>
                <w:rFonts w:ascii="Arial" w:cs="Arial" w:eastAsia="Arial" w:hAnsi="Arial"/>
                <w:sz w:val="14"/>
                <w:szCs w:val="14"/>
                <w:b w:val="1"/>
                <w:bCs w:val="1"/>
                <w:color w:val="auto"/>
              </w:rPr>
              <w:t>or Programs(1)</w:t>
            </w:r>
          </w:p>
        </w:tc>
      </w:tr>
      <w:tr>
        <w:trPr>
          <w:trHeight w:val="177"/>
        </w:trPr>
        <w:tc>
          <w:tcPr>
            <w:tcW w:w="7060" w:type="dxa"/>
            <w:vAlign w:val="bottom"/>
            <w:gridSpan w:val="2"/>
            <w:shd w:val="clear" w:color="auto" w:fill="CFF0FC"/>
          </w:tcPr>
          <w:p>
            <w:pPr>
              <w:spacing w:after="0" w:line="177" w:lineRule="exact"/>
              <w:rPr>
                <w:sz w:val="20"/>
                <w:szCs w:val="20"/>
                <w:color w:val="auto"/>
              </w:rPr>
            </w:pPr>
            <w:r>
              <w:rPr>
                <w:rFonts w:ascii="Arial" w:cs="Arial" w:eastAsia="Arial" w:hAnsi="Arial"/>
                <w:sz w:val="18"/>
                <w:szCs w:val="18"/>
                <w:color w:val="auto"/>
              </w:rPr>
              <w:t>July 1 – July 31, 2025</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16"/>
              <w:spacing w:after="0" w:line="177" w:lineRule="exact"/>
              <w:rPr>
                <w:sz w:val="20"/>
                <w:szCs w:val="20"/>
                <w:color w:val="auto"/>
              </w:rPr>
            </w:pPr>
            <w:r>
              <w:rPr>
                <w:rFonts w:ascii="Arial" w:cs="Arial" w:eastAsia="Arial" w:hAnsi="Arial"/>
                <w:sz w:val="18"/>
                <w:szCs w:val="18"/>
                <w:color w:val="auto"/>
              </w:rPr>
              <w:t>1,263,161,8</w:t>
            </w:r>
          </w:p>
        </w:tc>
      </w:tr>
      <w:tr>
        <w:trPr>
          <w:trHeight w:val="221"/>
        </w:trPr>
        <w:tc>
          <w:tcPr>
            <w:tcW w:w="57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63</w:t>
            </w:r>
          </w:p>
        </w:tc>
      </w:tr>
      <w:tr>
        <w:trPr>
          <w:trHeight w:val="184"/>
        </w:trPr>
        <w:tc>
          <w:tcPr>
            <w:tcW w:w="7060" w:type="dxa"/>
            <w:vAlign w:val="bottom"/>
            <w:gridSpan w:val="2"/>
          </w:tcPr>
          <w:p>
            <w:pPr>
              <w:spacing w:after="0" w:line="183" w:lineRule="exact"/>
              <w:rPr>
                <w:sz w:val="20"/>
                <w:szCs w:val="20"/>
                <w:color w:val="auto"/>
              </w:rPr>
            </w:pPr>
            <w:r>
              <w:rPr>
                <w:rFonts w:ascii="Arial" w:cs="Arial" w:eastAsia="Arial" w:hAnsi="Arial"/>
                <w:sz w:val="18"/>
                <w:szCs w:val="18"/>
                <w:color w:val="auto"/>
              </w:rPr>
              <w:t>August 1 – August 31, 2025</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16"/>
              <w:spacing w:after="0" w:line="183" w:lineRule="exact"/>
              <w:rPr>
                <w:sz w:val="20"/>
                <w:szCs w:val="20"/>
                <w:color w:val="auto"/>
              </w:rPr>
            </w:pPr>
            <w:r>
              <w:rPr>
                <w:rFonts w:ascii="Arial" w:cs="Arial" w:eastAsia="Arial" w:hAnsi="Arial"/>
                <w:sz w:val="18"/>
                <w:szCs w:val="18"/>
                <w:color w:val="auto"/>
              </w:rPr>
              <w:t>1,251,913,4</w:t>
            </w:r>
          </w:p>
        </w:tc>
      </w:tr>
      <w:tr>
        <w:trPr>
          <w:trHeight w:val="221"/>
        </w:trPr>
        <w:tc>
          <w:tcPr>
            <w:tcW w:w="7060" w:type="dxa"/>
            <w:vAlign w:val="bottom"/>
            <w:gridSpan w:val="2"/>
          </w:tcPr>
          <w:p>
            <w:pPr>
              <w:jc w:val="right"/>
              <w:ind w:right="41"/>
              <w:spacing w:after="0"/>
              <w:rPr>
                <w:sz w:val="20"/>
                <w:szCs w:val="20"/>
                <w:color w:val="auto"/>
              </w:rPr>
            </w:pPr>
            <w:r>
              <w:rPr>
                <w:rFonts w:ascii="Arial" w:cs="Arial" w:eastAsia="Arial" w:hAnsi="Arial"/>
                <w:sz w:val="18"/>
                <w:szCs w:val="18"/>
                <w:color w:val="auto"/>
              </w:rPr>
              <w:t>127,078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88.52</w:t>
            </w:r>
          </w:p>
        </w:tc>
        <w:tc>
          <w:tcPr>
            <w:tcW w:w="1380" w:type="dxa"/>
            <w:vAlign w:val="bottom"/>
            <w:gridSpan w:val="2"/>
          </w:tcPr>
          <w:p>
            <w:pPr>
              <w:jc w:val="right"/>
              <w:ind w:right="24"/>
              <w:spacing w:after="0"/>
              <w:rPr>
                <w:sz w:val="20"/>
                <w:szCs w:val="20"/>
                <w:color w:val="auto"/>
              </w:rPr>
            </w:pPr>
            <w:r>
              <w:rPr>
                <w:rFonts w:ascii="Arial" w:cs="Arial" w:eastAsia="Arial" w:hAnsi="Arial"/>
                <w:sz w:val="18"/>
                <w:szCs w:val="18"/>
                <w:color w:val="auto"/>
              </w:rPr>
              <w:t>127,078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28</w:t>
            </w:r>
          </w:p>
        </w:tc>
      </w:tr>
      <w:tr>
        <w:trPr>
          <w:trHeight w:val="170"/>
        </w:trPr>
        <w:tc>
          <w:tcPr>
            <w:tcW w:w="7060" w:type="dxa"/>
            <w:vAlign w:val="bottom"/>
            <w:gridSpan w:val="2"/>
            <w:shd w:val="clear" w:color="auto" w:fill="CFF0FC"/>
          </w:tcPr>
          <w:p>
            <w:pPr>
              <w:spacing w:after="0" w:line="170" w:lineRule="exact"/>
              <w:rPr>
                <w:sz w:val="20"/>
                <w:szCs w:val="20"/>
                <w:color w:val="auto"/>
              </w:rPr>
            </w:pPr>
            <w:r>
              <w:rPr>
                <w:rFonts w:ascii="Arial" w:cs="Arial" w:eastAsia="Arial" w:hAnsi="Arial"/>
                <w:sz w:val="18"/>
                <w:szCs w:val="18"/>
                <w:color w:val="auto"/>
              </w:rPr>
              <w:t>September 1 – September 30, 2025</w:t>
            </w: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16"/>
              <w:spacing w:after="0" w:line="170" w:lineRule="exact"/>
              <w:rPr>
                <w:sz w:val="20"/>
                <w:szCs w:val="20"/>
                <w:color w:val="auto"/>
              </w:rPr>
            </w:pPr>
            <w:r>
              <w:rPr>
                <w:rFonts w:ascii="Arial" w:cs="Arial" w:eastAsia="Arial" w:hAnsi="Arial"/>
                <w:sz w:val="18"/>
                <w:szCs w:val="18"/>
                <w:color w:val="auto"/>
              </w:rPr>
              <w:t>1,236,165,5</w:t>
            </w:r>
          </w:p>
        </w:tc>
      </w:tr>
      <w:tr>
        <w:trPr>
          <w:trHeight w:val="221"/>
        </w:trPr>
        <w:tc>
          <w:tcPr>
            <w:tcW w:w="574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8"/>
                <w:szCs w:val="18"/>
                <w:color w:val="auto"/>
              </w:rPr>
              <w:t>179,398</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87.78</w:t>
            </w:r>
          </w:p>
        </w:tc>
        <w:tc>
          <w:tcPr>
            <w:tcW w:w="10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179,398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16"/>
              <w:spacing w:after="0"/>
              <w:rPr>
                <w:sz w:val="20"/>
                <w:szCs w:val="20"/>
                <w:color w:val="auto"/>
              </w:rPr>
            </w:pPr>
            <w:r>
              <w:rPr>
                <w:rFonts w:ascii="Arial" w:cs="Arial" w:eastAsia="Arial" w:hAnsi="Arial"/>
                <w:sz w:val="18"/>
                <w:szCs w:val="18"/>
                <w:color w:val="auto"/>
              </w:rPr>
              <w:t>54</w:t>
            </w:r>
          </w:p>
        </w:tc>
      </w:tr>
      <w:tr>
        <w:trPr>
          <w:trHeight w:val="196"/>
        </w:trPr>
        <w:tc>
          <w:tcPr>
            <w:tcW w:w="7060" w:type="dxa"/>
            <w:vAlign w:val="bottom"/>
            <w:gridSpan w:val="2"/>
          </w:tcPr>
          <w:p>
            <w:pPr>
              <w:jc w:val="right"/>
              <w:ind w:right="41"/>
              <w:spacing w:after="0" w:line="182" w:lineRule="exact"/>
              <w:rPr>
                <w:sz w:val="20"/>
                <w:szCs w:val="20"/>
                <w:color w:val="auto"/>
              </w:rPr>
            </w:pPr>
            <w:r>
              <w:rPr>
                <w:rFonts w:ascii="Arial" w:cs="Arial" w:eastAsia="Arial" w:hAnsi="Arial"/>
                <w:sz w:val="18"/>
                <w:szCs w:val="18"/>
                <w:color w:val="auto"/>
              </w:rPr>
              <w:t>306,476</w:t>
            </w:r>
          </w:p>
        </w:tc>
        <w:tc>
          <w:tcPr>
            <w:tcW w:w="3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8"/>
              <w:spacing w:after="0" w:line="182" w:lineRule="exact"/>
              <w:rPr>
                <w:sz w:val="20"/>
                <w:szCs w:val="20"/>
                <w:color w:val="auto"/>
              </w:rPr>
            </w:pPr>
            <w:r>
              <w:rPr>
                <w:rFonts w:ascii="Arial" w:cs="Arial" w:eastAsia="Arial" w:hAnsi="Arial"/>
                <w:sz w:val="18"/>
                <w:szCs w:val="18"/>
                <w:color w:val="auto"/>
              </w:rPr>
              <w:t>88.09</w:t>
            </w:r>
          </w:p>
        </w:tc>
        <w:tc>
          <w:tcPr>
            <w:tcW w:w="1380" w:type="dxa"/>
            <w:vAlign w:val="bottom"/>
            <w:gridSpan w:val="2"/>
          </w:tcPr>
          <w:p>
            <w:pPr>
              <w:jc w:val="right"/>
              <w:ind w:right="24"/>
              <w:spacing w:after="0" w:line="182" w:lineRule="exact"/>
              <w:rPr>
                <w:sz w:val="20"/>
                <w:szCs w:val="20"/>
                <w:color w:val="auto"/>
              </w:rPr>
            </w:pPr>
            <w:r>
              <w:rPr>
                <w:rFonts w:ascii="Arial" w:cs="Arial" w:eastAsia="Arial" w:hAnsi="Arial"/>
                <w:sz w:val="18"/>
                <w:szCs w:val="18"/>
                <w:color w:val="auto"/>
              </w:rPr>
              <w:t>306,476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-161925</wp:posOffset>
            </wp:positionV>
            <wp:extent cx="939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-161925</wp:posOffset>
            </wp:positionV>
            <wp:extent cx="857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4" w:lineRule="exact"/>
        <w:rPr>
          <w:sz w:val="20"/>
          <w:szCs w:val="20"/>
          <w:color w:val="auto"/>
        </w:rPr>
      </w:pPr>
    </w:p>
    <w:p>
      <w:pPr>
        <w:ind w:left="640" w:right="240" w:hanging="372"/>
        <w:spacing w:after="0" w:line="24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These values reflect the amounts that may be repurchased under the Repurchase Program approved by the Board of Directors on November 14, 2016 and the increases approved by the Board of Directors on November 8, 2017, July 30, 2018, May 9, 2019, February 24, 2022 and February 20, 2025, which in the aggregate total authorized repurchases of $5,000 million. The Repurchase Program has no termination date.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Insider Trading Arrangements</w:t>
      </w:r>
    </w:p>
    <w:p>
      <w:pPr>
        <w:spacing w:after="0" w:line="104" w:lineRule="exact"/>
        <w:rPr>
          <w:sz w:val="20"/>
          <w:szCs w:val="20"/>
          <w:color w:val="auto"/>
        </w:rPr>
      </w:pPr>
    </w:p>
    <w:p>
      <w:pPr>
        <w:ind w:right="160" w:firstLine="499"/>
        <w:spacing w:after="0" w:line="247" w:lineRule="auto"/>
        <w:rPr>
          <w:sz w:val="20"/>
          <w:szCs w:val="20"/>
          <w:color w:val="auto"/>
        </w:rPr>
      </w:pPr>
      <w:r>
        <w:rPr>
          <w:rFonts w:ascii="Arial" w:cs="Arial" w:eastAsia="Arial" w:hAnsi="Arial"/>
          <w:sz w:val="18"/>
          <w:szCs w:val="18"/>
          <w:color w:val="auto"/>
        </w:rPr>
        <w:t>The following table sets forth information related to the Company's directors and officers who adopted, modified or terminated any contract, instruction or written plan for the purchase or sale of Company securities that was intended to satisfy the affirmative defense conditions of Rule 10b5-1(c) ("Rule 10b5-1 trading arrangement") or any “non-Rule 10b5-1 trading arrangement,” as such term is defined in Item 408(c) of Regulation S-K, during the three months ended September 30, 2025: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Trading Arrangement</w:t>
            </w:r>
          </w:p>
        </w:tc>
        <w:tc>
          <w:tcPr>
            <w:tcW w:w="100" w:type="dxa"/>
            <w:vAlign w:val="bottom"/>
          </w:tcPr>
          <w:p>
            <w:pPr>
              <w:spacing w:after="0"/>
              <w:rPr>
                <w:sz w:val="14"/>
                <w:szCs w:val="14"/>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Total Shares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Non-Rule</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4"/>
                <w:szCs w:val="14"/>
                <w:color w:val="auto"/>
              </w:rPr>
            </w:pPr>
          </w:p>
        </w:tc>
        <w:tc>
          <w:tcPr>
            <w:tcW w:w="2520" w:type="dxa"/>
            <w:vAlign w:val="bottom"/>
          </w:tcPr>
          <w:p>
            <w:pPr>
              <w:ind w:left="1120"/>
              <w:spacing w:after="0"/>
              <w:rPr>
                <w:sz w:val="20"/>
                <w:szCs w:val="20"/>
                <w:color w:val="auto"/>
              </w:rPr>
            </w:pPr>
            <w:r>
              <w:rPr>
                <w:rFonts w:ascii="Arial" w:cs="Arial" w:eastAsia="Arial" w:hAnsi="Arial"/>
                <w:sz w:val="14"/>
                <w:szCs w:val="14"/>
                <w:b w:val="1"/>
                <w:bCs w:val="1"/>
                <w:color w:val="auto"/>
              </w:rPr>
              <w:t>Title</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Action</w:t>
            </w:r>
          </w:p>
        </w:tc>
        <w:tc>
          <w:tcPr>
            <w:tcW w:w="28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Date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Rule 10b5-1*</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10b5-1**</w:t>
            </w:r>
          </w:p>
        </w:tc>
        <w:tc>
          <w:tcPr>
            <w:tcW w:w="10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rPr>
              <w:t>to be Sold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rPr>
              <w:t>G. Frederick Bohley</w:t>
            </w:r>
          </w:p>
        </w:tc>
        <w:tc>
          <w:tcPr>
            <w:tcW w:w="140" w:type="dxa"/>
            <w:vAlign w:val="bottom"/>
            <w:shd w:val="clear" w:color="auto" w:fill="CFF0FC"/>
          </w:tcPr>
          <w:p>
            <w:pPr>
              <w:spacing w:after="0"/>
              <w:rPr>
                <w:sz w:val="17"/>
                <w:szCs w:val="17"/>
                <w:color w:val="auto"/>
              </w:rPr>
            </w:pPr>
          </w:p>
        </w:tc>
        <w:tc>
          <w:tcPr>
            <w:tcW w:w="2520" w:type="dxa"/>
            <w:vAlign w:val="bottom"/>
            <w:tcBorders>
              <w:top w:val="single" w:sz="8" w:color="auto"/>
            </w:tcBorders>
            <w:shd w:val="clear" w:color="auto" w:fill="CFF0FC"/>
          </w:tcPr>
          <w:p>
            <w:pPr>
              <w:spacing w:after="0" w:line="196" w:lineRule="exact"/>
              <w:rPr>
                <w:sz w:val="20"/>
                <w:szCs w:val="20"/>
                <w:color w:val="auto"/>
              </w:rPr>
            </w:pPr>
            <w:r>
              <w:rPr>
                <w:rFonts w:ascii="Arial" w:cs="Arial" w:eastAsia="Arial" w:hAnsi="Arial"/>
                <w:sz w:val="18"/>
                <w:szCs w:val="18"/>
                <w:color w:val="auto"/>
              </w:rPr>
              <w:t>Chief Operating Officer</w:t>
            </w:r>
          </w:p>
        </w:tc>
        <w:tc>
          <w:tcPr>
            <w:tcW w:w="160" w:type="dxa"/>
            <w:vAlign w:val="bottom"/>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rPr>
              <w:t>Terminated</w:t>
            </w:r>
          </w:p>
        </w:tc>
        <w:tc>
          <w:tcPr>
            <w:tcW w:w="2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w:t>
            </w:r>
          </w:p>
        </w:tc>
        <w:tc>
          <w:tcPr>
            <w:tcW w:w="8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8/15/2025</w:t>
            </w:r>
          </w:p>
        </w:tc>
        <w:tc>
          <w:tcPr>
            <w:tcW w:w="14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X</w:t>
            </w:r>
          </w:p>
        </w:tc>
        <w:tc>
          <w:tcPr>
            <w:tcW w:w="14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tcBorders>
              <w:top w:val="single" w:sz="8" w:color="auto"/>
            </w:tcBorders>
            <w:shd w:val="clear" w:color="auto" w:fill="CCECFF"/>
          </w:tcPr>
          <w:p>
            <w:pPr>
              <w:jc w:val="right"/>
              <w:spacing w:after="0" w:line="196" w:lineRule="exact"/>
              <w:rPr>
                <w:sz w:val="20"/>
                <w:szCs w:val="20"/>
                <w:color w:val="auto"/>
              </w:rPr>
            </w:pPr>
            <w:r>
              <w:rPr>
                <w:rFonts w:ascii="Arial" w:cs="Arial" w:eastAsia="Arial" w:hAnsi="Arial"/>
                <w:sz w:val="18"/>
                <w:szCs w:val="18"/>
                <w:color w:val="auto"/>
              </w:rPr>
              <w:t>10,348</w:t>
            </w:r>
          </w:p>
        </w:tc>
        <w:tc>
          <w:tcPr>
            <w:tcW w:w="100" w:type="dxa"/>
            <w:vAlign w:val="bottom"/>
            <w:shd w:val="clear" w:color="auto" w:fill="CCECFF"/>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99"/>
              </w:rPr>
              <w:t>2/17/2026</w:t>
            </w:r>
          </w:p>
        </w:tc>
        <w:tc>
          <w:tcPr>
            <w:tcW w:w="0" w:type="dxa"/>
            <w:vAlign w:val="bottom"/>
          </w:tcPr>
          <w:p>
            <w:pPr>
              <w:spacing w:after="0"/>
              <w:rPr>
                <w:sz w:val="1"/>
                <w:szCs w:val="1"/>
                <w:color w:val="auto"/>
              </w:rPr>
            </w:pPr>
          </w:p>
        </w:tc>
      </w:tr>
      <w:tr>
        <w:trPr>
          <w:trHeight w:val="239"/>
        </w:trPr>
        <w:tc>
          <w:tcPr>
            <w:tcW w:w="1620" w:type="dxa"/>
            <w:vAlign w:val="bottom"/>
          </w:tcPr>
          <w:p>
            <w:pPr>
              <w:jc w:val="center"/>
              <w:spacing w:after="0"/>
              <w:rPr>
                <w:sz w:val="20"/>
                <w:szCs w:val="20"/>
                <w:color w:val="auto"/>
              </w:rPr>
            </w:pPr>
            <w:r>
              <w:rPr>
                <w:rFonts w:ascii="Arial" w:cs="Arial" w:eastAsia="Arial" w:hAnsi="Arial"/>
                <w:sz w:val="18"/>
                <w:szCs w:val="18"/>
                <w:color w:val="auto"/>
              </w:rPr>
              <w:t>G. Frederick Bohley</w:t>
            </w:r>
          </w:p>
        </w:tc>
        <w:tc>
          <w:tcPr>
            <w:tcW w:w="140" w:type="dxa"/>
            <w:vAlign w:val="bottom"/>
          </w:tcPr>
          <w:p>
            <w:pPr>
              <w:spacing w:after="0"/>
              <w:rPr>
                <w:sz w:val="20"/>
                <w:szCs w:val="20"/>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1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Adopted</w:t>
            </w:r>
          </w:p>
        </w:tc>
        <w:tc>
          <w:tcPr>
            <w:tcW w:w="11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8/26/2025</w:t>
            </w:r>
          </w:p>
        </w:tc>
        <w:tc>
          <w:tcPr>
            <w:tcW w:w="1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20"/>
                <w:szCs w:val="20"/>
                <w:color w:val="auto"/>
              </w:rPr>
            </w:pPr>
          </w:p>
        </w:tc>
        <w:tc>
          <w:tcPr>
            <w:tcW w:w="11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2/17/2026</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Intended to satisfy the affirmative defense of Rule 10b5-1(c)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Not intended to satisfy the affirmative defense of Rule 10b5-1(c)</w:t>
      </w:r>
    </w:p>
    <w:p>
      <w:pPr>
        <w:ind w:left="5520" w:right="4680" w:hanging="5251"/>
        <w:spacing w:after="0" w:line="689" w:lineRule="auto"/>
        <w:tabs>
          <w:tab w:leader="none" w:pos="5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Rule 10b5-1 trading arrangement was originally adopted on 2/26/2025.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697230</wp:posOffset>
            </wp:positionV>
            <wp:extent cx="71323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9800" w:type="dxa"/>
            <w:vAlign w:val="bottom"/>
            <w:gridSpan w:val="11"/>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37"/>
        </w:trPr>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2"/>
        </w:trPr>
        <w:tc>
          <w:tcPr>
            <w:tcW w:w="1440" w:type="dxa"/>
            <w:vAlign w:val="bottom"/>
            <w:gridSpan w:val="5"/>
          </w:tcPr>
          <w:p>
            <w:pPr>
              <w:spacing w:after="0"/>
              <w:rPr>
                <w:sz w:val="20"/>
                <w:szCs w:val="20"/>
                <w:color w:val="auto"/>
              </w:rPr>
            </w:pPr>
            <w:r>
              <w:rPr>
                <w:rFonts w:ascii="Arial" w:cs="Arial" w:eastAsia="Arial" w:hAnsi="Arial"/>
                <w:sz w:val="18"/>
                <w:szCs w:val="18"/>
                <w:color w:val="auto"/>
              </w:rPr>
              <w:t>(a) Exhibits</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vMerge w:val="restart"/>
          </w:tcPr>
          <w:p>
            <w:pPr>
              <w:spacing w:after="0"/>
              <w:rPr>
                <w:sz w:val="24"/>
                <w:szCs w:val="24"/>
                <w:color w:val="auto"/>
              </w:rPr>
            </w:pPr>
          </w:p>
        </w:tc>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4540" w:type="dxa"/>
            <w:vAlign w:val="bottom"/>
            <w:gridSpan w:val="7"/>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6"/>
              </w:rPr>
              <w:t>Number</w:t>
            </w:r>
          </w:p>
        </w:tc>
        <w:tc>
          <w:tcPr>
            <w:tcW w:w="40" w:type="dxa"/>
            <w:vAlign w:val="bottom"/>
            <w:tcBorders>
              <w:bottom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454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40" w:type="dxa"/>
            <w:vAlign w:val="bottom"/>
            <w:gridSpan w:val="2"/>
          </w:tcPr>
          <w:p>
            <w:pPr>
              <w:ind w:left="120"/>
              <w:spacing w:after="0"/>
              <w:rPr>
                <w:sz w:val="20"/>
                <w:szCs w:val="20"/>
                <w:color w:val="auto"/>
              </w:rPr>
            </w:pPr>
            <w:r>
              <w:rPr>
                <w:rFonts w:ascii="Arial" w:cs="Arial" w:eastAsia="Arial" w:hAnsi="Arial"/>
                <w:sz w:val="18"/>
                <w:szCs w:val="18"/>
                <w:color w:val="auto"/>
                <w:w w:val="93"/>
              </w:rPr>
              <w:t>2.1*</w:t>
            </w: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rFonts w:ascii="Arial" w:cs="Arial" w:eastAsia="Arial" w:hAnsi="Arial"/>
                <w:sz w:val="18"/>
                <w:szCs w:val="18"/>
                <w:color w:val="0000FF"/>
              </w:rPr>
            </w:pPr>
            <w:hyperlink r:id="rId247">
              <w:r>
                <w:rPr>
                  <w:rFonts w:ascii="Arial" w:cs="Arial" w:eastAsia="Arial" w:hAnsi="Arial"/>
                  <w:sz w:val="18"/>
                  <w:szCs w:val="18"/>
                  <w:color w:val="0000FF"/>
                </w:rPr>
                <w:t>Stock Purchase Agreement, dated June 11, 2025, by and between Dana Incorporated and Allison Transmission Holdings,</w:t>
              </w:r>
            </w:hyperlink>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r:id="rId247">
              <w:r>
                <w:rPr>
                  <w:rFonts w:ascii="Arial" w:cs="Arial" w:eastAsia="Arial" w:hAnsi="Arial"/>
                  <w:sz w:val="18"/>
                  <w:szCs w:val="18"/>
                  <w:color w:val="0000FF"/>
                  <w:w w:val="99"/>
                </w:rPr>
                <w:t>Inc. (incorporated by reference to Exhibit 2.1 to the Registrant’s Current Report on Form 8-K filed June 13, 2025)</w:t>
              </w:r>
            </w:hyperlink>
          </w:p>
        </w:tc>
        <w:tc>
          <w:tcPr>
            <w:tcW w:w="780" w:type="dxa"/>
            <w:vAlign w:val="bottom"/>
            <w:tcBorders>
              <w:top w:val="single" w:sz="8" w:color="0000FF"/>
            </w:tcBorders>
            <w:gridSpan w:val="4"/>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8"/>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Chief Executive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6000" w:type="dxa"/>
            <w:vAlign w:val="bottom"/>
            <w:tcBorders>
              <w:top w:val="single" w:sz="8" w:color="0000FF"/>
            </w:tcBorders>
            <w:gridSpan w:val="6"/>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Chief Financial Officer pursuant to Rule 13a-14(a)/15d-14(a) as adopted pursuant to Section 302 of the</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60" w:type="dxa"/>
            <w:vAlign w:val="bottom"/>
            <w:tcBorders>
              <w:top w:val="single" w:sz="8" w:color="0000FF"/>
              <w:bottom w:val="single" w:sz="8" w:color="0000FF"/>
            </w:tcBorders>
          </w:tcPr>
          <w:p>
            <w:pPr>
              <w:spacing w:after="0" w:line="182" w:lineRule="exact"/>
              <w:rPr>
                <w:sz w:val="20"/>
                <w:szCs w:val="20"/>
                <w:color w:val="auto"/>
              </w:rPr>
            </w:pPr>
            <w:r>
              <w:rPr>
                <w:rFonts w:ascii="Arial" w:cs="Arial" w:eastAsia="Arial" w:hAnsi="Arial"/>
                <w:sz w:val="18"/>
                <w:szCs w:val="18"/>
                <w:color w:val="0000FF"/>
                <w:w w:val="98"/>
              </w:rPr>
              <w:t>Sarbanes-Oxley Act of 2002 (filed herewith)</w:t>
            </w:r>
          </w:p>
        </w:tc>
        <w:tc>
          <w:tcPr>
            <w:tcW w:w="20" w:type="dxa"/>
            <w:vAlign w:val="bottom"/>
            <w:tcBorders>
              <w:top w:val="single" w:sz="8" w:color="0000FF"/>
              <w:bottom w:val="single" w:sz="8" w:color="0000EE"/>
            </w:tcBorders>
          </w:tcPr>
          <w:p>
            <w:pPr>
              <w:spacing w:after="0"/>
              <w:rPr>
                <w:sz w:val="15"/>
                <w:szCs w:val="15"/>
                <w:color w:val="auto"/>
              </w:rPr>
            </w:pPr>
          </w:p>
        </w:tc>
        <w:tc>
          <w:tcPr>
            <w:tcW w:w="5940" w:type="dxa"/>
            <w:vAlign w:val="bottom"/>
            <w:tcBorders>
              <w:top w:val="single" w:sz="8" w:color="0000FF"/>
            </w:tcBorders>
            <w:gridSpan w:val="5"/>
          </w:tcPr>
          <w:p>
            <w:pPr>
              <w:spacing w:after="0"/>
              <w:rPr>
                <w:sz w:val="15"/>
                <w:szCs w:val="15"/>
                <w:color w:val="auto"/>
              </w:rPr>
            </w:pPr>
          </w:p>
        </w:tc>
        <w:tc>
          <w:tcPr>
            <w:tcW w:w="26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920" w:type="dxa"/>
            <w:vAlign w:val="bottom"/>
            <w:gridSpan w:val="3"/>
          </w:tcPr>
          <w:p>
            <w:pPr>
              <w:ind w:left="120"/>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0" w:type="dxa"/>
            <w:vAlign w:val="bottom"/>
            <w:gridSpan w:val="11"/>
          </w:tcPr>
          <w:p>
            <w:pPr>
              <w:spacing w:after="0"/>
              <w:rPr>
                <w:sz w:val="20"/>
                <w:szCs w:val="20"/>
                <w:color w:val="auto"/>
              </w:rPr>
            </w:pPr>
            <w:r>
              <w:rPr>
                <w:rFonts w:ascii="Arial" w:cs="Arial" w:eastAsia="Arial" w:hAnsi="Arial"/>
                <w:sz w:val="18"/>
                <w:szCs w:val="18"/>
                <w:color w:val="0000FF"/>
              </w:rPr>
              <w:t>Certification of Periodic Report by Chief Executive Officer and Chief Financial Officer pursuant to 18 U.S.C. Section 1350,</w:t>
            </w:r>
          </w:p>
        </w:tc>
        <w:tc>
          <w:tcPr>
            <w:tcW w:w="0" w:type="dxa"/>
            <w:vAlign w:val="bottom"/>
          </w:tcPr>
          <w:p>
            <w:pPr>
              <w:spacing w:after="0"/>
              <w:rPr>
                <w:sz w:val="1"/>
                <w:szCs w:val="1"/>
                <w:color w:val="auto"/>
              </w:rPr>
            </w:pPr>
          </w:p>
        </w:tc>
      </w:tr>
      <w:tr>
        <w:trPr>
          <w:trHeight w:val="183"/>
        </w:trPr>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8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as adopted pursuant to Section 906 of the Sarbanes-Oxley Act of 2002 (filed herewith)</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gridSpan w:val="5"/>
          </w:tcPr>
          <w:p>
            <w:pPr>
              <w:spacing w:after="0" w:line="20" w:lineRule="exact"/>
              <w:rPr>
                <w:sz w:val="1"/>
                <w:szCs w:val="1"/>
                <w:color w:val="auto"/>
              </w:rPr>
            </w:pPr>
          </w:p>
        </w:tc>
        <w:tc>
          <w:tcPr>
            <w:tcW w:w="6840" w:type="dxa"/>
            <w:vAlign w:val="bottom"/>
            <w:gridSpan w:val="5"/>
            <w:shd w:val="clear" w:color="auto" w:fill="0000FF"/>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101.INS</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Instance Document (filed herewith)</w:t>
            </w:r>
          </w:p>
        </w:tc>
        <w:tc>
          <w:tcPr>
            <w:tcW w:w="0" w:type="dxa"/>
            <w:vAlign w:val="bottom"/>
          </w:tcPr>
          <w:p>
            <w:pPr>
              <w:spacing w:after="0"/>
              <w:rPr>
                <w:sz w:val="1"/>
                <w:szCs w:val="1"/>
                <w:color w:val="auto"/>
              </w:rPr>
            </w:pPr>
          </w:p>
        </w:tc>
      </w:tr>
      <w:tr>
        <w:trPr>
          <w:trHeight w:val="324"/>
        </w:trPr>
        <w:tc>
          <w:tcPr>
            <w:tcW w:w="1440" w:type="dxa"/>
            <w:vAlign w:val="bottom"/>
            <w:gridSpan w:val="5"/>
          </w:tcPr>
          <w:p>
            <w:pPr>
              <w:ind w:left="60"/>
              <w:spacing w:after="0"/>
              <w:rPr>
                <w:sz w:val="20"/>
                <w:szCs w:val="20"/>
                <w:color w:val="auto"/>
              </w:rPr>
            </w:pPr>
            <w:r>
              <w:rPr>
                <w:rFonts w:ascii="Arial" w:cs="Arial" w:eastAsia="Arial" w:hAnsi="Arial"/>
                <w:sz w:val="18"/>
                <w:szCs w:val="18"/>
                <w:color w:val="auto"/>
              </w:rPr>
              <w:t>101.SCH</w:t>
            </w:r>
          </w:p>
        </w:tc>
        <w:tc>
          <w:tcPr>
            <w:tcW w:w="9800" w:type="dxa"/>
            <w:vAlign w:val="bottom"/>
            <w:gridSpan w:val="11"/>
          </w:tcPr>
          <w:p>
            <w:pPr>
              <w:spacing w:after="0"/>
              <w:rPr>
                <w:sz w:val="20"/>
                <w:szCs w:val="20"/>
                <w:color w:val="auto"/>
              </w:rPr>
            </w:pPr>
            <w:r>
              <w:rPr>
                <w:rFonts w:ascii="Arial" w:cs="Arial" w:eastAsia="Arial" w:hAnsi="Arial"/>
                <w:sz w:val="18"/>
                <w:szCs w:val="18"/>
                <w:color w:val="auto"/>
              </w:rPr>
              <w:t>Inline XBRL Taxonomy Extension Schema With Embedded Linkbase Document (filed herewith)</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420" w:right="340" w:hanging="1358"/>
        <w:spacing w:after="0" w:line="271" w:lineRule="auto"/>
        <w:tabs>
          <w:tab w:leader="none" w:pos="14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the Registrant’s Quarterly Report on Form 10-Q for the quarter ended September 30, 2025, formatted in Inline XBRL and contained in Exhibit 101</w:t>
      </w:r>
    </w:p>
    <w:p>
      <w:pPr>
        <w:spacing w:after="0" w:line="45" w:lineRule="exact"/>
        <w:rPr>
          <w:rFonts w:ascii="Arial" w:cs="Arial" w:eastAsia="Arial" w:hAnsi="Arial"/>
          <w:sz w:val="18"/>
          <w:szCs w:val="18"/>
          <w:color w:val="auto"/>
        </w:rPr>
      </w:pPr>
    </w:p>
    <w:p>
      <w:pPr>
        <w:ind w:right="320"/>
        <w:spacing w:after="0" w:line="253" w:lineRule="auto"/>
        <w:rPr>
          <w:rFonts w:ascii="Arial" w:cs="Arial" w:eastAsia="Arial" w:hAnsi="Arial"/>
          <w:sz w:val="18"/>
          <w:szCs w:val="18"/>
          <w:color w:val="auto"/>
        </w:rPr>
      </w:pPr>
      <w:r>
        <w:rPr>
          <w:rFonts w:ascii="Arial" w:cs="Arial" w:eastAsia="Arial" w:hAnsi="Arial"/>
          <w:sz w:val="18"/>
          <w:szCs w:val="18"/>
          <w:color w:val="auto"/>
        </w:rPr>
        <w:t>* Schedules and/or exhibits have been omitted pursuant to Item 601(a)(5) of Regulation S-K. The Registrant agrees to furnish supplementally a copy of any omitted schedules and/or exhibits to the Securities and Exchange Commission on a confidential basis upon request.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right="400" w:firstLine="49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ALLISON TRANSMISSION HOLDINGS, INC.</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40" w:type="dxa"/>
            <w:vAlign w:val="bottom"/>
          </w:tcPr>
          <w:p>
            <w:pPr>
              <w:spacing w:after="0"/>
              <w:rPr>
                <w:sz w:val="20"/>
                <w:szCs w:val="20"/>
                <w:color w:val="auto"/>
              </w:rPr>
            </w:pPr>
            <w:r>
              <w:rPr>
                <w:rFonts w:ascii="Arial" w:cs="Arial" w:eastAsia="Arial" w:hAnsi="Arial"/>
                <w:sz w:val="18"/>
                <w:szCs w:val="18"/>
                <w:color w:val="auto"/>
              </w:rPr>
              <w:t>Date: October 30, 2025</w:t>
            </w:r>
          </w:p>
        </w:tc>
        <w:tc>
          <w:tcPr>
            <w:tcW w:w="720" w:type="dxa"/>
            <w:vAlign w:val="bottom"/>
          </w:tcPr>
          <w:p>
            <w:pPr>
              <w:ind w:left="340"/>
              <w:spacing w:after="0"/>
              <w:rPr>
                <w:sz w:val="20"/>
                <w:szCs w:val="20"/>
                <w:color w:val="auto"/>
              </w:rPr>
            </w:pPr>
            <w:r>
              <w:rPr>
                <w:rFonts w:ascii="Arial" w:cs="Arial" w:eastAsia="Arial" w:hAnsi="Arial"/>
                <w:sz w:val="18"/>
                <w:szCs w:val="18"/>
                <w:color w:val="auto"/>
              </w:rPr>
              <w:t>By:</w:t>
            </w:r>
          </w:p>
        </w:tc>
        <w:tc>
          <w:tcPr>
            <w:tcW w:w="8280" w:type="dxa"/>
            <w:vAlign w:val="bottom"/>
            <w:gridSpan w:val="4"/>
          </w:tcPr>
          <w:p>
            <w:pPr>
              <w:ind w:left="120"/>
              <w:spacing w:after="0"/>
              <w:rPr>
                <w:sz w:val="20"/>
                <w:szCs w:val="20"/>
                <w:color w:val="auto"/>
              </w:rPr>
            </w:pPr>
            <w:r>
              <w:rPr>
                <w:rFonts w:ascii="Arial" w:cs="Arial" w:eastAsia="Arial" w:hAnsi="Arial"/>
                <w:sz w:val="18"/>
                <w:szCs w:val="18"/>
                <w:color w:val="auto"/>
              </w:rPr>
              <w:t>/s/ David S. Graziosi</w:t>
            </w:r>
          </w:p>
        </w:tc>
      </w:tr>
      <w:tr>
        <w:trPr>
          <w:trHeight w:val="430"/>
        </w:trPr>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8"/>
              </w:rPr>
              <w:t>Name:</w:t>
            </w:r>
          </w:p>
        </w:tc>
        <w:tc>
          <w:tcPr>
            <w:tcW w:w="4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S. Graziosi</w:t>
            </w:r>
          </w:p>
        </w:tc>
        <w:tc>
          <w:tcPr>
            <w:tcW w:w="2020" w:type="dxa"/>
            <w:vAlign w:val="bottom"/>
          </w:tcPr>
          <w:p>
            <w:pPr>
              <w:spacing w:after="0"/>
              <w:rPr>
                <w:sz w:val="24"/>
                <w:szCs w:val="24"/>
                <w:color w:val="auto"/>
              </w:rPr>
            </w:pPr>
          </w:p>
        </w:tc>
      </w:tr>
      <w:tr>
        <w:trPr>
          <w:trHeight w:val="288"/>
        </w:trPr>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color w:val="auto"/>
              </w:rPr>
              <w:t>Title:</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Chair, President and Chief Executive Officer</w:t>
            </w:r>
          </w:p>
        </w:tc>
      </w:tr>
      <w:tr>
        <w:trPr>
          <w:trHeight w:val="239"/>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644"/>
        </w:trPr>
        <w:tc>
          <w:tcPr>
            <w:tcW w:w="2240" w:type="dxa"/>
            <w:vAlign w:val="bottom"/>
          </w:tcPr>
          <w:p>
            <w:pPr>
              <w:spacing w:after="0"/>
              <w:rPr>
                <w:sz w:val="20"/>
                <w:szCs w:val="20"/>
                <w:color w:val="auto"/>
              </w:rPr>
            </w:pPr>
            <w:r>
              <w:rPr>
                <w:rFonts w:ascii="Arial" w:cs="Arial" w:eastAsia="Arial" w:hAnsi="Arial"/>
                <w:sz w:val="18"/>
                <w:szCs w:val="18"/>
                <w:color w:val="auto"/>
              </w:rPr>
              <w:t>Date: October 30, 2025</w:t>
            </w:r>
          </w:p>
        </w:tc>
        <w:tc>
          <w:tcPr>
            <w:tcW w:w="720" w:type="dxa"/>
            <w:vAlign w:val="bottom"/>
          </w:tcPr>
          <w:p>
            <w:pPr>
              <w:ind w:left="340"/>
              <w:spacing w:after="0"/>
              <w:rPr>
                <w:sz w:val="20"/>
                <w:szCs w:val="20"/>
                <w:color w:val="auto"/>
              </w:rPr>
            </w:pPr>
            <w:r>
              <w:rPr>
                <w:rFonts w:ascii="Arial" w:cs="Arial" w:eastAsia="Arial" w:hAnsi="Arial"/>
                <w:sz w:val="18"/>
                <w:szCs w:val="18"/>
                <w:color w:val="auto"/>
              </w:rPr>
              <w:t>By:</w:t>
            </w:r>
          </w:p>
        </w:tc>
        <w:tc>
          <w:tcPr>
            <w:tcW w:w="1300" w:type="dxa"/>
            <w:vAlign w:val="bottom"/>
            <w:gridSpan w:val="2"/>
          </w:tcPr>
          <w:p>
            <w:pPr>
              <w:ind w:left="120"/>
              <w:spacing w:after="0"/>
              <w:rPr>
                <w:sz w:val="20"/>
                <w:szCs w:val="20"/>
                <w:color w:val="auto"/>
              </w:rPr>
            </w:pPr>
            <w:r>
              <w:rPr>
                <w:rFonts w:ascii="Arial" w:cs="Arial" w:eastAsia="Arial" w:hAnsi="Arial"/>
                <w:sz w:val="18"/>
                <w:szCs w:val="18"/>
                <w:color w:val="auto"/>
              </w:rPr>
              <w:t>/s/ Scott Mell</w:t>
            </w:r>
          </w:p>
        </w:tc>
        <w:tc>
          <w:tcPr>
            <w:tcW w:w="49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29"/>
        </w:trPr>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w w:val="98"/>
              </w:rPr>
              <w:t>Name:</w:t>
            </w:r>
          </w:p>
        </w:tc>
        <w:tc>
          <w:tcPr>
            <w:tcW w:w="49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Scott Mell</w:t>
            </w:r>
          </w:p>
        </w:tc>
        <w:tc>
          <w:tcPr>
            <w:tcW w:w="202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center"/>
              <w:ind w:left="50"/>
              <w:spacing w:after="0"/>
              <w:rPr>
                <w:sz w:val="20"/>
                <w:szCs w:val="20"/>
                <w:color w:val="auto"/>
              </w:rPr>
            </w:pPr>
            <w:r>
              <w:rPr>
                <w:rFonts w:ascii="Arial" w:cs="Arial" w:eastAsia="Arial" w:hAnsi="Arial"/>
                <w:sz w:val="18"/>
                <w:szCs w:val="18"/>
                <w:color w:val="auto"/>
              </w:rPr>
              <w:t>Title:</w:t>
            </w: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Chief Financial Officer and Treasurer (Principal Financial</w:t>
            </w:r>
          </w:p>
        </w:tc>
      </w:tr>
      <w:tr>
        <w:trPr>
          <w:trHeight w:val="239"/>
        </w:trPr>
        <w:tc>
          <w:tcPr>
            <w:tcW w:w="2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980" w:type="dxa"/>
            <w:vAlign w:val="bottom"/>
            <w:gridSpan w:val="2"/>
          </w:tcPr>
          <w:p>
            <w:pPr>
              <w:ind w:left="140"/>
              <w:spacing w:after="0"/>
              <w:rPr>
                <w:sz w:val="20"/>
                <w:szCs w:val="20"/>
                <w:color w:val="auto"/>
              </w:rPr>
            </w:pPr>
            <w:r>
              <w:rPr>
                <w:rFonts w:ascii="Arial" w:cs="Arial" w:eastAsia="Arial" w:hAnsi="Arial"/>
                <w:sz w:val="18"/>
                <w:szCs w:val="18"/>
                <w:color w:val="auto"/>
              </w:rPr>
              <w:t>Officer and Principal Accounting Officer)</w:t>
            </w:r>
          </w:p>
        </w:tc>
      </w:tr>
      <w:tr>
        <w:trPr>
          <w:trHeight w:val="810"/>
        </w:trPr>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960" w:type="dxa"/>
            <w:vAlign w:val="bottom"/>
          </w:tcPr>
          <w:p>
            <w:pPr>
              <w:ind w:left="1260"/>
              <w:spacing w:after="0"/>
              <w:rPr>
                <w:sz w:val="20"/>
                <w:szCs w:val="20"/>
                <w:color w:val="auto"/>
              </w:rPr>
            </w:pPr>
            <w:r>
              <w:rPr>
                <w:rFonts w:ascii="Arial" w:cs="Arial" w:eastAsia="Arial" w:hAnsi="Arial"/>
                <w:sz w:val="18"/>
                <w:szCs w:val="18"/>
                <w:color w:val="auto"/>
              </w:rPr>
              <w:t>49</w:t>
            </w:r>
          </w:p>
        </w:tc>
        <w:tc>
          <w:tcPr>
            <w:tcW w:w="2020" w:type="dxa"/>
            <w:vAlign w:val="bottom"/>
          </w:tcPr>
          <w:p>
            <w:pPr>
              <w:spacing w:after="0"/>
              <w:rPr>
                <w:sz w:val="24"/>
                <w:szCs w:val="24"/>
                <w:color w:val="auto"/>
              </w:rPr>
            </w:pPr>
          </w:p>
        </w:tc>
      </w:tr>
      <w:tr>
        <w:trPr>
          <w:trHeight w:val="745"/>
        </w:trPr>
        <w:tc>
          <w:tcPr>
            <w:tcW w:w="2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S. Graziosi, certify that:</w:t>
      </w:r>
    </w:p>
    <w:p>
      <w:pPr>
        <w:spacing w:after="0" w:line="225" w:lineRule="exact"/>
        <w:rPr>
          <w:sz w:val="20"/>
          <w:szCs w:val="20"/>
          <w:color w:val="auto"/>
        </w:rPr>
      </w:pPr>
    </w:p>
    <w:p>
      <w:pPr>
        <w:ind w:left="760" w:hanging="752"/>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David S. Graziosi</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0" w:name="page51"/>
    <w:bookmarkEnd w:id="50"/>
    <w:p>
      <w:pPr>
        <w:ind w:left="92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734695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Mell, certify that:</w:t>
      </w:r>
    </w:p>
    <w:p>
      <w:pPr>
        <w:spacing w:after="0" w:line="225" w:lineRule="exact"/>
        <w:rPr>
          <w:sz w:val="20"/>
          <w:szCs w:val="20"/>
          <w:color w:val="auto"/>
        </w:rPr>
      </w:pPr>
    </w:p>
    <w:p>
      <w:pPr>
        <w:ind w:left="760" w:hanging="752"/>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Allison Transmission Holdings, Inc.;</w:t>
      </w:r>
    </w:p>
    <w:p>
      <w:pPr>
        <w:spacing w:after="0" w:line="225" w:lineRule="exact"/>
        <w:rPr>
          <w:rFonts w:ascii="Times New Roman" w:cs="Times New Roman" w:eastAsia="Times New Roman" w:hAnsi="Times New Roman"/>
          <w:sz w:val="18"/>
          <w:szCs w:val="18"/>
          <w:color w:val="auto"/>
        </w:rPr>
      </w:pPr>
    </w:p>
    <w:p>
      <w:pPr>
        <w:jc w:val="both"/>
        <w:ind w:left="760" w:right="2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40" w:hanging="75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60" w:right="20" w:hanging="752"/>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500" w:right="14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500" w:right="24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50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500" w:right="20" w:hanging="743"/>
        <w:spacing w:after="0" w:line="266"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60" w:hanging="752"/>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500" w:right="30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500" w:right="580" w:hanging="743"/>
        <w:spacing w:after="0" w:line="282" w:lineRule="auto"/>
        <w:tabs>
          <w:tab w:leader="none" w:pos="15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04063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Scott Mell</w:t>
      </w:r>
    </w:p>
    <w:p>
      <w:pPr>
        <w:spacing w:after="0" w:line="2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2" w:name="page53"/>
    <w:bookmarkEnd w:id="52"/>
    <w:p>
      <w:pPr>
        <w:ind w:left="92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631825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0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Allison Transmission Holdings, Inc. (the “Company”) on Form 10-Q for the quarter ending September 30, 2025 as filed with the Securities and Exchange Commission on the date hereof (the “Report”), we, David S. Graziosi, Chair, President and Chief Executive Officer of the Company, and Scott Mell, Chief Financial Officer and Treasurer of the Company, certify, pursuant to 18 U.S.C. § 1350 as adopted pursuant to § 906 of the Sarbanes-Oxley Act of 2002, that:</w:t>
      </w:r>
    </w:p>
    <w:p>
      <w:pPr>
        <w:spacing w:after="0" w:line="180" w:lineRule="exact"/>
        <w:rPr>
          <w:sz w:val="20"/>
          <w:szCs w:val="20"/>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575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Mell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575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Mell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
      <w:numFmt w:val="bullet"/>
      <w:start w:val="1"/>
    </w:lvl>
    <w:lvl w:ilvl="1">
      <w:lvlJc w:val="left"/>
      <w:lvlText w:val="%2"/>
      <w:numFmt w:val="decimal"/>
      <w:start w:val="104"/>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47" Type="http://schemas.openxmlformats.org/officeDocument/2006/relationships/hyperlink" Target="https://www.sec.gov/Archives/edgar/data/1411207/000119312525140770/d20890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2025-10-30T08:17:36Z</dcterms:created>
  <dcterms:modified xsi:type="dcterms:W3CDTF">2025-10-30T08:17:36Z</dcterms:modified>
</cp:coreProperties>
</file>