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888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7" w:lineRule="exact"/>
        <w:rPr>
          <w:sz w:val="24"/>
          <w:szCs w:val="24"/>
          <w:color w:val="auto"/>
        </w:rPr>
      </w:pPr>
    </w:p>
    <w:p>
      <w:pPr>
        <w:ind w:left="580" w:right="120" w:hanging="559"/>
        <w:spacing w:after="0" w:line="264"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3" w:lineRule="exact"/>
        <w:rPr>
          <w:sz w:val="24"/>
          <w:szCs w:val="24"/>
          <w:color w:val="auto"/>
        </w:rPr>
      </w:pPr>
    </w:p>
    <w:p>
      <w:pPr>
        <w:ind w:left="580" w:right="140" w:hanging="559"/>
        <w:spacing w:after="0" w:line="26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001-35456</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2693670</wp:posOffset>
            </wp:positionH>
            <wp:positionV relativeFrom="paragraph">
              <wp:posOffset>41275</wp:posOffset>
            </wp:positionV>
            <wp:extent cx="1729740"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974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20" w:type="dxa"/>
            <w:vAlign w:val="bottom"/>
          </w:tcPr>
          <w:p>
            <w:pPr>
              <w:jc w:val="center"/>
              <w:ind w:left="1040"/>
              <w:spacing w:after="0"/>
              <w:rPr>
                <w:sz w:val="20"/>
                <w:szCs w:val="20"/>
                <w:color w:val="auto"/>
              </w:rPr>
            </w:pPr>
            <w:r>
              <w:rPr>
                <w:rFonts w:ascii="Arial" w:cs="Arial" w:eastAsia="Arial" w:hAnsi="Arial"/>
                <w:sz w:val="18"/>
                <w:szCs w:val="18"/>
                <w:b w:val="1"/>
                <w:bCs w:val="1"/>
                <w:color w:val="auto"/>
              </w:rPr>
              <w:t>Delaware</w:t>
            </w: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jc w:val="right"/>
              <w:ind w:right="2242"/>
              <w:spacing w:after="0"/>
              <w:rPr>
                <w:sz w:val="20"/>
                <w:szCs w:val="20"/>
                <w:color w:val="auto"/>
              </w:rPr>
            </w:pPr>
            <w:r>
              <w:rPr>
                <w:rFonts w:ascii="Arial" w:cs="Arial" w:eastAsia="Arial" w:hAnsi="Arial"/>
                <w:sz w:val="18"/>
                <w:szCs w:val="18"/>
                <w:b w:val="1"/>
                <w:bCs w:val="1"/>
                <w:color w:val="auto"/>
              </w:rPr>
              <w:t>26-0414014</w:t>
            </w:r>
          </w:p>
        </w:tc>
      </w:tr>
      <w:tr>
        <w:trPr>
          <w:trHeight w:val="252"/>
        </w:trPr>
        <w:tc>
          <w:tcPr>
            <w:tcW w:w="4520" w:type="dxa"/>
            <w:vAlign w:val="bottom"/>
          </w:tcPr>
          <w:p>
            <w:pPr>
              <w:jc w:val="center"/>
              <w:ind w:left="1040"/>
              <w:spacing w:after="0"/>
              <w:rPr>
                <w:sz w:val="20"/>
                <w:szCs w:val="20"/>
                <w:color w:val="auto"/>
              </w:rPr>
            </w:pPr>
            <w:r>
              <w:rPr>
                <w:rFonts w:ascii="Arial" w:cs="Arial" w:eastAsia="Arial" w:hAnsi="Arial"/>
                <w:sz w:val="14"/>
                <w:szCs w:val="14"/>
                <w:color w:val="auto"/>
              </w:rPr>
              <w:t>(State or other jurisdiction of incorporation or</w:t>
            </w: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jc w:val="center"/>
              <w:ind w:right="1742"/>
              <w:spacing w:after="0"/>
              <w:rPr>
                <w:sz w:val="20"/>
                <w:szCs w:val="20"/>
                <w:color w:val="auto"/>
              </w:rPr>
            </w:pPr>
            <w:r>
              <w:rPr>
                <w:rFonts w:ascii="Arial" w:cs="Arial" w:eastAsia="Arial" w:hAnsi="Arial"/>
                <w:sz w:val="14"/>
                <w:szCs w:val="14"/>
                <w:color w:val="auto"/>
              </w:rPr>
              <w:t>(I.R.S. Employer</w:t>
            </w:r>
          </w:p>
        </w:tc>
      </w:tr>
      <w:tr>
        <w:trPr>
          <w:trHeight w:val="196"/>
        </w:trPr>
        <w:tc>
          <w:tcPr>
            <w:tcW w:w="4520" w:type="dxa"/>
            <w:vAlign w:val="bottom"/>
          </w:tcPr>
          <w:p>
            <w:pPr>
              <w:jc w:val="center"/>
              <w:ind w:left="1040"/>
              <w:spacing w:after="0"/>
              <w:rPr>
                <w:sz w:val="20"/>
                <w:szCs w:val="20"/>
                <w:color w:val="auto"/>
              </w:rPr>
            </w:pPr>
            <w:r>
              <w:rPr>
                <w:rFonts w:ascii="Arial" w:cs="Arial" w:eastAsia="Arial" w:hAnsi="Arial"/>
                <w:sz w:val="14"/>
                <w:szCs w:val="14"/>
                <w:color w:val="auto"/>
              </w:rPr>
              <w:t>organization)</w:t>
            </w: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0" w:type="dxa"/>
            <w:vAlign w:val="bottom"/>
          </w:tcPr>
          <w:p>
            <w:pPr>
              <w:jc w:val="center"/>
              <w:ind w:right="1722"/>
              <w:spacing w:after="0"/>
              <w:rPr>
                <w:sz w:val="20"/>
                <w:szCs w:val="20"/>
                <w:color w:val="auto"/>
              </w:rPr>
            </w:pPr>
            <w:r>
              <w:rPr>
                <w:rFonts w:ascii="Arial" w:cs="Arial" w:eastAsia="Arial" w:hAnsi="Arial"/>
                <w:sz w:val="14"/>
                <w:szCs w:val="14"/>
                <w:color w:val="auto"/>
              </w:rPr>
              <w:t>Identification Number)</w:t>
            </w:r>
          </w:p>
        </w:tc>
      </w:tr>
      <w:tr>
        <w:trPr>
          <w:trHeight w:val="402"/>
        </w:trPr>
        <w:tc>
          <w:tcPr>
            <w:tcW w:w="4520" w:type="dxa"/>
            <w:vAlign w:val="bottom"/>
          </w:tcPr>
          <w:p>
            <w:pPr>
              <w:jc w:val="center"/>
              <w:ind w:left="1040"/>
              <w:spacing w:after="0"/>
              <w:rPr>
                <w:sz w:val="20"/>
                <w:szCs w:val="20"/>
                <w:color w:val="auto"/>
              </w:rPr>
            </w:pPr>
            <w:r>
              <w:rPr>
                <w:rFonts w:ascii="Arial" w:cs="Arial" w:eastAsia="Arial" w:hAnsi="Arial"/>
                <w:sz w:val="18"/>
                <w:szCs w:val="18"/>
                <w:b w:val="1"/>
                <w:bCs w:val="1"/>
                <w:color w:val="auto"/>
                <w:w w:val="98"/>
              </w:rPr>
              <w:t>One Allison Way</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4520" w:type="dxa"/>
            <w:vAlign w:val="bottom"/>
          </w:tcPr>
          <w:p>
            <w:pPr>
              <w:jc w:val="center"/>
              <w:ind w:left="1000"/>
              <w:spacing w:after="0"/>
              <w:rPr>
                <w:sz w:val="20"/>
                <w:szCs w:val="20"/>
                <w:color w:val="auto"/>
              </w:rPr>
            </w:pPr>
            <w:r>
              <w:rPr>
                <w:rFonts w:ascii="Arial" w:cs="Arial" w:eastAsia="Arial" w:hAnsi="Arial"/>
                <w:sz w:val="18"/>
                <w:szCs w:val="18"/>
                <w:b w:val="1"/>
                <w:bCs w:val="1"/>
                <w:color w:val="auto"/>
                <w:w w:val="99"/>
              </w:rPr>
              <w:t>Indianapolis, IN</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jc w:val="right"/>
              <w:ind w:right="2482"/>
              <w:spacing w:after="0"/>
              <w:rPr>
                <w:sz w:val="20"/>
                <w:szCs w:val="20"/>
                <w:color w:val="auto"/>
              </w:rPr>
            </w:pPr>
            <w:r>
              <w:rPr>
                <w:rFonts w:ascii="Arial" w:cs="Arial" w:eastAsia="Arial" w:hAnsi="Arial"/>
                <w:sz w:val="18"/>
                <w:szCs w:val="18"/>
                <w:b w:val="1"/>
                <w:bCs w:val="1"/>
                <w:color w:val="auto"/>
              </w:rPr>
              <w:t>46222</w:t>
            </w:r>
          </w:p>
        </w:tc>
      </w:tr>
      <w:tr>
        <w:trPr>
          <w:trHeight w:val="246"/>
        </w:trPr>
        <w:tc>
          <w:tcPr>
            <w:tcW w:w="4520" w:type="dxa"/>
            <w:vAlign w:val="bottom"/>
          </w:tcPr>
          <w:p>
            <w:pPr>
              <w:jc w:val="center"/>
              <w:ind w:left="1040"/>
              <w:spacing w:after="0"/>
              <w:rPr>
                <w:sz w:val="20"/>
                <w:szCs w:val="20"/>
                <w:color w:val="auto"/>
              </w:rPr>
            </w:pPr>
            <w:r>
              <w:rPr>
                <w:rFonts w:ascii="Arial" w:cs="Arial" w:eastAsia="Arial" w:hAnsi="Arial"/>
                <w:sz w:val="14"/>
                <w:szCs w:val="14"/>
                <w:color w:val="auto"/>
              </w:rPr>
              <w:t>(Address of principal executive offices)</w:t>
            </w: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jc w:val="center"/>
              <w:ind w:right="1722"/>
              <w:spacing w:after="0"/>
              <w:rPr>
                <w:sz w:val="20"/>
                <w:szCs w:val="20"/>
                <w:color w:val="auto"/>
              </w:rPr>
            </w:pPr>
            <w:r>
              <w:rPr>
                <w:rFonts w:ascii="Arial" w:cs="Arial" w:eastAsia="Arial" w:hAnsi="Arial"/>
                <w:sz w:val="14"/>
                <w:szCs w:val="14"/>
                <w:color w:val="auto"/>
              </w:rPr>
              <w:t>(Zip Code)</w:t>
            </w:r>
          </w:p>
        </w:tc>
      </w:tr>
      <w:tr>
        <w:trPr>
          <w:trHeight w:val="321"/>
        </w:trPr>
        <w:tc>
          <w:tcPr>
            <w:tcW w:w="4520" w:type="dxa"/>
            <w:vAlign w:val="bottom"/>
          </w:tcPr>
          <w:p>
            <w:pPr>
              <w:spacing w:after="0"/>
              <w:rPr>
                <w:sz w:val="24"/>
                <w:szCs w:val="24"/>
                <w:color w:val="auto"/>
              </w:rPr>
            </w:pPr>
          </w:p>
        </w:tc>
        <w:tc>
          <w:tcPr>
            <w:tcW w:w="2480" w:type="dxa"/>
            <w:vAlign w:val="bottom"/>
            <w:gridSpan w:val="2"/>
          </w:tcPr>
          <w:p>
            <w:pPr>
              <w:jc w:val="center"/>
              <w:ind w:right="204"/>
              <w:spacing w:after="0"/>
              <w:rPr>
                <w:sz w:val="20"/>
                <w:szCs w:val="20"/>
                <w:color w:val="auto"/>
              </w:rPr>
            </w:pPr>
            <w:r>
              <w:rPr>
                <w:rFonts w:ascii="Arial" w:cs="Arial" w:eastAsia="Arial" w:hAnsi="Arial"/>
                <w:sz w:val="18"/>
                <w:szCs w:val="18"/>
                <w:b w:val="1"/>
                <w:bCs w:val="1"/>
                <w:color w:val="auto"/>
              </w:rPr>
              <w:t>(317) 242-5000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2"/>
        </w:trPr>
        <w:tc>
          <w:tcPr>
            <w:tcW w:w="7440" w:type="dxa"/>
            <w:vAlign w:val="bottom"/>
            <w:gridSpan w:val="5"/>
          </w:tcPr>
          <w:p>
            <w:pPr>
              <w:jc w:val="center"/>
              <w:ind w:left="3720"/>
              <w:spacing w:after="0"/>
              <w:rPr>
                <w:sz w:val="20"/>
                <w:szCs w:val="20"/>
                <w:color w:val="auto"/>
              </w:rPr>
            </w:pPr>
            <w:r>
              <w:rPr>
                <w:rFonts w:ascii="Arial" w:cs="Arial" w:eastAsia="Arial" w:hAnsi="Arial"/>
                <w:sz w:val="14"/>
                <w:szCs w:val="14"/>
                <w:color w:val="auto"/>
              </w:rPr>
              <w:t>(Registrant’s telephone number, including area code)</w:t>
            </w:r>
          </w:p>
        </w:tc>
        <w:tc>
          <w:tcPr>
            <w:tcW w:w="3800" w:type="dxa"/>
            <w:vAlign w:val="bottom"/>
          </w:tcPr>
          <w:p>
            <w:pPr>
              <w:spacing w:after="0"/>
              <w:rPr>
                <w:sz w:val="16"/>
                <w:szCs w:val="16"/>
                <w:color w:val="auto"/>
              </w:rPr>
            </w:pPr>
          </w:p>
        </w:tc>
      </w:tr>
      <w:tr>
        <w:trPr>
          <w:trHeight w:val="287"/>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197"/>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2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jc w:val="center"/>
              <w:ind w:right="242"/>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25"/>
        </w:trPr>
        <w:tc>
          <w:tcPr>
            <w:tcW w:w="4520" w:type="dxa"/>
            <w:vAlign w:val="bottom"/>
          </w:tcPr>
          <w:p>
            <w:pPr>
              <w:jc w:val="center"/>
              <w:spacing w:after="0"/>
              <w:rPr>
                <w:sz w:val="20"/>
                <w:szCs w:val="20"/>
                <w:color w:val="auto"/>
              </w:rPr>
            </w:pPr>
            <w:r>
              <w:rPr>
                <w:rFonts w:ascii="Arial" w:cs="Arial" w:eastAsia="Arial" w:hAnsi="Arial"/>
                <w:sz w:val="15"/>
                <w:szCs w:val="15"/>
                <w:b w:val="1"/>
                <w:bCs w:val="1"/>
                <w:color w:val="auto"/>
              </w:rPr>
              <w:t>Common Stock, $0.01 par value</w:t>
            </w:r>
          </w:p>
        </w:tc>
        <w:tc>
          <w:tcPr>
            <w:tcW w:w="120" w:type="dxa"/>
            <w:vAlign w:val="bottom"/>
          </w:tcPr>
          <w:p>
            <w:pPr>
              <w:spacing w:after="0"/>
              <w:rPr>
                <w:sz w:val="19"/>
                <w:szCs w:val="19"/>
                <w:color w:val="auto"/>
              </w:rPr>
            </w:pPr>
          </w:p>
        </w:tc>
        <w:tc>
          <w:tcPr>
            <w:tcW w:w="2800" w:type="dxa"/>
            <w:vAlign w:val="bottom"/>
            <w:gridSpan w:val="3"/>
          </w:tcPr>
          <w:p>
            <w:pPr>
              <w:jc w:val="center"/>
              <w:ind w:right="440"/>
              <w:spacing w:after="0"/>
              <w:rPr>
                <w:sz w:val="20"/>
                <w:szCs w:val="20"/>
                <w:color w:val="auto"/>
              </w:rPr>
            </w:pPr>
            <w:r>
              <w:rPr>
                <w:rFonts w:ascii="Arial" w:cs="Arial" w:eastAsia="Arial" w:hAnsi="Arial"/>
                <w:sz w:val="15"/>
                <w:szCs w:val="15"/>
                <w:b w:val="1"/>
                <w:bCs w:val="1"/>
                <w:color w:val="auto"/>
                <w:w w:val="97"/>
              </w:rPr>
              <w:t>ALSN</w:t>
            </w:r>
          </w:p>
        </w:tc>
        <w:tc>
          <w:tcPr>
            <w:tcW w:w="3800" w:type="dxa"/>
            <w:vAlign w:val="bottom"/>
          </w:tcPr>
          <w:p>
            <w:pPr>
              <w:jc w:val="center"/>
              <w:ind w:right="242"/>
              <w:spacing w:after="0"/>
              <w:rPr>
                <w:sz w:val="20"/>
                <w:szCs w:val="20"/>
                <w:color w:val="auto"/>
              </w:rPr>
            </w:pPr>
            <w:r>
              <w:rPr>
                <w:rFonts w:ascii="Arial" w:cs="Arial" w:eastAsia="Arial" w:hAnsi="Arial"/>
                <w:sz w:val="15"/>
                <w:szCs w:val="15"/>
                <w:b w:val="1"/>
                <w:bCs w:val="1"/>
                <w:color w:val="auto"/>
              </w:rPr>
              <w:t>New York Stock Exchange</w:t>
            </w:r>
          </w:p>
        </w:tc>
      </w:tr>
    </w:tbl>
    <w:p>
      <w:pPr>
        <w:spacing w:after="0" w:line="106" w:lineRule="exact"/>
        <w:rPr>
          <w:sz w:val="24"/>
          <w:szCs w:val="24"/>
          <w:color w:val="auto"/>
        </w:rPr>
      </w:pPr>
    </w:p>
    <w:p>
      <w:pPr>
        <w:ind w:right="60"/>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280"/>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60"/>
        <w:spacing w:after="0" w:line="24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52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4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 w:lineRule="exact"/>
        <w:rPr>
          <w:sz w:val="24"/>
          <w:szCs w:val="24"/>
          <w:color w:val="auto"/>
        </w:rPr>
      </w:pPr>
    </w:p>
    <w:p>
      <w:pPr>
        <w:ind w:right="2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760"/>
        <w:spacing w:after="0" w:line="25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12, 2023, there were 89,484,712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0"/>
          </w:tcPr>
          <w:p>
            <w:pPr>
              <w:jc w:val="center"/>
              <w:ind w:right="420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1"/>
                <w:szCs w:val="21"/>
                <w:color w:val="auto"/>
              </w:rPr>
            </w:pPr>
          </w:p>
        </w:tc>
      </w:tr>
      <w:tr>
        <w:trPr>
          <w:trHeight w:val="568"/>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Page</w:t>
            </w:r>
          </w:p>
        </w:tc>
      </w:tr>
      <w:tr>
        <w:trPr>
          <w:trHeight w:val="182"/>
        </w:trPr>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960" w:type="dxa"/>
            <w:vAlign w:val="bottom"/>
            <w:tcBorders>
              <w:bottom w:val="single" w:sz="8" w:color="0000FF"/>
            </w:tcBorders>
            <w:gridSpan w:val="11"/>
          </w:tcPr>
          <w:p>
            <w:pPr>
              <w:jc w:val="center"/>
              <w:spacing w:after="0" w:line="182" w:lineRule="exact"/>
              <w:rPr>
                <w:sz w:val="20"/>
                <w:szCs w:val="20"/>
                <w:color w:val="auto"/>
              </w:rPr>
            </w:pPr>
            <w:r>
              <w:rPr>
                <w:rFonts w:ascii="Arial" w:cs="Arial" w:eastAsia="Arial" w:hAnsi="Arial"/>
                <w:sz w:val="18"/>
                <w:szCs w:val="18"/>
                <w:b w:val="1"/>
                <w:bCs w:val="1"/>
                <w:color w:val="0000FF"/>
                <w:w w:val="99"/>
              </w:rPr>
              <w:t>PART I. FINANCIAL INFORMATION</w:t>
            </w:r>
          </w:p>
        </w:tc>
        <w:tc>
          <w:tcPr>
            <w:tcW w:w="322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r>
      <w:tr>
        <w:trPr>
          <w:trHeight w:val="43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Financial Statements</w:t>
            </w:r>
          </w:p>
        </w:tc>
        <w:tc>
          <w:tcPr>
            <w:tcW w:w="20" w:type="dxa"/>
            <w:vAlign w:val="bottom"/>
            <w:tcBorders>
              <w:bottom w:val="single" w:sz="8" w:color="0000EE"/>
            </w:tcBorders>
          </w:tcPr>
          <w:p>
            <w:pPr>
              <w:spacing w:after="0"/>
              <w:rPr>
                <w:sz w:val="24"/>
                <w:szCs w:val="24"/>
                <w:color w:val="auto"/>
              </w:rPr>
            </w:pPr>
          </w:p>
        </w:tc>
        <w:tc>
          <w:tcPr>
            <w:tcW w:w="7640" w:type="dxa"/>
            <w:vAlign w:val="bottom"/>
            <w:gridSpan w:val="16"/>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438"/>
        </w:trPr>
        <w:tc>
          <w:tcPr>
            <w:tcW w:w="940" w:type="dxa"/>
            <w:vAlign w:val="bottom"/>
          </w:tcPr>
          <w:p>
            <w:pPr>
              <w:spacing w:after="0"/>
              <w:rPr>
                <w:sz w:val="24"/>
                <w:szCs w:val="24"/>
                <w:color w:val="auto"/>
              </w:rPr>
            </w:pPr>
          </w:p>
        </w:tc>
        <w:tc>
          <w:tcPr>
            <w:tcW w:w="33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24"/>
                <w:szCs w:val="24"/>
                <w:color w:val="auto"/>
              </w:rPr>
            </w:pPr>
          </w:p>
        </w:tc>
        <w:tc>
          <w:tcPr>
            <w:tcW w:w="6000" w:type="dxa"/>
            <w:vAlign w:val="bottom"/>
            <w:gridSpan w:val="12"/>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438"/>
        </w:trPr>
        <w:tc>
          <w:tcPr>
            <w:tcW w:w="940" w:type="dxa"/>
            <w:vAlign w:val="bottom"/>
          </w:tcPr>
          <w:p>
            <w:pPr>
              <w:spacing w:after="0"/>
              <w:rPr>
                <w:sz w:val="24"/>
                <w:szCs w:val="24"/>
                <w:color w:val="auto"/>
              </w:rPr>
            </w:pPr>
          </w:p>
        </w:tc>
        <w:tc>
          <w:tcPr>
            <w:tcW w:w="51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220" w:type="dxa"/>
            <w:vAlign w:val="bottom"/>
            <w:gridSpan w:val="5"/>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438"/>
        </w:trPr>
        <w:tc>
          <w:tcPr>
            <w:tcW w:w="940" w:type="dxa"/>
            <w:vAlign w:val="bottom"/>
          </w:tcPr>
          <w:p>
            <w:pPr>
              <w:spacing w:after="0"/>
              <w:rPr>
                <w:sz w:val="24"/>
                <w:szCs w:val="24"/>
                <w:color w:val="auto"/>
              </w:rPr>
            </w:pPr>
          </w:p>
        </w:tc>
        <w:tc>
          <w:tcPr>
            <w:tcW w:w="41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bottom w:val="single" w:sz="8" w:color="0000EE"/>
            </w:tcBorders>
          </w:tcPr>
          <w:p>
            <w:pPr>
              <w:spacing w:after="0"/>
              <w:rPr>
                <w:sz w:val="24"/>
                <w:szCs w:val="24"/>
                <w:color w:val="auto"/>
              </w:rPr>
            </w:pPr>
          </w:p>
        </w:tc>
        <w:tc>
          <w:tcPr>
            <w:tcW w:w="5160" w:type="dxa"/>
            <w:vAlign w:val="bottom"/>
            <w:gridSpan w:val="10"/>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38"/>
        </w:trPr>
        <w:tc>
          <w:tcPr>
            <w:tcW w:w="940" w:type="dxa"/>
            <w:vAlign w:val="bottom"/>
          </w:tcPr>
          <w:p>
            <w:pPr>
              <w:spacing w:after="0"/>
              <w:rPr>
                <w:sz w:val="24"/>
                <w:szCs w:val="24"/>
                <w:color w:val="auto"/>
              </w:rPr>
            </w:pPr>
          </w:p>
        </w:tc>
        <w:tc>
          <w:tcPr>
            <w:tcW w:w="9340" w:type="dxa"/>
            <w:vAlign w:val="bottom"/>
            <w:gridSpan w:val="25"/>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438"/>
        </w:trPr>
        <w:tc>
          <w:tcPr>
            <w:tcW w:w="940" w:type="dxa"/>
            <w:vAlign w:val="bottom"/>
          </w:tcPr>
          <w:p>
            <w:pPr>
              <w:spacing w:after="0"/>
              <w:rPr>
                <w:sz w:val="24"/>
                <w:szCs w:val="24"/>
                <w:color w:val="auto"/>
              </w:rPr>
            </w:pPr>
          </w:p>
        </w:tc>
        <w:tc>
          <w:tcPr>
            <w:tcW w:w="44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360" w:type="dxa"/>
            <w:vAlign w:val="bottom"/>
            <w:tcBorders>
              <w:top w:val="single" w:sz="8" w:color="0000FF"/>
            </w:tcBorders>
            <w:gridSpan w:val="2"/>
          </w:tcPr>
          <w:p>
            <w:pPr>
              <w:spacing w:after="0"/>
              <w:rPr>
                <w:sz w:val="24"/>
                <w:szCs w:val="24"/>
                <w:color w:val="auto"/>
              </w:rPr>
            </w:pPr>
          </w:p>
        </w:tc>
        <w:tc>
          <w:tcPr>
            <w:tcW w:w="4500" w:type="dxa"/>
            <w:vAlign w:val="bottom"/>
            <w:gridSpan w:val="6"/>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43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2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23</w:t>
            </w:r>
          </w:p>
        </w:tc>
      </w:tr>
      <w:tr>
        <w:trPr>
          <w:trHeight w:val="438"/>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5"/>
          </w:tcPr>
          <w:p>
            <w:pPr>
              <w:spacing w:after="0"/>
              <w:rPr>
                <w:sz w:val="24"/>
                <w:szCs w:val="24"/>
                <w:color w:val="auto"/>
              </w:rPr>
            </w:pPr>
          </w:p>
        </w:tc>
        <w:tc>
          <w:tcPr>
            <w:tcW w:w="2280" w:type="dxa"/>
            <w:vAlign w:val="bottom"/>
            <w:gridSpan w:val="2"/>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37</w:t>
            </w:r>
          </w:p>
        </w:tc>
      </w:tr>
      <w:tr>
        <w:trPr>
          <w:trHeight w:val="438"/>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9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Controls and Procedures</w:t>
            </w:r>
          </w:p>
        </w:tc>
        <w:tc>
          <w:tcPr>
            <w:tcW w:w="1340" w:type="dxa"/>
            <w:vAlign w:val="bottom"/>
            <w:gridSpan w:val="2"/>
          </w:tcPr>
          <w:p>
            <w:pPr>
              <w:spacing w:after="0"/>
              <w:rPr>
                <w:sz w:val="24"/>
                <w:szCs w:val="24"/>
                <w:color w:val="auto"/>
              </w:rPr>
            </w:pPr>
          </w:p>
        </w:tc>
        <w:tc>
          <w:tcPr>
            <w:tcW w:w="2660" w:type="dxa"/>
            <w:vAlign w:val="bottom"/>
            <w:gridSpan w:val="9"/>
          </w:tcPr>
          <w:p>
            <w:pPr>
              <w:spacing w:after="0"/>
              <w:rPr>
                <w:sz w:val="24"/>
                <w:szCs w:val="24"/>
                <w:color w:val="auto"/>
              </w:rPr>
            </w:pPr>
          </w:p>
        </w:tc>
        <w:tc>
          <w:tcPr>
            <w:tcW w:w="1940" w:type="dxa"/>
            <w:vAlign w:val="bottom"/>
            <w:gridSpan w:val="3"/>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38</w:t>
            </w:r>
          </w:p>
        </w:tc>
      </w:tr>
      <w:tr>
        <w:trPr>
          <w:trHeight w:val="465"/>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Borders>
              <w:bottom w:val="single" w:sz="8" w:color="0000FF"/>
            </w:tcBorders>
            <w:gridSpan w:val="9"/>
          </w:tcPr>
          <w:p>
            <w:pPr>
              <w:jc w:val="center"/>
              <w:spacing w:after="0"/>
              <w:rPr>
                <w:sz w:val="20"/>
                <w:szCs w:val="20"/>
                <w:color w:val="auto"/>
              </w:rPr>
            </w:pPr>
            <w:r>
              <w:rPr>
                <w:rFonts w:ascii="Arial" w:cs="Arial" w:eastAsia="Arial" w:hAnsi="Arial"/>
                <w:sz w:val="18"/>
                <w:szCs w:val="18"/>
                <w:b w:val="1"/>
                <w:bCs w:val="1"/>
                <w:color w:val="0000FF"/>
                <w:w w:val="98"/>
              </w:rPr>
              <w:t>PART II. OTHER INFORMATION</w:t>
            </w:r>
          </w:p>
        </w:tc>
        <w:tc>
          <w:tcPr>
            <w:tcW w:w="336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r>
      <w:tr>
        <w:trPr>
          <w:trHeight w:val="43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25"/>
          </w:tcPr>
          <w:p>
            <w:pPr>
              <w:spacing w:after="0"/>
              <w:rPr>
                <w:sz w:val="20"/>
                <w:szCs w:val="20"/>
                <w:color w:val="auto"/>
              </w:rPr>
            </w:pPr>
            <w:r>
              <w:rPr>
                <w:rFonts w:ascii="Arial" w:cs="Arial" w:eastAsia="Arial" w:hAnsi="Arial"/>
                <w:sz w:val="18"/>
                <w:szCs w:val="18"/>
                <w:color w:val="0000FF"/>
              </w:rPr>
              <w:t>Legal Proceedings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39</w:t>
            </w:r>
          </w:p>
        </w:tc>
      </w:tr>
      <w:tr>
        <w:trPr>
          <w:trHeight w:val="438"/>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60" w:type="dxa"/>
            <w:vAlign w:val="bottom"/>
            <w:tcBorders>
              <w:top w:val="single" w:sz="8" w:color="0000FF"/>
            </w:tcBorders>
            <w:gridSpan w:val="2"/>
          </w:tcPr>
          <w:p>
            <w:pPr>
              <w:spacing w:after="0"/>
              <w:rPr>
                <w:sz w:val="24"/>
                <w:szCs w:val="24"/>
                <w:color w:val="auto"/>
              </w:rPr>
            </w:pPr>
          </w:p>
        </w:tc>
        <w:tc>
          <w:tcPr>
            <w:tcW w:w="7860" w:type="dxa"/>
            <w:vAlign w:val="bottom"/>
            <w:gridSpan w:val="18"/>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39</w:t>
            </w:r>
          </w:p>
        </w:tc>
      </w:tr>
      <w:tr>
        <w:trPr>
          <w:trHeight w:val="43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792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Unregistered Sales of Equity Securities, Use of Proceeds and Issuer Purchases of Equity Securities</w:t>
            </w:r>
          </w:p>
        </w:tc>
        <w:tc>
          <w:tcPr>
            <w:tcW w:w="14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39</w:t>
            </w:r>
          </w:p>
        </w:tc>
      </w:tr>
      <w:tr>
        <w:trPr>
          <w:trHeight w:val="438"/>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Other Information</w:t>
            </w:r>
          </w:p>
        </w:tc>
        <w:tc>
          <w:tcPr>
            <w:tcW w:w="7940" w:type="dxa"/>
            <w:vAlign w:val="bottom"/>
            <w:gridSpan w:val="19"/>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40</w:t>
            </w:r>
          </w:p>
        </w:tc>
      </w:tr>
      <w:tr>
        <w:trPr>
          <w:trHeight w:val="438"/>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340" w:type="dxa"/>
            <w:vAlign w:val="bottom"/>
            <w:gridSpan w:val="25"/>
          </w:tcPr>
          <w:p>
            <w:pPr>
              <w:spacing w:after="0"/>
              <w:rPr>
                <w:sz w:val="20"/>
                <w:szCs w:val="20"/>
                <w:color w:val="auto"/>
              </w:rPr>
            </w:pPr>
            <w:r>
              <w:rPr>
                <w:rFonts w:ascii="Arial" w:cs="Arial" w:eastAsia="Arial" w:hAnsi="Arial"/>
                <w:sz w:val="18"/>
                <w:szCs w:val="18"/>
                <w:color w:val="0000FF"/>
              </w:rPr>
              <w:t>Exhibits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41</w:t>
            </w:r>
          </w:p>
        </w:tc>
      </w:tr>
      <w:tr>
        <w:trPr>
          <w:trHeight w:val="20"/>
        </w:trPr>
        <w:tc>
          <w:tcPr>
            <w:tcW w:w="94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60" w:type="dxa"/>
            <w:vAlign w:val="bottom"/>
            <w:gridSpan w:val="2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2"/>
        </w:trPr>
        <w:tc>
          <w:tcPr>
            <w:tcW w:w="940" w:type="dxa"/>
            <w:vAlign w:val="bottom"/>
          </w:tcPr>
          <w:p>
            <w:pPr>
              <w:spacing w:after="0"/>
              <w:rPr>
                <w:sz w:val="24"/>
                <w:szCs w:val="24"/>
                <w:color w:val="auto"/>
              </w:rPr>
            </w:pPr>
          </w:p>
        </w:tc>
        <w:tc>
          <w:tcPr>
            <w:tcW w:w="8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Signatures</w:t>
            </w:r>
          </w:p>
        </w:tc>
        <w:tc>
          <w:tcPr>
            <w:tcW w:w="20" w:type="dxa"/>
            <w:vAlign w:val="bottom"/>
            <w:tcBorders>
              <w:bottom w:val="single" w:sz="8" w:color="0000EE"/>
            </w:tcBorders>
          </w:tcPr>
          <w:p>
            <w:pPr>
              <w:spacing w:after="0"/>
              <w:rPr>
                <w:sz w:val="24"/>
                <w:szCs w:val="24"/>
                <w:color w:val="auto"/>
              </w:rPr>
            </w:pPr>
          </w:p>
        </w:tc>
        <w:tc>
          <w:tcPr>
            <w:tcW w:w="8460" w:type="dxa"/>
            <w:vAlign w:val="bottom"/>
            <w:gridSpan w:val="22"/>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3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501</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Accounts receivable – net of allowance for doubtful accounts of $4 and $5, respectively</w:t>
            </w: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372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281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63</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1,217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763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844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2,075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67</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4,987</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238</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warranty liability</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193</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504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Product warranty liability</w:t>
            </w: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36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94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2,498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511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160</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3,803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Commitments and contingencies (see Note P)</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80"/>
              <w:spacing w:after="0" w:line="203" w:lineRule="exact"/>
              <w:rPr>
                <w:sz w:val="20"/>
                <w:szCs w:val="20"/>
                <w:color w:val="auto"/>
              </w:rPr>
            </w:pPr>
            <w:r>
              <w:rPr>
                <w:rFonts w:ascii="Arial" w:cs="Arial" w:eastAsia="Arial" w:hAnsi="Arial"/>
                <w:sz w:val="18"/>
                <w:szCs w:val="18"/>
                <w:color w:val="auto"/>
              </w:rPr>
              <w:t>Common stock, $0.01 par value, 1,880,000,000 shares authorized, 89,550,756 shares</w:t>
            </w:r>
          </w:p>
        </w:tc>
        <w:tc>
          <w:tcPr>
            <w:tcW w:w="220" w:type="dxa"/>
            <w:vAlign w:val="bottom"/>
          </w:tcPr>
          <w:p>
            <w:pPr>
              <w:spacing w:after="0"/>
              <w:rPr>
                <w:sz w:val="17"/>
                <w:szCs w:val="17"/>
                <w:color w:val="auto"/>
              </w:rPr>
            </w:pPr>
          </w:p>
        </w:tc>
        <w:tc>
          <w:tcPr>
            <w:tcW w:w="148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issued and outstanding and 91,788,885 shares issued and outstanding, respectively</w:t>
            </w:r>
          </w:p>
        </w:tc>
        <w:tc>
          <w:tcPr>
            <w:tcW w:w="2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Non-voting common stock, $0.01 par value, 20,000,000 shares authorized, none issued</w:t>
            </w:r>
          </w:p>
        </w:tc>
        <w:tc>
          <w:tcPr>
            <w:tcW w:w="220" w:type="dxa"/>
            <w:vAlign w:val="bottom"/>
            <w:shd w:val="clear" w:color="auto" w:fill="CFF0FC"/>
          </w:tcPr>
          <w:p>
            <w:pPr>
              <w:spacing w:after="0"/>
              <w:rPr>
                <w:sz w:val="17"/>
                <w:szCs w:val="17"/>
                <w:color w:val="auto"/>
              </w:rPr>
            </w:pPr>
          </w:p>
        </w:tc>
        <w:tc>
          <w:tcPr>
            <w:tcW w:w="14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and outstanding</w:t>
            </w:r>
          </w:p>
        </w:tc>
        <w:tc>
          <w:tcPr>
            <w:tcW w:w="220" w:type="dxa"/>
            <w:vAlign w:val="bottom"/>
            <w:shd w:val="clear" w:color="auto" w:fill="CFF0FC"/>
          </w:tcPr>
          <w:p>
            <w:pPr>
              <w:spacing w:after="0"/>
              <w:rPr>
                <w:sz w:val="19"/>
                <w:szCs w:val="19"/>
                <w:color w:val="auto"/>
              </w:rPr>
            </w:pPr>
          </w:p>
        </w:tc>
        <w:tc>
          <w:tcPr>
            <w:tcW w:w="14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280"/>
              <w:spacing w:after="0" w:line="203" w:lineRule="exact"/>
              <w:rPr>
                <w:sz w:val="20"/>
                <w:szCs w:val="20"/>
                <w:color w:val="auto"/>
              </w:rPr>
            </w:pPr>
            <w:r>
              <w:rPr>
                <w:rFonts w:ascii="Arial" w:cs="Arial" w:eastAsia="Arial" w:hAnsi="Arial"/>
                <w:sz w:val="18"/>
                <w:szCs w:val="18"/>
                <w:color w:val="auto"/>
              </w:rPr>
              <w:t>Preferred stock, $0.01 par value, 100,000,000 shares authorized, none issued and</w:t>
            </w:r>
          </w:p>
        </w:tc>
        <w:tc>
          <w:tcPr>
            <w:tcW w:w="220" w:type="dxa"/>
            <w:vAlign w:val="bottom"/>
          </w:tcPr>
          <w:p>
            <w:pPr>
              <w:spacing w:after="0"/>
              <w:rPr>
                <w:sz w:val="17"/>
                <w:szCs w:val="17"/>
                <w:color w:val="auto"/>
              </w:rPr>
            </w:pPr>
          </w:p>
        </w:tc>
        <w:tc>
          <w:tcPr>
            <w:tcW w:w="148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 in capital</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1,885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(670 )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(953 )</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(32 )</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1,184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6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&amp; STOCKHOLDERS’ EQUITY</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4,987</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-3963670</wp:posOffset>
            </wp:positionV>
            <wp:extent cx="11112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-333375</wp:posOffset>
            </wp:positionV>
            <wp:extent cx="111125"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5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58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760" w:type="dxa"/>
            <w:vAlign w:val="bottom"/>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736</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2,260</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2,051</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379</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1,161</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1,092</w:t>
            </w: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357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1,099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959</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86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265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231</w:t>
            </w:r>
          </w:p>
        </w:tc>
      </w:tr>
      <w:tr>
        <w:trPr>
          <w:trHeight w:val="22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Engineering — research and development</w:t>
            </w:r>
          </w:p>
        </w:tc>
        <w:tc>
          <w:tcPr>
            <w:tcW w:w="7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49</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140</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136</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222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694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592</w:t>
            </w: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(88 )</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193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621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476</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76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158</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503</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390</w:t>
            </w: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76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1.76</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5.53</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4.02</w:t>
            </w:r>
          </w:p>
        </w:tc>
      </w:tr>
      <w:tr>
        <w:trPr>
          <w:trHeight w:val="20"/>
        </w:trPr>
        <w:tc>
          <w:tcPr>
            <w:tcW w:w="5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76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1.76</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1.45</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5.53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4.02</w:t>
            </w: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net of tax</w:t>
            </w:r>
          </w:p>
        </w:tc>
        <w:tc>
          <w:tcPr>
            <w:tcW w:w="760" w:type="dxa"/>
            <w:vAlign w:val="bottom"/>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151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400" w:type="dxa"/>
            <w:vAlign w:val="bottom"/>
            <w:gridSpan w:val="2"/>
          </w:tcPr>
          <w:p>
            <w:pPr>
              <w:jc w:val="right"/>
              <w:ind w:right="54"/>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493</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402</w:t>
            </w:r>
          </w:p>
        </w:tc>
      </w:tr>
      <w:tr>
        <w:trPr>
          <w:trHeight w:val="20"/>
        </w:trPr>
        <w:tc>
          <w:tcPr>
            <w:tcW w:w="5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-1437640</wp:posOffset>
            </wp:positionV>
            <wp:extent cx="939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-1437640</wp:posOffset>
            </wp:positionV>
            <wp:extent cx="8572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-1437640</wp:posOffset>
            </wp:positionV>
            <wp:extent cx="8572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-538480</wp:posOffset>
            </wp:positionV>
            <wp:extent cx="183261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32610" cy="19685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-196215</wp:posOffset>
            </wp:positionV>
            <wp:extent cx="183261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2610" cy="196850"/>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Borders>
              <w:bottom w:val="single" w:sz="8" w:color="auto"/>
            </w:tcBorders>
          </w:tcPr>
          <w:p>
            <w:pPr>
              <w:spacing w:after="0"/>
              <w:rPr>
                <w:sz w:val="16"/>
                <w:szCs w:val="16"/>
                <w:color w:val="auto"/>
              </w:rPr>
            </w:pPr>
          </w:p>
        </w:tc>
      </w:tr>
      <w:tr>
        <w:trPr>
          <w:trHeight w:val="209"/>
        </w:trPr>
        <w:tc>
          <w:tcPr>
            <w:tcW w:w="776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8"/>
                <w:szCs w:val="18"/>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55"/>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503</w:t>
            </w:r>
          </w:p>
        </w:tc>
        <w:tc>
          <w:tcPr>
            <w:tcW w:w="12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390</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81</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82</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33</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17</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Technology-related investments gain</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(gain) loss on marketable securities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Loss on intercompany foreign exchange</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(12 )</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(89 )</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(60 )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Other assets and liabilities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(28 )</w:t>
            </w:r>
          </w:p>
        </w:tc>
        <w:tc>
          <w:tcPr>
            <w:tcW w:w="1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r>
      <w:tr>
        <w:trPr>
          <w:trHeight w:val="223"/>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546</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433</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Additions of long-lived assets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(73 )</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Proceeds from technology-related investments</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Business acquisitions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Investment in equity method investee</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(71 )</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(93 )</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Repurchases of common stock</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(157 )</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(216 )</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Dividend payments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(63 )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27</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Taxes paid related to net share settlement of equity awards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on long-term debt</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Payments on revolving credit facility</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(95 )</w:t>
            </w:r>
          </w:p>
        </w:tc>
      </w:tr>
      <w:tr>
        <w:trPr>
          <w:trHeight w:val="229"/>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Borrowings on revolving credit facility</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r>
      <w:tr>
        <w:trPr>
          <w:trHeight w:val="223"/>
        </w:trPr>
        <w:tc>
          <w:tcPr>
            <w:tcW w:w="7760" w:type="dxa"/>
            <w:vAlign w:val="bottom"/>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(205 )</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(285 )</w:t>
            </w:r>
          </w:p>
        </w:tc>
      </w:tr>
      <w:tr>
        <w:trPr>
          <w:trHeight w:val="22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7760" w:type="dxa"/>
            <w:vAlign w:val="bottom"/>
          </w:tcPr>
          <w:p>
            <w:pPr>
              <w:ind w:left="520"/>
              <w:spacing w:after="0"/>
              <w:rPr>
                <w:sz w:val="20"/>
                <w:szCs w:val="20"/>
                <w:color w:val="auto"/>
              </w:rPr>
            </w:pPr>
            <w:r>
              <w:rPr>
                <w:rFonts w:ascii="Arial" w:cs="Arial" w:eastAsia="Arial" w:hAnsi="Arial"/>
                <w:sz w:val="18"/>
                <w:szCs w:val="18"/>
                <w:color w:val="auto"/>
              </w:rPr>
              <w:t>Net increase in cash and cash equivalents</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269</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53</w:t>
            </w:r>
          </w:p>
        </w:tc>
      </w:tr>
      <w:tr>
        <w:trPr>
          <w:trHeight w:val="22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232</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tcPr>
          <w:p>
            <w:pPr>
              <w:jc w:val="right"/>
              <w:ind w:right="855"/>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501</w:t>
            </w:r>
          </w:p>
        </w:tc>
        <w:tc>
          <w:tcPr>
            <w:tcW w:w="12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180</w:t>
            </w:r>
          </w:p>
        </w:tc>
      </w:tr>
      <w:tr>
        <w:trPr>
          <w:trHeight w:val="20"/>
        </w:trPr>
        <w:tc>
          <w:tcPr>
            <w:tcW w:w="7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29"/>
        </w:trPr>
        <w:tc>
          <w:tcPr>
            <w:tcW w:w="7760" w:type="dxa"/>
            <w:vAlign w:val="bottom"/>
          </w:tcPr>
          <w:p>
            <w:pPr>
              <w:ind w:left="520"/>
              <w:spacing w:after="0"/>
              <w:rPr>
                <w:sz w:val="20"/>
                <w:szCs w:val="20"/>
                <w:color w:val="auto"/>
              </w:rPr>
            </w:pPr>
            <w:r>
              <w:rPr>
                <w:rFonts w:ascii="Arial" w:cs="Arial" w:eastAsia="Arial" w:hAnsi="Arial"/>
                <w:sz w:val="18"/>
                <w:szCs w:val="18"/>
                <w:color w:val="auto"/>
              </w:rPr>
              <w:t>Income taxes paid</w:t>
            </w:r>
          </w:p>
        </w:tc>
        <w:tc>
          <w:tcPr>
            <w:tcW w:w="1060" w:type="dxa"/>
            <w:vAlign w:val="bottom"/>
          </w:tcPr>
          <w:p>
            <w:pPr>
              <w:jc w:val="right"/>
              <w:ind w:right="855"/>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(164 )</w:t>
            </w:r>
          </w:p>
        </w:tc>
        <w:tc>
          <w:tcPr>
            <w:tcW w:w="12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Interest paid</w:t>
            </w:r>
          </w:p>
        </w:tc>
        <w:tc>
          <w:tcPr>
            <w:tcW w:w="1060" w:type="dxa"/>
            <w:vAlign w:val="bottom"/>
            <w:shd w:val="clear" w:color="auto" w:fill="CFF0FC"/>
          </w:tcPr>
          <w:p>
            <w:pPr>
              <w:jc w:val="right"/>
              <w:ind w:right="855"/>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(95 )</w:t>
            </w:r>
          </w:p>
        </w:tc>
        <w:tc>
          <w:tcPr>
            <w:tcW w:w="1280" w:type="dxa"/>
            <w:vAlign w:val="bottom"/>
            <w:gridSpan w:val="2"/>
            <w:shd w:val="clear" w:color="auto" w:fill="CFF0FC"/>
          </w:tcPr>
          <w:p>
            <w:pPr>
              <w:jc w:val="right"/>
              <w:ind w:right="1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(84 )</w:t>
            </w:r>
          </w:p>
        </w:tc>
      </w:tr>
      <w:tr>
        <w:trPr>
          <w:trHeight w:val="229"/>
        </w:trPr>
        <w:tc>
          <w:tcPr>
            <w:tcW w:w="7760" w:type="dxa"/>
            <w:vAlign w:val="bottom"/>
          </w:tcPr>
          <w:p>
            <w:pPr>
              <w:ind w:left="520"/>
              <w:spacing w:after="0"/>
              <w:rPr>
                <w:sz w:val="20"/>
                <w:szCs w:val="20"/>
                <w:color w:val="auto"/>
              </w:rPr>
            </w:pPr>
            <w:r>
              <w:rPr>
                <w:rFonts w:ascii="Arial" w:cs="Arial" w:eastAsia="Arial" w:hAnsi="Arial"/>
                <w:sz w:val="18"/>
                <w:szCs w:val="18"/>
                <w:color w:val="auto"/>
              </w:rPr>
              <w:t>Interest received from interest rate swaps</w:t>
            </w:r>
          </w:p>
        </w:tc>
        <w:tc>
          <w:tcPr>
            <w:tcW w:w="1060" w:type="dxa"/>
            <w:vAlign w:val="bottom"/>
          </w:tcPr>
          <w:p>
            <w:pPr>
              <w:jc w:val="right"/>
              <w:ind w:right="855"/>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12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investing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51"/>
        </w:trPr>
        <w:tc>
          <w:tcPr>
            <w:tcW w:w="7760" w:type="dxa"/>
            <w:vAlign w:val="bottom"/>
          </w:tcPr>
          <w:p>
            <w:pPr>
              <w:ind w:left="520"/>
              <w:spacing w:after="0"/>
              <w:rPr>
                <w:sz w:val="20"/>
                <w:szCs w:val="20"/>
                <w:color w:val="auto"/>
              </w:rPr>
            </w:pPr>
            <w:r>
              <w:rPr>
                <w:rFonts w:ascii="Arial" w:cs="Arial" w:eastAsia="Arial" w:hAnsi="Arial"/>
                <w:sz w:val="18"/>
                <w:szCs w:val="18"/>
                <w:color w:val="auto"/>
              </w:rPr>
              <w:t>Capital expenditures in liabilities</w:t>
            </w:r>
          </w:p>
        </w:tc>
        <w:tc>
          <w:tcPr>
            <w:tcW w:w="1060" w:type="dxa"/>
            <w:vAlign w:val="bottom"/>
          </w:tcPr>
          <w:p>
            <w:pPr>
              <w:jc w:val="right"/>
              <w:ind w:right="855"/>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2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-1665605</wp:posOffset>
            </wp:positionV>
            <wp:extent cx="11112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-1365885</wp:posOffset>
            </wp:positionV>
            <wp:extent cx="11112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-1066165</wp:posOffset>
            </wp:positionV>
            <wp:extent cx="11112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56"/>
        </w:trPr>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b w:val="1"/>
                <w:bCs w:val="1"/>
                <w:color w:val="auto"/>
              </w:rPr>
              <w:t>d Other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Comprehen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Non-voting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Accumulat</w:t>
            </w: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sive (Loss)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98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ed (Deficit)</w:t>
            </w: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net</w:t>
            </w: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w:t>
            </w:r>
          </w:p>
        </w:tc>
      </w:tr>
      <w:tr>
        <w:trPr>
          <w:trHeight w:val="189"/>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of tax</w:t>
            </w:r>
          </w:p>
        </w:tc>
        <w:tc>
          <w:tcPr>
            <w:tcW w:w="12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rs' Equity</w:t>
            </w:r>
          </w:p>
        </w:tc>
      </w:tr>
      <w:tr>
        <w:trPr>
          <w:trHeight w:val="223"/>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30, 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(1,031 )</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(60 )</w:t>
            </w:r>
          </w:p>
        </w:tc>
        <w:tc>
          <w:tcPr>
            <w:tcW w:w="3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749</w:t>
            </w: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3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3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3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(109 )</w:t>
            </w: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3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139</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(1,021 )</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762</w:t>
            </w: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(788 )</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3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1,056</w:t>
            </w: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r>
      <w:tr>
        <w:trPr>
          <w:trHeight w:val="229"/>
        </w:trPr>
        <w:tc>
          <w:tcPr>
            <w:tcW w:w="3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(5 )</w:t>
            </w:r>
          </w:p>
        </w:tc>
      </w:tr>
      <w:tr>
        <w:trPr>
          <w:trHeight w:val="229"/>
        </w:trPr>
        <w:tc>
          <w:tcPr>
            <w:tcW w:w="3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11</w:t>
            </w: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(20 )</w:t>
            </w:r>
          </w:p>
        </w:tc>
      </w:tr>
      <w:tr>
        <w:trPr>
          <w:trHeight w:val="229"/>
        </w:trPr>
        <w:tc>
          <w:tcPr>
            <w:tcW w:w="3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(20 )</w:t>
            </w: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158</w:t>
            </w:r>
          </w:p>
        </w:tc>
      </w:tr>
      <w:tr>
        <w:trPr>
          <w:trHeight w:val="263"/>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2023</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1,885</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(670 )</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(32 )</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-1523365</wp:posOffset>
            </wp:positionV>
            <wp:extent cx="8572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-1523365</wp:posOffset>
            </wp:positionV>
            <wp:extent cx="8572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-1523365</wp:posOffset>
            </wp:positionV>
            <wp:extent cx="8572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-1523365</wp:posOffset>
            </wp:positionV>
            <wp:extent cx="7683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-1523365</wp:posOffset>
            </wp:positionV>
            <wp:extent cx="7683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-1523365</wp:posOffset>
            </wp:positionV>
            <wp:extent cx="7683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-24765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-7620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-24765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-7620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-24765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-7620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-24765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-24765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-24765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left="552"/>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56"/>
        </w:trPr>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2"/>
              <w:spacing w:after="0" w:line="155"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212"/>
              <w:spacing w:after="0"/>
              <w:rPr>
                <w:sz w:val="20"/>
                <w:szCs w:val="20"/>
                <w:color w:val="auto"/>
              </w:rPr>
            </w:pPr>
            <w:r>
              <w:rPr>
                <w:rFonts w:ascii="Arial" w:cs="Arial" w:eastAsia="Arial" w:hAnsi="Arial"/>
                <w:sz w:val="14"/>
                <w:szCs w:val="14"/>
                <w:b w:val="1"/>
                <w:bCs w:val="1"/>
                <w:color w:val="auto"/>
              </w:rPr>
              <w:t>d Other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Non-voting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Accumulat</w:t>
            </w:r>
          </w:p>
        </w:tc>
        <w:tc>
          <w:tcPr>
            <w:tcW w:w="140" w:type="dxa"/>
            <w:vAlign w:val="bottom"/>
          </w:tcPr>
          <w:p>
            <w:pPr>
              <w:spacing w:after="0"/>
              <w:rPr>
                <w:sz w:val="14"/>
                <w:szCs w:val="14"/>
                <w:color w:val="auto"/>
              </w:rPr>
            </w:pPr>
          </w:p>
        </w:tc>
        <w:tc>
          <w:tcPr>
            <w:tcW w:w="102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ive (Loss)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100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ed (Deficit)</w:t>
            </w:r>
          </w:p>
        </w:tc>
        <w:tc>
          <w:tcPr>
            <w:tcW w:w="1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net</w:t>
            </w: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w:t>
            </w:r>
          </w:p>
        </w:tc>
      </w:tr>
      <w:tr>
        <w:trPr>
          <w:trHeight w:val="189"/>
        </w:trPr>
        <w:tc>
          <w:tcPr>
            <w:tcW w:w="3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of tax</w:t>
            </w:r>
          </w:p>
        </w:tc>
        <w:tc>
          <w:tcPr>
            <w:tcW w:w="12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rs' Equity</w:t>
            </w:r>
          </w:p>
        </w:tc>
      </w:tr>
      <w:tr>
        <w:trPr>
          <w:trHeight w:val="22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(1,126 )</w:t>
            </w: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(73 )</w:t>
            </w:r>
          </w:p>
        </w:tc>
        <w:tc>
          <w:tcPr>
            <w:tcW w:w="3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634</w:t>
            </w:r>
          </w:p>
        </w:tc>
      </w:tr>
      <w:tr>
        <w:trPr>
          <w:trHeight w:val="229"/>
        </w:trPr>
        <w:tc>
          <w:tcPr>
            <w:tcW w:w="36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29"/>
        </w:trPr>
        <w:tc>
          <w:tcPr>
            <w:tcW w:w="3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36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3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r>
      <w:tr>
        <w:trPr>
          <w:trHeight w:val="229"/>
        </w:trPr>
        <w:tc>
          <w:tcPr>
            <w:tcW w:w="364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3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(224 )</w:t>
            </w:r>
          </w:p>
        </w:tc>
      </w:tr>
      <w:tr>
        <w:trPr>
          <w:trHeight w:val="229"/>
        </w:trPr>
        <w:tc>
          <w:tcPr>
            <w:tcW w:w="364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3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390</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390</w:t>
            </w: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(1,021 )</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762</w:t>
            </w:r>
          </w:p>
        </w:tc>
      </w:tr>
      <w:tr>
        <w:trPr>
          <w:trHeight w:val="20"/>
        </w:trPr>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(953 )</w:t>
            </w: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3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874</w:t>
            </w:r>
          </w:p>
        </w:tc>
      </w:tr>
      <w:tr>
        <w:trPr>
          <w:trHeight w:val="229"/>
        </w:trPr>
        <w:tc>
          <w:tcPr>
            <w:tcW w:w="36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r>
      <w:tr>
        <w:trPr>
          <w:trHeight w:val="229"/>
        </w:trPr>
        <w:tc>
          <w:tcPr>
            <w:tcW w:w="3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r>
      <w:tr>
        <w:trPr>
          <w:trHeight w:val="229"/>
        </w:trPr>
        <w:tc>
          <w:tcPr>
            <w:tcW w:w="36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(5 )</w:t>
            </w:r>
          </w:p>
        </w:tc>
      </w:tr>
      <w:tr>
        <w:trPr>
          <w:trHeight w:val="229"/>
        </w:trPr>
        <w:tc>
          <w:tcPr>
            <w:tcW w:w="3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w:t>
            </w:r>
          </w:p>
        </w:tc>
      </w:tr>
      <w:tr>
        <w:trPr>
          <w:trHeight w:val="229"/>
        </w:trPr>
        <w:tc>
          <w:tcPr>
            <w:tcW w:w="364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r>
      <w:tr>
        <w:trPr>
          <w:trHeight w:val="229"/>
        </w:trPr>
        <w:tc>
          <w:tcPr>
            <w:tcW w:w="3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(157 )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(157 )</w:t>
            </w:r>
          </w:p>
        </w:tc>
      </w:tr>
      <w:tr>
        <w:trPr>
          <w:trHeight w:val="229"/>
        </w:trPr>
        <w:tc>
          <w:tcPr>
            <w:tcW w:w="364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(63 )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(63 )</w:t>
            </w:r>
          </w:p>
        </w:tc>
      </w:tr>
      <w:tr>
        <w:trPr>
          <w:trHeight w:val="229"/>
        </w:trPr>
        <w:tc>
          <w:tcPr>
            <w:tcW w:w="3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503</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503</w:t>
            </w: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51"/>
              <w:spacing w:after="0"/>
              <w:rPr>
                <w:sz w:val="20"/>
                <w:szCs w:val="20"/>
                <w:color w:val="auto"/>
              </w:rPr>
            </w:pPr>
            <w:r>
              <w:rPr>
                <w:rFonts w:ascii="Arial" w:cs="Arial" w:eastAsia="Arial" w:hAnsi="Arial"/>
                <w:sz w:val="18"/>
                <w:szCs w:val="18"/>
                <w:b w:val="1"/>
                <w:bCs w:val="1"/>
                <w:color w:val="auto"/>
              </w:rPr>
              <w:t>1</w:t>
            </w:r>
          </w:p>
        </w:tc>
        <w:tc>
          <w:tcPr>
            <w:tcW w:w="30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1,885</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(670 )</w:t>
            </w:r>
          </w:p>
        </w:tc>
        <w:tc>
          <w:tcPr>
            <w:tcW w:w="2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(32 )</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1,184</w:t>
            </w:r>
          </w:p>
        </w:tc>
      </w:tr>
      <w:tr>
        <w:trPr>
          <w:trHeight w:val="20"/>
        </w:trPr>
        <w:tc>
          <w:tcPr>
            <w:tcW w:w="3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-1668780</wp:posOffset>
            </wp:positionV>
            <wp:extent cx="85725"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-1668780</wp:posOffset>
            </wp:positionV>
            <wp:extent cx="8572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-1668780</wp:posOffset>
            </wp:positionV>
            <wp:extent cx="85725"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-1668780</wp:posOffset>
            </wp:positionV>
            <wp:extent cx="76835"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-1668780</wp:posOffset>
            </wp:positionV>
            <wp:extent cx="76835"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-1668780</wp:posOffset>
            </wp:positionV>
            <wp:extent cx="7683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-179070</wp:posOffset>
            </wp:positionV>
            <wp:extent cx="85725"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-179070</wp:posOffset>
            </wp:positionV>
            <wp:extent cx="85725"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-179070</wp:posOffset>
            </wp:positionV>
            <wp:extent cx="85725"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-179070</wp:posOffset>
            </wp:positionV>
            <wp:extent cx="76835"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-179070</wp:posOffset>
            </wp:positionV>
            <wp:extent cx="76835"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-179070</wp:posOffset>
            </wp:positionV>
            <wp:extent cx="76835"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13" w:lineRule="exact"/>
        <w:rPr>
          <w:sz w:val="20"/>
          <w:szCs w:val="20"/>
          <w:color w:val="auto"/>
        </w:rPr>
      </w:pPr>
    </w:p>
    <w:p>
      <w:pPr>
        <w:ind w:right="20" w:firstLine="499"/>
        <w:spacing w:after="0" w:line="242"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82" w:lineRule="exact"/>
        <w:rPr>
          <w:sz w:val="20"/>
          <w:szCs w:val="20"/>
          <w:color w:val="auto"/>
        </w:rPr>
      </w:pPr>
    </w:p>
    <w:p>
      <w:pPr>
        <w:jc w:val="both"/>
        <w:ind w:right="160" w:firstLine="499"/>
        <w:spacing w:after="0" w:line="247" w:lineRule="auto"/>
        <w:rPr>
          <w:sz w:val="20"/>
          <w:szCs w:val="20"/>
          <w:color w:val="auto"/>
        </w:rPr>
      </w:pPr>
      <w:r>
        <w:rPr>
          <w:rFonts w:ascii="Arial" w:cs="Arial" w:eastAsia="Arial" w:hAnsi="Arial"/>
          <w:sz w:val="18"/>
          <w:szCs w:val="18"/>
          <w:color w:val="auto"/>
        </w:rPr>
        <w:t>Although approximately 74% of revenues were generated in North America in 2022, the Company has a global presence by serving customers in Asia, Europe, South America and Africa. The Company serves customers through an independent network of approximately 1,600 independent distributor and dealer locations worldwide.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3" w:lineRule="exact"/>
        <w:rPr>
          <w:sz w:val="20"/>
          <w:szCs w:val="20"/>
          <w:color w:val="auto"/>
        </w:rPr>
      </w:pPr>
    </w:p>
    <w:p>
      <w:pPr>
        <w:ind w:firstLine="499"/>
        <w:spacing w:after="0" w:line="239"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7" w:lineRule="exact"/>
        <w:rPr>
          <w:sz w:val="20"/>
          <w:szCs w:val="20"/>
          <w:color w:val="auto"/>
        </w:rPr>
      </w:pPr>
    </w:p>
    <w:p>
      <w:pPr>
        <w:ind w:right="100" w:firstLine="494"/>
        <w:spacing w:after="0"/>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cash flows and statements of stockholders’ equity of the Company. The condensed consolidated financial statements should be read in conjunction with the audited consolidated financial statements included in our Annual Report on Form 10-K for the year ended December 31, 2022 as filed with the Securities and Exchange Commission on February 16, 2023. The interim period financial results for the three- and nine-month periods presented are not necessarily indicative of results to be expected for any other interim period or for the entire year.</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3"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environmental liabilities, determination of discount rate and other assumptions for pension and other post-retirement benefit ("OPEB")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3"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The Company considers the applicability and impact of all newly issued Financial Accounting Standards Board Accounting Standard Updates ("ASUs"). All ASUs issued during the nine months ended September 30, 2023 were assessed as either not applicable to the Company or were not expected to have a material impact on the Company's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13"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85" w:lineRule="exact"/>
        <w:rPr>
          <w:sz w:val="20"/>
          <w:szCs w:val="20"/>
          <w:color w:val="auto"/>
        </w:rPr>
      </w:pPr>
    </w:p>
    <w:p>
      <w:pPr>
        <w:ind w:right="200" w:firstLine="494"/>
        <w:spacing w:after="0" w:line="247"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76" w:lineRule="exact"/>
        <w:rPr>
          <w:sz w:val="20"/>
          <w:szCs w:val="20"/>
          <w:color w:val="auto"/>
        </w:rPr>
      </w:pPr>
    </w:p>
    <w:p>
      <w:pPr>
        <w:ind w:right="360" w:firstLine="494"/>
        <w:spacing w:after="0"/>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all other incentives based on the related sales and market conditions in the end market vocation. The Company recorded no material adjustments based on variable consideration for either of the three or nine months ended September 30, 2023 or 2022.</w:t>
      </w:r>
    </w:p>
    <w:p>
      <w:pPr>
        <w:spacing w:after="0" w:line="84"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September 30, 2023 and December 31, 2022. See "Note J. Deferred Revenue” for more information, including the amount of revenue earned during each of the three and nine months ended September 30, 2023 and 2022 that had been previously deferred. The Company had no material contract assets as of either September 30, 2023 or December 31, 2022.</w:t>
      </w:r>
    </w:p>
    <w:p>
      <w:pPr>
        <w:spacing w:after="0" w:line="85" w:lineRule="exact"/>
        <w:rPr>
          <w:sz w:val="20"/>
          <w:szCs w:val="20"/>
          <w:color w:val="auto"/>
        </w:rPr>
      </w:pPr>
    </w:p>
    <w:p>
      <w:pPr>
        <w:jc w:val="both"/>
        <w:ind w:right="100" w:firstLine="494"/>
        <w:spacing w:after="0" w:line="247"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45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82"/>
        </w:trPr>
        <w:tc>
          <w:tcPr>
            <w:tcW w:w="4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2022</w:t>
            </w:r>
          </w:p>
        </w:tc>
      </w:tr>
      <w:tr>
        <w:trPr>
          <w:trHeight w:val="22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 On-Highway</w:t>
            </w:r>
          </w:p>
        </w:tc>
        <w:tc>
          <w:tcPr>
            <w:tcW w:w="16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376</w:t>
            </w:r>
          </w:p>
        </w:tc>
        <w:tc>
          <w:tcPr>
            <w:tcW w:w="88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1,149</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1,026</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b w:val="1"/>
                <w:bCs w:val="1"/>
                <w:color w:val="auto"/>
              </w:rPr>
              <w:t>58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62</w:t>
            </w: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Defense</w:t>
            </w:r>
          </w:p>
        </w:tc>
        <w:tc>
          <w:tcPr>
            <w:tcW w:w="16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43</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103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99</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b w:val="1"/>
                <w:bCs w:val="1"/>
                <w:color w:val="auto"/>
              </w:rPr>
              <w:t>118</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b w:val="1"/>
                <w:bCs w:val="1"/>
                <w:color w:val="auto"/>
              </w:rPr>
              <w:t>349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332</w:t>
            </w: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Outside North America Off-Highway</w:t>
            </w:r>
          </w:p>
        </w:tc>
        <w:tc>
          <w:tcPr>
            <w:tcW w:w="16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19</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66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98</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6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171</w:t>
            </w:r>
          </w:p>
        </w:tc>
        <w:tc>
          <w:tcPr>
            <w:tcW w:w="1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535</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434</w:t>
            </w:r>
          </w:p>
        </w:tc>
      </w:tr>
      <w:tr>
        <w:trPr>
          <w:trHeight w:val="26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166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736</w:t>
            </w:r>
          </w:p>
        </w:tc>
        <w:tc>
          <w:tcPr>
            <w:tcW w:w="88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2,260</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2,051</w:t>
            </w:r>
          </w:p>
        </w:tc>
      </w:tr>
      <w:tr>
        <w:trPr>
          <w:trHeight w:val="574"/>
        </w:trPr>
        <w:tc>
          <w:tcPr>
            <w:tcW w:w="4560" w:type="dxa"/>
            <w:vAlign w:val="bottom"/>
            <w:tcBorders>
              <w:top w:val="single" w:sz="8" w:color="CFF0FC"/>
            </w:tcBorders>
          </w:tcPr>
          <w:p>
            <w:pPr>
              <w:spacing w:after="0"/>
              <w:rPr>
                <w:sz w:val="24"/>
                <w:szCs w:val="24"/>
                <w:color w:val="auto"/>
              </w:rPr>
            </w:pPr>
          </w:p>
        </w:tc>
        <w:tc>
          <w:tcPr>
            <w:tcW w:w="1660" w:type="dxa"/>
            <w:vAlign w:val="bottom"/>
            <w:tcBorders>
              <w:top w:val="single" w:sz="8" w:color="CFF0FC"/>
            </w:tcBorders>
          </w:tcPr>
          <w:p>
            <w:pPr>
              <w:jc w:val="right"/>
              <w:ind w:right="410"/>
              <w:spacing w:after="0"/>
              <w:rPr>
                <w:sz w:val="20"/>
                <w:szCs w:val="20"/>
                <w:color w:val="auto"/>
              </w:rPr>
            </w:pPr>
            <w:r>
              <w:rPr>
                <w:rFonts w:ascii="Arial" w:cs="Arial" w:eastAsia="Arial" w:hAnsi="Arial"/>
                <w:sz w:val="18"/>
                <w:szCs w:val="18"/>
                <w:color w:val="auto"/>
              </w:rPr>
              <w:t>10</w:t>
            </w:r>
          </w:p>
        </w:tc>
        <w:tc>
          <w:tcPr>
            <w:tcW w:w="7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4714240</wp:posOffset>
            </wp:positionH>
            <wp:positionV relativeFrom="paragraph">
              <wp:posOffset>-478790</wp:posOffset>
            </wp:positionV>
            <wp:extent cx="939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-461645</wp:posOffset>
            </wp:positionV>
            <wp:extent cx="93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-478790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-461645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1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parts and raw materials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147</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115</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7</w:t>
            </w:r>
          </w:p>
        </w:tc>
      </w:tr>
      <w:tr>
        <w:trPr>
          <w:trHeight w:val="22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parts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55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53</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59</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49</w:t>
            </w:r>
          </w:p>
        </w:tc>
      </w:tr>
      <w:tr>
        <w:trPr>
          <w:trHeight w:val="263"/>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281</w:t>
            </w: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-24765</wp:posOffset>
            </wp:positionV>
            <wp:extent cx="111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111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9"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both September 30, 2023 and December 31, 2022, the carrying value of the Company’s Goodwill was $2,075 million.</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September 30, 2023</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2022</w:t>
            </w: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56"/>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rPr>
              <w:t>Accumulate</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2"/>
        </w:trPr>
        <w:tc>
          <w:tcPr>
            <w:tcW w:w="47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114"/>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w:t>
            </w:r>
          </w:p>
        </w:tc>
        <w:tc>
          <w:tcPr>
            <w:tcW w:w="10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94"/>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amortizatio</w:t>
            </w:r>
          </w:p>
        </w:tc>
        <w:tc>
          <w:tcPr>
            <w:tcW w:w="9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Intangible</w:t>
            </w:r>
          </w:p>
        </w:tc>
      </w:tr>
      <w:tr>
        <w:trPr>
          <w:trHeight w:val="189"/>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54"/>
              <w:spacing w:after="0"/>
              <w:rPr>
                <w:sz w:val="20"/>
                <w:szCs w:val="20"/>
                <w:color w:val="auto"/>
              </w:rPr>
            </w:pPr>
            <w:r>
              <w:rPr>
                <w:rFonts w:ascii="Arial" w:cs="Arial" w:eastAsia="Arial" w:hAnsi="Arial"/>
                <w:sz w:val="14"/>
                <w:szCs w:val="14"/>
                <w:b w:val="1"/>
                <w:bCs w:val="1"/>
                <w:color w:val="auto"/>
                <w:w w:val="99"/>
              </w:rPr>
              <w:t>gross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assets,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54"/>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w:t>
            </w:r>
          </w:p>
        </w:tc>
        <w:tc>
          <w:tcPr>
            <w:tcW w:w="9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assets, net</w:t>
            </w:r>
          </w:p>
        </w:tc>
      </w:tr>
      <w:tr>
        <w:trPr>
          <w:trHeight w:val="22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791</w:t>
            </w:r>
          </w:p>
        </w:tc>
        <w:tc>
          <w:tcPr>
            <w:tcW w:w="480" w:type="dxa"/>
            <w:vAlign w:val="bottom"/>
            <w:gridSpan w:val="3"/>
          </w:tcPr>
          <w:p>
            <w:pPr>
              <w:jc w:val="right"/>
              <w:ind w:right="68"/>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59"/>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791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791</w:t>
            </w:r>
          </w:p>
        </w:tc>
        <w:tc>
          <w:tcPr>
            <w:tcW w:w="46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791</w:t>
            </w:r>
          </w:p>
        </w:tc>
      </w:tr>
      <w:tr>
        <w:trPr>
          <w:trHeight w:val="22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(823 )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46</w:t>
            </w:r>
          </w:p>
        </w:tc>
      </w:tr>
      <w:tr>
        <w:trPr>
          <w:trHeight w:val="22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(478 )</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(477 )</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Customer relationships — defense</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29"/>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Non-compete agreements</w:t>
            </w: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2,202</w:t>
            </w:r>
          </w:p>
        </w:tc>
        <w:tc>
          <w:tcPr>
            <w:tcW w:w="480" w:type="dxa"/>
            <w:vAlign w:val="bottom"/>
            <w:gridSpan w:val="3"/>
          </w:tcPr>
          <w:p>
            <w:pPr>
              <w:jc w:val="right"/>
              <w:ind w:right="68"/>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(1,358 )</w:t>
            </w:r>
          </w:p>
        </w:tc>
        <w:tc>
          <w:tcPr>
            <w:tcW w:w="12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844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2,202</w:t>
            </w:r>
          </w:p>
        </w:tc>
        <w:tc>
          <w:tcPr>
            <w:tcW w:w="46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(1,324 )</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878</w:t>
            </w: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-179070</wp:posOffset>
            </wp:positionV>
            <wp:extent cx="76835"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-179070</wp:posOffset>
            </wp:positionV>
            <wp:extent cx="76835"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-179070</wp:posOffset>
            </wp:positionV>
            <wp:extent cx="6858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-179070</wp:posOffset>
            </wp:positionV>
            <wp:extent cx="6858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-179070</wp:posOffset>
            </wp:positionV>
            <wp:extent cx="6858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2028</w:t>
            </w:r>
          </w:p>
        </w:tc>
      </w:tr>
      <w:tr>
        <w:trPr>
          <w:trHeight w:val="263"/>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expense</w:t>
            </w: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-24765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-7620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-24765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-7620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-24765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67"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7"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spacing w:after="0" w:line="82" w:lineRule="exact"/>
        <w:rPr>
          <w:sz w:val="20"/>
          <w:szCs w:val="20"/>
          <w:color w:val="auto"/>
        </w:rPr>
      </w:pPr>
    </w:p>
    <w:p>
      <w:pPr>
        <w:ind w:right="160" w:firstLine="494"/>
        <w:spacing w:after="0"/>
        <w:rPr>
          <w:sz w:val="20"/>
          <w:szCs w:val="20"/>
          <w:color w:val="auto"/>
        </w:rPr>
      </w:pPr>
      <w:r>
        <w:rPr>
          <w:rFonts w:ascii="Arial" w:cs="Arial" w:eastAsia="Arial" w:hAnsi="Arial"/>
          <w:sz w:val="18"/>
          <w:szCs w:val="18"/>
          <w:color w:val="auto"/>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2023 and December 31, 2022, the Company did not have any Level 3 financial assets or liabilities.</w:t>
      </w:r>
    </w:p>
    <w:p>
      <w:pPr>
        <w:spacing w:after="0" w:line="138" w:lineRule="exact"/>
        <w:rPr>
          <w:sz w:val="20"/>
          <w:szCs w:val="20"/>
          <w:color w:val="auto"/>
        </w:rPr>
      </w:pPr>
    </w:p>
    <w:p>
      <w:pPr>
        <w:ind w:right="80" w:firstLine="494"/>
        <w:spacing w:after="0" w:line="239" w:lineRule="auto"/>
        <w:rPr>
          <w:sz w:val="20"/>
          <w:szCs w:val="20"/>
          <w:color w:val="auto"/>
        </w:rPr>
      </w:pPr>
      <w:r>
        <w:rPr>
          <w:rFonts w:ascii="Arial" w:cs="Arial" w:eastAsia="Arial" w:hAnsi="Arial"/>
          <w:sz w:val="18"/>
          <w:szCs w:val="18"/>
          <w:color w:val="auto"/>
        </w:rPr>
        <w:t>The Company’s assets and liabilities that are measured at fair value include cash equivalents, marketable securities, derivative instruments, assets held in a rabbi trust and a deferred compensation obligation. The Company’s cash equivalents consist of short-term U.S. government backed securities and time deposits. The Company's marketable securities consist of publicly traded stock of Jing-Jin Electric Technologies Co. Ltd., which has a readily determinable fair value.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85" w:lineRule="exact"/>
        <w:rPr>
          <w:sz w:val="20"/>
          <w:szCs w:val="20"/>
          <w:color w:val="auto"/>
        </w:rPr>
      </w:pPr>
    </w:p>
    <w:p>
      <w:pPr>
        <w:ind w:right="140" w:firstLine="494"/>
        <w:spacing w:after="0" w:line="247" w:lineRule="auto"/>
        <w:rPr>
          <w:sz w:val="20"/>
          <w:szCs w:val="20"/>
          <w:color w:val="auto"/>
        </w:rPr>
      </w:pPr>
      <w:r>
        <w:rPr>
          <w:rFonts w:ascii="Arial" w:cs="Arial" w:eastAsia="Arial" w:hAnsi="Arial"/>
          <w:sz w:val="18"/>
          <w:szCs w:val="18"/>
          <w:color w:val="auto"/>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w:t>
      </w:r>
    </w:p>
    <w:p>
      <w:pPr>
        <w:spacing w:after="0" w:line="76"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The Company’s valuation techniques used to calculate the fair value of derivative instruments represent a market approach with observable inputs that qualify as Level 2 in the fair value hierarchy. The Company uses valuations from the issuing financial institutions for the fair value measurement of interest rate swaps. The floating-to-fixed interest rate swaps are based on the Secured Overnight Financing Rate ("SOFR"), which is observable at commonly quoted intervals. The fair values are included in other current and non-current assets in the Condensed Consolidated Balance Sheets. See "Note H. Derivatives” for more information regarding the Company's interest rate swaps.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fair value of the Company’s financial assets and (liabilities) as of September 30, 2023 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56"/>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3"/>
          </w:tcPr>
          <w:p>
            <w:pPr>
              <w:jc w:val="center"/>
              <w:ind w:left="158"/>
              <w:spacing w:after="0" w:line="155" w:lineRule="exact"/>
              <w:rPr>
                <w:sz w:val="20"/>
                <w:szCs w:val="20"/>
                <w:color w:val="auto"/>
              </w:rPr>
            </w:pPr>
            <w:r>
              <w:rPr>
                <w:rFonts w:ascii="Arial" w:cs="Arial" w:eastAsia="Arial" w:hAnsi="Arial"/>
                <w:sz w:val="14"/>
                <w:szCs w:val="14"/>
                <w:b w:val="1"/>
                <w:bCs w:val="1"/>
                <w:color w:val="auto"/>
              </w:rPr>
              <w:t>Quoted Prices in Active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3"/>
          </w:tcPr>
          <w:p>
            <w:pPr>
              <w:jc w:val="center"/>
              <w:ind w:left="18"/>
              <w:spacing w:after="0" w:line="155" w:lineRule="exact"/>
              <w:rPr>
                <w:sz w:val="20"/>
                <w:szCs w:val="20"/>
                <w:color w:val="auto"/>
              </w:rPr>
            </w:pPr>
            <w:r>
              <w:rPr>
                <w:rFonts w:ascii="Arial" w:cs="Arial" w:eastAsia="Arial" w:hAnsi="Arial"/>
                <w:sz w:val="14"/>
                <w:szCs w:val="14"/>
                <w:b w:val="1"/>
                <w:bCs w:val="1"/>
                <w:color w:val="auto"/>
              </w:rPr>
              <w:t>Significant Other</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178"/>
              <w:spacing w:after="0"/>
              <w:rPr>
                <w:sz w:val="20"/>
                <w:szCs w:val="20"/>
                <w:color w:val="auto"/>
              </w:rPr>
            </w:pPr>
            <w:r>
              <w:rPr>
                <w:rFonts w:ascii="Arial" w:cs="Arial" w:eastAsia="Arial" w:hAnsi="Arial"/>
                <w:sz w:val="14"/>
                <w:szCs w:val="14"/>
                <w:b w:val="1"/>
                <w:bCs w:val="1"/>
                <w:color w:val="auto"/>
              </w:rPr>
              <w:t>Markets for Identical</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jc w:val="center"/>
              <w:ind w:left="38"/>
              <w:spacing w:after="0"/>
              <w:rPr>
                <w:sz w:val="20"/>
                <w:szCs w:val="20"/>
                <w:color w:val="auto"/>
              </w:rPr>
            </w:pPr>
            <w:r>
              <w:rPr>
                <w:rFonts w:ascii="Arial" w:cs="Arial" w:eastAsia="Arial" w:hAnsi="Arial"/>
                <w:sz w:val="14"/>
                <w:szCs w:val="14"/>
                <w:b w:val="1"/>
                <w:bCs w:val="1"/>
                <w:color w:val="auto"/>
              </w:rPr>
              <w:t>Observable Inputs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3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left="158"/>
              <w:spacing w:after="0"/>
              <w:rPr>
                <w:sz w:val="20"/>
                <w:szCs w:val="20"/>
                <w:color w:val="auto"/>
              </w:rPr>
            </w:pPr>
            <w:r>
              <w:rPr>
                <w:rFonts w:ascii="Arial" w:cs="Arial" w:eastAsia="Arial" w:hAnsi="Arial"/>
                <w:sz w:val="14"/>
                <w:szCs w:val="14"/>
                <w:b w:val="1"/>
                <w:bCs w:val="1"/>
                <w:color w:val="auto"/>
              </w:rPr>
              <w:t>Assets (Level 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38"/>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r>
      <w:tr>
        <w:trPr>
          <w:trHeight w:val="156"/>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138"/>
              <w:spacing w:after="0" w:line="155"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60" w:type="dxa"/>
            <w:vAlign w:val="bottom"/>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300" w:type="dxa"/>
            <w:vAlign w:val="bottom"/>
            <w:gridSpan w:val="2"/>
          </w:tcPr>
          <w:p>
            <w:pPr>
              <w:jc w:val="right"/>
              <w:ind w:right="118"/>
              <w:spacing w:after="0" w:line="155"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2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280" w:type="dxa"/>
            <w:vAlign w:val="bottom"/>
            <w:gridSpan w:val="2"/>
          </w:tcPr>
          <w:p>
            <w:pPr>
              <w:jc w:val="right"/>
              <w:ind w:right="115"/>
              <w:spacing w:after="0" w:line="155"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20" w:type="dxa"/>
            <w:vAlign w:val="bottom"/>
            <w:gridSpan w:val="2"/>
          </w:tcPr>
          <w:p>
            <w:pPr>
              <w:jc w:val="right"/>
              <w:ind w:right="113"/>
              <w:spacing w:after="0" w:line="155"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3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223"/>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323</w:t>
            </w:r>
          </w:p>
        </w:tc>
        <w:tc>
          <w:tcPr>
            <w:tcW w:w="9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323</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111</w:t>
            </w: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22</w:t>
            </w:r>
          </w:p>
        </w:tc>
      </w:tr>
      <w:tr>
        <w:trPr>
          <w:trHeight w:val="229"/>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Rabbi trust assets</w:t>
            </w:r>
          </w:p>
        </w:tc>
        <w:tc>
          <w:tcPr>
            <w:tcW w:w="10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w:t>
            </w:r>
          </w:p>
        </w:tc>
      </w:tr>
      <w:tr>
        <w:trPr>
          <w:trHeight w:val="229"/>
        </w:trPr>
        <w:tc>
          <w:tcPr>
            <w:tcW w:w="3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compensation obligation</w:t>
            </w: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(17 )</w:t>
            </w: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(17 )</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(15 )</w:t>
            </w:r>
          </w:p>
        </w:tc>
      </w:tr>
      <w:tr>
        <w:trPr>
          <w:trHeight w:val="223"/>
        </w:trPr>
        <w:tc>
          <w:tcPr>
            <w:tcW w:w="3020" w:type="dxa"/>
            <w:vAlign w:val="bottom"/>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344</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b w:val="1"/>
                <w:bCs w:val="1"/>
                <w:color w:val="auto"/>
              </w:rPr>
              <w:t>21</w:t>
            </w:r>
          </w:p>
        </w:tc>
        <w:tc>
          <w:tcPr>
            <w:tcW w:w="100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18</w:t>
            </w:r>
          </w:p>
        </w:tc>
        <w:tc>
          <w:tcPr>
            <w:tcW w:w="380" w:type="dxa"/>
            <w:vAlign w:val="bottom"/>
            <w:gridSpan w:val="2"/>
          </w:tcPr>
          <w:p>
            <w:pPr>
              <w:jc w:val="right"/>
              <w:ind w:right="79"/>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365</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151</w:t>
            </w:r>
          </w:p>
        </w:tc>
      </w:tr>
      <w:tr>
        <w:trPr>
          <w:trHeight w:val="20"/>
        </w:trPr>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574"/>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1"/>
        </w:trPr>
        <w:tc>
          <w:tcPr>
            <w:tcW w:w="3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-633095</wp:posOffset>
            </wp:positionV>
            <wp:extent cx="76835"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-633095</wp:posOffset>
            </wp:positionV>
            <wp:extent cx="76835"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-633095</wp:posOffset>
            </wp:positionV>
            <wp:extent cx="6858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-633095</wp:posOffset>
            </wp:positionV>
            <wp:extent cx="6858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-633095</wp:posOffset>
            </wp:positionV>
            <wp:extent cx="68580"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DEBT</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Senior Secured Credit Facility Term Loan, variable, due 2026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ind w:right="34"/>
              <w:spacing w:after="0"/>
              <w:rPr>
                <w:sz w:val="20"/>
                <w:szCs w:val="20"/>
                <w:color w:val="auto"/>
              </w:rPr>
            </w:pPr>
            <w:r>
              <w:rPr>
                <w:rFonts w:ascii="Arial" w:cs="Arial" w:eastAsia="Arial" w:hAnsi="Arial"/>
                <w:sz w:val="18"/>
                <w:szCs w:val="18"/>
                <w:b w:val="1"/>
                <w:bCs w:val="1"/>
                <w:color w:val="auto"/>
              </w:rPr>
              <w:t>620</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625</w:t>
            </w:r>
          </w:p>
        </w:tc>
      </w:tr>
      <w:tr>
        <w:trPr>
          <w:trHeight w:val="22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fixed 4.75%, due 2027</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400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400</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Senior Notes, fixed 5.875%, due 2029</w:t>
            </w:r>
          </w:p>
        </w:tc>
        <w:tc>
          <w:tcPr>
            <w:tcW w:w="20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b w:val="1"/>
                <w:bCs w:val="1"/>
                <w:color w:val="auto"/>
              </w:rPr>
              <w:t>500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500</w:t>
            </w:r>
          </w:p>
        </w:tc>
      </w:tr>
      <w:tr>
        <w:trPr>
          <w:trHeight w:val="22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Senior Notes, fixed 3.75%, due 2031</w:t>
            </w: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1,000</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r>
      <w:tr>
        <w:trPr>
          <w:trHeight w:val="223"/>
        </w:trPr>
        <w:tc>
          <w:tcPr>
            <w:tcW w:w="776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ind w:right="34"/>
              <w:spacing w:after="0"/>
              <w:rPr>
                <w:sz w:val="20"/>
                <w:szCs w:val="20"/>
                <w:color w:val="auto"/>
              </w:rPr>
            </w:pPr>
            <w:r>
              <w:rPr>
                <w:rFonts w:ascii="Arial" w:cs="Arial" w:eastAsia="Arial" w:hAnsi="Arial"/>
                <w:sz w:val="18"/>
                <w:szCs w:val="18"/>
                <w:b w:val="1"/>
                <w:bCs w:val="1"/>
                <w:color w:val="auto"/>
              </w:rPr>
              <w:t>2,520</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2,525</w:t>
            </w:r>
          </w:p>
        </w:tc>
      </w:tr>
      <w:tr>
        <w:trPr>
          <w:trHeight w:val="22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w:t>
            </w:r>
          </w:p>
        </w:tc>
      </w:tr>
      <w:tr>
        <w:trPr>
          <w:trHeight w:val="229"/>
        </w:trPr>
        <w:tc>
          <w:tcPr>
            <w:tcW w:w="7760" w:type="dxa"/>
            <w:vAlign w:val="bottom"/>
          </w:tcPr>
          <w:p>
            <w:pPr>
              <w:ind w:left="520"/>
              <w:spacing w:after="0"/>
              <w:rPr>
                <w:sz w:val="20"/>
                <w:szCs w:val="20"/>
                <w:color w:val="auto"/>
              </w:rPr>
            </w:pPr>
            <w:r>
              <w:rPr>
                <w:rFonts w:ascii="Arial" w:cs="Arial" w:eastAsia="Arial" w:hAnsi="Arial"/>
                <w:sz w:val="18"/>
                <w:szCs w:val="18"/>
                <w:color w:val="auto"/>
              </w:rPr>
              <w:t>deferred financing costs, net</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w:t>
            </w:r>
          </w:p>
        </w:tc>
      </w:tr>
      <w:tr>
        <w:trPr>
          <w:trHeight w:val="263"/>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long-term debt, net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2,498</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-624205</wp:posOffset>
            </wp:positionV>
            <wp:extent cx="10287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102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9"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As of September 30, 2023, the Company had $2,520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$620 million due March 2026 (“Term Loan”) and ATI’s revolving credit facility with commitments in the amount of $650 million due September 2025 (“Revolving Credit Facility” and, together with the Term Loan, the “Senior Secured Credit Facility”).</w:t>
      </w:r>
    </w:p>
    <w:p>
      <w:pPr>
        <w:spacing w:after="0" w:line="87" w:lineRule="exact"/>
        <w:rPr>
          <w:sz w:val="20"/>
          <w:szCs w:val="20"/>
          <w:color w:val="auto"/>
        </w:rPr>
      </w:pPr>
    </w:p>
    <w:p>
      <w:pPr>
        <w:jc w:val="both"/>
        <w:ind w:right="180" w:firstLine="494"/>
        <w:spacing w:after="0" w:line="247" w:lineRule="auto"/>
        <w:rPr>
          <w:sz w:val="20"/>
          <w:szCs w:val="20"/>
          <w:color w:val="auto"/>
        </w:rPr>
      </w:pPr>
      <w:r>
        <w:rPr>
          <w:rFonts w:ascii="Arial" w:cs="Arial" w:eastAsia="Arial" w:hAnsi="Arial"/>
          <w:sz w:val="18"/>
          <w:szCs w:val="18"/>
          <w:color w:val="auto"/>
        </w:rPr>
        <w:t>The fair value of the Company’s long-term debt obligations as of September 30, 2023 was $2,269 million. The fair value is based on quoted Level 2 market prices of the Company’s debt as of September 30, 2023. The difference between the fair value and carrying value of the long-term debt is driven primarily by trends in the financial markets.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3"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In February 2023, the Company and ATI entered into Amendment No. 3 (the "Amendment") to the Credit Agreement. The Amendment replaced the London Interbank Offered Rate ("LIBOR") interest rate benchmark with SOFR and included a 0.1% credit spread adjustment to the SOFR benchmark for all available interest periods. Other than the foregoing, the material terms of the Credit Agreement remained unchanged. The Amendment was treated as a modification to the Senior Secured Credit Facility through a practical expedient provided through reference rate reform accounting guidance.</w:t>
      </w:r>
    </w:p>
    <w:p>
      <w:pPr>
        <w:spacing w:after="0" w:line="84" w:lineRule="exact"/>
        <w:rPr>
          <w:sz w:val="20"/>
          <w:szCs w:val="20"/>
          <w:color w:val="auto"/>
        </w:rPr>
      </w:pPr>
    </w:p>
    <w:p>
      <w:pPr>
        <w:ind w:right="20" w:firstLine="494"/>
        <w:spacing w:after="0" w:line="237"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certain existing and future U.S. subsidiary guarantors, as provided in the Credit Agreement. Interest on the Term Loan, as of September 30, 2023, is either (a) 1.75% over a SOFR rate on deposits in U.S. dollars for one-, three- or six-month periods (or a twelve-month period if, at the time of the borrowing, consented to by all relevant lenders and the administrative agent) plus a 0.1% credit spread adjustment for all interest periods ("Adjusted Term SOFR"), or (b) 0.75% over the greater of the prime lending rate as quoted by the administrative agent, the Adjusted Term SOFR Rate for an interest period of one month plus 1.00% and the federal funds effective rate published by the Federal Reserve Bank of New York plus 0.50%, subject to a 1.00% floor (the "Base Rate"). As of September 30, 2023, the Company elected to pay the lowest all-in rate of Adjusted Term SOFR plus the applicable margin, or 7.17%,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2026 is $2 million. As of September 30, 2023, there had been no payments required for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net cash proceeds of non-ordinary course asset sales and casualty and condemnation events. The remaining principal balance is due upon maturity.</w:t>
      </w:r>
    </w:p>
    <w:p>
      <w:pPr>
        <w:spacing w:after="0" w:line="66" w:lineRule="exact"/>
        <w:rPr>
          <w:sz w:val="20"/>
          <w:szCs w:val="20"/>
          <w:color w:val="auto"/>
        </w:rPr>
      </w:pPr>
    </w:p>
    <w:p>
      <w:pPr>
        <w:ind w:right="80" w:firstLine="494"/>
        <w:spacing w:after="0" w:line="236" w:lineRule="auto"/>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 letters of credit commitments. During the nine months ended September 30, 2023, the Company made no withdrawals on the Revolving Credit Facility. As of September 30, 2023, the Company had $645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Adjusted Term SOFR Rate; when the Company’s first lien net leverage ratio is equal to or less than 4.00x and above 3.50x, interest on the Revolving Credit Facility is (i) 0.50% over the Base Rate or (ii) 1.50% over the Adjusted Term SOFR Rate; and when the Company’s first lien net leverage ratio is equal to or below 3.50x, interest on the Revolving Credit Facility is (y) 0.25% over the Base Rate or (z) 1.25% over the Adjusted Term SOFR Rate. As of September 30, 2023, the applicable margin for the Revolving Credit Facility was 1.25%. In addition, there is an annual commitment fee, based on the Company’s first lien net leverage ratio, on the average unused revolving credit borrowings available under the Revolving Credit Facility. As of September 30, 2023, the commitment fee was 0.25%. Borrowings under the Revolving Credit Facility are payable at the option of the Company throughout the term of the Senior Secured Credit Facility with the balance due in September 2025.</w:t>
      </w:r>
    </w:p>
    <w:p>
      <w:pPr>
        <w:spacing w:after="0" w:line="91"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September 30, 2023, the Company had no amounts outstanding under the Revolving Credit Facility; however, the Company would have been in compliance with the maximum first lien net leverage ratio, achieving a 0.11x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85" w:lineRule="exact"/>
        <w:rPr>
          <w:sz w:val="20"/>
          <w:szCs w:val="20"/>
          <w:color w:val="auto"/>
        </w:rPr>
      </w:pPr>
    </w:p>
    <w:p>
      <w:pPr>
        <w:ind w:right="180" w:firstLine="494"/>
        <w:spacing w:after="0" w:line="242"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September 30, 2023, the Company was in compliance with all covenants under the Credit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3"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2023, the Company was in compliance with all covenants under the indentures governing the Senior Notes.</w:t>
      </w:r>
    </w:p>
    <w:p>
      <w:pPr>
        <w:spacing w:after="0" w:line="89" w:lineRule="exact"/>
        <w:rPr>
          <w:sz w:val="20"/>
          <w:szCs w:val="20"/>
          <w:color w:val="auto"/>
        </w:rPr>
      </w:pPr>
    </w:p>
    <w:p>
      <w:pPr>
        <w:ind w:right="240" w:firstLine="494"/>
        <w:spacing w:after="0" w:line="242" w:lineRule="auto"/>
        <w:rPr>
          <w:sz w:val="20"/>
          <w:szCs w:val="20"/>
          <w:color w:val="auto"/>
        </w:rPr>
      </w:pPr>
      <w:r>
        <w:rPr>
          <w:rFonts w:ascii="Arial" w:cs="Arial" w:eastAsia="Arial" w:hAnsi="Arial"/>
          <w:sz w:val="18"/>
          <w:szCs w:val="18"/>
          <w:color w:val="auto"/>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amounts involved may be material. Some or all of the 4.75% Senior Notes may be redeemed at any time at redemption prices specified in the indenture governing such notes. Some or all of the 5.875% Senior Notes may be redeemed prior to June 1, 2024 by paying a price equal to 100.00% of the principal amount being redeemed, plus an “applicable premium”. At any time on or after June 1, 2024, ATI may redeem some or all of the 5.875% Senior Notes at redemption prices specified in the indenture governing such notes. ATI may redeem up to 40% of the 3.75% Senior Notes prior to January 30, 2024 by paying a price equal to 103.750% of the principal amount being redeemed. On or after January 30, 2024 and prior to January 30, 2026, ATI may redeem some or all of the 3.75% Senior Notes by paying a price equal to 100.00% of the principal amount being redeemed, plus an “applicable premium”. At any time on or after January 30, 2026, ATI may redeem some or all of the 3.75% Senior Notes at redemption prices specified in the indenture governing such notes.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13"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entered into interest rate swaps to manage a portion of this exposure. The Company amended the contractual terms of its interest rate swaps in the second quarter of 2023. These amendments transitioned the reference rates from LIBOR to the forward-looking term rate based on SOFR ("Term SOFR") and were only a result of reference rate reform. During this transition period, the Company utilized optional expedients permitting the Company not to de-designate the existing cash flow hedging relationships and to continue to qualify for hedge accounting based upon a qualitative subsequent assessment concluding that the hedging relationships remained highly effective. When the transition of the reference rates was completed, the Company performed an initial quantitative assessment that demonstrated a highly effective hedging relationship that qualifies for hedge accounting under the hypothetical derivative method.</w:t>
      </w:r>
    </w:p>
    <w:p>
      <w:pPr>
        <w:spacing w:after="0" w:line="84" w:lineRule="exact"/>
        <w:rPr>
          <w:sz w:val="20"/>
          <w:szCs w:val="20"/>
          <w:color w:val="auto"/>
        </w:rPr>
      </w:pPr>
    </w:p>
    <w:p>
      <w:pPr>
        <w:ind w:right="100" w:firstLine="544"/>
        <w:spacing w:after="0" w:line="259" w:lineRule="auto"/>
        <w:rPr>
          <w:sz w:val="20"/>
          <w:szCs w:val="20"/>
          <w:color w:val="auto"/>
        </w:rPr>
      </w:pPr>
      <w:r>
        <w:rPr>
          <w:rFonts w:ascii="Arial" w:cs="Arial" w:eastAsia="Arial" w:hAnsi="Arial"/>
          <w:sz w:val="18"/>
          <w:szCs w:val="18"/>
          <w:color w:val="auto"/>
        </w:rPr>
        <w:t>As of September 30, 2023, the Company held interest rate swap contracts that, in the aggregate, effectively hedge $500 million of the variable rate debt associated with the Term Loan at the Term SOFR weighted average fixed rate of 2.81% through September 2025.</w:t>
      </w:r>
    </w:p>
    <w:p>
      <w:pPr>
        <w:spacing w:after="0" w:line="66" w:lineRule="exact"/>
        <w:rPr>
          <w:sz w:val="20"/>
          <w:szCs w:val="20"/>
          <w:color w:val="auto"/>
        </w:rPr>
      </w:pPr>
    </w:p>
    <w:p>
      <w:pPr>
        <w:ind w:right="20" w:firstLine="544"/>
        <w:spacing w:after="0" w:line="247" w:lineRule="auto"/>
        <w:rPr>
          <w:sz w:val="20"/>
          <w:szCs w:val="20"/>
          <w:color w:val="auto"/>
        </w:rPr>
      </w:pPr>
      <w:r>
        <w:rPr>
          <w:rFonts w:ascii="Arial" w:cs="Arial" w:eastAsia="Arial" w:hAnsi="Arial"/>
          <w:sz w:val="18"/>
          <w:szCs w:val="18"/>
          <w:color w:val="auto"/>
        </w:rPr>
        <w:t>Fair value adjustments are recorded as a component of Accumulated other comprehensive loss, net of tax (“AOCL”) in the Condensed Consolidated Balance Sheets. Balances in AOCL are reclassified to earnings when transactions related to the underlying risk are settled. See "Note F. Fair Value of Financial Instruments” for information regarding the fair value of the Company’s interest rate swaps.</w:t>
      </w:r>
    </w:p>
    <w:p>
      <w:pPr>
        <w:spacing w:after="0" w:line="76" w:lineRule="exact"/>
        <w:rPr>
          <w:sz w:val="20"/>
          <w:szCs w:val="20"/>
          <w:color w:val="auto"/>
        </w:rPr>
      </w:pPr>
    </w:p>
    <w:p>
      <w:pPr>
        <w:ind w:right="780" w:firstLine="494"/>
        <w:spacing w:after="0" w:line="259"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079"/>
              <w:spacing w:after="0"/>
              <w:rPr>
                <w:sz w:val="20"/>
                <w:szCs w:val="20"/>
                <w:color w:val="auto"/>
              </w:rPr>
            </w:pPr>
            <w:r>
              <w:rPr>
                <w:rFonts w:ascii="Arial" w:cs="Arial" w:eastAsia="Arial" w:hAnsi="Arial"/>
                <w:sz w:val="14"/>
                <w:szCs w:val="14"/>
                <w:b w:val="1"/>
                <w:bCs w:val="1"/>
                <w:color w:val="auto"/>
              </w:rPr>
              <w:t>Fair Value</w:t>
            </w:r>
          </w:p>
        </w:tc>
        <w:tc>
          <w:tcPr>
            <w:tcW w:w="360" w:type="dxa"/>
            <w:vAlign w:val="bottom"/>
            <w:tcBorders>
              <w:bottom w:val="single" w:sz="8" w:color="auto"/>
            </w:tcBorders>
          </w:tcPr>
          <w:p>
            <w:pPr>
              <w:spacing w:after="0"/>
              <w:rPr>
                <w:sz w:val="16"/>
                <w:szCs w:val="16"/>
                <w:color w:val="auto"/>
              </w:rPr>
            </w:pPr>
          </w:p>
        </w:tc>
      </w:tr>
      <w:tr>
        <w:trPr>
          <w:trHeight w:val="156"/>
        </w:trPr>
        <w:tc>
          <w:tcPr>
            <w:tcW w:w="39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3"/>
                <w:szCs w:val="13"/>
                <w:color w:val="auto"/>
              </w:rPr>
            </w:pPr>
          </w:p>
        </w:tc>
      </w:tr>
      <w:tr>
        <w:trPr>
          <w:trHeight w:val="189"/>
        </w:trPr>
        <w:tc>
          <w:tcPr>
            <w:tcW w:w="3980" w:type="dxa"/>
            <w:vAlign w:val="bottom"/>
          </w:tcPr>
          <w:p>
            <w:pPr>
              <w:spacing w:after="0"/>
              <w:rPr>
                <w:sz w:val="16"/>
                <w:szCs w:val="16"/>
                <w:color w:val="auto"/>
              </w:rPr>
            </w:pPr>
          </w:p>
        </w:tc>
        <w:tc>
          <w:tcPr>
            <w:tcW w:w="3640" w:type="dxa"/>
            <w:vAlign w:val="bottom"/>
            <w:gridSpan w:val="2"/>
          </w:tcPr>
          <w:p>
            <w:pPr>
              <w:ind w:left="920"/>
              <w:spacing w:after="0"/>
              <w:rPr>
                <w:sz w:val="20"/>
                <w:szCs w:val="20"/>
                <w:color w:val="auto"/>
              </w:rPr>
            </w:pPr>
            <w:r>
              <w:rPr>
                <w:rFonts w:ascii="Arial" w:cs="Arial" w:eastAsia="Arial" w:hAnsi="Arial"/>
                <w:sz w:val="14"/>
                <w:szCs w:val="14"/>
                <w:b w:val="1"/>
                <w:bCs w:val="1"/>
                <w:color w:val="auto"/>
              </w:rPr>
              <w:t>Balance Sheet Location</w:t>
            </w: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6"/>
                <w:szCs w:val="16"/>
                <w:color w:val="auto"/>
              </w:rPr>
            </w:pPr>
          </w:p>
        </w:tc>
        <w:tc>
          <w:tcPr>
            <w:tcW w:w="154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r>
      <w:tr>
        <w:trPr>
          <w:trHeight w:val="22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34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r>
      <w:tr>
        <w:trPr>
          <w:trHeight w:val="229"/>
        </w:trPr>
        <w:tc>
          <w:tcPr>
            <w:tcW w:w="398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ind w:right="1139"/>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35"/>
              <w:spacing w:after="0"/>
              <w:rPr>
                <w:sz w:val="20"/>
                <w:szCs w:val="20"/>
                <w:color w:val="auto"/>
              </w:rPr>
            </w:pPr>
            <w:r>
              <w:rPr>
                <w:rFonts w:ascii="Arial" w:cs="Arial" w:eastAsia="Arial" w:hAnsi="Arial"/>
                <w:sz w:val="18"/>
                <w:szCs w:val="18"/>
                <w:b w:val="1"/>
                <w:bCs w:val="1"/>
                <w:color w:val="auto"/>
              </w:rPr>
              <w:t>11</w:t>
            </w:r>
          </w:p>
        </w:tc>
        <w:tc>
          <w:tcPr>
            <w:tcW w:w="1540" w:type="dxa"/>
            <w:vAlign w:val="bottom"/>
            <w:gridSpan w:val="2"/>
          </w:tcPr>
          <w:p>
            <w:pPr>
              <w:jc w:val="right"/>
              <w:ind w:right="1159"/>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29"/>
        </w:trPr>
        <w:tc>
          <w:tcPr>
            <w:tcW w:w="3980" w:type="dxa"/>
            <w:vAlign w:val="bottom"/>
            <w:tcBorders>
              <w:bottom w:val="single" w:sz="8" w:color="CFF0FC"/>
            </w:tcBorders>
            <w:shd w:val="clear" w:color="auto" w:fill="CFF0FC"/>
          </w:tcPr>
          <w:p>
            <w:pPr>
              <w:spacing w:after="0"/>
              <w:rPr>
                <w:sz w:val="19"/>
                <w:szCs w:val="19"/>
                <w:color w:val="auto"/>
              </w:rPr>
            </w:pPr>
          </w:p>
        </w:tc>
        <w:tc>
          <w:tcPr>
            <w:tcW w:w="3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13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23"/>
        </w:trPr>
        <w:tc>
          <w:tcPr>
            <w:tcW w:w="3980" w:type="dxa"/>
            <w:vAlign w:val="bottom"/>
          </w:tcPr>
          <w:p>
            <w:pPr>
              <w:ind w:left="280"/>
              <w:spacing w:after="0"/>
              <w:rPr>
                <w:sz w:val="20"/>
                <w:szCs w:val="20"/>
                <w:color w:val="auto"/>
              </w:rPr>
            </w:pPr>
            <w:r>
              <w:rPr>
                <w:rFonts w:ascii="Arial" w:cs="Arial" w:eastAsia="Arial" w:hAnsi="Arial"/>
                <w:sz w:val="18"/>
                <w:szCs w:val="18"/>
                <w:color w:val="auto"/>
              </w:rPr>
              <w:t>Total derivative assets</w:t>
            </w: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Borders>
              <w:bottom w:val="single" w:sz="8" w:color="auto"/>
            </w:tcBorders>
          </w:tcPr>
          <w:p>
            <w:pPr>
              <w:jc w:val="right"/>
              <w:ind w:right="1139"/>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19"/>
                <w:szCs w:val="19"/>
                <w:color w:val="auto"/>
              </w:rPr>
            </w:pPr>
          </w:p>
        </w:tc>
        <w:tc>
          <w:tcPr>
            <w:tcW w:w="1360" w:type="dxa"/>
            <w:vAlign w:val="bottom"/>
            <w:tcBorders>
              <w:bottom w:val="single" w:sz="8" w:color="auto"/>
            </w:tcBorders>
          </w:tcPr>
          <w:p>
            <w:pPr>
              <w:jc w:val="right"/>
              <w:ind w:right="115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r>
      <w:tr>
        <w:trPr>
          <w:trHeight w:val="20"/>
        </w:trPr>
        <w:tc>
          <w:tcPr>
            <w:tcW w:w="7620" w:type="dxa"/>
            <w:vAlign w:val="bottom"/>
            <w:gridSpan w:val="3"/>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84"/>
        </w:trPr>
        <w:tc>
          <w:tcPr>
            <w:tcW w:w="10880" w:type="dxa"/>
            <w:vAlign w:val="bottom"/>
            <w:gridSpan w:val="7"/>
          </w:tcPr>
          <w:p>
            <w:pPr>
              <w:jc w:val="right"/>
              <w:spacing w:after="0"/>
              <w:rPr>
                <w:sz w:val="20"/>
                <w:szCs w:val="20"/>
                <w:color w:val="auto"/>
              </w:rPr>
            </w:pPr>
            <w:r>
              <w:rPr>
                <w:rFonts w:ascii="Arial" w:cs="Arial" w:eastAsia="Arial" w:hAnsi="Arial"/>
                <w:sz w:val="18"/>
                <w:szCs w:val="18"/>
                <w:color w:val="auto"/>
              </w:rPr>
              <w:t>The balance of net derivative gains recorded in AOCL as of September 30, 2023 and December 31, 2022 was $21 million and $18</w:t>
            </w: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-435610</wp:posOffset>
            </wp:positionV>
            <wp:extent cx="120015"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179705"/>
                    </a:xfrm>
                    <a:prstGeom prst="rect">
                      <a:avLst/>
                    </a:prstGeom>
                    <a:noFill/>
                  </pic:spPr>
                </pic:pic>
              </a:graphicData>
            </a:graphic>
          </wp:anchor>
        </w:drawing>
      </w:r>
    </w:p>
    <w:p>
      <w:pPr>
        <w:jc w:val="both"/>
        <w:ind w:right="220"/>
        <w:spacing w:after="0"/>
        <w:rPr>
          <w:sz w:val="20"/>
          <w:szCs w:val="20"/>
          <w:color w:val="auto"/>
        </w:rPr>
      </w:pPr>
      <w:r>
        <w:rPr>
          <w:rFonts w:ascii="Arial" w:cs="Arial" w:eastAsia="Arial" w:hAnsi="Arial"/>
          <w:sz w:val="18"/>
          <w:szCs w:val="18"/>
          <w:color w:val="auto"/>
        </w:rPr>
        <w:t>million, respectively. See "Note O. Accumulated Other Comprehensive Loss” for information regarding activity recorded as a component of AOCL during the three and nine months ended September 30, 2023 and 2022. As of September 30, 2023, the Company had $14 million of derivative gains recorded in AOCL expected to be reclassified to earnings within the next twelve months.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13" w:lineRule="exact"/>
        <w:rPr>
          <w:sz w:val="20"/>
          <w:szCs w:val="20"/>
          <w:color w:val="auto"/>
        </w:rPr>
      </w:pPr>
    </w:p>
    <w:p>
      <w:pPr>
        <w:ind w:right="400" w:firstLine="494"/>
        <w:spacing w:after="0" w:line="259" w:lineRule="auto"/>
        <w:rPr>
          <w:sz w:val="20"/>
          <w:szCs w:val="20"/>
          <w:color w:val="auto"/>
        </w:rPr>
      </w:pPr>
      <w:r>
        <w:rPr>
          <w:rFonts w:ascii="Arial" w:cs="Arial" w:eastAsia="Arial" w:hAnsi="Arial"/>
          <w:sz w:val="18"/>
          <w:szCs w:val="18"/>
          <w:color w:val="auto"/>
        </w:rPr>
        <w:t>As of September 30, 2023, current and non-current product warranty liabilities were $23 million and $36 million, respectively. As of September 30, 2022, current and non-current product warranty liabilities were $26 million and $20 million, respectively.</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 warranty liability activities consisted of the following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16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r>
      <w:tr>
        <w:trPr>
          <w:trHeight w:val="189"/>
        </w:trPr>
        <w:tc>
          <w:tcPr>
            <w:tcW w:w="60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2022</w:t>
            </w:r>
          </w:p>
        </w:tc>
      </w:tr>
      <w:tr>
        <w:trPr>
          <w:trHeight w:val="22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720" w:type="dxa"/>
            <w:vAlign w:val="bottom"/>
            <w:shd w:val="clear" w:color="auto" w:fill="CFF0FC"/>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60</w:t>
            </w:r>
          </w:p>
        </w:tc>
        <w:tc>
          <w:tcPr>
            <w:tcW w:w="94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57</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Payments</w:t>
            </w:r>
          </w:p>
        </w:tc>
        <w:tc>
          <w:tcPr>
            <w:tcW w:w="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liability (warranty issued during period)</w:t>
            </w: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Net adjustments to liability</w:t>
            </w:r>
          </w:p>
        </w:tc>
        <w:tc>
          <w:tcPr>
            <w:tcW w:w="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r>
      <w:tr>
        <w:trPr>
          <w:trHeight w:val="263"/>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72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59</w:t>
            </w:r>
          </w:p>
        </w:tc>
        <w:tc>
          <w:tcPr>
            <w:tcW w:w="16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-24765</wp:posOffset>
            </wp:positionV>
            <wp:extent cx="939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-7620</wp:posOffset>
            </wp:positionV>
            <wp:extent cx="939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-24765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13" w:lineRule="exact"/>
        <w:rPr>
          <w:sz w:val="20"/>
          <w:szCs w:val="20"/>
          <w:color w:val="auto"/>
        </w:rPr>
      </w:pPr>
    </w:p>
    <w:p>
      <w:pPr>
        <w:ind w:right="240" w:firstLine="494"/>
        <w:spacing w:after="0" w:line="259" w:lineRule="auto"/>
        <w:rPr>
          <w:sz w:val="20"/>
          <w:szCs w:val="20"/>
          <w:color w:val="auto"/>
        </w:rPr>
      </w:pPr>
      <w:r>
        <w:rPr>
          <w:rFonts w:ascii="Arial" w:cs="Arial" w:eastAsia="Arial" w:hAnsi="Arial"/>
          <w:sz w:val="18"/>
          <w:szCs w:val="18"/>
          <w:color w:val="auto"/>
        </w:rPr>
        <w:t>As of September 30, 2023, current and non-current deferred revenue was $44 million and $94 million, respectively. As of September 30, 2022, current and non-current deferred revenue was $39 million and $95 million, respectively.</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activity consisted of the following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r>
      <w:tr>
        <w:trPr>
          <w:trHeight w:val="189"/>
        </w:trPr>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139</w:t>
            </w:r>
          </w:p>
        </w:tc>
        <w:tc>
          <w:tcPr>
            <w:tcW w:w="7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131</w:t>
            </w:r>
          </w:p>
        </w:tc>
        <w:tc>
          <w:tcPr>
            <w:tcW w:w="7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136</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Increases</w:t>
            </w:r>
          </w:p>
        </w:tc>
        <w:tc>
          <w:tcPr>
            <w:tcW w:w="340" w:type="dxa"/>
            <w:vAlign w:val="bottom"/>
          </w:tcPr>
          <w:p>
            <w:pPr>
              <w:spacing w:after="0"/>
              <w:rPr>
                <w:sz w:val="19"/>
                <w:szCs w:val="19"/>
                <w:color w:val="auto"/>
              </w:rPr>
            </w:pPr>
          </w:p>
        </w:tc>
        <w:tc>
          <w:tcPr>
            <w:tcW w:w="1260" w:type="dxa"/>
            <w:vAlign w:val="bottom"/>
          </w:tcPr>
          <w:p>
            <w:pPr>
              <w:jc w:val="right"/>
              <w:ind w:right="58"/>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b w:val="1"/>
                <w:bCs w:val="1"/>
                <w:color w:val="auto"/>
              </w:rPr>
              <w:t>42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28</w:t>
            </w:r>
          </w:p>
        </w:tc>
      </w:tr>
      <w:tr>
        <w:trPr>
          <w:trHeight w:val="22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earned</w:t>
            </w: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(14 )</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(35 )</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(30 )</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58"/>
              <w:spacing w:after="0"/>
              <w:rPr>
                <w:sz w:val="20"/>
                <w:szCs w:val="20"/>
                <w:color w:val="auto"/>
              </w:rPr>
            </w:pPr>
            <w:r>
              <w:rPr>
                <w:rFonts w:ascii="Arial" w:cs="Arial" w:eastAsia="Arial" w:hAnsi="Arial"/>
                <w:sz w:val="18"/>
                <w:szCs w:val="18"/>
                <w:b w:val="1"/>
                <w:bCs w:val="1"/>
                <w:color w:val="auto"/>
              </w:rPr>
              <w:t>138</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134</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8"/>
              <w:spacing w:after="0"/>
              <w:rPr>
                <w:sz w:val="20"/>
                <w:szCs w:val="20"/>
                <w:color w:val="auto"/>
              </w:rPr>
            </w:pPr>
            <w:r>
              <w:rPr>
                <w:rFonts w:ascii="Arial" w:cs="Arial" w:eastAsia="Arial" w:hAnsi="Arial"/>
                <w:sz w:val="18"/>
                <w:szCs w:val="18"/>
                <w:b w:val="1"/>
                <w:bCs w:val="1"/>
                <w:color w:val="auto"/>
              </w:rPr>
              <w:t>138</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134</w:t>
            </w:r>
          </w:p>
        </w:tc>
      </w:tr>
      <w:tr>
        <w:trPr>
          <w:trHeight w:val="20"/>
        </w:trPr>
        <w:tc>
          <w:tcPr>
            <w:tcW w:w="4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-179070</wp:posOffset>
            </wp:positionV>
            <wp:extent cx="111125"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-179070</wp:posOffset>
            </wp:positionV>
            <wp:extent cx="10287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-179070</wp:posOffset>
            </wp:positionV>
            <wp:extent cx="10287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pacing w:after="0" w:line="169" w:lineRule="exact"/>
        <w:rPr>
          <w:sz w:val="20"/>
          <w:szCs w:val="20"/>
          <w:color w:val="auto"/>
        </w:rPr>
      </w:pPr>
    </w:p>
    <w:p>
      <w:pPr>
        <w:ind w:right="420" w:firstLine="494"/>
        <w:spacing w:after="0" w:line="247" w:lineRule="auto"/>
        <w:rPr>
          <w:sz w:val="20"/>
          <w:szCs w:val="20"/>
          <w:color w:val="auto"/>
        </w:rPr>
      </w:pPr>
      <w:r>
        <w:rPr>
          <w:rFonts w:ascii="Arial" w:cs="Arial" w:eastAsia="Arial" w:hAnsi="Arial"/>
          <w:sz w:val="18"/>
          <w:szCs w:val="18"/>
          <w:color w:val="auto"/>
        </w:rPr>
        <w:t>Deferred revenue recorded in current and non-current liabilities related to ETC as of September 30, 2023 was $29 million and $86 million, respectively. Deferred revenue recorded in current and non-current liabilities related to ETC as of September 30, 2022 was $30 million and $86 million,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LEASES</w:t>
      </w:r>
    </w:p>
    <w:p>
      <w:pPr>
        <w:spacing w:after="0" w:line="113"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September 30, 2023,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87" w:lineRule="exact"/>
        <w:rPr>
          <w:sz w:val="20"/>
          <w:szCs w:val="20"/>
          <w:color w:val="auto"/>
        </w:rPr>
      </w:pPr>
    </w:p>
    <w:p>
      <w:pPr>
        <w:ind w:right="320" w:firstLine="494"/>
        <w:spacing w:after="0" w:line="247"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76" w:lineRule="exact"/>
        <w:rPr>
          <w:sz w:val="20"/>
          <w:szCs w:val="20"/>
          <w:color w:val="auto"/>
        </w:rPr>
      </w:pPr>
    </w:p>
    <w:p>
      <w:pPr>
        <w:ind w:right="160" w:firstLine="494"/>
        <w:spacing w:after="0" w:line="239"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Adjusted Term SOFR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September 30, 2023 and December 31, 2022 was 4.58% and 4.43%, respectively.</w:t>
      </w:r>
    </w:p>
    <w:p>
      <w:pPr>
        <w:spacing w:after="0" w:line="85" w:lineRule="exact"/>
        <w:rPr>
          <w:sz w:val="20"/>
          <w:szCs w:val="20"/>
          <w:color w:val="auto"/>
        </w:rPr>
      </w:pPr>
    </w:p>
    <w:p>
      <w:pPr>
        <w:ind w:right="380" w:firstLine="494"/>
        <w:spacing w:after="0" w:line="242" w:lineRule="auto"/>
        <w:rPr>
          <w:sz w:val="20"/>
          <w:szCs w:val="20"/>
          <w:color w:val="auto"/>
        </w:rPr>
      </w:pPr>
      <w:r>
        <w:rPr>
          <w:rFonts w:ascii="Arial" w:cs="Arial" w:eastAsia="Arial" w:hAnsi="Arial"/>
          <w:sz w:val="18"/>
          <w:szCs w:val="18"/>
          <w:color w:val="auto"/>
        </w:rPr>
        <w:t>As of September 30, 2023, the Company recorded current and non-current operating lease liabilities of $4 million and $11 million, respectively. As of December 31, 2022, the Company recorded current and non-current operating lease liabilities of $4 million and $13 million, respectively. The following table reconciles future undiscounted cash flows for operating leases as of September 30, 2023 to total operating lease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right"/>
              <w:ind w:right="453"/>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9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2023</w:t>
            </w:r>
          </w:p>
        </w:tc>
      </w:tr>
      <w:tr>
        <w:trPr>
          <w:trHeight w:val="223"/>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 the remainder of 2023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r>
      <w:tr>
        <w:trPr>
          <w:trHeight w:val="229"/>
        </w:trPr>
        <w:tc>
          <w:tcPr>
            <w:tcW w:w="928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r>
      <w:tr>
        <w:trPr>
          <w:trHeight w:val="229"/>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w:t>
            </w:r>
          </w:p>
        </w:tc>
      </w:tr>
      <w:tr>
        <w:trPr>
          <w:trHeight w:val="229"/>
        </w:trPr>
        <w:tc>
          <w:tcPr>
            <w:tcW w:w="928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29"/>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29"/>
        </w:trPr>
        <w:tc>
          <w:tcPr>
            <w:tcW w:w="92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w:t>
            </w:r>
          </w:p>
        </w:tc>
      </w:tr>
      <w:tr>
        <w:trPr>
          <w:trHeight w:val="223"/>
        </w:trPr>
        <w:tc>
          <w:tcPr>
            <w:tcW w:w="9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7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17</w:t>
            </w:r>
          </w:p>
        </w:tc>
      </w:tr>
      <w:tr>
        <w:trPr>
          <w:trHeight w:val="229"/>
        </w:trPr>
        <w:tc>
          <w:tcPr>
            <w:tcW w:w="9280" w:type="dxa"/>
            <w:vAlign w:val="bottom"/>
          </w:tcPr>
          <w:p>
            <w:pPr>
              <w:ind w:left="5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63"/>
        </w:trPr>
        <w:tc>
          <w:tcPr>
            <w:tcW w:w="9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Present value of operating lease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15</w:t>
            </w:r>
          </w:p>
        </w:tc>
      </w:tr>
    </w:tbl>
    <w:p>
      <w:pPr>
        <w:spacing w:after="0" w:line="189" w:lineRule="exact"/>
        <w:rPr>
          <w:sz w:val="20"/>
          <w:szCs w:val="20"/>
          <w:color w:val="auto"/>
        </w:rPr>
      </w:pPr>
    </w:p>
    <w:p>
      <w:pPr>
        <w:ind w:right="260" w:firstLine="494"/>
        <w:spacing w:after="0" w:line="259"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36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223"/>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w:t>
            </w:r>
          </w:p>
        </w:tc>
        <w:tc>
          <w:tcPr>
            <w:tcW w:w="4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099"/>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13</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Land</w:t>
            </w:r>
          </w:p>
        </w:tc>
        <w:tc>
          <w:tcPr>
            <w:tcW w:w="4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w:t>
            </w:r>
          </w:p>
        </w:tc>
      </w:tr>
      <w:tr>
        <w:trPr>
          <w:trHeight w:val="229"/>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4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Vehicles</w:t>
            </w:r>
          </w:p>
        </w:tc>
        <w:tc>
          <w:tcPr>
            <w:tcW w:w="41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r>
      <w:tr>
        <w:trPr>
          <w:trHeight w:val="263"/>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ROU assets</w:t>
            </w:r>
          </w:p>
        </w:tc>
        <w:tc>
          <w:tcPr>
            <w:tcW w:w="416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99"/>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15</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w:t>
            </w:r>
          </w:p>
        </w:tc>
      </w:tr>
      <w:tr>
        <w:trPr>
          <w:trHeight w:val="574"/>
        </w:trPr>
        <w:tc>
          <w:tcPr>
            <w:tcW w:w="3600" w:type="dxa"/>
            <w:vAlign w:val="bottom"/>
            <w:tcBorders>
              <w:top w:val="single" w:sz="8" w:color="CFF0FC"/>
            </w:tcBorders>
          </w:tcPr>
          <w:p>
            <w:pPr>
              <w:spacing w:after="0"/>
              <w:rPr>
                <w:sz w:val="24"/>
                <w:szCs w:val="24"/>
                <w:color w:val="auto"/>
              </w:rPr>
            </w:pPr>
          </w:p>
        </w:tc>
        <w:tc>
          <w:tcPr>
            <w:tcW w:w="4160" w:type="dxa"/>
            <w:vAlign w:val="bottom"/>
            <w:tcBorders>
              <w:top w:val="single" w:sz="8" w:color="CFF0FC"/>
            </w:tcBorders>
          </w:tcPr>
          <w:p>
            <w:pPr>
              <w:jc w:val="right"/>
              <w:ind w:right="1950"/>
              <w:spacing w:after="0"/>
              <w:rPr>
                <w:sz w:val="20"/>
                <w:szCs w:val="20"/>
                <w:color w:val="auto"/>
              </w:rPr>
            </w:pPr>
            <w:r>
              <w:rPr>
                <w:rFonts w:ascii="Arial" w:cs="Arial" w:eastAsia="Arial" w:hAnsi="Arial"/>
                <w:sz w:val="18"/>
                <w:szCs w:val="18"/>
                <w:color w:val="auto"/>
              </w:rPr>
              <w:t>17</w:t>
            </w:r>
          </w:p>
        </w:tc>
        <w:tc>
          <w:tcPr>
            <w:tcW w:w="13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101"/>
        </w:trPr>
        <w:tc>
          <w:tcPr>
            <w:tcW w:w="3600" w:type="dxa"/>
            <w:vAlign w:val="bottom"/>
            <w:tcBorders>
              <w:bottom w:val="single" w:sz="8" w:color="9A9A9A"/>
            </w:tcBorders>
          </w:tcPr>
          <w:p>
            <w:pPr>
              <w:spacing w:after="0"/>
              <w:rPr>
                <w:sz w:val="8"/>
                <w:szCs w:val="8"/>
                <w:color w:val="auto"/>
              </w:rPr>
            </w:pPr>
          </w:p>
        </w:tc>
        <w:tc>
          <w:tcPr>
            <w:tcW w:w="4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-478790</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-461645</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9" w:lineRule="exact"/>
        <w:rPr>
          <w:sz w:val="20"/>
          <w:szCs w:val="20"/>
          <w:color w:val="auto"/>
        </w:rPr>
      </w:pPr>
    </w:p>
    <w:p>
      <w:pPr>
        <w:ind w:right="740" w:firstLine="494"/>
        <w:spacing w:after="0" w:line="259" w:lineRule="auto"/>
        <w:rPr>
          <w:sz w:val="20"/>
          <w:szCs w:val="20"/>
          <w:color w:val="auto"/>
        </w:rPr>
      </w:pPr>
      <w:r>
        <w:rPr>
          <w:rFonts w:ascii="Arial" w:cs="Arial" w:eastAsia="Arial" w:hAnsi="Arial"/>
          <w:sz w:val="18"/>
          <w:szCs w:val="18"/>
          <w:color w:val="auto"/>
        </w:rPr>
        <w:t>The weighted average remaining lease term as of September 30, 2023 and September 30, 2022 was 5.8 years and 6.7 years, respectively.</w:t>
      </w:r>
    </w:p>
    <w:p>
      <w:pPr>
        <w:spacing w:after="0" w:line="66"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Operating lease expense was $2 million and $5 million for the three and nine months ended September 30, 2023, respectively, and $1 million and $4 million for the three and nine months ended September 30, 2022, respectively. Operating lease expense was recorded within Selling, general and administrative expense and Engineering — research and development on the Company's Condensed Consolidated Statements of Comprehensive Income. There was no material short-term operating lease expense for any of the three or nine months ended September 30, 2023 or 2022.</w:t>
      </w:r>
    </w:p>
    <w:p>
      <w:pPr>
        <w:spacing w:after="0" w:line="84" w:lineRule="exact"/>
        <w:rPr>
          <w:sz w:val="20"/>
          <w:szCs w:val="20"/>
          <w:color w:val="auto"/>
        </w:rPr>
      </w:pPr>
    </w:p>
    <w:p>
      <w:pPr>
        <w:ind w:right="100" w:firstLine="494"/>
        <w:spacing w:after="0" w:line="259" w:lineRule="auto"/>
        <w:rPr>
          <w:sz w:val="20"/>
          <w:szCs w:val="20"/>
          <w:color w:val="auto"/>
        </w:rPr>
      </w:pPr>
      <w:r>
        <w:rPr>
          <w:rFonts w:ascii="Arial" w:cs="Arial" w:eastAsia="Arial" w:hAnsi="Arial"/>
          <w:sz w:val="18"/>
          <w:szCs w:val="18"/>
          <w:color w:val="auto"/>
        </w:rPr>
        <w:t>During each of the nine months ended September 30, 2023 and 2022, there were $2 million in new ROU assets obtained in exchange for lease obligations.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OTHER CURRENT LIABILITIES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13"/>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3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related costs</w:t>
            </w:r>
          </w:p>
        </w:tc>
        <w:tc>
          <w:tcPr>
            <w:tcW w:w="3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70</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Sales incentives</w:t>
            </w: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35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 payable</w:t>
            </w:r>
          </w:p>
        </w:tc>
        <w:tc>
          <w:tcPr>
            <w:tcW w:w="3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Vendor buyback obligation</w:t>
            </w: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payable</w:t>
            </w:r>
          </w:p>
        </w:tc>
        <w:tc>
          <w:tcPr>
            <w:tcW w:w="3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Construction holdback</w:t>
            </w: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OPEB liability</w:t>
            </w:r>
          </w:p>
        </w:tc>
        <w:tc>
          <w:tcPr>
            <w:tcW w:w="3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accruals</w:t>
            </w:r>
          </w:p>
        </w:tc>
        <w:tc>
          <w:tcPr>
            <w:tcW w:w="39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15</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820" w:type="dxa"/>
            <w:vAlign w:val="bottom"/>
          </w:tcPr>
          <w:p>
            <w:pPr>
              <w:ind w:left="280"/>
              <w:spacing w:after="0"/>
              <w:rPr>
                <w:sz w:val="20"/>
                <w:szCs w:val="20"/>
                <w:color w:val="auto"/>
              </w:rPr>
            </w:pPr>
            <w:r>
              <w:rPr>
                <w:rFonts w:ascii="Arial" w:cs="Arial" w:eastAsia="Arial" w:hAnsi="Arial"/>
                <w:sz w:val="18"/>
                <w:szCs w:val="18"/>
                <w:color w:val="auto"/>
              </w:rPr>
              <w:t>Total</w:t>
            </w:r>
          </w:p>
        </w:tc>
        <w:tc>
          <w:tcPr>
            <w:tcW w:w="4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193</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940" w:type="dxa"/>
            <w:vAlign w:val="bottom"/>
            <w:vMerge w:val="restart"/>
          </w:tcPr>
          <w:p>
            <w:pPr>
              <w:jc w:val="right"/>
              <w:ind w:right="195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2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2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-633095</wp:posOffset>
            </wp:positionV>
            <wp:extent cx="111125"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EMPLOYEE BENEFIT PLANS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net periodic benefit cost (credit) consist of the following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4"/>
                <w:szCs w:val="14"/>
                <w:b w:val="1"/>
                <w:bCs w:val="1"/>
                <w:color w:val="auto"/>
              </w:rPr>
              <w:t>Pension Plans</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14"/>
                <w:szCs w:val="14"/>
                <w:b w:val="1"/>
                <w:bCs w:val="1"/>
                <w:color w:val="auto"/>
              </w:rPr>
              <w:t>Post-retirement Benefits</w:t>
            </w:r>
          </w:p>
        </w:tc>
        <w:tc>
          <w:tcPr>
            <w:tcW w:w="400" w:type="dxa"/>
            <w:vAlign w:val="bottom"/>
            <w:tcBorders>
              <w:bottom w:val="single" w:sz="8" w:color="auto"/>
            </w:tcBorders>
          </w:tcPr>
          <w:p>
            <w:pPr>
              <w:spacing w:after="0"/>
              <w:rPr>
                <w:sz w:val="16"/>
                <w:szCs w:val="16"/>
                <w:color w:val="auto"/>
              </w:rPr>
            </w:pPr>
          </w:p>
        </w:tc>
      </w:tr>
      <w:tr>
        <w:trPr>
          <w:trHeight w:val="156"/>
        </w:trPr>
        <w:tc>
          <w:tcPr>
            <w:tcW w:w="5860" w:type="dxa"/>
            <w:vAlign w:val="bottom"/>
          </w:tcPr>
          <w:p>
            <w:pPr>
              <w:spacing w:after="0"/>
              <w:rPr>
                <w:sz w:val="13"/>
                <w:szCs w:val="13"/>
                <w:color w:val="auto"/>
              </w:rPr>
            </w:pPr>
          </w:p>
        </w:tc>
        <w:tc>
          <w:tcPr>
            <w:tcW w:w="2240" w:type="dxa"/>
            <w:vAlign w:val="bottom"/>
            <w:gridSpan w:val="4"/>
          </w:tcPr>
          <w:p>
            <w:pPr>
              <w:jc w:val="center"/>
              <w:ind w:left="221"/>
              <w:spacing w:after="0" w:line="155" w:lineRule="exact"/>
              <w:rPr>
                <w:sz w:val="20"/>
                <w:szCs w:val="20"/>
                <w:color w:val="auto"/>
              </w:rPr>
            </w:pPr>
            <w:r>
              <w:rPr>
                <w:rFonts w:ascii="Arial" w:cs="Arial" w:eastAsia="Arial" w:hAnsi="Arial"/>
                <w:sz w:val="14"/>
                <w:szCs w:val="14"/>
                <w:b w:val="1"/>
                <w:bCs w:val="1"/>
                <w:color w:val="auto"/>
              </w:rPr>
              <w:t>For the Three Months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4"/>
          </w:tcPr>
          <w:p>
            <w:pPr>
              <w:jc w:val="center"/>
              <w:ind w:left="204"/>
              <w:spacing w:after="0" w:line="155" w:lineRule="exact"/>
              <w:rPr>
                <w:sz w:val="20"/>
                <w:szCs w:val="20"/>
                <w:color w:val="auto"/>
              </w:rPr>
            </w:pPr>
            <w:r>
              <w:rPr>
                <w:rFonts w:ascii="Arial" w:cs="Arial" w:eastAsia="Arial" w:hAnsi="Arial"/>
                <w:sz w:val="14"/>
                <w:szCs w:val="14"/>
                <w:b w:val="1"/>
                <w:bCs w:val="1"/>
                <w:color w:val="auto"/>
              </w:rPr>
              <w:t>For the Three Months</w:t>
            </w:r>
          </w:p>
        </w:tc>
        <w:tc>
          <w:tcPr>
            <w:tcW w:w="400" w:type="dxa"/>
            <w:vAlign w:val="bottom"/>
          </w:tcPr>
          <w:p>
            <w:pPr>
              <w:spacing w:after="0"/>
              <w:rPr>
                <w:sz w:val="13"/>
                <w:szCs w:val="13"/>
                <w:color w:val="auto"/>
              </w:rPr>
            </w:pPr>
          </w:p>
        </w:tc>
      </w:tr>
      <w:tr>
        <w:trPr>
          <w:trHeight w:val="189"/>
        </w:trPr>
        <w:tc>
          <w:tcPr>
            <w:tcW w:w="5860" w:type="dxa"/>
            <w:vAlign w:val="bottom"/>
          </w:tcPr>
          <w:p>
            <w:pPr>
              <w:spacing w:after="0"/>
              <w:rPr>
                <w:sz w:val="16"/>
                <w:szCs w:val="16"/>
                <w:color w:val="auto"/>
              </w:rPr>
            </w:pPr>
          </w:p>
        </w:tc>
        <w:tc>
          <w:tcPr>
            <w:tcW w:w="2240" w:type="dxa"/>
            <w:vAlign w:val="bottom"/>
            <w:gridSpan w:val="4"/>
          </w:tcPr>
          <w:p>
            <w:pPr>
              <w:jc w:val="center"/>
              <w:ind w:left="221"/>
              <w:spacing w:after="0"/>
              <w:rPr>
                <w:sz w:val="20"/>
                <w:szCs w:val="20"/>
                <w:color w:val="auto"/>
              </w:rPr>
            </w:pPr>
            <w:r>
              <w:rPr>
                <w:rFonts w:ascii="Arial" w:cs="Arial" w:eastAsia="Arial" w:hAnsi="Arial"/>
                <w:sz w:val="14"/>
                <w:szCs w:val="14"/>
                <w:b w:val="1"/>
                <w:bCs w:val="1"/>
                <w:color w:val="auto"/>
              </w:rPr>
              <w:t>Ended September 30,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center"/>
              <w:ind w:left="204"/>
              <w:spacing w:after="0"/>
              <w:rPr>
                <w:sz w:val="20"/>
                <w:szCs w:val="20"/>
                <w:color w:val="auto"/>
              </w:rPr>
            </w:pPr>
            <w:r>
              <w:rPr>
                <w:rFonts w:ascii="Arial" w:cs="Arial" w:eastAsia="Arial" w:hAnsi="Arial"/>
                <w:sz w:val="14"/>
                <w:szCs w:val="14"/>
                <w:b w:val="1"/>
                <w:bCs w:val="1"/>
                <w:color w:val="auto"/>
              </w:rPr>
              <w:t>Ended September 30,</w:t>
            </w:r>
          </w:p>
        </w:tc>
        <w:tc>
          <w:tcPr>
            <w:tcW w:w="400" w:type="dxa"/>
            <w:vAlign w:val="bottom"/>
          </w:tcPr>
          <w:p>
            <w:pPr>
              <w:spacing w:after="0"/>
              <w:rPr>
                <w:sz w:val="16"/>
                <w:szCs w:val="16"/>
                <w:color w:val="auto"/>
              </w:rPr>
            </w:pPr>
          </w:p>
        </w:tc>
      </w:tr>
      <w:tr>
        <w:trPr>
          <w:trHeight w:val="189"/>
        </w:trPr>
        <w:tc>
          <w:tcPr>
            <w:tcW w:w="58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96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tcPr>
          <w:p>
            <w:pPr>
              <w:jc w:val="right"/>
              <w:ind w:right="56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1</w:t>
            </w:r>
          </w:p>
        </w:tc>
        <w:tc>
          <w:tcPr>
            <w:tcW w:w="9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644"/>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Recognized actuarial loss (gain)</w:t>
            </w: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60" w:type="dxa"/>
            <w:vAlign w:val="bottom"/>
            <w:tcBorders>
              <w:bottom w:val="single" w:sz="8" w:color="auto"/>
            </w:tcBorders>
            <w:shd w:val="clear" w:color="auto" w:fill="CFF0FC"/>
          </w:tcPr>
          <w:p>
            <w:pPr>
              <w:jc w:val="right"/>
              <w:ind w:right="56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44"/>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371"/>
        </w:trPr>
        <w:tc>
          <w:tcPr>
            <w:tcW w:w="58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4"/>
                <w:szCs w:val="14"/>
                <w:b w:val="1"/>
                <w:bCs w:val="1"/>
                <w:color w:val="auto"/>
              </w:rPr>
              <w:t>Pension Plans</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14"/>
                <w:szCs w:val="14"/>
                <w:b w:val="1"/>
                <w:bCs w:val="1"/>
                <w:color w:val="auto"/>
              </w:rPr>
              <w:t>Post-retirement Benefits</w:t>
            </w:r>
          </w:p>
        </w:tc>
        <w:tc>
          <w:tcPr>
            <w:tcW w:w="400" w:type="dxa"/>
            <w:vAlign w:val="bottom"/>
            <w:tcBorders>
              <w:bottom w:val="single" w:sz="8" w:color="auto"/>
            </w:tcBorders>
          </w:tcPr>
          <w:p>
            <w:pPr>
              <w:spacing w:after="0"/>
              <w:rPr>
                <w:sz w:val="24"/>
                <w:szCs w:val="24"/>
                <w:color w:val="auto"/>
              </w:rPr>
            </w:pPr>
          </w:p>
        </w:tc>
      </w:tr>
      <w:tr>
        <w:trPr>
          <w:trHeight w:val="156"/>
        </w:trPr>
        <w:tc>
          <w:tcPr>
            <w:tcW w:w="5860" w:type="dxa"/>
            <w:vAlign w:val="bottom"/>
          </w:tcPr>
          <w:p>
            <w:pPr>
              <w:spacing w:after="0"/>
              <w:rPr>
                <w:sz w:val="13"/>
                <w:szCs w:val="13"/>
                <w:color w:val="auto"/>
              </w:rPr>
            </w:pPr>
          </w:p>
        </w:tc>
        <w:tc>
          <w:tcPr>
            <w:tcW w:w="2240" w:type="dxa"/>
            <w:vAlign w:val="bottom"/>
            <w:gridSpan w:val="4"/>
          </w:tcPr>
          <w:p>
            <w:pPr>
              <w:jc w:val="center"/>
              <w:ind w:left="221"/>
              <w:spacing w:after="0" w:line="155" w:lineRule="exact"/>
              <w:rPr>
                <w:sz w:val="20"/>
                <w:szCs w:val="20"/>
                <w:color w:val="auto"/>
              </w:rPr>
            </w:pPr>
            <w:r>
              <w:rPr>
                <w:rFonts w:ascii="Arial" w:cs="Arial" w:eastAsia="Arial" w:hAnsi="Arial"/>
                <w:sz w:val="14"/>
                <w:szCs w:val="14"/>
                <w:b w:val="1"/>
                <w:bCs w:val="1"/>
                <w:color w:val="auto"/>
              </w:rPr>
              <w:t>For the Nine Months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4"/>
          </w:tcPr>
          <w:p>
            <w:pPr>
              <w:jc w:val="center"/>
              <w:ind w:left="204"/>
              <w:spacing w:after="0" w:line="155" w:lineRule="exact"/>
              <w:rPr>
                <w:sz w:val="20"/>
                <w:szCs w:val="20"/>
                <w:color w:val="auto"/>
              </w:rPr>
            </w:pPr>
            <w:r>
              <w:rPr>
                <w:rFonts w:ascii="Arial" w:cs="Arial" w:eastAsia="Arial" w:hAnsi="Arial"/>
                <w:sz w:val="14"/>
                <w:szCs w:val="14"/>
                <w:b w:val="1"/>
                <w:bCs w:val="1"/>
                <w:color w:val="auto"/>
              </w:rPr>
              <w:t>For the Nine Months</w:t>
            </w:r>
          </w:p>
        </w:tc>
        <w:tc>
          <w:tcPr>
            <w:tcW w:w="400" w:type="dxa"/>
            <w:vAlign w:val="bottom"/>
          </w:tcPr>
          <w:p>
            <w:pPr>
              <w:spacing w:after="0"/>
              <w:rPr>
                <w:sz w:val="13"/>
                <w:szCs w:val="13"/>
                <w:color w:val="auto"/>
              </w:rPr>
            </w:pPr>
          </w:p>
        </w:tc>
      </w:tr>
      <w:tr>
        <w:trPr>
          <w:trHeight w:val="189"/>
        </w:trPr>
        <w:tc>
          <w:tcPr>
            <w:tcW w:w="5860" w:type="dxa"/>
            <w:vAlign w:val="bottom"/>
          </w:tcPr>
          <w:p>
            <w:pPr>
              <w:spacing w:after="0"/>
              <w:rPr>
                <w:sz w:val="16"/>
                <w:szCs w:val="16"/>
                <w:color w:val="auto"/>
              </w:rPr>
            </w:pPr>
          </w:p>
        </w:tc>
        <w:tc>
          <w:tcPr>
            <w:tcW w:w="2240" w:type="dxa"/>
            <w:vAlign w:val="bottom"/>
            <w:gridSpan w:val="4"/>
          </w:tcPr>
          <w:p>
            <w:pPr>
              <w:jc w:val="center"/>
              <w:ind w:left="221"/>
              <w:spacing w:after="0"/>
              <w:rPr>
                <w:sz w:val="20"/>
                <w:szCs w:val="20"/>
                <w:color w:val="auto"/>
              </w:rPr>
            </w:pPr>
            <w:r>
              <w:rPr>
                <w:rFonts w:ascii="Arial" w:cs="Arial" w:eastAsia="Arial" w:hAnsi="Arial"/>
                <w:sz w:val="14"/>
                <w:szCs w:val="14"/>
                <w:b w:val="1"/>
                <w:bCs w:val="1"/>
                <w:color w:val="auto"/>
              </w:rPr>
              <w:t>Ended September 30,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center"/>
              <w:ind w:left="204"/>
              <w:spacing w:after="0"/>
              <w:rPr>
                <w:sz w:val="20"/>
                <w:szCs w:val="20"/>
                <w:color w:val="auto"/>
              </w:rPr>
            </w:pPr>
            <w:r>
              <w:rPr>
                <w:rFonts w:ascii="Arial" w:cs="Arial" w:eastAsia="Arial" w:hAnsi="Arial"/>
                <w:sz w:val="14"/>
                <w:szCs w:val="14"/>
                <w:b w:val="1"/>
                <w:bCs w:val="1"/>
                <w:color w:val="auto"/>
              </w:rPr>
              <w:t>Ended September 30,</w:t>
            </w:r>
          </w:p>
        </w:tc>
        <w:tc>
          <w:tcPr>
            <w:tcW w:w="400" w:type="dxa"/>
            <w:vAlign w:val="bottom"/>
          </w:tcPr>
          <w:p>
            <w:pPr>
              <w:spacing w:after="0"/>
              <w:rPr>
                <w:sz w:val="16"/>
                <w:szCs w:val="16"/>
                <w:color w:val="auto"/>
              </w:rPr>
            </w:pPr>
          </w:p>
        </w:tc>
      </w:tr>
      <w:tr>
        <w:trPr>
          <w:trHeight w:val="189"/>
        </w:trPr>
        <w:tc>
          <w:tcPr>
            <w:tcW w:w="58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96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tcPr>
          <w:p>
            <w:pPr>
              <w:jc w:val="right"/>
              <w:ind w:right="56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c>
          <w:tcPr>
            <w:tcW w:w="9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644"/>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Recognized actuarial loss (gain)</w:t>
            </w: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60" w:type="dxa"/>
            <w:vAlign w:val="bottom"/>
            <w:tcBorders>
              <w:bottom w:val="single" w:sz="8" w:color="auto"/>
            </w:tcBorders>
            <w:shd w:val="clear" w:color="auto" w:fill="CFF0FC"/>
          </w:tcPr>
          <w:p>
            <w:pPr>
              <w:jc w:val="right"/>
              <w:ind w:right="56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w:t>
            </w:r>
          </w:p>
        </w:tc>
        <w:tc>
          <w:tcPr>
            <w:tcW w:w="1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44"/>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-1685925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-1668780</wp:posOffset>
            </wp:positionV>
            <wp:extent cx="93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-1685925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-1668780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-1685925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-1668780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-24765</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-7620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-24765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-7620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9" w:lineRule="exact"/>
        <w:rPr>
          <w:sz w:val="20"/>
          <w:szCs w:val="20"/>
          <w:color w:val="auto"/>
        </w:rPr>
      </w:pPr>
    </w:p>
    <w:p>
      <w:pPr>
        <w:ind w:right="300" w:firstLine="494"/>
        <w:spacing w:after="0" w:line="259" w:lineRule="auto"/>
        <w:rPr>
          <w:sz w:val="20"/>
          <w:szCs w:val="20"/>
          <w:color w:val="auto"/>
        </w:rPr>
      </w:pPr>
      <w:r>
        <w:rPr>
          <w:rFonts w:ascii="Arial" w:cs="Arial" w:eastAsia="Arial" w:hAnsi="Arial"/>
          <w:sz w:val="18"/>
          <w:szCs w:val="18"/>
          <w:color w:val="auto"/>
        </w:rPr>
        <w:t>The components of net periodic benefit cost (credit) other than the service cost component are included in Other (expense) income, net in the Condensed Consolidated Statements of Comprehensive Income.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INCOME TAXES</w:t>
      </w:r>
    </w:p>
    <w:p>
      <w:pPr>
        <w:spacing w:after="0" w:line="113"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For the three and nine months ended September 30, 2023, the Company recorded total income tax expense of $35 million and $118 million, respectively. The effective tax rate for the three and nine months ended September 30, 2023 was 18% and 19%, respectively. For the three and nine months ended September 30, 2022, the Company recorded total income tax expense of $20 million and $86 million, respectively. The effective tax rate for the three and nine months ended September 30, 2022 was 13% and 18%, respectively. The lower effective tax rate for the three months ended September 30, 2022 was due to enacted state tax rate legislation that resulted in a non-recurring deferred tax benefit in 2022.</w:t>
      </w:r>
    </w:p>
    <w:p>
      <w:pPr>
        <w:spacing w:after="0" w:line="85" w:lineRule="exact"/>
        <w:rPr>
          <w:sz w:val="20"/>
          <w:szCs w:val="20"/>
          <w:color w:val="auto"/>
        </w:rPr>
      </w:pPr>
    </w:p>
    <w:p>
      <w:pPr>
        <w:ind w:right="220" w:firstLine="494"/>
        <w:spacing w:after="0"/>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98"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The Company has determined, based on the evaluation of both objective and subjective evidence available, that this valuation allowance is necessary and that it is more likely than not that the deferred tax assets are not fully realizable.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ACCUMULATED OTHER COMPREHENSIVE LOSS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56"/>
        </w:trPr>
        <w:tc>
          <w:tcPr>
            <w:tcW w:w="5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155"/>
              <w:spacing w:after="0" w:line="155" w:lineRule="exact"/>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175"/>
              <w:spacing w:after="0"/>
              <w:rPr>
                <w:sz w:val="20"/>
                <w:szCs w:val="20"/>
                <w:color w:val="auto"/>
              </w:rPr>
            </w:pPr>
            <w:r>
              <w:rPr>
                <w:rFonts w:ascii="Arial" w:cs="Arial" w:eastAsia="Arial" w:hAnsi="Arial"/>
                <w:sz w:val="14"/>
                <w:szCs w:val="14"/>
                <w:b w:val="1"/>
                <w:bCs w:val="1"/>
                <w:color w:val="auto"/>
              </w:rPr>
              <w:t>and OPEB</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215"/>
              <w:spacing w:after="0"/>
              <w:rPr>
                <w:sz w:val="20"/>
                <w:szCs w:val="20"/>
                <w:color w:val="auto"/>
              </w:rPr>
            </w:pPr>
            <w:r>
              <w:rPr>
                <w:rFonts w:ascii="Arial" w:cs="Arial" w:eastAsia="Arial" w:hAnsi="Arial"/>
                <w:sz w:val="14"/>
                <w:szCs w:val="14"/>
                <w:b w:val="1"/>
                <w:bCs w:val="1"/>
                <w:color w:val="auto"/>
              </w:rPr>
              <w:t>liability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214"/>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5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rate swaps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items</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June 30, 2022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29"/>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2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AOCL as of September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June 30, 2023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(1 )</w:t>
            </w:r>
          </w:p>
        </w:tc>
      </w:tr>
      <w:tr>
        <w:trPr>
          <w:trHeight w:val="229"/>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r>
      <w:tr>
        <w:trPr>
          <w:trHeight w:val="22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AOCL as of September 30,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(47 )</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(32 )</w:t>
            </w: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1"/>
        </w:trPr>
        <w:tc>
          <w:tcPr>
            <w:tcW w:w="5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56"/>
        </w:trPr>
        <w:tc>
          <w:tcPr>
            <w:tcW w:w="5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155"/>
              <w:spacing w:after="0" w:line="155" w:lineRule="exact"/>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175"/>
              <w:spacing w:after="0"/>
              <w:rPr>
                <w:sz w:val="20"/>
                <w:szCs w:val="20"/>
                <w:color w:val="auto"/>
              </w:rPr>
            </w:pPr>
            <w:r>
              <w:rPr>
                <w:rFonts w:ascii="Arial" w:cs="Arial" w:eastAsia="Arial" w:hAnsi="Arial"/>
                <w:sz w:val="14"/>
                <w:szCs w:val="14"/>
                <w:b w:val="1"/>
                <w:bCs w:val="1"/>
                <w:color w:val="auto"/>
              </w:rPr>
              <w:t>and OPEB</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215"/>
              <w:spacing w:after="0"/>
              <w:rPr>
                <w:sz w:val="20"/>
                <w:szCs w:val="20"/>
                <w:color w:val="auto"/>
              </w:rPr>
            </w:pPr>
            <w:r>
              <w:rPr>
                <w:rFonts w:ascii="Arial" w:cs="Arial" w:eastAsia="Arial" w:hAnsi="Arial"/>
                <w:sz w:val="14"/>
                <w:szCs w:val="14"/>
                <w:b w:val="1"/>
                <w:bCs w:val="1"/>
                <w:color w:val="auto"/>
              </w:rPr>
              <w:t>liability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214"/>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5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rate swaps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items</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w:t>
            </w:r>
          </w:p>
        </w:tc>
      </w:tr>
      <w:tr>
        <w:trPr>
          <w:trHeight w:val="229"/>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AOCL as of September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6</w:t>
            </w:r>
          </w:p>
        </w:tc>
      </w:tr>
      <w:tr>
        <w:trPr>
          <w:trHeight w:val="229"/>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(9 )</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(17 )</w:t>
            </w: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w:t>
            </w:r>
          </w:p>
        </w:tc>
      </w:tr>
      <w:tr>
        <w:trPr>
          <w:trHeight w:val="22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(10 )</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AOCL as of September 30, 2023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17</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(47 )</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(32 )</w:t>
            </w:r>
          </w:p>
        </w:tc>
      </w:tr>
      <w:tr>
        <w:trPr>
          <w:trHeight w:val="20"/>
        </w:trPr>
        <w:tc>
          <w:tcPr>
            <w:tcW w:w="5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-3621405</wp:posOffset>
            </wp:positionV>
            <wp:extent cx="9398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-3621405</wp:posOffset>
            </wp:positionV>
            <wp:extent cx="85725"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-3621405</wp:posOffset>
            </wp:positionV>
            <wp:extent cx="85725"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-2705100</wp:posOffset>
            </wp:positionV>
            <wp:extent cx="9398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-2705100</wp:posOffset>
            </wp:positionV>
            <wp:extent cx="85725"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-2705100</wp:posOffset>
            </wp:positionV>
            <wp:extent cx="85725"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-1095375</wp:posOffset>
            </wp:positionV>
            <wp:extent cx="9398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-1095375</wp:posOffset>
            </wp:positionV>
            <wp:extent cx="85725"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-1095375</wp:posOffset>
            </wp:positionV>
            <wp:extent cx="85725"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-179070</wp:posOffset>
            </wp:positionV>
            <wp:extent cx="9398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-179070</wp:posOffset>
            </wp:positionV>
            <wp:extent cx="85725"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-179070</wp:posOffset>
            </wp:positionV>
            <wp:extent cx="85725"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368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Amounts reclassified from AOCL</w:t>
            </w:r>
          </w:p>
        </w:tc>
        <w:tc>
          <w:tcPr>
            <w:tcW w:w="320" w:type="dxa"/>
            <w:vAlign w:val="bottom"/>
            <w:tcBorders>
              <w:bottom w:val="single" w:sz="8" w:color="auto"/>
            </w:tcBorders>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3"/>
                <w:szCs w:val="13"/>
                <w:color w:val="auto"/>
              </w:rPr>
            </w:pPr>
          </w:p>
        </w:tc>
        <w:tc>
          <w:tcPr>
            <w:tcW w:w="3340" w:type="dxa"/>
            <w:vAlign w:val="bottom"/>
          </w:tcPr>
          <w:p>
            <w:pPr>
              <w:jc w:val="center"/>
              <w:ind w:left="98"/>
              <w:spacing w:after="0" w:line="155" w:lineRule="exact"/>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jc w:val="center"/>
              <w:ind w:left="78"/>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2023</w:t>
            </w:r>
          </w:p>
        </w:tc>
        <w:tc>
          <w:tcPr>
            <w:tcW w:w="3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tcBorders>
              <w:bottom w:val="single" w:sz="8" w:color="auto"/>
            </w:tcBorders>
          </w:tcPr>
          <w:p>
            <w:pPr>
              <w:spacing w:after="0"/>
              <w:rPr>
                <w:sz w:val="16"/>
                <w:szCs w:val="16"/>
                <w:color w:val="auto"/>
              </w:rPr>
            </w:pPr>
          </w:p>
        </w:tc>
        <w:tc>
          <w:tcPr>
            <w:tcW w:w="3340" w:type="dxa"/>
            <w:vAlign w:val="bottom"/>
          </w:tcPr>
          <w:p>
            <w:pPr>
              <w:jc w:val="center"/>
              <w:ind w:left="78"/>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600" w:type="dxa"/>
            <w:vAlign w:val="bottom"/>
            <w:shd w:val="clear" w:color="auto" w:fill="CFF0FC"/>
          </w:tcPr>
          <w:p>
            <w:pPr>
              <w:jc w:val="right"/>
              <w:ind w:right="1419"/>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w:t>
            </w:r>
          </w:p>
        </w:tc>
        <w:tc>
          <w:tcPr>
            <w:tcW w:w="1760" w:type="dxa"/>
            <w:vAlign w:val="bottom"/>
            <w:gridSpan w:val="2"/>
            <w:shd w:val="clear" w:color="auto" w:fill="CFF0FC"/>
          </w:tcPr>
          <w:p>
            <w:pPr>
              <w:jc w:val="right"/>
              <w:ind w:right="140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(1 )</w:t>
            </w:r>
          </w:p>
        </w:tc>
        <w:tc>
          <w:tcPr>
            <w:tcW w:w="3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29"/>
        </w:trPr>
        <w:tc>
          <w:tcPr>
            <w:tcW w:w="390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60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34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Recognized actuarial gain (loss)</w:t>
            </w:r>
          </w:p>
        </w:tc>
        <w:tc>
          <w:tcPr>
            <w:tcW w:w="16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6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(1 )  Other (expense) income, net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reclassifications, before tax</w:t>
            </w:r>
          </w:p>
        </w:tc>
        <w:tc>
          <w:tcPr>
            <w:tcW w:w="1600" w:type="dxa"/>
            <w:vAlign w:val="bottom"/>
            <w:tcBorders>
              <w:top w:val="single" w:sz="8" w:color="auto"/>
            </w:tcBorders>
          </w:tcPr>
          <w:p>
            <w:pPr>
              <w:jc w:val="right"/>
              <w:ind w:right="1419"/>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180" w:type="dxa"/>
            <w:vAlign w:val="bottom"/>
            <w:tcBorders>
              <w:top w:val="single" w:sz="8" w:color="CFF0FC"/>
            </w:tcBorders>
          </w:tcPr>
          <w:p>
            <w:pPr>
              <w:spacing w:after="0"/>
              <w:rPr>
                <w:sz w:val="19"/>
                <w:szCs w:val="19"/>
                <w:color w:val="auto"/>
              </w:rPr>
            </w:pPr>
          </w:p>
        </w:tc>
        <w:tc>
          <w:tcPr>
            <w:tcW w:w="1580" w:type="dxa"/>
            <w:vAlign w:val="bottom"/>
            <w:tcBorders>
              <w:top w:val="single" w:sz="8" w:color="auto"/>
            </w:tcBorders>
          </w:tcPr>
          <w:p>
            <w:pPr>
              <w:jc w:val="right"/>
              <w:ind w:right="140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34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6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6"/>
              </w:rPr>
              <w:t>(1 )</w:t>
            </w:r>
          </w:p>
        </w:tc>
        <w:tc>
          <w:tcPr>
            <w:tcW w:w="1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3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Total reclassifications, net of tax</w:t>
            </w:r>
          </w:p>
        </w:tc>
        <w:tc>
          <w:tcPr>
            <w:tcW w:w="1600" w:type="dxa"/>
            <w:vAlign w:val="bottom"/>
          </w:tcPr>
          <w:p>
            <w:pPr>
              <w:jc w:val="right"/>
              <w:ind w:right="1419"/>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760" w:type="dxa"/>
            <w:vAlign w:val="bottom"/>
            <w:gridSpan w:val="2"/>
          </w:tcPr>
          <w:p>
            <w:pPr>
              <w:jc w:val="right"/>
              <w:ind w:right="140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20</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9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-923925</wp:posOffset>
            </wp:positionV>
            <wp:extent cx="11112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-923925</wp:posOffset>
            </wp:positionV>
            <wp:extent cx="11112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-624205</wp:posOffset>
            </wp:positionV>
            <wp:extent cx="111125"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-624205</wp:posOffset>
            </wp:positionV>
            <wp:extent cx="111125"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368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Amounts reclassified from AOCL</w:t>
            </w:r>
          </w:p>
        </w:tc>
        <w:tc>
          <w:tcPr>
            <w:tcW w:w="320" w:type="dxa"/>
            <w:vAlign w:val="bottom"/>
            <w:tcBorders>
              <w:bottom w:val="single" w:sz="8" w:color="auto"/>
            </w:tcBorders>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3"/>
                <w:szCs w:val="13"/>
                <w:color w:val="auto"/>
              </w:rPr>
            </w:pPr>
          </w:p>
        </w:tc>
        <w:tc>
          <w:tcPr>
            <w:tcW w:w="3340" w:type="dxa"/>
            <w:vAlign w:val="bottom"/>
          </w:tcPr>
          <w:p>
            <w:pPr>
              <w:ind w:left="540"/>
              <w:spacing w:after="0" w:line="155" w:lineRule="exact"/>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2023</w:t>
            </w:r>
          </w:p>
        </w:tc>
        <w:tc>
          <w:tcPr>
            <w:tcW w:w="3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tcBorders>
              <w:bottom w:val="single" w:sz="8" w:color="auto"/>
            </w:tcBorders>
          </w:tcPr>
          <w:p>
            <w:pPr>
              <w:spacing w:after="0"/>
              <w:rPr>
                <w:sz w:val="16"/>
                <w:szCs w:val="16"/>
                <w:color w:val="auto"/>
              </w:rPr>
            </w:pPr>
          </w:p>
        </w:tc>
        <w:tc>
          <w:tcPr>
            <w:tcW w:w="3340" w:type="dxa"/>
            <w:vAlign w:val="bottom"/>
          </w:tcPr>
          <w:p>
            <w:pPr>
              <w:ind w:left="940"/>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580" w:type="dxa"/>
            <w:vAlign w:val="bottom"/>
            <w:shd w:val="clear" w:color="auto" w:fill="CFF0FC"/>
          </w:tcPr>
          <w:p>
            <w:pPr>
              <w:jc w:val="right"/>
              <w:ind w:right="1399"/>
              <w:spacing w:after="0"/>
              <w:rPr>
                <w:sz w:val="20"/>
                <w:szCs w:val="20"/>
                <w:color w:val="auto"/>
              </w:rPr>
            </w:pPr>
            <w:r>
              <w:rPr>
                <w:rFonts w:ascii="Arial" w:cs="Arial" w:eastAsia="Arial" w:hAnsi="Arial"/>
                <w:sz w:val="18"/>
                <w:szCs w:val="18"/>
                <w:b w:val="1"/>
                <w:bCs w:val="1"/>
                <w:color w:val="auto"/>
                <w:w w:val="79"/>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8</w:t>
            </w:r>
          </w:p>
        </w:tc>
        <w:tc>
          <w:tcPr>
            <w:tcW w:w="1760" w:type="dxa"/>
            <w:vAlign w:val="bottom"/>
            <w:gridSpan w:val="2"/>
            <w:shd w:val="clear" w:color="auto" w:fill="CFF0FC"/>
          </w:tcPr>
          <w:p>
            <w:pPr>
              <w:jc w:val="right"/>
              <w:ind w:right="140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(7 )</w:t>
            </w:r>
          </w:p>
        </w:tc>
        <w:tc>
          <w:tcPr>
            <w:tcW w:w="3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29"/>
        </w:trPr>
        <w:tc>
          <w:tcPr>
            <w:tcW w:w="390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5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334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Recognized actuarial gain (loss)</w:t>
            </w:r>
          </w:p>
        </w:tc>
        <w:tc>
          <w:tcPr>
            <w:tcW w:w="15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6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(1 )  Other (expense) income, net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reclassifications, before tax</w:t>
            </w:r>
          </w:p>
        </w:tc>
        <w:tc>
          <w:tcPr>
            <w:tcW w:w="1580" w:type="dxa"/>
            <w:vAlign w:val="bottom"/>
            <w:tcBorders>
              <w:top w:val="single" w:sz="8" w:color="auto"/>
            </w:tcBorders>
          </w:tcPr>
          <w:p>
            <w:pPr>
              <w:jc w:val="right"/>
              <w:ind w:right="1399"/>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17</w:t>
            </w:r>
          </w:p>
        </w:tc>
        <w:tc>
          <w:tcPr>
            <w:tcW w:w="180" w:type="dxa"/>
            <w:vAlign w:val="bottom"/>
            <w:tcBorders>
              <w:top w:val="single" w:sz="8" w:color="CFF0FC"/>
            </w:tcBorders>
          </w:tcPr>
          <w:p>
            <w:pPr>
              <w:spacing w:after="0"/>
              <w:rPr>
                <w:sz w:val="19"/>
                <w:szCs w:val="19"/>
                <w:color w:val="auto"/>
              </w:rPr>
            </w:pPr>
          </w:p>
        </w:tc>
        <w:tc>
          <w:tcPr>
            <w:tcW w:w="1580" w:type="dxa"/>
            <w:vAlign w:val="bottom"/>
            <w:tcBorders>
              <w:top w:val="single" w:sz="8" w:color="auto"/>
            </w:tcBorders>
          </w:tcPr>
          <w:p>
            <w:pPr>
              <w:jc w:val="right"/>
              <w:ind w:right="140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334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5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3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Total reclassifications, net of tax</w:t>
            </w:r>
          </w:p>
        </w:tc>
        <w:tc>
          <w:tcPr>
            <w:tcW w:w="1580" w:type="dxa"/>
            <w:vAlign w:val="bottom"/>
          </w:tcPr>
          <w:p>
            <w:pPr>
              <w:jc w:val="right"/>
              <w:ind w:right="1399"/>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13</w:t>
            </w:r>
          </w:p>
        </w:tc>
        <w:tc>
          <w:tcPr>
            <w:tcW w:w="1760" w:type="dxa"/>
            <w:vAlign w:val="bottom"/>
            <w:gridSpan w:val="2"/>
          </w:tcPr>
          <w:p>
            <w:pPr>
              <w:jc w:val="right"/>
              <w:ind w:right="140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-478790</wp:posOffset>
            </wp:positionV>
            <wp:extent cx="111125"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-478790</wp:posOffset>
            </wp:positionV>
            <wp:extent cx="111125"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-179070</wp:posOffset>
            </wp:positionV>
            <wp:extent cx="111125"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-179070</wp:posOffset>
            </wp:positionV>
            <wp:extent cx="111125"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Prior service credits and actuarial gains (losses) are included in the computation of the Company’s net periodic benefit cost (credit).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See "Note M. Employee Benefit Plans” for additional details.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COMMITMENTS AND CONTINGENCIES</w:t>
      </w:r>
    </w:p>
    <w:p>
      <w:pPr>
        <w:spacing w:after="0" w:line="113" w:lineRule="exact"/>
        <w:rPr>
          <w:sz w:val="20"/>
          <w:szCs w:val="20"/>
          <w:color w:val="auto"/>
        </w:rPr>
      </w:pPr>
    </w:p>
    <w:p>
      <w:pPr>
        <w:ind w:right="220" w:firstLine="494"/>
        <w:spacing w:after="0"/>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13" w:lineRule="exact"/>
        <w:rPr>
          <w:sz w:val="20"/>
          <w:szCs w:val="20"/>
          <w:color w:val="auto"/>
        </w:rPr>
      </w:pPr>
    </w:p>
    <w:p>
      <w:pPr>
        <w:ind w:right="480" w:firstLine="494"/>
        <w:spacing w:after="0" w:line="259"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(dollars in millions,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16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r>
      <w:tr>
        <w:trPr>
          <w:trHeight w:val="189"/>
        </w:trPr>
        <w:tc>
          <w:tcPr>
            <w:tcW w:w="58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r>
      <w:tr>
        <w:trPr>
          <w:trHeight w:val="182"/>
        </w:trPr>
        <w:tc>
          <w:tcPr>
            <w:tcW w:w="58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r>
      <w:tr>
        <w:trPr>
          <w:trHeight w:val="26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158</w:t>
            </w:r>
          </w:p>
        </w:tc>
        <w:tc>
          <w:tcPr>
            <w:tcW w:w="90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503</w:t>
            </w:r>
          </w:p>
        </w:tc>
        <w:tc>
          <w:tcPr>
            <w:tcW w:w="88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390</w:t>
            </w:r>
          </w:p>
        </w:tc>
      </w:tr>
      <w:tr>
        <w:trPr>
          <w:trHeight w:val="210"/>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90</w:t>
            </w:r>
          </w:p>
        </w:tc>
        <w:tc>
          <w:tcPr>
            <w:tcW w:w="16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w:t>
            </w:r>
          </w:p>
        </w:tc>
        <w:tc>
          <w:tcPr>
            <w:tcW w:w="140" w:type="dxa"/>
            <w:vAlign w:val="bottom"/>
            <w:tcBorders>
              <w:top w:val="single" w:sz="8" w:color="CFF0FC"/>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91</w:t>
            </w:r>
          </w:p>
        </w:tc>
        <w:tc>
          <w:tcPr>
            <w:tcW w:w="14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r>
      <w:tr>
        <w:trPr>
          <w:trHeight w:val="229"/>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stock-based awards</w:t>
            </w:r>
          </w:p>
        </w:tc>
        <w:tc>
          <w:tcPr>
            <w:tcW w:w="7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ind w:left="280"/>
              <w:spacing w:after="0"/>
              <w:rPr>
                <w:sz w:val="20"/>
                <w:szCs w:val="20"/>
                <w:color w:val="auto"/>
              </w:rPr>
            </w:pPr>
            <w:r>
              <w:rPr>
                <w:rFonts w:ascii="Arial" w:cs="Arial" w:eastAsia="Arial" w:hAnsi="Arial"/>
                <w:sz w:val="18"/>
                <w:szCs w:val="18"/>
                <w:color w:val="auto"/>
              </w:rPr>
              <w:t>Diluted weighted average shares of common stock outstanding</w:t>
            </w: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90</w:t>
            </w: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91</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r>
      <w:tr>
        <w:trPr>
          <w:trHeight w:val="20"/>
        </w:trPr>
        <w:tc>
          <w:tcPr>
            <w:tcW w:w="5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50"/>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760" w:type="dxa"/>
            <w:vAlign w:val="bottom"/>
            <w:tcBorders>
              <w:bottom w:val="single" w:sz="8" w:color="auto"/>
            </w:tcBorders>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1.76</w:t>
            </w:r>
          </w:p>
        </w:tc>
        <w:tc>
          <w:tcPr>
            <w:tcW w:w="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5.53</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4.02</w:t>
            </w:r>
          </w:p>
        </w:tc>
      </w:tr>
      <w:tr>
        <w:trPr>
          <w:trHeight w:val="210"/>
        </w:trPr>
        <w:tc>
          <w:tcPr>
            <w:tcW w:w="5860" w:type="dxa"/>
            <w:vAlign w:val="bottom"/>
          </w:tcPr>
          <w:p>
            <w:pPr>
              <w:ind w:left="280"/>
              <w:spacing w:after="0"/>
              <w:rPr>
                <w:sz w:val="20"/>
                <w:szCs w:val="20"/>
                <w:color w:val="auto"/>
              </w:rPr>
            </w:pPr>
            <w:r>
              <w:rPr>
                <w:rFonts w:ascii="Arial" w:cs="Arial" w:eastAsia="Arial" w:hAnsi="Arial"/>
                <w:sz w:val="18"/>
                <w:szCs w:val="18"/>
                <w:color w:val="auto"/>
              </w:rPr>
              <w:t>Diluted earnings per share attributable to common stockholders</w:t>
            </w:r>
          </w:p>
        </w:tc>
        <w:tc>
          <w:tcPr>
            <w:tcW w:w="760" w:type="dxa"/>
            <w:vAlign w:val="bottom"/>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1.76</w:t>
            </w:r>
          </w:p>
        </w:tc>
        <w:tc>
          <w:tcPr>
            <w:tcW w:w="90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860" w:type="dxa"/>
            <w:vAlign w:val="bottom"/>
            <w:gridSpan w:val="2"/>
          </w:tcPr>
          <w:p>
            <w:pPr>
              <w:jc w:val="right"/>
              <w:ind w:right="539"/>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3"/>
              <w:spacing w:after="0"/>
              <w:rPr>
                <w:sz w:val="20"/>
                <w:szCs w:val="20"/>
                <w:color w:val="auto"/>
              </w:rPr>
            </w:pPr>
            <w:r>
              <w:rPr>
                <w:rFonts w:ascii="Arial" w:cs="Arial" w:eastAsia="Arial" w:hAnsi="Arial"/>
                <w:sz w:val="18"/>
                <w:szCs w:val="18"/>
                <w:b w:val="1"/>
                <w:bCs w:val="1"/>
                <w:color w:val="auto"/>
              </w:rPr>
              <w:t>5.53</w:t>
            </w:r>
          </w:p>
        </w:tc>
        <w:tc>
          <w:tcPr>
            <w:tcW w:w="88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4.02</w:t>
            </w:r>
          </w:p>
        </w:tc>
      </w:tr>
      <w:tr>
        <w:trPr>
          <w:trHeight w:val="20"/>
        </w:trPr>
        <w:tc>
          <w:tcPr>
            <w:tcW w:w="5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-838200</wp:posOffset>
            </wp:positionV>
            <wp:extent cx="183261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32610" cy="17145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-521970</wp:posOffset>
            </wp:positionV>
            <wp:extent cx="9398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-521970</wp:posOffset>
            </wp:positionV>
            <wp:extent cx="85725"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-521970</wp:posOffset>
            </wp:positionV>
            <wp:extent cx="85725"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-196215</wp:posOffset>
            </wp:positionV>
            <wp:extent cx="1832610" cy="196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32610" cy="196850"/>
                    </a:xfrm>
                    <a:prstGeom prst="rect">
                      <a:avLst/>
                    </a:prstGeom>
                    <a:noFill/>
                  </pic:spPr>
                </pic:pic>
              </a:graphicData>
            </a:graphic>
          </wp:anchor>
        </w:drawing>
      </w:r>
    </w:p>
    <w:p>
      <w:pPr>
        <w:spacing w:after="0" w:line="75"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 dilutive impact of stock-based compensation is calculated using the treasury stock method. The treasury stock method assumes that the Company uses the proceeds from the exercise of awards to repurchase common stock at the average market price during the period. For each of the three and nine months ended September 30, 2023, there were no outstanding stock options excluded from the diluted EPS calculation because they were anti-dilutive. For each of the three and nine months ended September 30, 2022, there were 2 million outstanding stock options excluded from the diluted EPS calculation because they were anti-dilutive. Basic and diluted EPS for the full-year is calculated using the weighted average shares of common stock outstanding during the year while quarterly basic and diluted EPS is calculated using the weighted average shares of common stock outstanding during the quarter; therefore, the sum of the four quarters’ EPS may not equal full-year EPS.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13"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The Company's Board of Directors has authorized the Company to repurchase up to $4,000 million of its common stock pursuant to a stock repurchase program (the "Repurchase Program"). During the three and nine months ended September 30, 2023, the Company repurchased $20 million and $157 million, respectively, of its common stock under the Repurchase Program, leaving $878 million of authorized repurchases remaining under the Repurchase Program as of September 30, 2023.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0"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82" w:lineRule="exact"/>
        <w:rPr>
          <w:sz w:val="20"/>
          <w:szCs w:val="20"/>
          <w:color w:val="auto"/>
        </w:rPr>
      </w:pPr>
    </w:p>
    <w:p>
      <w:pPr>
        <w:ind w:firstLine="494"/>
        <w:spacing w:after="0" w:line="250"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8" w:lineRule="exact"/>
        <w:rPr>
          <w:sz w:val="20"/>
          <w:szCs w:val="20"/>
          <w:color w:val="auto"/>
        </w:rPr>
      </w:pPr>
    </w:p>
    <w:p>
      <w:pPr>
        <w:ind w:right="180" w:firstLine="494"/>
        <w:spacing w:after="0"/>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2022 as filed with the Securities and Exchange Commission on February 16, 2023. Our actual results may differ materially from those contained in or implied by any forward-looking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7" w:lineRule="exact"/>
        <w:rPr>
          <w:sz w:val="20"/>
          <w:szCs w:val="20"/>
          <w:color w:val="auto"/>
        </w:rPr>
      </w:pPr>
    </w:p>
    <w:p>
      <w:pPr>
        <w:ind w:right="160" w:firstLine="494"/>
        <w:spacing w:after="0" w:line="242" w:lineRule="auto"/>
        <w:rPr>
          <w:sz w:val="20"/>
          <w:szCs w:val="20"/>
          <w:color w:val="auto"/>
        </w:rPr>
      </w:pPr>
      <w:r>
        <w:rPr>
          <w:rFonts w:ascii="Arial" w:cs="Arial" w:eastAsia="Arial" w:hAnsi="Arial"/>
          <w:sz w:val="18"/>
          <w:szCs w:val="18"/>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82" w:lineRule="exact"/>
        <w:rPr>
          <w:sz w:val="20"/>
          <w:szCs w:val="20"/>
          <w:color w:val="auto"/>
        </w:rPr>
      </w:pPr>
    </w:p>
    <w:p>
      <w:pPr>
        <w:ind w:right="100" w:firstLine="499"/>
        <w:spacing w:after="0" w:line="247" w:lineRule="auto"/>
        <w:rPr>
          <w:sz w:val="20"/>
          <w:szCs w:val="20"/>
          <w:color w:val="auto"/>
        </w:rPr>
      </w:pPr>
      <w:r>
        <w:rPr>
          <w:rFonts w:ascii="Arial" w:cs="Arial" w:eastAsia="Arial" w:hAnsi="Arial"/>
          <w:sz w:val="18"/>
          <w:szCs w:val="18"/>
          <w:color w:val="auto"/>
        </w:rPr>
        <w:t>Although approximately 74% of revenues were generated in North America in 2022, we have a global presence by serving customers in Asia, Europe, South America and Africa. We serve customers through an independent network of approximately 1,600 independent distributor and dealer locations worldwide.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13" w:lineRule="exact"/>
        <w:rPr>
          <w:sz w:val="20"/>
          <w:szCs w:val="20"/>
          <w:color w:val="auto"/>
        </w:rPr>
      </w:pPr>
    </w:p>
    <w:p>
      <w:pPr>
        <w:ind w:right="220" w:firstLine="499"/>
        <w:spacing w:after="0" w:line="242"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and continues to be impacted by global supply chain constraints. In 2023, we expect higher net sales driven by higher customer demand in the Global On-Highway and Service Parts, Support Equipment and Other end markets, price increases on certain products and the continued execution of growth initiatives.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Third Quarter Net Sales by End Market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Q3 2023</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Q3 2022</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End Market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spacing w:after="0"/>
              <w:rPr>
                <w:sz w:val="16"/>
                <w:szCs w:val="16"/>
                <w:color w:val="auto"/>
              </w:rPr>
            </w:pPr>
          </w:p>
        </w:tc>
        <w:tc>
          <w:tcPr>
            <w:tcW w:w="16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Variance</w:t>
            </w:r>
          </w:p>
        </w:tc>
        <w:tc>
          <w:tcPr>
            <w:tcW w:w="100" w:type="dxa"/>
            <w:vAlign w:val="bottom"/>
          </w:tcPr>
          <w:p>
            <w:pPr>
              <w:spacing w:after="0"/>
              <w:rPr>
                <w:sz w:val="16"/>
                <w:szCs w:val="16"/>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North America On-Highway</w:t>
            </w:r>
          </w:p>
        </w:tc>
        <w:tc>
          <w:tcPr>
            <w:tcW w:w="980" w:type="dxa"/>
            <w:vAlign w:val="bottom"/>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376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340</w:t>
            </w: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11 %</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98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Defense</w:t>
            </w:r>
          </w:p>
        </w:tc>
        <w:tc>
          <w:tcPr>
            <w:tcW w:w="98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23 %</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98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118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118</w:t>
            </w: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0 %</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Outside North America Off-Highway</w:t>
            </w:r>
          </w:p>
        </w:tc>
        <w:tc>
          <w:tcPr>
            <w:tcW w:w="98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(47 )%</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171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157</w:t>
            </w: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9 %</w:t>
            </w: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980" w:type="dxa"/>
            <w:vAlign w:val="bottom"/>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736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710</w:t>
            </w: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4 %</w:t>
            </w:r>
          </w:p>
        </w:tc>
      </w:tr>
      <w:tr>
        <w:trPr>
          <w:trHeight w:val="20"/>
        </w:trPr>
        <w:tc>
          <w:tcPr>
            <w:tcW w:w="6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9" w:lineRule="exact"/>
        <w:rPr>
          <w:sz w:val="20"/>
          <w:szCs w:val="20"/>
          <w:color w:val="auto"/>
        </w:rPr>
      </w:pPr>
    </w:p>
    <w:p>
      <w:pPr>
        <w:ind w:right="100" w:firstLine="494"/>
        <w:spacing w:after="0" w:line="259" w:lineRule="auto"/>
        <w:rPr>
          <w:sz w:val="20"/>
          <w:szCs w:val="20"/>
          <w:color w:val="auto"/>
        </w:rPr>
      </w:pPr>
      <w:r>
        <w:rPr>
          <w:rFonts w:ascii="Arial" w:cs="Arial" w:eastAsia="Arial" w:hAnsi="Arial"/>
          <w:sz w:val="18"/>
          <w:szCs w:val="18"/>
          <w:color w:val="auto"/>
        </w:rPr>
        <w:t>North America On-Highway end market net sales were up 11% for the third quarter 2023 compared to the third quarter 2022, principally driven by strength in demand for Class 8 vocational and medium-duty trucks and price increases on certain products.</w:t>
      </w:r>
    </w:p>
    <w:p>
      <w:pPr>
        <w:spacing w:after="0" w:line="66" w:lineRule="exact"/>
        <w:rPr>
          <w:sz w:val="20"/>
          <w:szCs w:val="20"/>
          <w:color w:val="auto"/>
        </w:rPr>
      </w:pPr>
    </w:p>
    <w:p>
      <w:pPr>
        <w:ind w:right="180" w:firstLine="494"/>
        <w:spacing w:after="0" w:line="259" w:lineRule="auto"/>
        <w:rPr>
          <w:sz w:val="20"/>
          <w:szCs w:val="20"/>
          <w:color w:val="auto"/>
        </w:rPr>
      </w:pPr>
      <w:r>
        <w:rPr>
          <w:rFonts w:ascii="Arial" w:cs="Arial" w:eastAsia="Arial" w:hAnsi="Arial"/>
          <w:sz w:val="18"/>
          <w:szCs w:val="18"/>
          <w:color w:val="auto"/>
        </w:rPr>
        <w:t>Global Off-Highway net sales were down 53% for the third quarter 2023 compared to the third quarter 2022, principally driven by lower demand in the energy sector.</w:t>
      </w:r>
    </w:p>
    <w:p>
      <w:pPr>
        <w:spacing w:after="0" w:line="66" w:lineRule="exact"/>
        <w:rPr>
          <w:sz w:val="20"/>
          <w:szCs w:val="20"/>
          <w:color w:val="auto"/>
        </w:rPr>
      </w:pPr>
    </w:p>
    <w:p>
      <w:pPr>
        <w:ind w:right="820" w:firstLine="494"/>
        <w:spacing w:after="0" w:line="259" w:lineRule="auto"/>
        <w:rPr>
          <w:sz w:val="20"/>
          <w:szCs w:val="20"/>
          <w:color w:val="auto"/>
        </w:rPr>
      </w:pPr>
      <w:r>
        <w:rPr>
          <w:rFonts w:ascii="Arial" w:cs="Arial" w:eastAsia="Arial" w:hAnsi="Arial"/>
          <w:sz w:val="18"/>
          <w:szCs w:val="18"/>
          <w:color w:val="auto"/>
        </w:rPr>
        <w:t>Defense end market net sales were up 23% for the third quarter 2023 compared to the third quarter 2022, principally driven by increased demand for Tracked and Wheeled vehicle applications.</w:t>
      </w:r>
    </w:p>
    <w:p>
      <w:pPr>
        <w:spacing w:after="0" w:line="66" w:lineRule="exact"/>
        <w:rPr>
          <w:sz w:val="20"/>
          <w:szCs w:val="20"/>
          <w:color w:val="auto"/>
        </w:rPr>
      </w:pPr>
    </w:p>
    <w:p>
      <w:pPr>
        <w:ind w:right="480" w:firstLine="494"/>
        <w:spacing w:after="0" w:line="247" w:lineRule="auto"/>
        <w:rPr>
          <w:sz w:val="20"/>
          <w:szCs w:val="20"/>
          <w:color w:val="auto"/>
        </w:rPr>
      </w:pPr>
      <w:r>
        <w:rPr>
          <w:rFonts w:ascii="Arial" w:cs="Arial" w:eastAsia="Arial" w:hAnsi="Arial"/>
          <w:sz w:val="18"/>
          <w:szCs w:val="18"/>
          <w:color w:val="auto"/>
        </w:rPr>
        <w:t>Outside North America On-Highway end market net sales were flat for the third quarter 2023 compared to the third quarter 2022, principally driven by strength in demand in Europe and price increases on certain products offset by lower demand in South America and Asia.</w:t>
      </w:r>
    </w:p>
    <w:p>
      <w:pPr>
        <w:spacing w:after="0" w:line="76"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Service Parts, Support Equipment and Other end market net sales were up 9% for the third quarter 2023 compared to the third quarter 2022, principally driven by strength in North America On-Highway service parts and support equipment and price increases on certain products.</w:t>
      </w:r>
    </w:p>
    <w:p>
      <w:pPr>
        <w:spacing w:after="0" w:line="1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13" w:lineRule="exact"/>
        <w:rPr>
          <w:sz w:val="20"/>
          <w:szCs w:val="20"/>
          <w:color w:val="auto"/>
        </w:rPr>
      </w:pPr>
    </w:p>
    <w:p>
      <w:pPr>
        <w:ind w:right="220" w:firstLine="494"/>
        <w:spacing w:after="0" w:line="239" w:lineRule="auto"/>
        <w:rPr>
          <w:sz w:val="20"/>
          <w:szCs w:val="20"/>
          <w:color w:val="auto"/>
        </w:rPr>
      </w:pPr>
      <w:r>
        <w:rPr>
          <w:rFonts w:ascii="Arial" w:cs="Arial" w:eastAsia="Arial" w:hAnsi="Arial"/>
          <w:sz w:val="18"/>
          <w:szCs w:val="18"/>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13"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nine months ended September 30, 2023, direct material costs were approximately 67%, overhead costs were approximately 26%, and direct labor costs were approximately 7% of total cost of sales. We are subject to changes in our cost of sales caused by movements in underlying commodity prices. We seek to hedge against this risk by using LTAs, as appropriate. See Part I, Item 3, “Quantitative and Qualitative Disclosures about Market Risk— Commodity Price Risk” included below.</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3" w:lineRule="exact"/>
        <w:rPr>
          <w:sz w:val="20"/>
          <w:szCs w:val="20"/>
          <w:color w:val="auto"/>
        </w:rPr>
      </w:pPr>
    </w:p>
    <w:p>
      <w:pPr>
        <w:ind w:right="580" w:firstLine="494"/>
        <w:spacing w:after="0" w:line="247"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3" w:lineRule="exact"/>
        <w:rPr>
          <w:sz w:val="20"/>
          <w:szCs w:val="20"/>
          <w:color w:val="auto"/>
        </w:rPr>
      </w:pPr>
    </w:p>
    <w:p>
      <w:pPr>
        <w:ind w:right="140" w:firstLine="494"/>
        <w:spacing w:after="0" w:line="259"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67"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$620 million due March 2026 (“Term Loan”). Adjusted EBITDA as a percent of net sales is calculated as Adjusted EBITDA divided by net sales.</w:t>
      </w:r>
    </w:p>
    <w:p>
      <w:pPr>
        <w:spacing w:after="0" w:line="138" w:lineRule="exact"/>
        <w:rPr>
          <w:sz w:val="20"/>
          <w:szCs w:val="20"/>
          <w:color w:val="auto"/>
        </w:rPr>
      </w:pPr>
    </w:p>
    <w:p>
      <w:pPr>
        <w:ind w:right="160" w:firstLine="494"/>
        <w:spacing w:after="0" w:line="238" w:lineRule="auto"/>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87" w:lineRule="exact"/>
        <w:rPr>
          <w:sz w:val="20"/>
          <w:szCs w:val="20"/>
          <w:color w:val="auto"/>
        </w:rPr>
      </w:pPr>
    </w:p>
    <w:p>
      <w:pPr>
        <w:ind w:right="140" w:firstLine="494"/>
        <w:spacing w:after="0" w:line="249"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50"/>
        </w:trPr>
        <w:tc>
          <w:tcPr>
            <w:tcW w:w="5920" w:type="dxa"/>
            <w:vAlign w:val="bottom"/>
          </w:tcPr>
          <w:p>
            <w:pPr>
              <w:spacing w:after="0"/>
              <w:rPr>
                <w:sz w:val="13"/>
                <w:szCs w:val="13"/>
                <w:color w:val="auto"/>
              </w:rPr>
            </w:pPr>
          </w:p>
        </w:tc>
        <w:tc>
          <w:tcPr>
            <w:tcW w:w="2120" w:type="dxa"/>
            <w:vAlign w:val="bottom"/>
            <w:gridSpan w:val="4"/>
          </w:tcPr>
          <w:p>
            <w:pPr>
              <w:jc w:val="right"/>
              <w:ind w:right="53"/>
              <w:spacing w:after="0" w:line="150" w:lineRule="exact"/>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5"/>
          </w:tcPr>
          <w:p>
            <w:pPr>
              <w:jc w:val="right"/>
              <w:ind w:right="720"/>
              <w:spacing w:after="0" w:line="150" w:lineRule="exact"/>
              <w:rPr>
                <w:sz w:val="20"/>
                <w:szCs w:val="20"/>
                <w:color w:val="auto"/>
              </w:rPr>
            </w:pPr>
            <w:r>
              <w:rPr>
                <w:rFonts w:ascii="Arial" w:cs="Arial" w:eastAsia="Arial" w:hAnsi="Arial"/>
                <w:sz w:val="14"/>
                <w:szCs w:val="14"/>
                <w:b w:val="1"/>
                <w:bCs w:val="1"/>
                <w:color w:val="auto"/>
              </w:rPr>
              <w:t>Nine Months Ended</w:t>
            </w:r>
          </w:p>
        </w:tc>
      </w:tr>
      <w:tr>
        <w:trPr>
          <w:trHeight w:val="189"/>
        </w:trPr>
        <w:tc>
          <w:tcPr>
            <w:tcW w:w="5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r>
      <w:tr>
        <w:trPr>
          <w:trHeight w:val="182"/>
        </w:trPr>
        <w:tc>
          <w:tcPr>
            <w:tcW w:w="5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r>
      <w:tr>
        <w:trPr>
          <w:trHeight w:val="223"/>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(GAAP)</w:t>
            </w:r>
          </w:p>
        </w:tc>
        <w:tc>
          <w:tcPr>
            <w:tcW w:w="700" w:type="dxa"/>
            <w:vAlign w:val="bottom"/>
            <w:shd w:val="clear" w:color="auto" w:fill="CFF0FC"/>
          </w:tcPr>
          <w:p>
            <w:pPr>
              <w:jc w:val="right"/>
              <w:ind w:right="495"/>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158</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7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503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plus: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35</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118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r>
      <w:tr>
        <w:trPr>
          <w:trHeight w:val="229"/>
        </w:trPr>
        <w:tc>
          <w:tcPr>
            <w:tcW w:w="592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9"/>
                <w:szCs w:val="19"/>
                <w:color w:val="auto"/>
              </w:rPr>
            </w:pPr>
          </w:p>
        </w:tc>
        <w:tc>
          <w:tcPr>
            <w:tcW w:w="500" w:type="dxa"/>
            <w:vAlign w:val="bottom"/>
          </w:tcPr>
          <w:p>
            <w:pPr>
              <w:jc w:val="right"/>
              <w:ind w:right="51"/>
              <w:spacing w:after="0"/>
              <w:rPr>
                <w:sz w:val="20"/>
                <w:szCs w:val="20"/>
                <w:color w:val="auto"/>
              </w:rPr>
            </w:pPr>
            <w:r>
              <w:rPr>
                <w:rFonts w:ascii="Arial" w:cs="Arial" w:eastAsia="Arial" w:hAnsi="Arial"/>
                <w:sz w:val="18"/>
                <w:szCs w:val="18"/>
                <w:b w:val="1"/>
                <w:bCs w:val="1"/>
                <w:color w:val="auto"/>
              </w:rPr>
              <w:t>27</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29"/>
        </w:trPr>
        <w:tc>
          <w:tcPr>
            <w:tcW w:w="5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28</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81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r>
      <w:tr>
        <w:trPr>
          <w:trHeight w:val="229"/>
        </w:trPr>
        <w:tc>
          <w:tcPr>
            <w:tcW w:w="592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700" w:type="dxa"/>
            <w:vAlign w:val="bottom"/>
          </w:tcPr>
          <w:p>
            <w:pPr>
              <w:spacing w:after="0"/>
              <w:rPr>
                <w:sz w:val="19"/>
                <w:szCs w:val="19"/>
                <w:color w:val="auto"/>
              </w:rPr>
            </w:pPr>
          </w:p>
        </w:tc>
        <w:tc>
          <w:tcPr>
            <w:tcW w:w="500" w:type="dxa"/>
            <w:vAlign w:val="bottom"/>
          </w:tcPr>
          <w:p>
            <w:pPr>
              <w:jc w:val="right"/>
              <w:ind w:right="51"/>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33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29"/>
        </w:trPr>
        <w:tc>
          <w:tcPr>
            <w:tcW w:w="5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 (a)</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29"/>
        </w:trPr>
        <w:tc>
          <w:tcPr>
            <w:tcW w:w="5920" w:type="dxa"/>
            <w:vAlign w:val="bottom"/>
          </w:tcPr>
          <w:p>
            <w:pPr>
              <w:ind w:left="280"/>
              <w:spacing w:after="0"/>
              <w:rPr>
                <w:sz w:val="20"/>
                <w:szCs w:val="20"/>
                <w:color w:val="auto"/>
              </w:rPr>
            </w:pPr>
            <w:r>
              <w:rPr>
                <w:rFonts w:ascii="Arial" w:cs="Arial" w:eastAsia="Arial" w:hAnsi="Arial"/>
                <w:sz w:val="18"/>
                <w:szCs w:val="18"/>
                <w:color w:val="auto"/>
              </w:rPr>
              <w:t>Technology-related investments gain (b)</w:t>
            </w:r>
          </w:p>
        </w:tc>
        <w:tc>
          <w:tcPr>
            <w:tcW w:w="70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(6 )</w:t>
            </w:r>
          </w:p>
        </w:tc>
        <w:tc>
          <w:tcPr>
            <w:tcW w:w="60" w:type="dxa"/>
            <w:vAlign w:val="bottom"/>
          </w:tcPr>
          <w:p>
            <w:pPr>
              <w:spacing w:after="0"/>
              <w:rPr>
                <w:sz w:val="19"/>
                <w:szCs w:val="19"/>
                <w:color w:val="auto"/>
              </w:rPr>
            </w:pPr>
          </w:p>
        </w:tc>
      </w:tr>
      <w:tr>
        <w:trPr>
          <w:trHeight w:val="229"/>
        </w:trPr>
        <w:tc>
          <w:tcPr>
            <w:tcW w:w="5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loss (gain) on marketable securities (c)</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29"/>
        </w:trPr>
        <w:tc>
          <w:tcPr>
            <w:tcW w:w="5920" w:type="dxa"/>
            <w:vAlign w:val="bottom"/>
          </w:tcPr>
          <w:p>
            <w:pPr>
              <w:ind w:left="280"/>
              <w:spacing w:after="0"/>
              <w:rPr>
                <w:sz w:val="20"/>
                <w:szCs w:val="20"/>
                <w:color w:val="auto"/>
              </w:rPr>
            </w:pPr>
            <w:r>
              <w:rPr>
                <w:rFonts w:ascii="Arial" w:cs="Arial" w:eastAsia="Arial" w:hAnsi="Arial"/>
                <w:sz w:val="18"/>
                <w:szCs w:val="18"/>
                <w:color w:val="auto"/>
              </w:rPr>
              <w:t>Unrealized loss on foreign exchange (d)</w:t>
            </w:r>
          </w:p>
        </w:tc>
        <w:tc>
          <w:tcPr>
            <w:tcW w:w="70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29"/>
        </w:trPr>
        <w:tc>
          <w:tcPr>
            <w:tcW w:w="5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Acquisition-related earnouts (e)</w:t>
            </w:r>
          </w:p>
        </w:tc>
        <w:tc>
          <w:tcPr>
            <w:tcW w:w="7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23"/>
        </w:trPr>
        <w:tc>
          <w:tcPr>
            <w:tcW w:w="59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7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267</w:t>
            </w:r>
          </w:p>
        </w:tc>
        <w:tc>
          <w:tcPr>
            <w:tcW w:w="140" w:type="dxa"/>
            <w:vAlign w:val="bottom"/>
            <w:tcBorders>
              <w:top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245</w:t>
            </w: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831</w:t>
            </w: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716</w:t>
            </w:r>
          </w:p>
        </w:tc>
        <w:tc>
          <w:tcPr>
            <w:tcW w:w="6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 (GAAP)</w:t>
            </w:r>
          </w:p>
        </w:tc>
        <w:tc>
          <w:tcPr>
            <w:tcW w:w="700" w:type="dxa"/>
            <w:vAlign w:val="bottom"/>
            <w:shd w:val="clear" w:color="auto" w:fill="CFF0FC"/>
          </w:tcPr>
          <w:p>
            <w:pPr>
              <w:jc w:val="right"/>
              <w:ind w:right="495"/>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736</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7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2,260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2,051</w:t>
            </w:r>
          </w:p>
        </w:tc>
        <w:tc>
          <w:tcPr>
            <w:tcW w:w="60" w:type="dxa"/>
            <w:vAlign w:val="bottom"/>
          </w:tcPr>
          <w:p>
            <w:pPr>
              <w:spacing w:after="0"/>
              <w:rPr>
                <w:sz w:val="18"/>
                <w:szCs w:val="18"/>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Net income as a percent of net sales (GAAP)</w:t>
            </w:r>
          </w:p>
        </w:tc>
        <w:tc>
          <w:tcPr>
            <w:tcW w:w="7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21.5 %</w:t>
            </w:r>
          </w:p>
        </w:tc>
        <w:tc>
          <w:tcPr>
            <w:tcW w:w="7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19.6 %</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22.3 %</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19.0 %</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7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36.3 %</w:t>
            </w:r>
          </w:p>
        </w:tc>
        <w:tc>
          <w:tcPr>
            <w:tcW w:w="7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34.5 %</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36.8 %</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34.9 %</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700" w:type="dxa"/>
            <w:vAlign w:val="bottom"/>
          </w:tcPr>
          <w:p>
            <w:pPr>
              <w:jc w:val="right"/>
              <w:ind w:right="495"/>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51"/>
              <w:spacing w:after="0"/>
              <w:rPr>
                <w:sz w:val="20"/>
                <w:szCs w:val="20"/>
                <w:color w:val="auto"/>
              </w:rPr>
            </w:pPr>
            <w:r>
              <w:rPr>
                <w:rFonts w:ascii="Arial" w:cs="Arial" w:eastAsia="Arial" w:hAnsi="Arial"/>
                <w:sz w:val="18"/>
                <w:szCs w:val="18"/>
                <w:b w:val="1"/>
                <w:bCs w:val="1"/>
                <w:color w:val="auto"/>
              </w:rPr>
              <w:t>212</w:t>
            </w:r>
          </w:p>
        </w:tc>
        <w:tc>
          <w:tcPr>
            <w:tcW w:w="140" w:type="dxa"/>
            <w:vAlign w:val="bottom"/>
          </w:tcPr>
          <w:p>
            <w:pPr>
              <w:spacing w:after="0"/>
              <w:rPr>
                <w:sz w:val="19"/>
                <w:szCs w:val="19"/>
                <w:color w:val="auto"/>
              </w:rPr>
            </w:pPr>
          </w:p>
        </w:tc>
        <w:tc>
          <w:tcPr>
            <w:tcW w:w="780" w:type="dxa"/>
            <w:vAlign w:val="bottom"/>
          </w:tcPr>
          <w:p>
            <w:pPr>
              <w:jc w:val="right"/>
              <w:ind w:right="57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546</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19"/>
                <w:szCs w:val="19"/>
                <w:color w:val="auto"/>
              </w:rPr>
            </w:pPr>
          </w:p>
        </w:tc>
      </w:tr>
      <w:tr>
        <w:trPr>
          <w:trHeight w:val="229"/>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Deductions to reconcile to Adjusted free cash flow:</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Additions of long-lived assets</w:t>
            </w: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(30 )</w:t>
            </w:r>
          </w:p>
        </w:tc>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(75 )</w:t>
            </w:r>
          </w:p>
        </w:tc>
        <w:tc>
          <w:tcPr>
            <w:tcW w:w="60" w:type="dxa"/>
            <w:vAlign w:val="bottom"/>
          </w:tcPr>
          <w:p>
            <w:pPr>
              <w:spacing w:after="0"/>
              <w:rPr>
                <w:sz w:val="19"/>
                <w:szCs w:val="19"/>
                <w:color w:val="auto"/>
              </w:rPr>
            </w:pPr>
          </w:p>
        </w:tc>
      </w:tr>
      <w:tr>
        <w:trPr>
          <w:trHeight w:val="263"/>
        </w:trPr>
        <w:tc>
          <w:tcPr>
            <w:tcW w:w="5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free cash flow (Non-GAAP)</w:t>
            </w:r>
          </w:p>
        </w:tc>
        <w:tc>
          <w:tcPr>
            <w:tcW w:w="700" w:type="dxa"/>
            <w:vAlign w:val="bottom"/>
            <w:tcBorders>
              <w:bottom w:val="single" w:sz="8" w:color="auto"/>
            </w:tcBorders>
            <w:shd w:val="clear" w:color="auto" w:fill="CFF0FC"/>
          </w:tcPr>
          <w:p>
            <w:pPr>
              <w:jc w:val="right"/>
              <w:ind w:right="495"/>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182</w:t>
            </w:r>
          </w:p>
        </w:tc>
        <w:tc>
          <w:tcPr>
            <w:tcW w:w="1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57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473</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-1232535</wp:posOffset>
            </wp:positionV>
            <wp:extent cx="9398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-1232535</wp:posOffset>
            </wp:positionV>
            <wp:extent cx="85725"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-1232535</wp:posOffset>
            </wp:positionV>
            <wp:extent cx="85725"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-24765</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-7620</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-24765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-7620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9" w:lineRule="exact"/>
        <w:rPr>
          <w:sz w:val="20"/>
          <w:szCs w:val="20"/>
          <w:color w:val="auto"/>
        </w:rPr>
      </w:pPr>
    </w:p>
    <w:p>
      <w:pPr>
        <w:ind w:left="640" w:right="240" w:hanging="377"/>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spacing w:after="0" w:line="12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9" w:lineRule="exact"/>
        <w:rPr>
          <w:sz w:val="20"/>
          <w:szCs w:val="20"/>
          <w:color w:val="auto"/>
        </w:rPr>
      </w:pPr>
    </w:p>
    <w:p>
      <w:pPr>
        <w:ind w:left="640" w:right="40" w:hanging="377"/>
        <w:spacing w:after="0" w:line="241"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gains (recorded in Other (expense) income, net) related to investments in co-development agreements to expand our position in propulsion solution technologies.</w:t>
      </w:r>
    </w:p>
    <w:p>
      <w:pPr>
        <w:ind w:left="640" w:right="300" w:hanging="377"/>
        <w:spacing w:after="0" w:line="23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(gains) (recorded in Other (expense) income, net) related to an investment in the common stock of Jing-Jin Electric Technologies Co. Ltd.</w:t>
      </w:r>
    </w:p>
    <w:p>
      <w:pPr>
        <w:ind w:left="640" w:hanging="377"/>
        <w:spacing w:after="0" w:line="23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(recorded in Other (expense) income, net) on intercompany financing transactions for our India facility.</w:t>
      </w:r>
    </w:p>
    <w:p>
      <w:pPr>
        <w:ind w:left="640" w:hanging="377"/>
        <w:spacing w:after="0" w:line="24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expenses (recorded in Selling, general and administrative and Engineering – research and development) for earnouts related to our acquisition of Vantage Power Limited.</w:t>
      </w:r>
    </w:p>
    <w:p>
      <w:pPr>
        <w:spacing w:after="0" w:line="3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September 30, 2023 and 2022</w:t>
      </w:r>
    </w:p>
    <w:p>
      <w:pPr>
        <w:spacing w:after="0" w:line="113"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The following table sets forth certain financial information for the three months ended September 30, 2023 and 2022. The following table and discussion should be read in conjunction with the information contained in our condensed consolidated financial statements and the notes thereto included in Part I, Item 1 of this Quarterly Report on Form 10-Q.</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473"/>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of net sales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of net sales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736</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w:t>
            </w: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357</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135</w:t>
            </w:r>
          </w:p>
        </w:tc>
        <w:tc>
          <w:tcPr>
            <w:tcW w:w="2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(27 )</w:t>
            </w:r>
          </w:p>
        </w:tc>
        <w:tc>
          <w:tcPr>
            <w:tcW w:w="1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(4 )</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(2 )</w:t>
            </w:r>
          </w:p>
        </w:tc>
        <w:tc>
          <w:tcPr>
            <w:tcW w:w="15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(15 )</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193</w:t>
            </w:r>
          </w:p>
        </w:tc>
        <w:tc>
          <w:tcPr>
            <w:tcW w:w="240" w:type="dxa"/>
            <w:vAlign w:val="bottom"/>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(35 )</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(5 )</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(20 )</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-1960245</wp:posOffset>
            </wp:positionV>
            <wp:extent cx="713232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-923925</wp:posOffset>
            </wp:positionV>
            <wp:extent cx="76835"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-923925</wp:posOffset>
            </wp:positionV>
            <wp:extent cx="6858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-923925</wp:posOffset>
            </wp:positionV>
            <wp:extent cx="6858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13" w:lineRule="exact"/>
        <w:rPr>
          <w:sz w:val="20"/>
          <w:szCs w:val="20"/>
          <w:color w:val="auto"/>
        </w:rPr>
      </w:pPr>
    </w:p>
    <w:p>
      <w:pPr>
        <w:ind w:right="180" w:firstLine="494"/>
        <w:spacing w:after="0" w:line="237" w:lineRule="auto"/>
        <w:rPr>
          <w:sz w:val="20"/>
          <w:szCs w:val="20"/>
          <w:color w:val="auto"/>
        </w:rPr>
      </w:pPr>
      <w:r>
        <w:rPr>
          <w:rFonts w:ascii="Arial" w:cs="Arial" w:eastAsia="Arial" w:hAnsi="Arial"/>
          <w:sz w:val="18"/>
          <w:szCs w:val="18"/>
          <w:color w:val="auto"/>
        </w:rPr>
        <w:t>Net sales for the quarter ended September 30, 2023 were $ 736 million compared to $710 million for the quarter ended September 30, 2022, an increase of 4%. The increase was principally driven by a $36 million, or 11%, increase in net sales in the North America On-Highway end market principally driven by strength in demand for Class 8 vocational and medium-duty trucks and price increases on certain products, a $14 million, or 9%, increase in net sales in the Service Parts, Support Equipment and Other end market principally driven by strength in North America On-Highway service parts and support equipment and price increases on certain products, an $ 8 million, or 23%, increase in net sales in the Defense end market principally driven by increased demand for Tracked and Wheeled vehicle applications and flat net sales in the Outside North America On-Highway end market principally driven by strength in demand in Europe and price increases on certain products offset by lower demand in South America and Asia, partially offset by a $32 million, or 53%, decrease in Global Off-Highway net sales principally driven by lower demand in the energy sector.</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13" w:lineRule="exact"/>
        <w:rPr>
          <w:sz w:val="20"/>
          <w:szCs w:val="20"/>
          <w:color w:val="auto"/>
        </w:rPr>
      </w:pPr>
    </w:p>
    <w:p>
      <w:pPr>
        <w:ind w:right="260" w:firstLine="494"/>
        <w:spacing w:after="0" w:line="259" w:lineRule="auto"/>
        <w:rPr>
          <w:sz w:val="20"/>
          <w:szCs w:val="20"/>
          <w:color w:val="auto"/>
        </w:rPr>
      </w:pPr>
      <w:r>
        <w:rPr>
          <w:rFonts w:ascii="Arial" w:cs="Arial" w:eastAsia="Arial" w:hAnsi="Arial"/>
          <w:sz w:val="18"/>
          <w:szCs w:val="18"/>
          <w:color w:val="auto"/>
        </w:rPr>
        <w:t>Cost of sales for the quarter ended September 30, 2023 was $379 million compared to $382 million for the quarter ended September 30, 2022, a decrease of 1%.</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13" w:lineRule="exact"/>
        <w:rPr>
          <w:sz w:val="20"/>
          <w:szCs w:val="20"/>
          <w:color w:val="auto"/>
        </w:rPr>
      </w:pPr>
    </w:p>
    <w:p>
      <w:pPr>
        <w:ind w:right="60" w:firstLine="494"/>
        <w:spacing w:after="0" w:line="242" w:lineRule="auto"/>
        <w:rPr>
          <w:sz w:val="20"/>
          <w:szCs w:val="20"/>
          <w:color w:val="auto"/>
        </w:rPr>
      </w:pPr>
      <w:r>
        <w:rPr>
          <w:rFonts w:ascii="Arial" w:cs="Arial" w:eastAsia="Arial" w:hAnsi="Arial"/>
          <w:sz w:val="18"/>
          <w:szCs w:val="18"/>
          <w:color w:val="auto"/>
        </w:rPr>
        <w:t>Gross profit for the quarter ended September 30, 2023 was $357 million compared to $328 million for the quarter ended September 30, 2022, an increase of 9%. The increase was principally driven by $33 million of price increases on certain products, partially offset by $4 million of higher manufacturing expense. Gross profit as a percent of net sales for the three months ended September 30, 2023 increased 230 basis points compared to the same period in 2022 principally driven by price increases on certain products.</w:t>
      </w:r>
    </w:p>
    <w:p>
      <w:pPr>
        <w:spacing w:after="0" w:line="13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6"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3" w:lineRule="exact"/>
        <w:rPr>
          <w:sz w:val="20"/>
          <w:szCs w:val="20"/>
          <w:color w:val="auto"/>
        </w:rPr>
      </w:pPr>
    </w:p>
    <w:p>
      <w:pPr>
        <w:jc w:val="both"/>
        <w:ind w:right="140" w:firstLine="494"/>
        <w:spacing w:after="0" w:line="247" w:lineRule="auto"/>
        <w:rPr>
          <w:sz w:val="20"/>
          <w:szCs w:val="20"/>
          <w:color w:val="auto"/>
        </w:rPr>
      </w:pPr>
      <w:r>
        <w:rPr>
          <w:rFonts w:ascii="Arial" w:cs="Arial" w:eastAsia="Arial" w:hAnsi="Arial"/>
          <w:sz w:val="18"/>
          <w:szCs w:val="18"/>
          <w:color w:val="auto"/>
        </w:rPr>
        <w:t>Selling, general and administrative expenses for the quarter ended September 30, 2023 were $86 million compared to $78 million for the quarter ended September 30, 2022, an increase of 10%. The increase was principally driven by $9 million of increased product warranty expense.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3" w:lineRule="exact"/>
        <w:rPr>
          <w:sz w:val="20"/>
          <w:szCs w:val="20"/>
          <w:color w:val="auto"/>
        </w:rPr>
      </w:pPr>
    </w:p>
    <w:p>
      <w:pPr>
        <w:ind w:right="520" w:firstLine="494"/>
        <w:spacing w:after="0" w:line="259" w:lineRule="auto"/>
        <w:rPr>
          <w:sz w:val="20"/>
          <w:szCs w:val="20"/>
          <w:color w:val="auto"/>
        </w:rPr>
      </w:pPr>
      <w:r>
        <w:rPr>
          <w:rFonts w:ascii="Arial" w:cs="Arial" w:eastAsia="Arial" w:hAnsi="Arial"/>
          <w:sz w:val="18"/>
          <w:szCs w:val="18"/>
          <w:color w:val="auto"/>
        </w:rPr>
        <w:t>Engineering expenses for the quarter ended September 30, 2023 were $49 million compared to $47 million for the quarter ended September 30, 2022, an increase of 4%. The increase was principally driven by increased product initiatives spending.</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3" w:lineRule="exact"/>
        <w:rPr>
          <w:sz w:val="20"/>
          <w:szCs w:val="20"/>
          <w:color w:val="auto"/>
        </w:rPr>
      </w:pPr>
    </w:p>
    <w:p>
      <w:pPr>
        <w:jc w:val="both"/>
        <w:ind w:right="620" w:firstLine="494"/>
        <w:spacing w:after="0" w:line="289" w:lineRule="auto"/>
        <w:rPr>
          <w:sz w:val="20"/>
          <w:szCs w:val="20"/>
          <w:color w:val="auto"/>
        </w:rPr>
      </w:pPr>
      <w:r>
        <w:rPr>
          <w:rFonts w:ascii="Arial" w:cs="Arial" w:eastAsia="Arial" w:hAnsi="Arial"/>
          <w:sz w:val="17"/>
          <w:szCs w:val="17"/>
          <w:color w:val="auto"/>
        </w:rPr>
        <w:t>Interest expense, net for the quarter ended September 30, 2023 was $ 27 million compared to $29 million for the quarter ended September 30, 2022, a decrease of 7%. The decrease was principally driven by higher interest income on cash and cash equivalents.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3"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Other expense, net for the quarter ended September 30, 2023 was $2 million compared to $15 million for the quarter ended September 30, 2022. The decrease was principally driven by $7 million of favorable change in marketable securities and $5 million of favorable foreign exchange.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3" w:lineRule="exact"/>
        <w:rPr>
          <w:sz w:val="20"/>
          <w:szCs w:val="20"/>
          <w:color w:val="auto"/>
        </w:rPr>
      </w:pPr>
    </w:p>
    <w:p>
      <w:pPr>
        <w:ind w:right="280" w:firstLine="494"/>
        <w:spacing w:after="0"/>
        <w:rPr>
          <w:sz w:val="20"/>
          <w:szCs w:val="20"/>
          <w:color w:val="auto"/>
        </w:rPr>
      </w:pPr>
      <w:r>
        <w:rPr>
          <w:rFonts w:ascii="Arial" w:cs="Arial" w:eastAsia="Arial" w:hAnsi="Arial"/>
          <w:sz w:val="18"/>
          <w:szCs w:val="18"/>
          <w:color w:val="auto"/>
        </w:rPr>
        <w:t>Income tax expense for the three months ended September 30, 2023 was $35 million, resulting in an effective tax rate of 18%, compared to $20 million of income tax expense and an effective tax rate of 13% for the three months ended September 30, 2022. The increase in income tax expense was principally driven by increased taxable income and enacted state tax rate legislation that resulted in a non-recurring deferred tax benefit in 2022. The increase in the effective tax rate was principally driven by enacted state tax rate legislation that resulted in a non-recurring deferred tax benefit in 2022.</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nine months ended September 30, 2023 and 2022</w:t>
      </w:r>
    </w:p>
    <w:p>
      <w:pPr>
        <w:spacing w:after="0" w:line="113"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The following table sets forth certain financial information for the nine months ended September 30, 2023 and 2022. The following table and discussion should be read in conjunction with the information contained in our condensed consolidated financial statements and the notes thereto included in Part I, Item 1 of this Quarterly Report on Form 10-Q.</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6"/>
        </w:trPr>
        <w:tc>
          <w:tcPr>
            <w:tcW w:w="5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gridSpan w:val="2"/>
          </w:tcPr>
          <w:p>
            <w:pPr>
              <w:jc w:val="right"/>
              <w:ind w:right="513"/>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gridSpan w:val="2"/>
          </w:tcPr>
          <w:p>
            <w:pPr>
              <w:jc w:val="right"/>
              <w:ind w:right="573"/>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of net sales</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of net sales</w:t>
            </w:r>
          </w:p>
        </w:tc>
        <w:tc>
          <w:tcPr>
            <w:tcW w:w="60" w:type="dxa"/>
            <w:vAlign w:val="bottom"/>
          </w:tcPr>
          <w:p>
            <w:pPr>
              <w:spacing w:after="0"/>
              <w:rPr>
                <w:sz w:val="16"/>
                <w:szCs w:val="16"/>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2,260</w:t>
            </w:r>
          </w:p>
        </w:tc>
        <w:tc>
          <w:tcPr>
            <w:tcW w:w="120" w:type="dxa"/>
            <w:vAlign w:val="bottom"/>
          </w:tcPr>
          <w:p>
            <w:pPr>
              <w:spacing w:after="0"/>
              <w:rPr>
                <w:sz w:val="19"/>
                <w:szCs w:val="19"/>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xml:space="preserve">100 % </w:t>
            </w: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2,051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1,161</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r>
      <w:tr>
        <w:trPr>
          <w:trHeight w:val="22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1,099</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959</w:t>
            </w:r>
          </w:p>
        </w:tc>
        <w:tc>
          <w:tcPr>
            <w:tcW w:w="146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265</w:t>
            </w:r>
          </w:p>
        </w:tc>
        <w:tc>
          <w:tcPr>
            <w:tcW w:w="132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231</w:t>
            </w:r>
          </w:p>
        </w:tc>
        <w:tc>
          <w:tcPr>
            <w:tcW w:w="146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29"/>
        </w:trPr>
        <w:tc>
          <w:tcPr>
            <w:tcW w:w="588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23"/>
        </w:trPr>
        <w:tc>
          <w:tcPr>
            <w:tcW w:w="58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405</w:t>
            </w: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18</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694</w:t>
            </w:r>
          </w:p>
        </w:tc>
        <w:tc>
          <w:tcPr>
            <w:tcW w:w="1320" w:type="dxa"/>
            <w:vAlign w:val="bottom"/>
            <w:gridSpan w:val="2"/>
          </w:tcPr>
          <w:p>
            <w:pPr>
              <w:jc w:val="right"/>
              <w:ind w:right="33"/>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592</w:t>
            </w:r>
          </w:p>
        </w:tc>
        <w:tc>
          <w:tcPr>
            <w:tcW w:w="1460" w:type="dxa"/>
            <w:vAlign w:val="bottom"/>
            <w:gridSpan w:val="2"/>
          </w:tcPr>
          <w:p>
            <w:pPr>
              <w:jc w:val="right"/>
              <w:ind w:right="33"/>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r>
      <w:tr>
        <w:trPr>
          <w:trHeight w:val="22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(83 )</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(88 )</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19"/>
                <w:szCs w:val="19"/>
                <w:color w:val="auto"/>
              </w:rPr>
            </w:pPr>
          </w:p>
        </w:tc>
      </w:tr>
      <w:tr>
        <w:trPr>
          <w:trHeight w:val="22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621</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476</w:t>
            </w:r>
          </w:p>
        </w:tc>
        <w:tc>
          <w:tcPr>
            <w:tcW w:w="146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(118 )</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19"/>
                <w:szCs w:val="19"/>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503</w:t>
            </w:r>
          </w:p>
        </w:tc>
        <w:tc>
          <w:tcPr>
            <w:tcW w:w="120" w:type="dxa"/>
            <w:vAlign w:val="bottom"/>
          </w:tcPr>
          <w:p>
            <w:pPr>
              <w:spacing w:after="0"/>
              <w:rPr>
                <w:sz w:val="19"/>
                <w:szCs w:val="19"/>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xml:space="preserve">22 % </w:t>
            </w: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390</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-1960245</wp:posOffset>
            </wp:positionV>
            <wp:extent cx="713232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-923925</wp:posOffset>
            </wp:positionV>
            <wp:extent cx="6858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-923925</wp:posOffset>
            </wp:positionV>
            <wp:extent cx="85725"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-923925</wp:posOffset>
            </wp:positionV>
            <wp:extent cx="6858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13"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Net sales for the nine months ended September 30, 2023 were $ 2,260 million compared to $ 2,051 million for the nine months ended September 30, 2022, an increase of 10%. The increase was principally driven by a $123 million, or 12%, increase in net sales in the North America On-Highway end market principally driven by strength in demand for Class 8 vocational and medium-duty trucks and price increases on certain products, a $101 million, or 23%, increase in net sales in the Service Parts, Support Equipment and Other end market principally driven by higher demand for global service parts and support equipment, price increases on certain products and higher demand for aluminum die cast components, a $ 17 million, or 5%, increase in net sales in the Outside North America On-Highway end market principally driven by price increases on certain products and the continued execution of our growth initiatives and a $4 million, or 4%, increase in net sales in the Defense end market principally driven by higher demand for Wheeled vehicle applications, partially offset by a $36 million, or 23%, decrease in net sales in the Global Off-Highway end market principally driven by lower demand in the energy sector partially offset by higher demand in the mining and construction sectors outside of North America.</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13"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Cost of sales for the nine months ended September 30, 2023 was $1,161 million compared to $1,092 million for the nine months ended September 30, 2022, an increase of 6%. The increase was principally driven by increased direct material and manufacturing expense commensurate with increased net sales and higher direct material costs.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13" w:lineRule="exact"/>
        <w:rPr>
          <w:sz w:val="20"/>
          <w:szCs w:val="20"/>
          <w:color w:val="auto"/>
        </w:rPr>
      </w:pPr>
    </w:p>
    <w:p>
      <w:pPr>
        <w:ind w:right="140" w:firstLine="494"/>
        <w:spacing w:after="0"/>
        <w:rPr>
          <w:sz w:val="20"/>
          <w:szCs w:val="20"/>
          <w:color w:val="auto"/>
        </w:rPr>
      </w:pPr>
      <w:r>
        <w:rPr>
          <w:rFonts w:ascii="Arial" w:cs="Arial" w:eastAsia="Arial" w:hAnsi="Arial"/>
          <w:sz w:val="18"/>
          <w:szCs w:val="18"/>
          <w:color w:val="auto"/>
        </w:rPr>
        <w:t>Gross profit for the nine months ended September 30, 2023 was $1,099 million compared to $959 million for the nine months ended September 30, 2022, an increase of 15%. The increase was principally driven by $134 million of price increases on certain products and $47 million related to increased net sales, partially offset by $31 million of higher manufacturing expense and $9 million of higher direct material costs. Gross profit as a percent of net sales for the nine months ended September 30, 2023 increased 180 basis points compared to the same period</w:t>
      </w:r>
    </w:p>
    <w:p>
      <w:pPr>
        <w:spacing w:after="0" w:line="1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in 2022 principally driven by price increases on certain products and increased net sales, partially offset by increased cost of goods sold.</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3" w:lineRule="exact"/>
        <w:rPr>
          <w:sz w:val="20"/>
          <w:szCs w:val="20"/>
          <w:color w:val="auto"/>
        </w:rPr>
      </w:pPr>
    </w:p>
    <w:p>
      <w:pPr>
        <w:ind w:right="40" w:firstLine="494"/>
        <w:spacing w:after="0" w:line="268" w:lineRule="auto"/>
        <w:rPr>
          <w:sz w:val="20"/>
          <w:szCs w:val="20"/>
          <w:color w:val="auto"/>
        </w:rPr>
      </w:pPr>
      <w:r>
        <w:rPr>
          <w:rFonts w:ascii="Arial" w:cs="Arial" w:eastAsia="Arial" w:hAnsi="Arial"/>
          <w:sz w:val="17"/>
          <w:szCs w:val="17"/>
          <w:color w:val="auto"/>
        </w:rPr>
        <w:t>Selling, general and administrative expenses for the nine months ended September 30, 2023 were $265 million compared to $231 million for the nine months ended September 30, 2022, an increase of 15%. The increase was principally driven by $ 15 million of increased product warranty expense, $10 million of increased commercial activities spending and $7 million of higher incentive compensation expense.</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3" w:lineRule="exact"/>
        <w:rPr>
          <w:sz w:val="20"/>
          <w:szCs w:val="20"/>
          <w:color w:val="auto"/>
        </w:rPr>
      </w:pPr>
    </w:p>
    <w:p>
      <w:pPr>
        <w:ind w:firstLine="494"/>
        <w:spacing w:after="0" w:line="259" w:lineRule="auto"/>
        <w:rPr>
          <w:sz w:val="20"/>
          <w:szCs w:val="20"/>
          <w:color w:val="auto"/>
        </w:rPr>
      </w:pPr>
      <w:r>
        <w:rPr>
          <w:rFonts w:ascii="Arial" w:cs="Arial" w:eastAsia="Arial" w:hAnsi="Arial"/>
          <w:sz w:val="18"/>
          <w:szCs w:val="18"/>
          <w:color w:val="auto"/>
        </w:rPr>
        <w:t>Engineering expenses for the nine months ended September 30, 2023 were $140 million compared to $136 million for the nine months ended September 30, 2022, an increase of 3%. The increase was principally driven by increased product initiatives spending.</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3" w:lineRule="exact"/>
        <w:rPr>
          <w:sz w:val="20"/>
          <w:szCs w:val="20"/>
          <w:color w:val="auto"/>
        </w:rPr>
      </w:pPr>
    </w:p>
    <w:p>
      <w:pPr>
        <w:ind w:right="40" w:firstLine="494"/>
        <w:spacing w:after="0" w:line="242" w:lineRule="auto"/>
        <w:rPr>
          <w:sz w:val="20"/>
          <w:szCs w:val="20"/>
          <w:color w:val="auto"/>
        </w:rPr>
      </w:pPr>
      <w:r>
        <w:rPr>
          <w:rFonts w:ascii="Arial" w:cs="Arial" w:eastAsia="Arial" w:hAnsi="Arial"/>
          <w:sz w:val="18"/>
          <w:szCs w:val="18"/>
          <w:color w:val="auto"/>
        </w:rPr>
        <w:t>Interest expense, net for the nine months ended September 30, 2023 was $83 million compared to $88 million for the nine months ended September 30, 2022, a decrease of 6%. The decrease was principally driven by higher interest income on cash and cash equivalents, partially offset by $3 million of higher interest expense on ATI's Term Loan due to higher variable interest rates net of the favorable impact from interest rate hedges.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3" w:lineRule="exact"/>
        <w:rPr>
          <w:sz w:val="20"/>
          <w:szCs w:val="20"/>
          <w:color w:val="auto"/>
        </w:rPr>
      </w:pPr>
    </w:p>
    <w:p>
      <w:pPr>
        <w:ind w:right="300" w:firstLine="494"/>
        <w:spacing w:after="0" w:line="242" w:lineRule="auto"/>
        <w:rPr>
          <w:sz w:val="20"/>
          <w:szCs w:val="20"/>
          <w:color w:val="auto"/>
        </w:rPr>
      </w:pPr>
      <w:r>
        <w:rPr>
          <w:rFonts w:ascii="Arial" w:cs="Arial" w:eastAsia="Arial" w:hAnsi="Arial"/>
          <w:sz w:val="18"/>
          <w:szCs w:val="18"/>
          <w:color w:val="auto"/>
        </w:rPr>
        <w:t>Other income (expense), net for the nine months ended September 30, 2023 was $10 million compared to ($28) million for the nine months ended September 30, 2022. The change was principally driven by $21 million of favorable change in marketable securities, $12 million of favorable foreign exchange, and $5 million of favorable change associated with assets held in a rabbi trust, partially offset by $3 million of unfavorable change in technology-related investment gains.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3" w:lineRule="exact"/>
        <w:rPr>
          <w:sz w:val="20"/>
          <w:szCs w:val="20"/>
          <w:color w:val="auto"/>
        </w:rPr>
      </w:pPr>
    </w:p>
    <w:p>
      <w:pPr>
        <w:jc w:val="both"/>
        <w:ind w:right="640" w:firstLine="494"/>
        <w:spacing w:after="0" w:line="247" w:lineRule="auto"/>
        <w:rPr>
          <w:sz w:val="20"/>
          <w:szCs w:val="20"/>
          <w:color w:val="auto"/>
        </w:rPr>
      </w:pPr>
      <w:r>
        <w:rPr>
          <w:rFonts w:ascii="Arial" w:cs="Arial" w:eastAsia="Arial" w:hAnsi="Arial"/>
          <w:sz w:val="18"/>
          <w:szCs w:val="18"/>
          <w:color w:val="auto"/>
        </w:rPr>
        <w:t>Income tax expense for the nine months ended September 30, 2023 was $118 million, resulting in an effective tax rate of 19%, compared to $86 million of income tax expense and an effective tax rate of 18% for the nine months ended September 30, 2022. The increase in income tax expense was principally driven by increased taxable income.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3"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$501 million and $232 million as of September 30, 2023 and December 31, 2022, respectively. Of the available cash and cash equivalents, $178 million was deposited in operating accounts and $323 million was invested in U.S. government backed securities and time deposits as of September 30, 2023, compared to $121 million deposited in operating accounts and $111 million invested in U.S. government backed securities as of December 31, 2022.</w:t>
      </w:r>
    </w:p>
    <w:p>
      <w:pPr>
        <w:spacing w:after="0" w:line="84" w:lineRule="exact"/>
        <w:rPr>
          <w:sz w:val="20"/>
          <w:szCs w:val="20"/>
          <w:color w:val="auto"/>
        </w:rPr>
      </w:pPr>
    </w:p>
    <w:p>
      <w:pPr>
        <w:ind w:right="140" w:firstLine="494"/>
        <w:spacing w:after="0"/>
        <w:rPr>
          <w:sz w:val="20"/>
          <w:szCs w:val="20"/>
          <w:color w:val="auto"/>
        </w:rPr>
      </w:pPr>
      <w:r>
        <w:rPr>
          <w:rFonts w:ascii="Arial" w:cs="Arial" w:eastAsia="Arial" w:hAnsi="Arial"/>
          <w:sz w:val="18"/>
          <w:szCs w:val="18"/>
          <w:color w:val="auto"/>
        </w:rPr>
        <w:t>As of September 30, 2023, the total of cash held by foreign subsidiaries was $ 90 million, the majority of which was at our subsidiaries located in the Netherlands, China, India and Japan.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initiatives or operating needs with local resources.</w:t>
      </w:r>
    </w:p>
    <w:p>
      <w:pPr>
        <w:spacing w:after="0" w:line="138"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38" w:lineRule="exact"/>
        <w:rPr>
          <w:sz w:val="20"/>
          <w:szCs w:val="20"/>
          <w:color w:val="auto"/>
        </w:rPr>
      </w:pPr>
    </w:p>
    <w:p>
      <w:pPr>
        <w:ind w:right="140" w:firstLine="494"/>
        <w:spacing w:after="0" w:line="237" w:lineRule="auto"/>
        <w:rPr>
          <w:sz w:val="20"/>
          <w:szCs w:val="20"/>
          <w:color w:val="auto"/>
        </w:rPr>
      </w:pPr>
      <w:r>
        <w:rPr>
          <w:rFonts w:ascii="Arial" w:cs="Arial" w:eastAsia="Arial" w:hAnsi="Arial"/>
          <w:sz w:val="18"/>
          <w:szCs w:val="18"/>
          <w:color w:val="auto"/>
        </w:rPr>
        <w:t>Our liquidity requirements are significant, primarily due to our debt service requirements. As of September 30, 2023, we had $620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$2 million of minimum required quarterly principal payments on ATI’s Term Loan through its maturity date of March 2026 and periodic interest payments on ATI’s Term Loan and the Senior Notes. There are no required quarterly principal payments on the Senior Notes. Long-term debt service liquidity requirements also consist of the payment in full of any remaining principal balance of ATI’s Term Loan and the Senior Notes upon their respective maturity dates.</w:t>
      </w:r>
    </w:p>
    <w:p>
      <w:pPr>
        <w:spacing w:after="0" w:line="143"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We made $5 million of principal payments on the Term Loan during each of the nine months ended September 30, 2023 and 2022. Our ability to make payments on and refinance our indebtedness and to fund planned capital expenditures and growth initiatives will depend on our ability to generate cash in the future.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0"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The Senior Secured Credit Facility provides for a $650 million Revolving Credit Facility, net of an allowance for up to $75 million in outstanding letter of credit commitments. As of September 30, 2023, we had $645 million available under the Revolving Credit Facility, net of $5 million in letters of credit. As of September 30, 2023,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September 30, 2023, our first lien net leverage ratio was 0.11x.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38"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September 30, 2023, we are in compliance with all covenants under the Senior Secured Credit Facility and indentures governing the Senior Notes.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ratings and outlook are reviewed periodically by Moody’s Investors Service, Inc. (“Moody’s”) and Fitch Ratings, Inc. (“Fitch”).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our credit ratings from both Moody's and Fitch are shown in the table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2023</w:t>
            </w:r>
          </w:p>
        </w:tc>
      </w:tr>
      <w:tr>
        <w:trPr>
          <w:trHeight w:val="182"/>
        </w:trPr>
        <w:tc>
          <w:tcPr>
            <w:tcW w:w="6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Credit Ratings</w:t>
            </w:r>
          </w:p>
        </w:tc>
        <w:tc>
          <w:tcPr>
            <w:tcW w:w="17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Moody's</w:t>
            </w: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Fitch</w:t>
            </w:r>
          </w:p>
        </w:tc>
      </w:tr>
      <w:tr>
        <w:trPr>
          <w:trHeight w:val="223"/>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Credit</w:t>
            </w:r>
          </w:p>
        </w:tc>
        <w:tc>
          <w:tcPr>
            <w:tcW w:w="1720" w:type="dxa"/>
            <w:vAlign w:val="bottom"/>
            <w:shd w:val="clear" w:color="auto" w:fill="CFF0FC"/>
          </w:tcPr>
          <w:p>
            <w:pPr>
              <w:jc w:val="center"/>
              <w:ind w:left="713"/>
              <w:spacing w:after="0"/>
              <w:rPr>
                <w:sz w:val="20"/>
                <w:szCs w:val="20"/>
                <w:color w:val="auto"/>
              </w:rPr>
            </w:pPr>
            <w:r>
              <w:rPr>
                <w:rFonts w:ascii="Arial" w:cs="Arial" w:eastAsia="Arial" w:hAnsi="Arial"/>
                <w:sz w:val="18"/>
                <w:szCs w:val="18"/>
                <w:color w:val="auto"/>
                <w:w w:val="99"/>
              </w:rPr>
              <w:t>Ba1</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720" w:type="dxa"/>
            <w:vAlign w:val="bottom"/>
          </w:tcPr>
          <w:p>
            <w:pPr>
              <w:jc w:val="center"/>
              <w:ind w:left="693"/>
              <w:spacing w:after="0"/>
              <w:rPr>
                <w:sz w:val="20"/>
                <w:szCs w:val="20"/>
                <w:color w:val="auto"/>
              </w:rPr>
            </w:pPr>
            <w:r>
              <w:rPr>
                <w:rFonts w:ascii="Arial" w:cs="Arial" w:eastAsia="Arial" w:hAnsi="Arial"/>
                <w:sz w:val="18"/>
                <w:szCs w:val="18"/>
                <w:color w:val="auto"/>
                <w:w w:val="99"/>
              </w:rPr>
              <w:t>Baa2</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BBB-</w:t>
            </w: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4.75% Senior Notes</w:t>
            </w:r>
          </w:p>
        </w:tc>
        <w:tc>
          <w:tcPr>
            <w:tcW w:w="1720" w:type="dxa"/>
            <w:vAlign w:val="bottom"/>
            <w:shd w:val="clear" w:color="auto" w:fill="CFF0FC"/>
          </w:tcPr>
          <w:p>
            <w:pPr>
              <w:jc w:val="center"/>
              <w:ind w:left="713"/>
              <w:spacing w:after="0"/>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5.875% Senior Notes</w:t>
            </w:r>
          </w:p>
        </w:tc>
        <w:tc>
          <w:tcPr>
            <w:tcW w:w="1720" w:type="dxa"/>
            <w:vAlign w:val="bottom"/>
          </w:tcPr>
          <w:p>
            <w:pPr>
              <w:jc w:val="center"/>
              <w:ind w:left="713"/>
              <w:spacing w:after="0"/>
              <w:rPr>
                <w:sz w:val="20"/>
                <w:szCs w:val="20"/>
                <w:color w:val="auto"/>
              </w:rPr>
            </w:pPr>
            <w:r>
              <w:rPr>
                <w:rFonts w:ascii="Arial" w:cs="Arial" w:eastAsia="Arial" w:hAnsi="Arial"/>
                <w:sz w:val="18"/>
                <w:szCs w:val="18"/>
                <w:color w:val="auto"/>
                <w:w w:val="99"/>
              </w:rPr>
              <w:t>Ba2</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3.75% Senior Notes</w:t>
            </w:r>
          </w:p>
        </w:tc>
        <w:tc>
          <w:tcPr>
            <w:tcW w:w="1720" w:type="dxa"/>
            <w:vAlign w:val="bottom"/>
            <w:shd w:val="clear" w:color="auto" w:fill="CFF0FC"/>
          </w:tcPr>
          <w:p>
            <w:pPr>
              <w:jc w:val="center"/>
              <w:ind w:left="713"/>
              <w:spacing w:after="0"/>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bl>
    <w:p>
      <w:pPr>
        <w:spacing w:after="0" w:line="149"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Our Board of Directors has authorized us to repurchase up to $ 4,000 million of our common stock pursuant to a stock repurchase program (the "Repurchase Program"). During the nine months ended September 30, 2023, we repurchased approximately $ 157 million of our common stock under the Repurchase Program. All of the repurchase transactions during the nine months ended September 30, 2023 were settled in cash during the same period. As of September 30, 2023, we had approximately $878 million available under the Repurchase Program.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nine months ended September 30, 2023 and 2022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4"/>
                <w:szCs w:val="14"/>
                <w:color w:val="auto"/>
              </w:rPr>
            </w:pPr>
          </w:p>
        </w:tc>
      </w:tr>
      <w:tr>
        <w:trPr>
          <w:trHeight w:val="189"/>
        </w:trPr>
        <w:tc>
          <w:tcPr>
            <w:tcW w:w="77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182"/>
        </w:trPr>
        <w:tc>
          <w:tcPr>
            <w:tcW w:w="7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980" w:type="dxa"/>
            <w:vAlign w:val="bottom"/>
            <w:shd w:val="clear" w:color="auto" w:fill="CFF0FC"/>
          </w:tcPr>
          <w:p>
            <w:pPr>
              <w:jc w:val="right"/>
              <w:ind w:right="775"/>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546</w:t>
            </w:r>
          </w:p>
        </w:tc>
        <w:tc>
          <w:tcPr>
            <w:tcW w:w="7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433</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980" w:type="dxa"/>
            <w:vAlign w:val="bottom"/>
          </w:tcPr>
          <w:p>
            <w:pPr>
              <w:jc w:val="right"/>
              <w:ind w:right="775"/>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(71 )</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2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980" w:type="dxa"/>
            <w:vAlign w:val="bottom"/>
            <w:shd w:val="clear" w:color="auto" w:fill="CFF0FC"/>
          </w:tcPr>
          <w:p>
            <w:pPr>
              <w:jc w:val="right"/>
              <w:ind w:right="775"/>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(205 )</w:t>
            </w:r>
          </w:p>
        </w:tc>
        <w:tc>
          <w:tcPr>
            <w:tcW w:w="7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(285 )</w:t>
            </w:r>
          </w:p>
        </w:tc>
      </w:tr>
    </w:tbl>
    <w:p>
      <w:pPr>
        <w:spacing w:after="0" w:line="189" w:lineRule="exact"/>
        <w:rPr>
          <w:sz w:val="20"/>
          <w:szCs w:val="20"/>
          <w:color w:val="auto"/>
        </w:rPr>
      </w:pPr>
    </w:p>
    <w:p>
      <w:pPr>
        <w:ind w:right="20" w:firstLine="494"/>
        <w:spacing w:after="0" w:line="261" w:lineRule="auto"/>
        <w:rPr>
          <w:sz w:val="20"/>
          <w:szCs w:val="20"/>
          <w:color w:val="auto"/>
        </w:rPr>
      </w:pPr>
      <w:r>
        <w:rPr>
          <w:rFonts w:ascii="Arial" w:cs="Arial" w:eastAsia="Arial" w:hAnsi="Arial"/>
          <w:sz w:val="17"/>
          <w:szCs w:val="17"/>
          <w:color w:val="auto"/>
        </w:rPr>
        <w:t>Generally, cash provided by operating activities has been adequate to fund our operations. We have significant liquidity, including $ 501 million of cash and cash equivalents and $645 million available under the Revolving Credit Facility, net of $5 million of letters of credit, as of September 30, 2023. At this time, we believe cash provided by operating activities, cash and cash equivalents and borrowing capacity under the Revolving Credit Facility will be sufficient to meet our known and anticipated cash requirements for the next twelve months and thereafter.</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3" w:lineRule="exact"/>
        <w:rPr>
          <w:sz w:val="20"/>
          <w:szCs w:val="20"/>
          <w:color w:val="auto"/>
        </w:rPr>
      </w:pPr>
    </w:p>
    <w:p>
      <w:pPr>
        <w:ind w:right="280" w:firstLine="494"/>
        <w:spacing w:after="0" w:line="247" w:lineRule="auto"/>
        <w:rPr>
          <w:sz w:val="20"/>
          <w:szCs w:val="20"/>
          <w:color w:val="auto"/>
        </w:rPr>
      </w:pPr>
      <w:r>
        <w:rPr>
          <w:rFonts w:ascii="Arial" w:cs="Arial" w:eastAsia="Arial" w:hAnsi="Arial"/>
          <w:sz w:val="18"/>
          <w:szCs w:val="18"/>
          <w:color w:val="auto"/>
        </w:rPr>
        <w:t>Operating activities for the nine months ended September 30, 2023 generated $546 million of cash compared to $433 million for the nine months ended September 30, 2022. The increase was principally driven by higher gross profit and lower operating working capital requirements, partially offset by higher cash income taxes.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3" w:lineRule="exact"/>
        <w:rPr>
          <w:sz w:val="20"/>
          <w:szCs w:val="20"/>
          <w:color w:val="auto"/>
        </w:rPr>
      </w:pPr>
    </w:p>
    <w:p>
      <w:pPr>
        <w:ind w:right="300" w:firstLine="499"/>
        <w:spacing w:after="0" w:line="247" w:lineRule="auto"/>
        <w:rPr>
          <w:sz w:val="20"/>
          <w:szCs w:val="20"/>
          <w:color w:val="auto"/>
        </w:rPr>
      </w:pPr>
      <w:r>
        <w:rPr>
          <w:rFonts w:ascii="Arial" w:cs="Arial" w:eastAsia="Arial" w:hAnsi="Arial"/>
          <w:sz w:val="18"/>
          <w:szCs w:val="18"/>
          <w:color w:val="auto"/>
        </w:rPr>
        <w:t>Investing activities for the nine months ended September 30, 2023 used $71 million of cash compared to $93 million for the nine months ended September 30, 2022. The decrease was principally driven by $23 million in cash paid for business acquisitions during 2022 that did not reoccur in 2023, partially offset by $4 million of lower proceeds from technology-related investments.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3" w:lineRule="exact"/>
        <w:rPr>
          <w:sz w:val="20"/>
          <w:szCs w:val="20"/>
          <w:color w:val="auto"/>
        </w:rPr>
      </w:pPr>
    </w:p>
    <w:p>
      <w:pPr>
        <w:jc w:val="both"/>
        <w:ind w:right="300" w:firstLine="494"/>
        <w:spacing w:after="0" w:line="247" w:lineRule="auto"/>
        <w:rPr>
          <w:sz w:val="20"/>
          <w:szCs w:val="20"/>
          <w:color w:val="auto"/>
        </w:rPr>
      </w:pPr>
      <w:r>
        <w:rPr>
          <w:rFonts w:ascii="Arial" w:cs="Arial" w:eastAsia="Arial" w:hAnsi="Arial"/>
          <w:sz w:val="18"/>
          <w:szCs w:val="18"/>
          <w:color w:val="auto"/>
        </w:rPr>
        <w:t>Financing activities for the nine months ended September 30, 2023 used $205 million of cash compared to $285 million for the nine months ended September 30, 2022. The decrease was principally driven by $59 million of lower stock repurchases under the Repurchase Program and $26 million of higher proceeds from the exercise of stock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13"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13"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A discussion of our critical accounting policies and significant accounting estimates is included in Part II, Item 7, “Management’s Discussion and Analysis of Financial Condition and Results of Operations” in our Annual Report on Form 10-K for the year ended December 31, 2022 as filed with the Securities and Exchange Commission on February 16, 2023.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and nine months ended September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3" w:lineRule="exact"/>
        <w:rPr>
          <w:sz w:val="20"/>
          <w:szCs w:val="20"/>
          <w:color w:val="auto"/>
        </w:rPr>
      </w:pPr>
    </w:p>
    <w:p>
      <w:pPr>
        <w:ind w:firstLine="494"/>
        <w:spacing w:after="0" w:line="235" w:lineRule="auto"/>
        <w:rPr>
          <w:sz w:val="20"/>
          <w:szCs w:val="20"/>
          <w:color w:val="auto"/>
        </w:rPr>
      </w:pPr>
      <w:r>
        <w:rPr>
          <w:rFonts w:ascii="Arial" w:cs="Arial" w:eastAsia="Arial" w:hAnsi="Arial"/>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wars and pandemics; global economic volatility; general economic and industry conditions, including the risk of recession; labor strikes, work stoppages or similar labor disputes, which could significantly disrupt our operations or those of our principal customers or suppliers; the duration and spread of the COVID-19 pandemic, including new variants of the virus and the pace and availability of vaccines and boosters, mitigating efforts deployed by government agencies and the public at large, and the overall impact from such outbreak on economic conditions, financial market volatility and our business, including but not limited to the operations of our manufacturing and other facilities, the availability of labor, our supply chain, our distribution processes and demand for our products and the corresponding impacts to our net sales and cash flow;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97"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2022 as filed with the Securities and Exchange Commission on February 16, 2023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Securities and Exchange Commission filings or public communications. You should evaluate all forward-looking statements made in this Quarterly Report on Form 10-Q in the context of these risks and uncertainties.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88" w:lineRule="exact"/>
        <w:rPr>
          <w:sz w:val="20"/>
          <w:szCs w:val="20"/>
          <w:color w:val="auto"/>
        </w:rPr>
      </w:pPr>
    </w:p>
    <w:p>
      <w:pPr>
        <w:ind w:right="420" w:firstLine="499"/>
        <w:spacing w:after="0" w:line="259"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3" w:lineRule="exact"/>
        <w:rPr>
          <w:sz w:val="20"/>
          <w:szCs w:val="20"/>
          <w:color w:val="auto"/>
        </w:rPr>
      </w:pPr>
    </w:p>
    <w:p>
      <w:pPr>
        <w:ind w:right="140" w:firstLine="499"/>
        <w:spacing w:after="0" w:line="238" w:lineRule="auto"/>
        <w:rPr>
          <w:sz w:val="20"/>
          <w:szCs w:val="20"/>
          <w:color w:val="auto"/>
        </w:rPr>
      </w:pPr>
      <w:r>
        <w:rPr>
          <w:rFonts w:ascii="Arial" w:cs="Arial" w:eastAsia="Arial" w:hAnsi="Arial"/>
          <w:sz w:val="18"/>
          <w:szCs w:val="18"/>
          <w:color w:val="auto"/>
        </w:rPr>
        <w:t>Our principal interest rate exposure relates to outstanding amounts under our Senior Secured Credit Facility. Our Senior Secured Credit Facility provides for variable rate borrowings of up to $1,265 million, including $645 million under our Revolving Credit Facility, net of $5 million of letters of credit. As of September 30, 2023, we held interest rate swap contracts that, in the aggregate, effectively hedge $500 million of the variable rate debt associated with the Term Loan at the forward-looking term rate based on the Secured Overnight Financing Rate weighted average fixed rate of 2.81% through September 2025. A one-eighth percent increase or decrease in assumed interest rates for the Senior Secured Credit Facility, if fully drawn as of September 30, 2023, would have an impact of approximately $1 million on interest expense per year. As of September 30, 2023, we had no outstanding borrowings against the Revolving Credit Facility.</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3" w:lineRule="exact"/>
        <w:rPr>
          <w:sz w:val="20"/>
          <w:szCs w:val="20"/>
          <w:color w:val="auto"/>
        </w:rPr>
      </w:pPr>
    </w:p>
    <w:p>
      <w:pPr>
        <w:ind w:right="160" w:firstLine="499"/>
        <w:spacing w:after="0" w:line="242"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82"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$5 million per year. We believe our other direct exposure to foreign currencies is immaterial.</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3" w:lineRule="exact"/>
        <w:rPr>
          <w:sz w:val="20"/>
          <w:szCs w:val="20"/>
          <w:color w:val="auto"/>
        </w:rPr>
      </w:pPr>
    </w:p>
    <w:p>
      <w:pPr>
        <w:ind w:right="40" w:firstLine="499"/>
        <w:spacing w:after="0" w:line="239"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September 30, 2023, approximately 67% of our cost of sales consisted of purchased components.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85" w:lineRule="exact"/>
        <w:rPr>
          <w:sz w:val="20"/>
          <w:szCs w:val="20"/>
          <w:color w:val="auto"/>
        </w:rPr>
      </w:pPr>
    </w:p>
    <w:p>
      <w:pPr>
        <w:ind w:right="240" w:firstLine="499"/>
        <w:spacing w:after="0" w:line="259"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$9 million and $12 million per year, respectively.</w:t>
      </w:r>
    </w:p>
    <w:p>
      <w:pPr>
        <w:spacing w:after="0" w:line="66" w:lineRule="exact"/>
        <w:rPr>
          <w:sz w:val="20"/>
          <w:szCs w:val="20"/>
          <w:color w:val="auto"/>
        </w:rPr>
      </w:pPr>
    </w:p>
    <w:p>
      <w:pPr>
        <w:ind w:right="60" w:firstLine="499"/>
        <w:spacing w:after="0" w:line="259"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3" w:lineRule="exact"/>
        <w:rPr>
          <w:sz w:val="20"/>
          <w:szCs w:val="20"/>
          <w:color w:val="auto"/>
        </w:rPr>
      </w:pPr>
    </w:p>
    <w:p>
      <w:pPr>
        <w:ind w:right="100" w:firstLine="499"/>
        <w:spacing w:after="0" w:line="238"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87" w:lineRule="exact"/>
        <w:rPr>
          <w:sz w:val="20"/>
          <w:szCs w:val="20"/>
          <w:color w:val="auto"/>
        </w:rPr>
      </w:pPr>
    </w:p>
    <w:p>
      <w:pPr>
        <w:ind w:firstLine="499"/>
        <w:spacing w:after="0" w:line="239"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3" w:lineRule="exact"/>
        <w:rPr>
          <w:sz w:val="20"/>
          <w:szCs w:val="20"/>
          <w:color w:val="auto"/>
        </w:rPr>
      </w:pPr>
    </w:p>
    <w:p>
      <w:pPr>
        <w:ind w:firstLine="499"/>
        <w:spacing w:after="0" w:line="247"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3" w:lineRule="exact"/>
        <w:rPr>
          <w:sz w:val="20"/>
          <w:szCs w:val="20"/>
          <w:color w:val="auto"/>
        </w:rPr>
      </w:pPr>
    </w:p>
    <w:p>
      <w:pPr>
        <w:ind w:right="120" w:firstLine="499"/>
        <w:spacing w:after="0" w:line="261"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3" w:lineRule="exact"/>
        <w:rPr>
          <w:sz w:val="20"/>
          <w:szCs w:val="20"/>
          <w:color w:val="auto"/>
        </w:rPr>
      </w:pPr>
    </w:p>
    <w:p>
      <w:pPr>
        <w:ind w:firstLine="499"/>
        <w:spacing w:after="0" w:line="259"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2022 as filed with the Securities and Exchange Commission on February 16,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13" w:lineRule="exact"/>
        <w:rPr>
          <w:sz w:val="20"/>
          <w:szCs w:val="20"/>
          <w:color w:val="auto"/>
        </w:rPr>
      </w:pPr>
    </w:p>
    <w:p>
      <w:pPr>
        <w:ind w:right="500" w:firstLine="499"/>
        <w:spacing w:after="0" w:line="259" w:lineRule="auto"/>
        <w:rPr>
          <w:sz w:val="20"/>
          <w:szCs w:val="20"/>
          <w:color w:val="auto"/>
        </w:rPr>
      </w:pPr>
      <w:r>
        <w:rPr>
          <w:rFonts w:ascii="Arial" w:cs="Arial" w:eastAsia="Arial" w:hAnsi="Arial"/>
          <w:sz w:val="18"/>
          <w:szCs w:val="18"/>
          <w:color w:val="auto"/>
        </w:rPr>
        <w:t>The following table sets forth information related to our repurchases of our common stock on a monthly basis in the three months ended September 30,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40"/>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45"/>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65"/>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80"/>
              <w:spacing w:after="0"/>
              <w:rPr>
                <w:sz w:val="20"/>
                <w:szCs w:val="20"/>
                <w:color w:val="auto"/>
              </w:rPr>
            </w:pPr>
            <w:r>
              <w:rPr>
                <w:rFonts w:ascii="Arial" w:cs="Arial" w:eastAsia="Arial" w:hAnsi="Arial"/>
                <w:sz w:val="14"/>
                <w:szCs w:val="14"/>
                <w:b w:val="1"/>
                <w:bCs w:val="1"/>
                <w:color w:val="auto"/>
              </w:rPr>
              <w:t>Shares that</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65"/>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40"/>
              <w:spacing w:after="0"/>
              <w:rPr>
                <w:sz w:val="20"/>
                <w:szCs w:val="20"/>
                <w:color w:val="auto"/>
              </w:rPr>
            </w:pPr>
            <w:r>
              <w:rPr>
                <w:rFonts w:ascii="Arial" w:cs="Arial" w:eastAsia="Arial" w:hAnsi="Arial"/>
                <w:sz w:val="14"/>
                <w:szCs w:val="14"/>
                <w:b w:val="1"/>
                <w:bCs w:val="1"/>
                <w:color w:val="auto"/>
              </w:rPr>
              <w:t>May</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65"/>
              <w:spacing w:after="0"/>
              <w:rPr>
                <w:sz w:val="20"/>
                <w:szCs w:val="20"/>
                <w:color w:val="auto"/>
              </w:rPr>
            </w:pPr>
            <w:r>
              <w:rPr>
                <w:rFonts w:ascii="Arial" w:cs="Arial" w:eastAsia="Arial" w:hAnsi="Arial"/>
                <w:sz w:val="14"/>
                <w:szCs w:val="14"/>
                <w:b w:val="1"/>
                <w:bCs w:val="1"/>
                <w:color w:val="auto"/>
              </w:rPr>
              <w:t>as Part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80"/>
              <w:spacing w:after="0"/>
              <w:rPr>
                <w:sz w:val="20"/>
                <w:szCs w:val="20"/>
                <w:color w:val="auto"/>
              </w:rPr>
            </w:pPr>
            <w:r>
              <w:rPr>
                <w:rFonts w:ascii="Arial" w:cs="Arial" w:eastAsia="Arial" w:hAnsi="Arial"/>
                <w:sz w:val="14"/>
                <w:szCs w:val="14"/>
                <w:b w:val="1"/>
                <w:bCs w:val="1"/>
                <w:color w:val="auto"/>
              </w:rPr>
              <w:t>Yet Be</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45"/>
              <w:spacing w:after="0"/>
              <w:rPr>
                <w:sz w:val="20"/>
                <w:szCs w:val="20"/>
                <w:color w:val="auto"/>
              </w:rPr>
            </w:pPr>
            <w:r>
              <w:rPr>
                <w:rFonts w:ascii="Arial" w:cs="Arial" w:eastAsia="Arial" w:hAnsi="Arial"/>
                <w:sz w:val="14"/>
                <w:szCs w:val="14"/>
                <w:b w:val="1"/>
                <w:bCs w:val="1"/>
                <w:color w:val="auto"/>
              </w:rPr>
              <w:t>Publicly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40"/>
              <w:spacing w:after="0"/>
              <w:rPr>
                <w:sz w:val="20"/>
                <w:szCs w:val="20"/>
                <w:color w:val="auto"/>
              </w:rPr>
            </w:pPr>
            <w:r>
              <w:rPr>
                <w:rFonts w:ascii="Arial" w:cs="Arial" w:eastAsia="Arial" w:hAnsi="Arial"/>
                <w:sz w:val="14"/>
                <w:szCs w:val="14"/>
                <w:b w:val="1"/>
                <w:bCs w:val="1"/>
                <w:color w:val="auto"/>
              </w:rPr>
              <w:t>Purchased</w:t>
            </w:r>
          </w:p>
        </w:tc>
      </w:tr>
      <w:tr>
        <w:trPr>
          <w:trHeight w:val="162"/>
        </w:trPr>
        <w:tc>
          <w:tcPr>
            <w:tcW w:w="5760" w:type="dxa"/>
            <w:vAlign w:val="bottom"/>
          </w:tcPr>
          <w:p>
            <w:pPr>
              <w:spacing w:after="0"/>
              <w:rPr>
                <w:sz w:val="14"/>
                <w:szCs w:val="14"/>
                <w:color w:val="auto"/>
              </w:rPr>
            </w:pPr>
          </w:p>
        </w:tc>
        <w:tc>
          <w:tcPr>
            <w:tcW w:w="1320" w:type="dxa"/>
            <w:vAlign w:val="bottom"/>
          </w:tcPr>
          <w:p>
            <w:pPr>
              <w:jc w:val="center"/>
              <w:ind w:right="41"/>
              <w:spacing w:after="0"/>
              <w:rPr>
                <w:sz w:val="20"/>
                <w:szCs w:val="20"/>
                <w:color w:val="auto"/>
              </w:rPr>
            </w:pPr>
            <w:r>
              <w:rPr>
                <w:rFonts w:ascii="Arial" w:cs="Arial" w:eastAsia="Arial" w:hAnsi="Arial"/>
                <w:sz w:val="14"/>
                <w:szCs w:val="14"/>
                <w:b w:val="1"/>
                <w:bCs w:val="1"/>
                <w:color w:val="auto"/>
              </w:rPr>
              <w:t>Total Number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78"/>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280" w:type="dxa"/>
            <w:vAlign w:val="bottom"/>
          </w:tcPr>
          <w:p>
            <w:pPr>
              <w:jc w:val="center"/>
              <w:ind w:right="45"/>
              <w:spacing w:after="0"/>
              <w:rPr>
                <w:sz w:val="20"/>
                <w:szCs w:val="20"/>
                <w:color w:val="auto"/>
              </w:rPr>
            </w:pPr>
            <w:r>
              <w:rPr>
                <w:rFonts w:ascii="Arial" w:cs="Arial" w:eastAsia="Arial" w:hAnsi="Arial"/>
                <w:sz w:val="14"/>
                <w:szCs w:val="14"/>
                <w:b w:val="1"/>
                <w:bCs w:val="1"/>
                <w:color w:val="auto"/>
              </w:rPr>
              <w:t>Announced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80"/>
              <w:spacing w:after="0"/>
              <w:rPr>
                <w:sz w:val="20"/>
                <w:szCs w:val="20"/>
                <w:color w:val="auto"/>
              </w:rPr>
            </w:pPr>
            <w:r>
              <w:rPr>
                <w:rFonts w:ascii="Arial" w:cs="Arial" w:eastAsia="Arial" w:hAnsi="Arial"/>
                <w:sz w:val="14"/>
                <w:szCs w:val="14"/>
                <w:b w:val="1"/>
                <w:bCs w:val="1"/>
                <w:color w:val="auto"/>
              </w:rPr>
              <w:t>Under the</w:t>
            </w:r>
          </w:p>
        </w:tc>
      </w:tr>
      <w:tr>
        <w:trPr>
          <w:trHeight w:val="162"/>
        </w:trPr>
        <w:tc>
          <w:tcPr>
            <w:tcW w:w="5760" w:type="dxa"/>
            <w:vAlign w:val="bottom"/>
          </w:tcPr>
          <w:p>
            <w:pPr>
              <w:spacing w:after="0"/>
              <w:rPr>
                <w:sz w:val="14"/>
                <w:szCs w:val="14"/>
                <w:color w:val="auto"/>
              </w:rPr>
            </w:pPr>
          </w:p>
        </w:tc>
        <w:tc>
          <w:tcPr>
            <w:tcW w:w="1320" w:type="dxa"/>
            <w:vAlign w:val="bottom"/>
          </w:tcPr>
          <w:p>
            <w:pPr>
              <w:jc w:val="center"/>
              <w:ind w:right="21"/>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98"/>
              <w:spacing w:after="0"/>
              <w:rPr>
                <w:sz w:val="20"/>
                <w:szCs w:val="20"/>
                <w:color w:val="auto"/>
              </w:rPr>
            </w:pPr>
            <w:r>
              <w:rPr>
                <w:rFonts w:ascii="Arial" w:cs="Arial" w:eastAsia="Arial" w:hAnsi="Arial"/>
                <w:sz w:val="14"/>
                <w:szCs w:val="14"/>
                <w:b w:val="1"/>
                <w:bCs w:val="1"/>
                <w:color w:val="auto"/>
              </w:rPr>
              <w:t>Price Paid</w:t>
            </w:r>
          </w:p>
        </w:tc>
        <w:tc>
          <w:tcPr>
            <w:tcW w:w="120" w:type="dxa"/>
            <w:vAlign w:val="bottom"/>
          </w:tcPr>
          <w:p>
            <w:pPr>
              <w:spacing w:after="0"/>
              <w:rPr>
                <w:sz w:val="14"/>
                <w:szCs w:val="14"/>
                <w:color w:val="auto"/>
              </w:rPr>
            </w:pPr>
          </w:p>
        </w:tc>
        <w:tc>
          <w:tcPr>
            <w:tcW w:w="1280" w:type="dxa"/>
            <w:vAlign w:val="bottom"/>
          </w:tcPr>
          <w:p>
            <w:pPr>
              <w:jc w:val="center"/>
              <w:ind w:right="45"/>
              <w:spacing w:after="0"/>
              <w:rPr>
                <w:sz w:val="20"/>
                <w:szCs w:val="20"/>
                <w:color w:val="auto"/>
              </w:rPr>
            </w:pPr>
            <w:r>
              <w:rPr>
                <w:rFonts w:ascii="Arial" w:cs="Arial" w:eastAsia="Arial" w:hAnsi="Arial"/>
                <w:sz w:val="14"/>
                <w:szCs w:val="14"/>
                <w:b w:val="1"/>
                <w:bCs w:val="1"/>
                <w:color w:val="auto"/>
              </w:rPr>
              <w:t>Plans 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80"/>
              <w:spacing w:after="0"/>
              <w:rPr>
                <w:sz w:val="20"/>
                <w:szCs w:val="20"/>
                <w:color w:val="auto"/>
              </w:rPr>
            </w:pPr>
            <w:r>
              <w:rPr>
                <w:rFonts w:ascii="Arial" w:cs="Arial" w:eastAsia="Arial" w:hAnsi="Arial"/>
                <w:sz w:val="14"/>
                <w:szCs w:val="14"/>
                <w:b w:val="1"/>
                <w:bCs w:val="1"/>
                <w:color w:val="auto"/>
              </w:rPr>
              <w:t>Plans or</w:t>
            </w:r>
          </w:p>
        </w:tc>
      </w:tr>
      <w:tr>
        <w:trPr>
          <w:trHeight w:val="189"/>
        </w:trPr>
        <w:tc>
          <w:tcPr>
            <w:tcW w:w="5760" w:type="dxa"/>
            <w:vAlign w:val="bottom"/>
          </w:tcPr>
          <w:p>
            <w:pPr>
              <w:spacing w:after="0"/>
              <w:rPr>
                <w:sz w:val="16"/>
                <w:szCs w:val="16"/>
                <w:color w:val="auto"/>
              </w:rPr>
            </w:pPr>
          </w:p>
        </w:tc>
        <w:tc>
          <w:tcPr>
            <w:tcW w:w="13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Programs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Programs(1)</w:t>
            </w:r>
          </w:p>
        </w:tc>
      </w:tr>
      <w:tr>
        <w:trPr>
          <w:trHeight w:val="196"/>
        </w:trPr>
        <w:tc>
          <w:tcPr>
            <w:tcW w:w="70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July 1 – July 31, 2023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898,119,72</w:t>
            </w:r>
          </w:p>
        </w:tc>
      </w:tr>
      <w:tr>
        <w:trPr>
          <w:trHeight w:val="229"/>
        </w:trPr>
        <w:tc>
          <w:tcPr>
            <w:tcW w:w="57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03"/>
        </w:trPr>
        <w:tc>
          <w:tcPr>
            <w:tcW w:w="7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August 1 – August 31, 2023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0"/>
              <w:spacing w:after="0" w:line="203" w:lineRule="exact"/>
              <w:rPr>
                <w:sz w:val="20"/>
                <w:szCs w:val="20"/>
                <w:color w:val="auto"/>
              </w:rPr>
            </w:pPr>
            <w:r>
              <w:rPr>
                <w:rFonts w:ascii="Arial" w:cs="Arial" w:eastAsia="Arial" w:hAnsi="Arial"/>
                <w:sz w:val="18"/>
                <w:szCs w:val="18"/>
                <w:color w:val="auto"/>
              </w:rPr>
              <w:t>888,121,86</w:t>
            </w:r>
          </w:p>
        </w:tc>
      </w:tr>
      <w:tr>
        <w:trPr>
          <w:trHeight w:val="229"/>
        </w:trPr>
        <w:tc>
          <w:tcPr>
            <w:tcW w:w="7080" w:type="dxa"/>
            <w:vAlign w:val="bottom"/>
            <w:gridSpan w:val="2"/>
          </w:tcPr>
          <w:p>
            <w:pPr>
              <w:jc w:val="right"/>
              <w:ind w:right="41"/>
              <w:spacing w:after="0"/>
              <w:rPr>
                <w:sz w:val="20"/>
                <w:szCs w:val="20"/>
                <w:color w:val="auto"/>
              </w:rPr>
            </w:pPr>
            <w:r>
              <w:rPr>
                <w:rFonts w:ascii="Arial" w:cs="Arial" w:eastAsia="Arial" w:hAnsi="Arial"/>
                <w:sz w:val="18"/>
                <w:szCs w:val="18"/>
                <w:color w:val="auto"/>
              </w:rPr>
              <w:t>169,127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59.11</w:t>
            </w:r>
          </w:p>
        </w:tc>
        <w:tc>
          <w:tcPr>
            <w:tcW w:w="1400" w:type="dxa"/>
            <w:vAlign w:val="bottom"/>
            <w:gridSpan w:val="2"/>
          </w:tcPr>
          <w:p>
            <w:pPr>
              <w:jc w:val="right"/>
              <w:ind w:right="45"/>
              <w:spacing w:after="0"/>
              <w:rPr>
                <w:sz w:val="20"/>
                <w:szCs w:val="20"/>
                <w:color w:val="auto"/>
              </w:rPr>
            </w:pPr>
            <w:r>
              <w:rPr>
                <w:rFonts w:ascii="Arial" w:cs="Arial" w:eastAsia="Arial" w:hAnsi="Arial"/>
                <w:sz w:val="18"/>
                <w:szCs w:val="18"/>
                <w:color w:val="auto"/>
              </w:rPr>
              <w:t>169,127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5</w:t>
            </w:r>
          </w:p>
        </w:tc>
      </w:tr>
      <w:tr>
        <w:trPr>
          <w:trHeight w:val="189"/>
        </w:trPr>
        <w:tc>
          <w:tcPr>
            <w:tcW w:w="7080" w:type="dxa"/>
            <w:vAlign w:val="bottom"/>
            <w:gridSpan w:val="2"/>
            <w:shd w:val="clear" w:color="auto" w:fill="CFF0FC"/>
          </w:tcPr>
          <w:p>
            <w:pPr>
              <w:ind w:left="20"/>
              <w:spacing w:after="0" w:line="189" w:lineRule="exact"/>
              <w:rPr>
                <w:sz w:val="20"/>
                <w:szCs w:val="20"/>
                <w:color w:val="auto"/>
              </w:rPr>
            </w:pPr>
            <w:r>
              <w:rPr>
                <w:rFonts w:ascii="Arial" w:cs="Arial" w:eastAsia="Arial" w:hAnsi="Arial"/>
                <w:sz w:val="18"/>
                <w:szCs w:val="18"/>
                <w:color w:val="auto"/>
              </w:rPr>
              <w:t>September 1 – September 30, 2023</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878,123,04</w:t>
            </w:r>
          </w:p>
        </w:tc>
      </w:tr>
      <w:tr>
        <w:trPr>
          <w:trHeight w:val="229"/>
        </w:trPr>
        <w:tc>
          <w:tcPr>
            <w:tcW w:w="57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167,624</w:t>
            </w:r>
          </w:p>
        </w:tc>
        <w:tc>
          <w:tcPr>
            <w:tcW w:w="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59.65</w:t>
            </w: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8"/>
                <w:szCs w:val="18"/>
                <w:color w:val="auto"/>
              </w:rPr>
              <w:t>167,624</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7080" w:type="dxa"/>
            <w:vAlign w:val="bottom"/>
            <w:gridSpan w:val="2"/>
          </w:tcPr>
          <w:p>
            <w:pPr>
              <w:jc w:val="right"/>
              <w:ind w:right="41"/>
              <w:spacing w:after="0"/>
              <w:rPr>
                <w:sz w:val="20"/>
                <w:szCs w:val="20"/>
                <w:color w:val="auto"/>
              </w:rPr>
            </w:pPr>
            <w:r>
              <w:rPr>
                <w:rFonts w:ascii="Arial" w:cs="Arial" w:eastAsia="Arial" w:hAnsi="Arial"/>
                <w:sz w:val="18"/>
                <w:szCs w:val="18"/>
                <w:color w:val="auto"/>
              </w:rPr>
              <w:t>336,751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59.38</w:t>
            </w:r>
          </w:p>
        </w:tc>
        <w:tc>
          <w:tcPr>
            <w:tcW w:w="1400" w:type="dxa"/>
            <w:vAlign w:val="bottom"/>
            <w:gridSpan w:val="2"/>
          </w:tcPr>
          <w:p>
            <w:pPr>
              <w:jc w:val="right"/>
              <w:ind w:right="45"/>
              <w:spacing w:after="0"/>
              <w:rPr>
                <w:sz w:val="20"/>
                <w:szCs w:val="20"/>
                <w:color w:val="auto"/>
              </w:rPr>
            </w:pPr>
            <w:r>
              <w:rPr>
                <w:rFonts w:ascii="Arial" w:cs="Arial" w:eastAsia="Arial" w:hAnsi="Arial"/>
                <w:sz w:val="18"/>
                <w:szCs w:val="18"/>
                <w:color w:val="auto"/>
              </w:rPr>
              <w:t>336,751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-179070</wp:posOffset>
            </wp:positionV>
            <wp:extent cx="93980" cy="17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-179070</wp:posOffset>
            </wp:positionV>
            <wp:extent cx="85725"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69" w:lineRule="exact"/>
        <w:rPr>
          <w:sz w:val="20"/>
          <w:szCs w:val="20"/>
          <w:color w:val="auto"/>
        </w:rPr>
      </w:pPr>
    </w:p>
    <w:p>
      <w:pPr>
        <w:ind w:left="640" w:right="260" w:hanging="372"/>
        <w:spacing w:after="0" w:line="24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values reflect the amounts that may be repurchased under the Repurchase Program approved by the Board of Directors on November 14, 2016 and the increases approved by the Board of Directors on November 8, 2017, July 30, 2018, May 9, 2019 and February 24, 2022, which in the aggregate total authorized repurchases of $4,000 million. The Repurchase Program has no termination date.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Insider Trading Arrangements</w:t>
      </w:r>
    </w:p>
    <w:p>
      <w:pPr>
        <w:spacing w:after="0" w:line="113" w:lineRule="exact"/>
        <w:rPr>
          <w:sz w:val="20"/>
          <w:szCs w:val="20"/>
          <w:color w:val="auto"/>
        </w:rPr>
      </w:pPr>
    </w:p>
    <w:p>
      <w:pPr>
        <w:ind w:right="180" w:firstLine="499"/>
        <w:spacing w:after="0" w:line="242" w:lineRule="auto"/>
        <w:rPr>
          <w:sz w:val="20"/>
          <w:szCs w:val="20"/>
          <w:color w:val="auto"/>
        </w:rPr>
      </w:pPr>
      <w:r>
        <w:rPr>
          <w:rFonts w:ascii="Arial" w:cs="Arial" w:eastAsia="Arial" w:hAnsi="Arial"/>
          <w:sz w:val="18"/>
          <w:szCs w:val="18"/>
          <w:color w:val="auto"/>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September 30, 2023:</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Trading Arrangement</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56"/>
        </w:trPr>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Non-Rule</w:t>
            </w:r>
          </w:p>
        </w:tc>
        <w:tc>
          <w:tcPr>
            <w:tcW w:w="100" w:type="dxa"/>
            <w:vAlign w:val="bottom"/>
          </w:tcPr>
          <w:p>
            <w:pPr>
              <w:spacing w:after="0"/>
              <w:rPr>
                <w:sz w:val="13"/>
                <w:szCs w:val="13"/>
                <w:color w:val="auto"/>
              </w:rPr>
            </w:pPr>
          </w:p>
        </w:tc>
        <w:tc>
          <w:tcPr>
            <w:tcW w:w="1200" w:type="dxa"/>
            <w:vAlign w:val="bottom"/>
          </w:tcPr>
          <w:p>
            <w:pPr>
              <w:jc w:val="center"/>
              <w:ind w:right="68"/>
              <w:spacing w:after="0" w:line="155" w:lineRule="exact"/>
              <w:rPr>
                <w:sz w:val="20"/>
                <w:szCs w:val="20"/>
                <w:color w:val="auto"/>
              </w:rPr>
            </w:pPr>
            <w:r>
              <w:rPr>
                <w:rFonts w:ascii="Arial" w:cs="Arial" w:eastAsia="Arial" w:hAnsi="Arial"/>
                <w:sz w:val="14"/>
                <w:szCs w:val="14"/>
                <w:b w:val="1"/>
                <w:bCs w:val="1"/>
                <w:color w:val="auto"/>
              </w:rPr>
              <w:t>Total Shares to</w:t>
            </w:r>
          </w:p>
        </w:tc>
        <w:tc>
          <w:tcPr>
            <w:tcW w:w="14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Expiration</w:t>
            </w:r>
          </w:p>
        </w:tc>
      </w:tr>
      <w:tr>
        <w:trPr>
          <w:trHeight w:val="189"/>
        </w:trPr>
        <w:tc>
          <w:tcPr>
            <w:tcW w:w="1700" w:type="dxa"/>
            <w:vAlign w:val="bottom"/>
          </w:tcPr>
          <w:p>
            <w:pPr>
              <w:ind w:left="66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2660" w:type="dxa"/>
            <w:vAlign w:val="bottom"/>
          </w:tcPr>
          <w:p>
            <w:pPr>
              <w:ind w:left="120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Action</w:t>
            </w:r>
          </w:p>
        </w:tc>
        <w:tc>
          <w:tcPr>
            <w:tcW w:w="16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Rule 10b5-1*</w:t>
            </w:r>
          </w:p>
        </w:tc>
        <w:tc>
          <w:tcPr>
            <w:tcW w:w="1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10b5-1**</w:t>
            </w:r>
          </w:p>
        </w:tc>
        <w:tc>
          <w:tcPr>
            <w:tcW w:w="100" w:type="dxa"/>
            <w:vAlign w:val="bottom"/>
          </w:tcPr>
          <w:p>
            <w:pPr>
              <w:spacing w:after="0"/>
              <w:rPr>
                <w:sz w:val="16"/>
                <w:szCs w:val="16"/>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b w:val="1"/>
                <w:bCs w:val="1"/>
                <w:color w:val="auto"/>
              </w:rPr>
              <w:t>be Sold</w:t>
            </w:r>
          </w:p>
        </w:tc>
        <w:tc>
          <w:tcPr>
            <w:tcW w:w="1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196"/>
        </w:trPr>
        <w:tc>
          <w:tcPr>
            <w:tcW w:w="17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Vice President, Quality, Planning</w:t>
            </w:r>
          </w:p>
        </w:tc>
        <w:tc>
          <w:tcPr>
            <w:tcW w:w="16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r>
      <w:tr>
        <w:trPr>
          <w:trHeight w:val="229"/>
        </w:trPr>
        <w:tc>
          <w:tcPr>
            <w:tcW w:w="1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Thomas D. Eifert</w:t>
            </w:r>
          </w:p>
        </w:tc>
        <w:tc>
          <w:tcPr>
            <w:tcW w:w="160" w:type="dxa"/>
            <w:vAlign w:val="bottom"/>
            <w:shd w:val="clear" w:color="auto" w:fill="CFF0FC"/>
          </w:tcPr>
          <w:p>
            <w:pPr>
              <w:spacing w:after="0"/>
              <w:rPr>
                <w:sz w:val="19"/>
                <w:szCs w:val="19"/>
                <w:color w:val="auto"/>
              </w:rPr>
            </w:pPr>
          </w:p>
        </w:tc>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&amp; Program Management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Adopted</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8/9/2023</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5,047</w:t>
            </w:r>
          </w:p>
        </w:tc>
        <w:tc>
          <w:tcPr>
            <w:tcW w:w="11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12/31/2024</w:t>
            </w:r>
          </w:p>
        </w:tc>
      </w:tr>
    </w:tbl>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Intended to satisfy the affirmative defense of Rule 10b5-1(c)</w:t>
      </w:r>
    </w:p>
    <w:p>
      <w:pPr>
        <w:spacing w:after="0" w:line="7" w:lineRule="exact"/>
        <w:rPr>
          <w:sz w:val="20"/>
          <w:szCs w:val="20"/>
          <w:color w:val="auto"/>
        </w:rPr>
      </w:pPr>
    </w:p>
    <w:p>
      <w:pPr>
        <w:ind w:left="5520" w:right="5520" w:hanging="5252"/>
        <w:spacing w:after="0" w:line="356" w:lineRule="auto"/>
        <w:tabs>
          <w:tab w:leader="none" w:pos="453"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 intended to satisfy the affirmative defense of Rule 10b5-1(c)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440" w:type="dxa"/>
            <w:vAlign w:val="bottom"/>
            <w:gridSpan w:val="5"/>
          </w:tcPr>
          <w:p>
            <w:pPr>
              <w:ind w:left="20"/>
              <w:spacing w:after="0"/>
              <w:rPr>
                <w:sz w:val="20"/>
                <w:szCs w:val="20"/>
                <w:color w:val="auto"/>
              </w:rPr>
            </w:pPr>
            <w:r>
              <w:rPr>
                <w:rFonts w:ascii="Arial" w:cs="Arial" w:eastAsia="Arial" w:hAnsi="Arial"/>
                <w:sz w:val="18"/>
                <w:szCs w:val="18"/>
                <w:b w:val="1"/>
                <w:bCs w:val="1"/>
                <w:color w:val="auto"/>
              </w:rPr>
              <w:t>Item 6.</w:t>
            </w:r>
          </w:p>
        </w:tc>
        <w:tc>
          <w:tcPr>
            <w:tcW w:w="858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144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320" w:type="dxa"/>
            <w:vAlign w:val="bottom"/>
            <w:gridSpan w:val="2"/>
            <w:vMerge w:val="restart"/>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3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5"/>
          </w:tcPr>
          <w:p>
            <w:pPr>
              <w:spacing w:after="0"/>
              <w:rPr>
                <w:sz w:val="20"/>
                <w:szCs w:val="20"/>
                <w:color w:val="auto"/>
              </w:rPr>
            </w:pPr>
            <w:r>
              <w:rPr>
                <w:rFonts w:ascii="Arial" w:cs="Arial" w:eastAsia="Arial" w:hAnsi="Arial"/>
                <w:sz w:val="18"/>
                <w:szCs w:val="18"/>
                <w:color w:val="0000FF"/>
                <w:w w:val="99"/>
              </w:rPr>
              <w:t>Certification of Chief Executive Officer pursuant to Rule 13a-14(a)/15d-14(a) as adopted pursuant to Section</w:t>
            </w:r>
          </w:p>
        </w:tc>
        <w:tc>
          <w:tcPr>
            <w:tcW w:w="1220" w:type="dxa"/>
            <w:vAlign w:val="bottom"/>
            <w:gridSpan w:val="3"/>
          </w:tcPr>
          <w:p>
            <w:pPr>
              <w:ind w:left="8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80" w:type="dxa"/>
            <w:vAlign w:val="bottom"/>
            <w:gridSpan w:val="5"/>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5"/>
          </w:tcPr>
          <w:p>
            <w:pPr>
              <w:spacing w:after="0"/>
              <w:rPr>
                <w:sz w:val="20"/>
                <w:szCs w:val="20"/>
                <w:color w:val="auto"/>
              </w:rPr>
            </w:pPr>
            <w:r>
              <w:rPr>
                <w:rFonts w:ascii="Arial" w:cs="Arial" w:eastAsia="Arial" w:hAnsi="Arial"/>
                <w:sz w:val="18"/>
                <w:szCs w:val="18"/>
                <w:color w:val="0000FF"/>
              </w:rPr>
              <w:t>Certification of Chief Financial Officer pursuant to Rule 13a-14(a)/15d-14(a) as adopted pursuant to Section</w:t>
            </w:r>
          </w:p>
        </w:tc>
        <w:tc>
          <w:tcPr>
            <w:tcW w:w="1220" w:type="dxa"/>
            <w:vAlign w:val="bottom"/>
            <w:gridSpan w:val="3"/>
          </w:tcPr>
          <w:p>
            <w:pPr>
              <w:ind w:left="2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tcBorders>
              <w:right w:val="single" w:sz="8" w:color="0000FF"/>
            </w:tcBorders>
            <w:gridSpan w:val="4"/>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80" w:type="dxa"/>
            <w:vAlign w:val="bottom"/>
            <w:gridSpan w:val="5"/>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0000FF"/>
              </w:rPr>
              <w:t>Certification of Periodic Report by Chief Executive Officer and Chief Financial Officer pursuant to 18 U.S.C. Section 1350,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tcBorders>
              <w:right w:val="single" w:sz="8" w:color="0000FF"/>
            </w:tcBorders>
            <w:gridSpan w:val="4"/>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80" w:type="dxa"/>
            <w:vAlign w:val="bottom"/>
            <w:gridSpan w:val="5"/>
          </w:tcPr>
          <w:p>
            <w:pPr>
              <w:spacing w:after="0" w:line="182" w:lineRule="exact"/>
              <w:rPr>
                <w:sz w:val="20"/>
                <w:szCs w:val="20"/>
                <w:color w:val="auto"/>
              </w:rPr>
            </w:pPr>
            <w:r>
              <w:rPr>
                <w:rFonts w:ascii="Arial" w:cs="Arial" w:eastAsia="Arial" w:hAnsi="Arial"/>
                <w:sz w:val="18"/>
                <w:szCs w:val="18"/>
                <w:color w:val="0000FF"/>
              </w:rPr>
              <w:t>as adopted pursuant to Section 906 of the Sarbanes-Oxley Act of 2002 (filed herewith)</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1420" w:right="220" w:hanging="1358"/>
        <w:spacing w:after="0" w:line="258" w:lineRule="auto"/>
        <w:tabs>
          <w:tab w:leader="none" w:pos="1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following financial information from the Registrant’s Quarterly Report on Form 10-Q for the quarter ended September 30, 2023, formatted in Inline XBRL (eXtensible Business Reporting Language): (i) the Condensed Consolidated Balance Sheets; (ii) the Condensed Consolidated Statements of Comprehensive Income; (iii) the Condensed Consolidated Statements of Cash Flows; (iv) the Condensed Consolidated Statements of Stockholders’ Equity; (v) the Notes to Condensed Consolidated Financial Statements; and (vi) the information under Part II, Item 5, “Other Information”</w:t>
      </w:r>
    </w:p>
    <w:p>
      <w:pPr>
        <w:spacing w:after="0" w:line="136" w:lineRule="exact"/>
        <w:rPr>
          <w:sz w:val="20"/>
          <w:szCs w:val="20"/>
          <w:color w:val="auto"/>
        </w:rPr>
      </w:pPr>
    </w:p>
    <w:p>
      <w:pPr>
        <w:ind w:left="1420" w:right="360" w:hanging="1358"/>
        <w:spacing w:after="0" w:line="259"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Quarterly Report on Form 10-Q for the quarter ended September 30, 2023, formatted in Inline XBRL and contained in Exhibit 101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83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1" w:lineRule="exact"/>
        <w:rPr>
          <w:sz w:val="20"/>
          <w:szCs w:val="20"/>
          <w:color w:val="auto"/>
        </w:rPr>
      </w:pPr>
    </w:p>
    <w:p>
      <w:pPr>
        <w:ind w:right="420" w:firstLine="499"/>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ALLISON TRANSMISSION HOLDINGS, INC.</w:t>
            </w:r>
          </w:p>
        </w:tc>
        <w:tc>
          <w:tcPr>
            <w:tcW w:w="2020" w:type="dxa"/>
            <w:vAlign w:val="bottom"/>
          </w:tcPr>
          <w:p>
            <w:pPr>
              <w:spacing w:after="0"/>
              <w:rPr>
                <w:sz w:val="21"/>
                <w:szCs w:val="21"/>
                <w:color w:val="auto"/>
              </w:rPr>
            </w:pPr>
          </w:p>
        </w:tc>
      </w:tr>
      <w:tr>
        <w:trPr>
          <w:trHeight w:val="473"/>
        </w:trPr>
        <w:tc>
          <w:tcPr>
            <w:tcW w:w="2240" w:type="dxa"/>
            <w:vAlign w:val="bottom"/>
          </w:tcPr>
          <w:p>
            <w:pPr>
              <w:ind w:left="20"/>
              <w:spacing w:after="0"/>
              <w:rPr>
                <w:sz w:val="20"/>
                <w:szCs w:val="20"/>
                <w:color w:val="auto"/>
              </w:rPr>
            </w:pPr>
            <w:r>
              <w:rPr>
                <w:rFonts w:ascii="Arial" w:cs="Arial" w:eastAsia="Arial" w:hAnsi="Arial"/>
                <w:sz w:val="18"/>
                <w:szCs w:val="18"/>
                <w:color w:val="auto"/>
              </w:rPr>
              <w:t>Date: October 26, 2023</w:t>
            </w:r>
          </w:p>
        </w:tc>
        <w:tc>
          <w:tcPr>
            <w:tcW w:w="820" w:type="dxa"/>
            <w:vAlign w:val="bottom"/>
          </w:tcPr>
          <w:p>
            <w:pPr>
              <w:ind w:left="36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S. Graziosi</w:t>
            </w:r>
          </w:p>
        </w:tc>
        <w:tc>
          <w:tcPr>
            <w:tcW w:w="2020" w:type="dxa"/>
            <w:vAlign w:val="bottom"/>
          </w:tcPr>
          <w:p>
            <w:pPr>
              <w:spacing w:after="0"/>
              <w:rPr>
                <w:sz w:val="24"/>
                <w:szCs w:val="24"/>
                <w:color w:val="auto"/>
              </w:rPr>
            </w:pPr>
          </w:p>
        </w:tc>
      </w:tr>
      <w:tr>
        <w:trPr>
          <w:trHeight w:val="465"/>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8"/>
              </w:rPr>
              <w:t>Name:</w:t>
            </w:r>
          </w:p>
        </w:tc>
        <w:tc>
          <w:tcPr>
            <w:tcW w:w="5020" w:type="dxa"/>
            <w:vAlign w:val="bottom"/>
          </w:tcPr>
          <w:p>
            <w:pPr>
              <w:ind w:left="220"/>
              <w:spacing w:after="0"/>
              <w:rPr>
                <w:sz w:val="20"/>
                <w:szCs w:val="20"/>
                <w:color w:val="auto"/>
              </w:rPr>
            </w:pPr>
            <w:r>
              <w:rPr>
                <w:rFonts w:ascii="Arial" w:cs="Arial" w:eastAsia="Arial" w:hAnsi="Arial"/>
                <w:sz w:val="18"/>
                <w:szCs w:val="18"/>
                <w:color w:val="auto"/>
              </w:rPr>
              <w:t>David S. Graziosi</w:t>
            </w:r>
          </w:p>
        </w:tc>
        <w:tc>
          <w:tcPr>
            <w:tcW w:w="2020" w:type="dxa"/>
            <w:vAlign w:val="bottom"/>
          </w:tcPr>
          <w:p>
            <w:pPr>
              <w:spacing w:after="0"/>
              <w:rPr>
                <w:sz w:val="24"/>
                <w:szCs w:val="24"/>
                <w:color w:val="auto"/>
              </w:rPr>
            </w:pPr>
          </w:p>
        </w:tc>
      </w:tr>
      <w:tr>
        <w:trPr>
          <w:trHeight w:val="270"/>
        </w:trPr>
        <w:tc>
          <w:tcPr>
            <w:tcW w:w="2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rPr>
              <w:t>Chairman, President and Chief Executive Officer</w:t>
            </w:r>
          </w:p>
        </w:tc>
        <w:tc>
          <w:tcPr>
            <w:tcW w:w="2020" w:type="dxa"/>
            <w:vAlign w:val="bottom"/>
          </w:tcPr>
          <w:p>
            <w:pPr>
              <w:spacing w:after="0"/>
              <w:rPr>
                <w:sz w:val="23"/>
                <w:szCs w:val="23"/>
                <w:color w:val="auto"/>
              </w:rPr>
            </w:pPr>
          </w:p>
        </w:tc>
      </w:tr>
      <w:tr>
        <w:trPr>
          <w:trHeight w:val="229"/>
        </w:trPr>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19"/>
                <w:szCs w:val="19"/>
                <w:color w:val="auto"/>
              </w:rPr>
            </w:pPr>
          </w:p>
        </w:tc>
      </w:tr>
      <w:tr>
        <w:trPr>
          <w:trHeight w:val="688"/>
        </w:trPr>
        <w:tc>
          <w:tcPr>
            <w:tcW w:w="2240" w:type="dxa"/>
            <w:vAlign w:val="bottom"/>
          </w:tcPr>
          <w:p>
            <w:pPr>
              <w:ind w:left="20"/>
              <w:spacing w:after="0"/>
              <w:rPr>
                <w:sz w:val="20"/>
                <w:szCs w:val="20"/>
                <w:color w:val="auto"/>
              </w:rPr>
            </w:pPr>
            <w:r>
              <w:rPr>
                <w:rFonts w:ascii="Arial" w:cs="Arial" w:eastAsia="Arial" w:hAnsi="Arial"/>
                <w:sz w:val="18"/>
                <w:szCs w:val="18"/>
                <w:color w:val="auto"/>
              </w:rPr>
              <w:t>Date: October 26, 2023</w:t>
            </w:r>
          </w:p>
        </w:tc>
        <w:tc>
          <w:tcPr>
            <w:tcW w:w="820" w:type="dxa"/>
            <w:vAlign w:val="bottom"/>
          </w:tcPr>
          <w:p>
            <w:pPr>
              <w:ind w:left="36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G. Frederick Bohley</w:t>
            </w:r>
          </w:p>
        </w:tc>
        <w:tc>
          <w:tcPr>
            <w:tcW w:w="2020" w:type="dxa"/>
            <w:vAlign w:val="bottom"/>
          </w:tcPr>
          <w:p>
            <w:pPr>
              <w:spacing w:after="0"/>
              <w:rPr>
                <w:sz w:val="24"/>
                <w:szCs w:val="24"/>
                <w:color w:val="auto"/>
              </w:rPr>
            </w:pPr>
          </w:p>
        </w:tc>
      </w:tr>
      <w:tr>
        <w:trPr>
          <w:trHeight w:val="465"/>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8"/>
              </w:rPr>
              <w:t>Name:</w:t>
            </w:r>
          </w:p>
        </w:tc>
        <w:tc>
          <w:tcPr>
            <w:tcW w:w="5020" w:type="dxa"/>
            <w:vAlign w:val="bottom"/>
          </w:tcPr>
          <w:p>
            <w:pPr>
              <w:ind w:left="220"/>
              <w:spacing w:after="0"/>
              <w:rPr>
                <w:sz w:val="20"/>
                <w:szCs w:val="20"/>
                <w:color w:val="auto"/>
              </w:rPr>
            </w:pPr>
            <w:r>
              <w:rPr>
                <w:rFonts w:ascii="Arial" w:cs="Arial" w:eastAsia="Arial" w:hAnsi="Arial"/>
                <w:sz w:val="18"/>
                <w:szCs w:val="18"/>
                <w:color w:val="auto"/>
              </w:rPr>
              <w:t>G. Frederick Bohley</w:t>
            </w:r>
          </w:p>
        </w:tc>
        <w:tc>
          <w:tcPr>
            <w:tcW w:w="2020" w:type="dxa"/>
            <w:vAlign w:val="bottom"/>
          </w:tcPr>
          <w:p>
            <w:pPr>
              <w:spacing w:after="0"/>
              <w:rPr>
                <w:sz w:val="24"/>
                <w:szCs w:val="24"/>
                <w:color w:val="auto"/>
              </w:rPr>
            </w:pPr>
          </w:p>
        </w:tc>
      </w:tr>
      <w:tr>
        <w:trPr>
          <w:trHeight w:val="243"/>
        </w:trPr>
        <w:tc>
          <w:tcPr>
            <w:tcW w:w="2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w w:val="99"/>
              </w:rPr>
              <w:t>Senior Vice President, Chief Financial Officer and Treasurer</w:t>
            </w:r>
          </w:p>
        </w:tc>
        <w:tc>
          <w:tcPr>
            <w:tcW w:w="2020" w:type="dxa"/>
            <w:vAlign w:val="bottom"/>
          </w:tcPr>
          <w:p>
            <w:pPr>
              <w:spacing w:after="0"/>
              <w:rPr>
                <w:sz w:val="21"/>
                <w:szCs w:val="21"/>
                <w:color w:val="auto"/>
              </w:rPr>
            </w:pPr>
          </w:p>
        </w:tc>
      </w:tr>
      <w:tr>
        <w:trPr>
          <w:trHeight w:val="229"/>
        </w:trPr>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(Principal Financial Officer and Principal Accounting Officer)</w:t>
            </w:r>
          </w:p>
        </w:tc>
        <w:tc>
          <w:tcPr>
            <w:tcW w:w="2020" w:type="dxa"/>
            <w:vAlign w:val="bottom"/>
          </w:tcPr>
          <w:p>
            <w:pPr>
              <w:spacing w:after="0"/>
              <w:rPr>
                <w:sz w:val="19"/>
                <w:szCs w:val="19"/>
                <w:color w:val="auto"/>
              </w:rPr>
            </w:pPr>
          </w:p>
        </w:tc>
      </w:tr>
      <w:tr>
        <w:trPr>
          <w:trHeight w:val="796"/>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20" w:type="dxa"/>
            <w:vAlign w:val="bottom"/>
          </w:tcPr>
          <w:p>
            <w:pPr>
              <w:ind w:left="1320"/>
              <w:spacing w:after="0"/>
              <w:rPr>
                <w:sz w:val="20"/>
                <w:szCs w:val="20"/>
                <w:color w:val="auto"/>
              </w:rPr>
            </w:pPr>
            <w:r>
              <w:rPr>
                <w:rFonts w:ascii="Arial" w:cs="Arial" w:eastAsia="Arial" w:hAnsi="Arial"/>
                <w:sz w:val="18"/>
                <w:szCs w:val="18"/>
                <w:color w:val="auto"/>
              </w:rPr>
              <w:t>42</w:t>
            </w:r>
          </w:p>
        </w:tc>
        <w:tc>
          <w:tcPr>
            <w:tcW w:w="2020" w:type="dxa"/>
            <w:vAlign w:val="bottom"/>
          </w:tcPr>
          <w:p>
            <w:pPr>
              <w:spacing w:after="0"/>
              <w:rPr>
                <w:sz w:val="24"/>
                <w:szCs w:val="24"/>
                <w:color w:val="auto"/>
              </w:rPr>
            </w:pPr>
          </w:p>
        </w:tc>
      </w:tr>
      <w:tr>
        <w:trPr>
          <w:trHeight w:val="101"/>
        </w:trPr>
        <w:tc>
          <w:tcPr>
            <w:tcW w:w="2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502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right="40"/>
        <w:spacing w:after="0" w:line="265"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225" w:lineRule="exact"/>
        <w:rPr>
          <w:sz w:val="20"/>
          <w:szCs w:val="20"/>
          <w:color w:val="auto"/>
        </w:rPr>
      </w:pPr>
    </w:p>
    <w:p>
      <w:pPr>
        <w:ind w:left="760" w:hanging="75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224"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60" w:right="260" w:hanging="752"/>
        <w:spacing w:after="0" w:line="307"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760" w:right="20" w:hanging="752"/>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500" w:right="160" w:hanging="743"/>
        <w:spacing w:after="0" w:line="286" w:lineRule="auto"/>
        <w:tabs>
          <w:tab w:leader="none" w:pos="150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7"/>
          <w:szCs w:val="17"/>
          <w:color w:val="auto"/>
        </w:rPr>
      </w:pPr>
    </w:p>
    <w:p>
      <w:pPr>
        <w:ind w:left="1500" w:right="260" w:hanging="743"/>
        <w:spacing w:after="0" w:line="2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500" w:right="20" w:hanging="743"/>
        <w:spacing w:after="0" w:line="341" w:lineRule="auto"/>
        <w:tabs>
          <w:tab w:leader="none" w:pos="1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right="60" w:hanging="743"/>
        <w:spacing w:after="0" w:line="2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60" w:right="180" w:hanging="752"/>
        <w:spacing w:after="0" w:line="341"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500" w:right="320" w:hanging="743"/>
        <w:spacing w:after="0" w:line="341" w:lineRule="auto"/>
        <w:tabs>
          <w:tab w:leader="none" w:pos="1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00" w:hanging="743"/>
        <w:spacing w:after="0" w:line="277"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October 26, 2023</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706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David S. Graziosi</w:t>
      </w:r>
    </w:p>
    <w:p>
      <w:pPr>
        <w:spacing w:after="0" w:line="3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Title:</w:t>
        <w:tab/>
        <w:t>Chairman, 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right="40"/>
        <w:spacing w:after="0" w:line="265"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G. Frederick Bohley, certify that:</w:t>
      </w:r>
    </w:p>
    <w:p>
      <w:pPr>
        <w:spacing w:after="0" w:line="225"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224"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60" w:right="260" w:hanging="752"/>
        <w:spacing w:after="0" w:line="307"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760" w:right="20" w:hanging="752"/>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500" w:right="160" w:hanging="743"/>
        <w:spacing w:after="0" w:line="286" w:lineRule="auto"/>
        <w:tabs>
          <w:tab w:leader="none" w:pos="15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7"/>
          <w:szCs w:val="17"/>
          <w:color w:val="auto"/>
        </w:rPr>
      </w:pPr>
    </w:p>
    <w:p>
      <w:pPr>
        <w:ind w:left="1500" w:right="260" w:hanging="743"/>
        <w:spacing w:after="0" w:line="263"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500" w:right="20" w:hanging="743"/>
        <w:spacing w:after="0" w:line="341"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right="60" w:hanging="743"/>
        <w:spacing w:after="0" w:line="263"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60" w:right="180" w:hanging="752"/>
        <w:spacing w:after="0" w:line="341"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500" w:right="320" w:hanging="743"/>
        <w:spacing w:after="0" w:line="341"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00" w:hanging="743"/>
        <w:spacing w:after="0" w:line="277"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October 26, 2023</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3689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6892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G. Frederick Bohley</w:t>
      </w:r>
    </w:p>
    <w:p>
      <w:pPr>
        <w:spacing w:after="0" w:line="36"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and Treasurer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March 31, 2023 as filed with the Securities and Exchange Commission on the date hereof (the “Report”), we, David S. Graziosi, Chairman,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85"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760" w:hanging="752"/>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October 26, 2023</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619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S. Graziosi</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October 26, 2023</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619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 Frederick Bohley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2023-10-26T07:42:19Z</dcterms:created>
  <dcterms:modified xsi:type="dcterms:W3CDTF">2023-10-26T07:42:19Z</dcterms:modified>
</cp:coreProperties>
</file>