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4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ALLISON TRANSMISSION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226" w:right="259" w:bottom="1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26-0414014</w:t>
      </w:r>
    </w:p>
    <w:p>
      <w:pPr>
        <w:spacing w:after="0" w:line="23" w:lineRule="exact"/>
        <w:rPr>
          <w:sz w:val="24"/>
          <w:szCs w:val="24"/>
          <w:color w:val="auto"/>
        </w:rPr>
      </w:pPr>
    </w:p>
    <w:p>
      <w:pPr>
        <w:sectPr>
          <w:pgSz w:w="11900" w:h="16838" w:orient="portrait"/>
          <w:cols w:equalWidth="0" w:num="2">
            <w:col w:w="7500" w:space="720"/>
            <w:col w:w="3180"/>
          </w:cols>
          <w:pgMar w:left="240" w:top="226" w:right="259" w:bottom="17"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403860</wp:posOffset>
            </wp:positionV>
            <wp:extent cx="2058035"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8035" cy="514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60"/>
          </w:cols>
          <w:pgMar w:left="240" w:top="226" w:right="259" w:bottom="17"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Allison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Indianapolis, IN 46222</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(317) 242-5000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tbl>
      <w:tblPr>
        <w:tblLayout w:type="fixed"/>
        <w:tblInd w:w="46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4980" w:type="dxa"/>
            <w:vAlign w:val="bottom"/>
            <w:gridSpan w:val="4"/>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2"/>
        </w:trPr>
        <w:tc>
          <w:tcPr>
            <w:tcW w:w="18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w w:val="92"/>
              </w:rPr>
              <w:t>Common</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$0.01</w:t>
            </w: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2440" w:type="dxa"/>
            <w:vAlign w:val="bottom"/>
            <w:tcBorders>
              <w:top w:val="single" w:sz="8" w:color="auto"/>
            </w:tcBorders>
            <w:gridSpan w:val="2"/>
          </w:tcPr>
          <w:p>
            <w:pPr>
              <w:jc w:val="center"/>
              <w:ind w:left="139"/>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2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880" w:type="dxa"/>
            <w:vAlign w:val="bottom"/>
          </w:tcPr>
          <w:p>
            <w:pPr>
              <w:spacing w:after="0"/>
              <w:rPr>
                <w:sz w:val="24"/>
                <w:szCs w:val="24"/>
                <w:color w:val="auto"/>
              </w:rPr>
            </w:pPr>
          </w:p>
        </w:tc>
        <w:tc>
          <w:tcPr>
            <w:tcW w:w="674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6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180" w:type="dxa"/>
            <w:vAlign w:val="bottom"/>
            <w:gridSpan w:val="2"/>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6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4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8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00"/>
          </w:cols>
          <w:pgMar w:left="240" w:top="226" w:right="259" w:bottom="17"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121" w:right="2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620" w:space="300"/>
            <w:col w:w="6220" w:space="720"/>
            <w:col w:w="1680" w:space="720"/>
            <w:col w:w="160"/>
          </w:cols>
          <w:pgMar w:left="240" w:top="121"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0"/>
          <w:szCs w:val="20"/>
          <w:color w:val="auto"/>
        </w:rPr>
      </w:pPr>
    </w:p>
    <w:p>
      <w:pPr>
        <w:sectPr>
          <w:pgSz w:w="11900" w:h="16838" w:orient="portrait"/>
          <w:cols w:equalWidth="0" w:num="5">
            <w:col w:w="1540" w:space="380"/>
            <w:col w:w="160" w:space="100"/>
            <w:col w:w="5960" w:space="720"/>
            <w:col w:w="1980" w:space="420"/>
            <w:col w:w="160"/>
          </w:cols>
          <w:pgMar w:left="240" w:top="121" w:right="239" w:bottom="1440" w:gutter="0" w:footer="0" w:header="0"/>
          <w:type w:val="continuous"/>
        </w:sectPr>
      </w:pP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5">
            <w:col w:w="8640" w:space="180"/>
            <w:col w:w="260" w:space="80"/>
            <w:col w:w="160" w:space="180"/>
            <w:col w:w="220" w:space="100"/>
            <w:col w:w="160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aggregate market value of the voting and non-voting stock held by non-affiliates was approximately $4,599.4 million as of June 30, 2015.</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February 5, 2016, there were 171,138,742 shares of Common Stock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2016 annual meeting of stockholders will be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80" w:type="dxa"/>
            <w:vAlign w:val="bottom"/>
            <w:gridSpan w:val="10"/>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4580" w:type="dxa"/>
            <w:vAlign w:val="bottom"/>
            <w:gridSpan w:val="10"/>
            <w:vMerge w:val="restart"/>
          </w:tcPr>
          <w:p>
            <w:pPr>
              <w:jc w:val="center"/>
              <w:ind w:right="3960"/>
              <w:spacing w:after="0"/>
              <w:rPr>
                <w:rFonts w:ascii="Times New Roman" w:cs="Times New Roman" w:eastAsia="Times New Roman" w:hAnsi="Times New Roman"/>
                <w:sz w:val="18"/>
                <w:szCs w:val="18"/>
                <w:b w:val="1"/>
                <w:bCs w:val="1"/>
                <w:color w:val="0000EE"/>
                <w:w w:val="95"/>
              </w:rPr>
            </w:pPr>
            <w:hyperlink w:anchor="page5">
              <w:r>
                <w:rPr>
                  <w:rFonts w:ascii="Times New Roman" w:cs="Times New Roman" w:eastAsia="Times New Roman" w:hAnsi="Times New Roman"/>
                  <w:sz w:val="18"/>
                  <w:szCs w:val="18"/>
                  <w:b w:val="1"/>
                  <w:bCs w:val="1"/>
                  <w:color w:val="0000EE"/>
                  <w:w w:val="95"/>
                </w:rPr>
                <w:t>PART I.</w:t>
              </w:r>
            </w:hyperlink>
          </w:p>
        </w:tc>
        <w:tc>
          <w:tcPr>
            <w:tcW w:w="106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4580" w:type="dxa"/>
            <w:vAlign w:val="bottom"/>
            <w:gridSpan w:val="10"/>
            <w:vMerge w:val="continue"/>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80" w:type="dxa"/>
            <w:vAlign w:val="bottom"/>
          </w:tcPr>
          <w:p>
            <w:pPr>
              <w:spacing w:after="0"/>
              <w:rPr>
                <w:sz w:val="24"/>
                <w:szCs w:val="24"/>
                <w:color w:val="auto"/>
              </w:rPr>
            </w:pPr>
          </w:p>
        </w:tc>
        <w:tc>
          <w:tcPr>
            <w:tcW w:w="4800" w:type="dxa"/>
            <w:vAlign w:val="bottom"/>
            <w:gridSpan w:val="17"/>
          </w:tcPr>
          <w:p>
            <w:pPr>
              <w:ind w:left="3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620" w:type="dxa"/>
            <w:vAlign w:val="bottom"/>
            <w:tcBorders>
              <w:top w:val="single" w:sz="8" w:color="0000EE"/>
            </w:tcBorders>
          </w:tcPr>
          <w:p>
            <w:pPr>
              <w:spacing w:after="0"/>
              <w:rPr>
                <w:sz w:val="24"/>
                <w:szCs w:val="24"/>
                <w:color w:val="auto"/>
              </w:rPr>
            </w:pPr>
          </w:p>
        </w:tc>
        <w:tc>
          <w:tcPr>
            <w:tcW w:w="3960" w:type="dxa"/>
            <w:vAlign w:val="bottom"/>
            <w:gridSpan w:val="9"/>
          </w:tcPr>
          <w:p>
            <w:pPr>
              <w:spacing w:after="0"/>
              <w:rPr>
                <w:sz w:val="24"/>
                <w:szCs w:val="24"/>
                <w:color w:val="auto"/>
              </w:rPr>
            </w:pPr>
          </w:p>
        </w:tc>
        <w:tc>
          <w:tcPr>
            <w:tcW w:w="142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6"/>
              </w:rPr>
              <w:t>3-14</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7"/>
              </w:rPr>
              <w:t>Item 1A.</w:t>
            </w: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Risk Factors</w:t>
              </w:r>
            </w:hyperlink>
          </w:p>
        </w:tc>
        <w:tc>
          <w:tcPr>
            <w:tcW w:w="14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15-26</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Item 1B.</w:t>
            </w: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Unresolved Staff Comments</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80" w:type="dxa"/>
            <w:vAlign w:val="bottom"/>
          </w:tcPr>
          <w:p>
            <w:pPr>
              <w:spacing w:after="0"/>
              <w:rPr>
                <w:sz w:val="24"/>
                <w:szCs w:val="24"/>
                <w:color w:val="auto"/>
              </w:rPr>
            </w:pP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Properties</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80" w:type="dxa"/>
            <w:vAlign w:val="bottom"/>
          </w:tcPr>
          <w:p>
            <w:pPr>
              <w:spacing w:after="0"/>
              <w:rPr>
                <w:sz w:val="24"/>
                <w:szCs w:val="24"/>
                <w:color w:val="auto"/>
              </w:rPr>
            </w:pP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Proceedings</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80" w:type="dxa"/>
            <w:vAlign w:val="bottom"/>
          </w:tcPr>
          <w:p>
            <w:pPr>
              <w:spacing w:after="0"/>
              <w:rPr>
                <w:sz w:val="24"/>
                <w:szCs w:val="24"/>
                <w:color w:val="auto"/>
              </w:rPr>
            </w:pP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Mine Safety Disclosures</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11"/>
          </w:tcPr>
          <w:p>
            <w:pPr>
              <w:jc w:val="center"/>
              <w:ind w:right="3920"/>
              <w:spacing w:after="0"/>
              <w:rPr>
                <w:rFonts w:ascii="Times New Roman" w:cs="Times New Roman" w:eastAsia="Times New Roman" w:hAnsi="Times New Roman"/>
                <w:sz w:val="18"/>
                <w:szCs w:val="18"/>
                <w:b w:val="1"/>
                <w:bCs w:val="1"/>
                <w:color w:val="0000EE"/>
                <w:w w:val="97"/>
              </w:rPr>
            </w:pPr>
            <w:hyperlink w:anchor="page30">
              <w:r>
                <w:rPr>
                  <w:rFonts w:ascii="Times New Roman" w:cs="Times New Roman" w:eastAsia="Times New Roman" w:hAnsi="Times New Roman"/>
                  <w:sz w:val="18"/>
                  <w:szCs w:val="18"/>
                  <w:b w:val="1"/>
                  <w:bCs w:val="1"/>
                  <w:color w:val="0000EE"/>
                  <w:w w:val="97"/>
                </w:rPr>
                <w:t>PART II.</w:t>
              </w:r>
            </w:hyperlink>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5.</w:t>
            </w:r>
          </w:p>
        </w:tc>
        <w:tc>
          <w:tcPr>
            <w:tcW w:w="80" w:type="dxa"/>
            <w:vAlign w:val="bottom"/>
          </w:tcPr>
          <w:p>
            <w:pPr>
              <w:spacing w:after="0"/>
              <w:rPr>
                <w:sz w:val="24"/>
                <w:szCs w:val="24"/>
                <w:color w:val="auto"/>
              </w:rPr>
            </w:pP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4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28-30</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80" w:type="dxa"/>
            <w:vAlign w:val="bottom"/>
          </w:tcPr>
          <w:p>
            <w:pPr>
              <w:spacing w:after="0"/>
              <w:rPr>
                <w:sz w:val="24"/>
                <w:szCs w:val="24"/>
                <w:color w:val="auto"/>
              </w:rPr>
            </w:pP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Selected Financial Data</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7.</w:t>
            </w:r>
          </w:p>
        </w:tc>
        <w:tc>
          <w:tcPr>
            <w:tcW w:w="80" w:type="dxa"/>
            <w:vAlign w:val="bottom"/>
          </w:tcPr>
          <w:p>
            <w:pPr>
              <w:spacing w:after="0"/>
              <w:rPr>
                <w:sz w:val="24"/>
                <w:szCs w:val="24"/>
                <w:color w:val="auto"/>
              </w:rPr>
            </w:pP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4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32-44</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7"/>
              </w:rPr>
              <w:t>Item 7A.</w:t>
            </w: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Quantitative and Qualitative Disclosures About Market Risk</w:t>
              </w:r>
            </w:hyperlink>
          </w:p>
        </w:tc>
        <w:tc>
          <w:tcPr>
            <w:tcW w:w="14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45-46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8.</w:t>
            </w:r>
          </w:p>
        </w:tc>
        <w:tc>
          <w:tcPr>
            <w:tcW w:w="80" w:type="dxa"/>
            <w:vAlign w:val="bottom"/>
          </w:tcPr>
          <w:p>
            <w:pPr>
              <w:spacing w:after="0"/>
              <w:rPr>
                <w:sz w:val="24"/>
                <w:szCs w:val="24"/>
                <w:color w:val="auto"/>
              </w:rPr>
            </w:pP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Financial Statements and Supplementary Data</w:t>
              </w:r>
            </w:hyperlink>
          </w:p>
        </w:tc>
        <w:tc>
          <w:tcPr>
            <w:tcW w:w="14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47-87</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9.</w:t>
            </w:r>
          </w:p>
        </w:tc>
        <w:tc>
          <w:tcPr>
            <w:tcW w:w="80" w:type="dxa"/>
            <w:vAlign w:val="bottom"/>
          </w:tcPr>
          <w:p>
            <w:pPr>
              <w:spacing w:after="0"/>
              <w:rPr>
                <w:sz w:val="24"/>
                <w:szCs w:val="24"/>
                <w:color w:val="auto"/>
              </w:rPr>
            </w:pP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7"/>
              </w:rPr>
              <w:t>Item 9A.</w:t>
            </w: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Controls and Procedures</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Item 9B.</w:t>
            </w: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Other Information</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0000EE"/>
            </w:tcBorders>
            <w:gridSpan w:val="6"/>
          </w:tcPr>
          <w:p>
            <w:pPr>
              <w:jc w:val="center"/>
              <w:spacing w:after="0"/>
              <w:rPr>
                <w:rFonts w:ascii="Times New Roman" w:cs="Times New Roman" w:eastAsia="Times New Roman" w:hAnsi="Times New Roman"/>
                <w:sz w:val="18"/>
                <w:szCs w:val="18"/>
                <w:b w:val="1"/>
                <w:bCs w:val="1"/>
                <w:color w:val="0000EE"/>
                <w:w w:val="96"/>
              </w:rPr>
            </w:pPr>
            <w:hyperlink w:anchor="page92">
              <w:r>
                <w:rPr>
                  <w:rFonts w:ascii="Times New Roman" w:cs="Times New Roman" w:eastAsia="Times New Roman" w:hAnsi="Times New Roman"/>
                  <w:sz w:val="18"/>
                  <w:szCs w:val="18"/>
                  <w:b w:val="1"/>
                  <w:bCs w:val="1"/>
                  <w:color w:val="0000EE"/>
                  <w:w w:val="96"/>
                </w:rPr>
                <w:t>PART III.</w:t>
              </w:r>
            </w:hyperlink>
          </w:p>
        </w:tc>
        <w:tc>
          <w:tcPr>
            <w:tcW w:w="3880" w:type="dxa"/>
            <w:vAlign w:val="bottom"/>
            <w:gridSpan w:val="6"/>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Item 10.</w:t>
            </w: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Directors, Executive Officers and Corporate Governance</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Item 11.</w:t>
            </w: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Executive Compensation</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Item 12.</w:t>
            </w: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Item 13.</w:t>
            </w: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Certain Relationships and Related Transactions, and Director Independence</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Item 14.</w:t>
            </w:r>
          </w:p>
        </w:tc>
        <w:tc>
          <w:tcPr>
            <w:tcW w:w="9380" w:type="dxa"/>
            <w:vAlign w:val="bottom"/>
            <w:gridSpan w:val="27"/>
          </w:tcPr>
          <w:p>
            <w:pPr>
              <w:ind w:left="32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Principal Accounting Fees and Services</w:t>
              </w:r>
            </w:hyperlink>
          </w:p>
        </w:tc>
        <w:tc>
          <w:tcPr>
            <w:tcW w:w="13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color w:val="auto"/>
                <w:w w:val="99"/>
              </w:rPr>
              <w:t>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40" w:type="dxa"/>
            <w:vAlign w:val="bottom"/>
            <w:gridSpan w:val="12"/>
          </w:tcPr>
          <w:p>
            <w:pPr>
              <w:jc w:val="center"/>
              <w:ind w:right="3900"/>
              <w:spacing w:after="0"/>
              <w:rPr>
                <w:rFonts w:ascii="Times New Roman" w:cs="Times New Roman" w:eastAsia="Times New Roman" w:hAnsi="Times New Roman"/>
                <w:sz w:val="18"/>
                <w:szCs w:val="18"/>
                <w:b w:val="1"/>
                <w:bCs w:val="1"/>
                <w:color w:val="0000EE"/>
                <w:w w:val="94"/>
              </w:rPr>
            </w:pPr>
            <w:hyperlink w:anchor="page93">
              <w:r>
                <w:rPr>
                  <w:rFonts w:ascii="Times New Roman" w:cs="Times New Roman" w:eastAsia="Times New Roman" w:hAnsi="Times New Roman"/>
                  <w:sz w:val="18"/>
                  <w:szCs w:val="18"/>
                  <w:b w:val="1"/>
                  <w:bCs w:val="1"/>
                  <w:color w:val="0000EE"/>
                  <w:w w:val="94"/>
                </w:rPr>
                <w:t>PART IV.</w:t>
              </w:r>
            </w:hyperlink>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Item 15.</w:t>
            </w:r>
          </w:p>
        </w:tc>
        <w:tc>
          <w:tcPr>
            <w:tcW w:w="4760" w:type="dxa"/>
            <w:vAlign w:val="bottom"/>
            <w:gridSpan w:val="16"/>
          </w:tcPr>
          <w:p>
            <w:pPr>
              <w:ind w:left="320"/>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Exhibits, Financial Statement Schedules</w:t>
              </w:r>
            </w:hyperlink>
          </w:p>
        </w:tc>
        <w:tc>
          <w:tcPr>
            <w:tcW w:w="720" w:type="dxa"/>
            <w:vAlign w:val="bottom"/>
            <w:tcBorders>
              <w:top w:val="single" w:sz="8" w:color="0000EE"/>
            </w:tcBorders>
            <w:gridSpan w:val="4"/>
          </w:tcPr>
          <w:p>
            <w:pPr>
              <w:spacing w:after="0"/>
              <w:rPr>
                <w:sz w:val="24"/>
                <w:szCs w:val="24"/>
                <w:color w:val="auto"/>
              </w:rPr>
            </w:pPr>
          </w:p>
        </w:tc>
        <w:tc>
          <w:tcPr>
            <w:tcW w:w="3900" w:type="dxa"/>
            <w:vAlign w:val="bottom"/>
            <w:gridSpan w:val="7"/>
          </w:tcPr>
          <w:p>
            <w:pPr>
              <w:spacing w:after="0"/>
              <w:rPr>
                <w:sz w:val="24"/>
                <w:szCs w:val="24"/>
                <w:color w:val="auto"/>
              </w:rPr>
            </w:pPr>
          </w:p>
        </w:tc>
        <w:tc>
          <w:tcPr>
            <w:tcW w:w="14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90-93</w:t>
            </w:r>
          </w:p>
        </w:tc>
        <w:tc>
          <w:tcPr>
            <w:tcW w:w="0" w:type="dxa"/>
            <w:vAlign w:val="bottom"/>
          </w:tcPr>
          <w:p>
            <w:pPr>
              <w:spacing w:after="0"/>
              <w:rPr>
                <w:sz w:val="1"/>
                <w:szCs w:val="1"/>
                <w:color w:val="auto"/>
              </w:rPr>
            </w:pPr>
          </w:p>
        </w:tc>
      </w:tr>
      <w:tr>
        <w:trPr>
          <w:trHeight w:val="385"/>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sz w:val="24"/>
                <w:szCs w:val="24"/>
                <w:color w:val="auto"/>
              </w:rPr>
            </w:pPr>
          </w:p>
        </w:tc>
        <w:tc>
          <w:tcPr>
            <w:tcW w:w="2200" w:type="dxa"/>
            <w:vAlign w:val="bottom"/>
            <w:gridSpan w:val="7"/>
          </w:tcPr>
          <w:p>
            <w:pPr>
              <w:jc w:val="center"/>
              <w:ind w:left="149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general economic and industry conditions; the failure of markets outside North America to increase adoption of fully-automatic transmissions; the concentration of our net sales in our top five customers and the loss of any one of these; the discovery of defects in our products, resulting in delays in new model launches, recall campaigns and/or increased warranty costs and reduction in future sales or damage to our brand and reputation; brand and reputational risks; our ability to prepare for, respond to and successfully achieve our objectives relating to technological and market developments and changing customer needs; risks associated with our international operations; labor strikes, work stoppages or similar labor disputes, which could significantly disrupt our operations or those of our principal customers; risks related to our substantial indebtedness; and our intention to pay dividends and repurchase shares of our common stock.</w:t>
      </w:r>
    </w:p>
    <w:p>
      <w:pPr>
        <w:spacing w:after="0" w:line="19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 cautionary statements as well as other cautionary statements that are made from time to time in our other Securities and Exchange Commission filings or public communications. You should evaluate all forward-looking statements made in this Annual Report on Form 10-K in the context of these risks and uncertainties.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Trademarks</w:t>
      </w:r>
    </w:p>
    <w:p>
      <w:pPr>
        <w:spacing w:after="0" w:line="22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This Annual Report on Form 10-K includes trademarks, such as Allison Transmission and ReTran,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 names referred to in this report may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 ™ symbols, but such references are not intended to indicate, in any way, that we will not assert, to the fullest extent under applicable law, our rights or the right of the applicable licensor to these trademarks and trade names.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45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(“Old GM”) from 1929 until 2007, when Allison once again became a stand-alone company. In March 2012, Allison began trading on the New York Stock Exchange under the symbol, “ALSN”.</w:t>
      </w:r>
    </w:p>
    <w:p>
      <w:pPr>
        <w:spacing w:after="0" w:line="180"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We have approximately 2,700 employees and 13 different transmission product lines. Although approximately 81% of revenues were generated in North America in 2015, we have a global presence by serving customers in Europe, Asia, South America and Africa. We serve customers through an independent network of approximately 1,400 independent distributor and dealer locations worldwide.</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the world’s largest manufacturer of fully-automatic transmissions for medium- and heavy-duty commercial vehicles and medium- and heavy-tactical U.S. defense vehicles. Allison transmissions are used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 We estimate that globally, in 2015, we sold approximately 63% of all fully-automatic transmissions for medium- and heavy-duty on-highway commercial vehicle applications. We believe the Allison brand is one of the most recognized in our industry as a result of the performance, reliability and fuel efficiency of our transmissions and is associated with high quality, durability, vocational value, technological leadership and superior customer service.</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introduced the world’s first fully-automatic transmission for commercial vehicles over 60 years ago. Since that time, we have driven the trend in North America and Western Europe towards increasing automaticity by targeting a diverse range of commercial vehicle vocations. Allison transmissions are optimized for the unique performance requirements of end users, which typically vary by vocation. Our products are highly engineered, requiring advanced manufacturing processes, and employ complex software algorithms for our transmission controls to maximize end user performance. We have developed over 100 different models that are used in more than 2,500 different vehicle configurations and are compatible with more than 500 combinations of engine brands, models and ratings (including diesel, gasoline, natural gas and other alternative fuels). Additionally, we have created thousands of unique Allison-developed calibrations available to be used with our transmission control modules.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Industry</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Commercial vehicles typically employ one of three transmission types: manual, automated manual transmissions (“AMT”) or fully-automatic. Manual transmissions are the most prevalent transmission type used in Class 8 tractors in North America and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 require a skilled driver to operate the disconnect clutch when launching the vehicle and shifting gears. AMTs are manual transmissions that feature automated operation of the disconnect clutch. Fully-automatic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Fuel efficiency, reduction in fuel consumption and greenhouse gas emissions are important considerations for commercial vehicles everywhere and they tend to go together. We believe fuel efficiency, the measure of work performed for a given amount of fuel consumed, is the best method to assess fuel consumption of commercial vehicles as compared to the more commonly-used fuel economy metric of miles-per-gallon (“MPG”). MPG is inadequate for commercial vehicles because it does not encompass two key elements of efficiency that we believe are important to vehicle owners and operators: payload and transport time. For example, if more work can be completed or more payload hauled using the same amount of fuel and/or over a shorter period of time, then we believe the vehicle is more fuel efficient. Since fuel economy and its MPG metric only accounts for distance traveled and fuel consumed, ignoring time and work performed, it is therefore an inferior metric to fuel efficiency when it comes to assessing commercial vehicles. Markets, regulations, policies and technology continue to evaluate these topics.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Served Markets</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sell our transmissions globally for use in medium- and heavy-duty on-highway commercial vehicles, off-highway vehicles and equipment and defense vehicles. In addition to the sale of transmissions, we also sell branded replacement parts, support equipment and other products necessary to service the installed base of vehicles utilizing our transmissions. The following table provides a summary of our business by end market, for the fiscal year ended December 31, 2015.</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440" w:type="dxa"/>
            <w:vAlign w:val="bottom"/>
            <w:tcBorders>
              <w:top w:val="single" w:sz="8" w:color="auto"/>
              <w:left w:val="single" w:sz="8" w:color="auto"/>
              <w:right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60" w:type="dxa"/>
            <w:vAlign w:val="bottom"/>
            <w:tcBorders>
              <w:top w:val="single" w:sz="8" w:color="auto"/>
              <w:right w:val="single" w:sz="8" w:color="auto"/>
            </w:tcBorders>
            <w:gridSpan w:val="3"/>
          </w:tcPr>
          <w:p>
            <w:pPr>
              <w:ind w:left="480"/>
              <w:spacing w:after="0" w:line="137" w:lineRule="exact"/>
              <w:rPr>
                <w:sz w:val="20"/>
                <w:szCs w:val="20"/>
                <w:color w:val="auto"/>
              </w:rPr>
            </w:pPr>
            <w:r>
              <w:rPr>
                <w:rFonts w:ascii="Times New Roman" w:cs="Times New Roman" w:eastAsia="Times New Roman" w:hAnsi="Times New Roman"/>
                <w:sz w:val="14"/>
                <w:szCs w:val="14"/>
                <w:b w:val="1"/>
                <w:bCs w:val="1"/>
                <w:color w:val="auto"/>
              </w:rPr>
              <w:t>OUTSIDE NORTH</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right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3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4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tcBorders>
              <w:right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2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Borders>
              <w:right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0" w:type="dxa"/>
            <w:vAlign w:val="bottom"/>
          </w:tcPr>
          <w:p>
            <w:pPr>
              <w:spacing w:after="0"/>
              <w:rPr>
                <w:sz w:val="1"/>
                <w:szCs w:val="1"/>
                <w:color w:val="auto"/>
              </w:rPr>
            </w:pPr>
          </w:p>
        </w:tc>
      </w:tr>
      <w:tr>
        <w:trPr>
          <w:trHeight w:val="25"/>
        </w:trPr>
        <w:tc>
          <w:tcPr>
            <w:tcW w:w="2440" w:type="dxa"/>
            <w:vAlign w:val="bottom"/>
            <w:tcBorders>
              <w:left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Borders>
              <w:right w:val="single" w:sz="8" w:color="auto"/>
            </w:tcBorders>
            <w:vMerge w:val="restart"/>
          </w:tcPr>
          <w:p>
            <w:pPr>
              <w:jc w:val="center"/>
              <w:ind w:right="189"/>
              <w:spacing w:after="0" w:line="149" w:lineRule="exact"/>
              <w:rPr>
                <w:sz w:val="20"/>
                <w:szCs w:val="20"/>
                <w:color w:val="auto"/>
              </w:rPr>
            </w:pPr>
            <w:r>
              <w:rPr>
                <w:rFonts w:ascii="Times New Roman" w:cs="Times New Roman" w:eastAsia="Times New Roman" w:hAnsi="Times New Roman"/>
                <w:sz w:val="14"/>
                <w:szCs w:val="14"/>
                <w:b w:val="1"/>
                <w:bCs w:val="1"/>
                <w:color w:val="auto"/>
              </w:rPr>
              <w:t>PARTS,</w:t>
            </w:r>
          </w:p>
        </w:tc>
        <w:tc>
          <w:tcPr>
            <w:tcW w:w="0" w:type="dxa"/>
            <w:vAlign w:val="bottom"/>
          </w:tcPr>
          <w:p>
            <w:pPr>
              <w:spacing w:after="0"/>
              <w:rPr>
                <w:sz w:val="1"/>
                <w:szCs w:val="1"/>
                <w:color w:val="auto"/>
              </w:rPr>
            </w:pPr>
          </w:p>
        </w:tc>
      </w:tr>
      <w:tr>
        <w:trPr>
          <w:trHeight w:val="104"/>
        </w:trPr>
        <w:tc>
          <w:tcPr>
            <w:tcW w:w="2440" w:type="dxa"/>
            <w:vAlign w:val="bottom"/>
            <w:tcBorders>
              <w:left w:val="single" w:sz="8" w:color="auto"/>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right w:val="single" w:sz="8" w:color="auto"/>
            </w:tcBorders>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Borders>
              <w:right w:val="single" w:sz="8" w:color="auto"/>
            </w:tcBorders>
          </w:tcPr>
          <w:p>
            <w:pPr>
              <w:jc w:val="center"/>
              <w:ind w:right="189"/>
              <w:spacing w:after="0" w:line="149" w:lineRule="exact"/>
              <w:rPr>
                <w:sz w:val="20"/>
                <w:szCs w:val="20"/>
                <w:color w:val="auto"/>
              </w:rPr>
            </w:pPr>
            <w:r>
              <w:rPr>
                <w:rFonts w:ascii="Times New Roman" w:cs="Times New Roman" w:eastAsia="Times New Roman" w:hAnsi="Times New Roman"/>
                <w:sz w:val="14"/>
                <w:szCs w:val="14"/>
                <w:b w:val="1"/>
                <w:bCs w:val="1"/>
                <w:color w:val="auto"/>
              </w:rPr>
              <w:t>SUPPORT</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Borders>
              <w:right w:val="single" w:sz="8" w:color="auto"/>
            </w:tcBorders>
          </w:tcPr>
          <w:p>
            <w:pPr>
              <w:jc w:val="center"/>
              <w:ind w:right="209"/>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0" w:type="dxa"/>
            <w:vAlign w:val="bottom"/>
          </w:tcPr>
          <w:p>
            <w:pPr>
              <w:spacing w:after="0"/>
              <w:rPr>
                <w:sz w:val="1"/>
                <w:szCs w:val="1"/>
                <w:color w:val="auto"/>
              </w:rPr>
            </w:pPr>
          </w:p>
        </w:tc>
      </w:tr>
      <w:tr>
        <w:trPr>
          <w:trHeight w:val="160"/>
        </w:trPr>
        <w:tc>
          <w:tcPr>
            <w:tcW w:w="24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END MARKET</w:t>
            </w:r>
          </w:p>
        </w:tc>
        <w:tc>
          <w:tcPr>
            <w:tcW w:w="200" w:type="dxa"/>
            <w:vAlign w:val="bottom"/>
          </w:tcPr>
          <w:p>
            <w:pPr>
              <w:spacing w:after="0"/>
              <w:rPr>
                <w:sz w:val="13"/>
                <w:szCs w:val="13"/>
                <w:color w:val="auto"/>
              </w:rPr>
            </w:pPr>
          </w:p>
        </w:tc>
        <w:tc>
          <w:tcPr>
            <w:tcW w:w="1020" w:type="dxa"/>
            <w:vAlign w:val="bottom"/>
            <w:tcBorders>
              <w:right w:val="single" w:sz="8" w:color="auto"/>
            </w:tcBorders>
          </w:tcPr>
          <w:p>
            <w:pPr>
              <w:ind w:left="320"/>
              <w:spacing w:after="0" w:line="160" w:lineRule="exact"/>
              <w:rPr>
                <w:sz w:val="20"/>
                <w:szCs w:val="20"/>
                <w:color w:val="auto"/>
              </w:rPr>
            </w:pPr>
            <w:r>
              <w:rPr>
                <w:rFonts w:ascii="Times New Roman" w:cs="Times New Roman" w:eastAsia="Times New Roman" w:hAnsi="Times New Roman"/>
                <w:sz w:val="14"/>
                <w:szCs w:val="14"/>
                <w:b w:val="1"/>
                <w:bCs w:val="1"/>
                <w:color w:val="auto"/>
              </w:rPr>
              <w:t>ON-</w:t>
            </w:r>
          </w:p>
        </w:tc>
        <w:tc>
          <w:tcPr>
            <w:tcW w:w="180" w:type="dxa"/>
            <w:vAlign w:val="bottom"/>
          </w:tcPr>
          <w:p>
            <w:pPr>
              <w:spacing w:after="0"/>
              <w:rPr>
                <w:sz w:val="13"/>
                <w:szCs w:val="13"/>
                <w:color w:val="auto"/>
              </w:rPr>
            </w:pPr>
          </w:p>
        </w:tc>
        <w:tc>
          <w:tcPr>
            <w:tcW w:w="1000" w:type="dxa"/>
            <w:vAlign w:val="bottom"/>
            <w:tcBorders>
              <w:right w:val="single" w:sz="8" w:color="auto"/>
            </w:tcBorders>
          </w:tcPr>
          <w:p>
            <w:pPr>
              <w:jc w:val="center"/>
              <w:ind w:right="49"/>
              <w:spacing w:after="0" w:line="160" w:lineRule="exact"/>
              <w:rPr>
                <w:sz w:val="20"/>
                <w:szCs w:val="20"/>
                <w:color w:val="auto"/>
              </w:rPr>
            </w:pPr>
            <w:r>
              <w:rPr>
                <w:rFonts w:ascii="Times New Roman" w:cs="Times New Roman" w:eastAsia="Times New Roman" w:hAnsi="Times New Roman"/>
                <w:sz w:val="14"/>
                <w:szCs w:val="14"/>
                <w:b w:val="1"/>
                <w:bCs w:val="1"/>
                <w:color w:val="auto"/>
              </w:rPr>
              <w:t>TRANSIT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OFF-</w:t>
            </w:r>
          </w:p>
        </w:tc>
        <w:tc>
          <w:tcPr>
            <w:tcW w:w="180" w:type="dxa"/>
            <w:vAlign w:val="bottom"/>
          </w:tcPr>
          <w:p>
            <w:pPr>
              <w:spacing w:after="0"/>
              <w:rPr>
                <w:sz w:val="13"/>
                <w:szCs w:val="13"/>
                <w:color w:val="auto"/>
              </w:rPr>
            </w:pPr>
          </w:p>
        </w:tc>
        <w:tc>
          <w:tcPr>
            <w:tcW w:w="1060" w:type="dxa"/>
            <w:vAlign w:val="bottom"/>
            <w:tcBorders>
              <w:right w:val="single" w:sz="8" w:color="auto"/>
            </w:tcBorders>
          </w:tcPr>
          <w:p>
            <w:pPr>
              <w:ind w:left="340"/>
              <w:spacing w:after="0" w:line="160" w:lineRule="exact"/>
              <w:rPr>
                <w:sz w:val="20"/>
                <w:szCs w:val="20"/>
                <w:color w:val="auto"/>
              </w:rPr>
            </w:pPr>
            <w:r>
              <w:rPr>
                <w:rFonts w:ascii="Times New Roman" w:cs="Times New Roman" w:eastAsia="Times New Roman" w:hAnsi="Times New Roman"/>
                <w:sz w:val="14"/>
                <w:szCs w:val="14"/>
                <w:b w:val="1"/>
                <w:bCs w:val="1"/>
                <w:color w:val="auto"/>
              </w:rPr>
              <w:t>ON-</w:t>
            </w:r>
          </w:p>
        </w:tc>
        <w:tc>
          <w:tcPr>
            <w:tcW w:w="180" w:type="dxa"/>
            <w:vAlign w:val="bottom"/>
          </w:tcPr>
          <w:p>
            <w:pPr>
              <w:spacing w:after="0"/>
              <w:rPr>
                <w:sz w:val="13"/>
                <w:szCs w:val="13"/>
                <w:color w:val="auto"/>
              </w:rPr>
            </w:pPr>
          </w:p>
        </w:tc>
        <w:tc>
          <w:tcPr>
            <w:tcW w:w="1020" w:type="dxa"/>
            <w:vAlign w:val="bottom"/>
            <w:tcBorders>
              <w:right w:val="single" w:sz="8" w:color="auto"/>
            </w:tcBorders>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OFF-</w:t>
            </w:r>
          </w:p>
        </w:tc>
        <w:tc>
          <w:tcPr>
            <w:tcW w:w="200" w:type="dxa"/>
            <w:vAlign w:val="bottom"/>
          </w:tcPr>
          <w:p>
            <w:pPr>
              <w:spacing w:after="0"/>
              <w:rPr>
                <w:sz w:val="13"/>
                <w:szCs w:val="13"/>
                <w:color w:val="auto"/>
              </w:rPr>
            </w:pPr>
          </w:p>
        </w:tc>
        <w:tc>
          <w:tcPr>
            <w:tcW w:w="10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380" w:type="dxa"/>
            <w:vAlign w:val="bottom"/>
          </w:tcPr>
          <w:p>
            <w:pPr>
              <w:spacing w:after="0"/>
              <w:rPr>
                <w:sz w:val="13"/>
                <w:szCs w:val="13"/>
                <w:color w:val="auto"/>
              </w:rPr>
            </w:pPr>
          </w:p>
        </w:tc>
        <w:tc>
          <w:tcPr>
            <w:tcW w:w="1320" w:type="dxa"/>
            <w:vAlign w:val="bottom"/>
            <w:tcBorders>
              <w:right w:val="single" w:sz="8" w:color="auto"/>
            </w:tcBorders>
          </w:tcPr>
          <w:p>
            <w:pPr>
              <w:jc w:val="center"/>
              <w:ind w:right="209"/>
              <w:spacing w:after="0" w:line="160" w:lineRule="exact"/>
              <w:rPr>
                <w:sz w:val="20"/>
                <w:szCs w:val="20"/>
                <w:color w:val="auto"/>
              </w:rPr>
            </w:pPr>
            <w:r>
              <w:rPr>
                <w:rFonts w:ascii="Times New Roman" w:cs="Times New Roman" w:eastAsia="Times New Roman" w:hAnsi="Times New Roman"/>
                <w:sz w:val="14"/>
                <w:szCs w:val="14"/>
                <w:b w:val="1"/>
                <w:bCs w:val="1"/>
                <w:color w:val="auto"/>
              </w:rPr>
              <w:t>&amp;</w:t>
            </w:r>
          </w:p>
        </w:tc>
        <w:tc>
          <w:tcPr>
            <w:tcW w:w="0" w:type="dxa"/>
            <w:vAlign w:val="bottom"/>
          </w:tcPr>
          <w:p>
            <w:pPr>
              <w:spacing w:after="0"/>
              <w:rPr>
                <w:sz w:val="1"/>
                <w:szCs w:val="1"/>
                <w:color w:val="auto"/>
              </w:rPr>
            </w:pPr>
          </w:p>
        </w:tc>
      </w:tr>
      <w:tr>
        <w:trPr>
          <w:trHeight w:val="176"/>
        </w:trPr>
        <w:tc>
          <w:tcPr>
            <w:tcW w:w="244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HIGHWAY</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BUS</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HIGHWAY</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HIGHWAY</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HIGHWAY</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2"/>
        </w:trPr>
        <w:tc>
          <w:tcPr>
            <w:tcW w:w="2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2015 N</w:t>
            </w:r>
            <w:r>
              <w:rPr>
                <w:rFonts w:ascii="Times New Roman" w:cs="Times New Roman" w:eastAsia="Times New Roman" w:hAnsi="Times New Roman"/>
                <w:sz w:val="11"/>
                <w:szCs w:val="11"/>
                <w:b w:val="1"/>
                <w:bCs w:val="1"/>
                <w:color w:val="auto"/>
              </w:rPr>
              <w:t>ET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ALES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1"/>
                <w:szCs w:val="11"/>
                <w:b w:val="1"/>
                <w:bCs w:val="1"/>
                <w:color w:val="auto"/>
              </w:rPr>
              <w:t>IN</w:t>
            </w:r>
            <w:r>
              <w:rPr>
                <w:rFonts w:ascii="Times New Roman" w:cs="Times New Roman" w:eastAsia="Times New Roman" w:hAnsi="Times New Roman"/>
                <w:sz w:val="14"/>
                <w:szCs w:val="14"/>
                <w:b w:val="1"/>
                <w:bCs w:val="1"/>
                <w:color w:val="auto"/>
              </w:rPr>
              <w:t xml:space="preserve"> M</w:t>
            </w:r>
            <w:r>
              <w:rPr>
                <w:rFonts w:ascii="Times New Roman" w:cs="Times New Roman" w:eastAsia="Times New Roman" w:hAnsi="Times New Roman"/>
                <w:sz w:val="11"/>
                <w:szCs w:val="11"/>
                <w:b w:val="1"/>
                <w:bCs w:val="1"/>
                <w:color w:val="auto"/>
              </w:rPr>
              <w:t>ILLIONS</w:t>
            </w: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09"/>
              <w:spacing w:after="0" w:line="142" w:lineRule="exact"/>
              <w:rPr>
                <w:sz w:val="20"/>
                <w:szCs w:val="20"/>
                <w:color w:val="auto"/>
              </w:rPr>
            </w:pPr>
            <w:r>
              <w:rPr>
                <w:rFonts w:ascii="Times New Roman" w:cs="Times New Roman" w:eastAsia="Times New Roman" w:hAnsi="Times New Roman"/>
                <w:sz w:val="14"/>
                <w:szCs w:val="14"/>
                <w:color w:val="auto"/>
              </w:rPr>
              <w:t>$1,059</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369"/>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89"/>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369"/>
              <w:spacing w:after="0" w:line="142" w:lineRule="exact"/>
              <w:rPr>
                <w:sz w:val="20"/>
                <w:szCs w:val="20"/>
                <w:color w:val="auto"/>
              </w:rPr>
            </w:pPr>
            <w:r>
              <w:rPr>
                <w:rFonts w:ascii="Times New Roman" w:cs="Times New Roman" w:eastAsia="Times New Roman" w:hAnsi="Times New Roman"/>
                <w:sz w:val="14"/>
                <w:szCs w:val="14"/>
                <w:color w:val="auto"/>
              </w:rPr>
              <w:t>$262</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89"/>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369"/>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center"/>
              <w:ind w:right="209"/>
              <w:spacing w:after="0" w:line="142" w:lineRule="exact"/>
              <w:rPr>
                <w:sz w:val="20"/>
                <w:szCs w:val="20"/>
                <w:color w:val="auto"/>
              </w:rPr>
            </w:pPr>
            <w:r>
              <w:rPr>
                <w:rFonts w:ascii="Times New Roman" w:cs="Times New Roman" w:eastAsia="Times New Roman" w:hAnsi="Times New Roman"/>
                <w:sz w:val="14"/>
                <w:szCs w:val="14"/>
                <w:color w:val="auto"/>
                <w:w w:val="99"/>
              </w:rPr>
              <w:t>$389</w:t>
            </w:r>
          </w:p>
        </w:tc>
        <w:tc>
          <w:tcPr>
            <w:tcW w:w="0" w:type="dxa"/>
            <w:vAlign w:val="bottom"/>
          </w:tcPr>
          <w:p>
            <w:pPr>
              <w:spacing w:after="0"/>
              <w:rPr>
                <w:sz w:val="1"/>
                <w:szCs w:val="1"/>
                <w:color w:val="auto"/>
              </w:rPr>
            </w:pPr>
          </w:p>
        </w:tc>
      </w:tr>
      <w:tr>
        <w:trPr>
          <w:trHeight w:val="142"/>
        </w:trPr>
        <w:tc>
          <w:tcPr>
            <w:tcW w:w="2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OTAL</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69"/>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389"/>
              <w:spacing w:after="0" w:line="142"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409"/>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389"/>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89"/>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409"/>
              <w:spacing w:after="0" w:line="142" w:lineRule="exact"/>
              <w:rPr>
                <w:sz w:val="20"/>
                <w:szCs w:val="20"/>
                <w:color w:val="auto"/>
              </w:rPr>
            </w:pPr>
            <w:r>
              <w:rPr>
                <w:rFonts w:ascii="Times New Roman" w:cs="Times New Roman" w:eastAsia="Times New Roman" w:hAnsi="Times New Roman"/>
                <w:sz w:val="14"/>
                <w:szCs w:val="14"/>
                <w:color w:val="auto"/>
              </w:rPr>
              <w:t>6%</w:t>
            </w: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center"/>
              <w:ind w:right="189"/>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19"/>
        </w:trPr>
        <w:tc>
          <w:tcPr>
            <w:tcW w:w="244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b w:val="1"/>
                <w:bCs w:val="1"/>
                <w:color w:val="auto"/>
              </w:rPr>
              <w:t>M</w:t>
            </w:r>
            <w:r>
              <w:rPr>
                <w:rFonts w:ascii="Times New Roman" w:cs="Times New Roman" w:eastAsia="Times New Roman" w:hAnsi="Times New Roman"/>
                <w:sz w:val="10"/>
                <w:szCs w:val="10"/>
                <w:b w:val="1"/>
                <w:bCs w:val="1"/>
                <w:color w:val="auto"/>
              </w:rPr>
              <w:t>ARKET</w:t>
            </w:r>
            <w:r>
              <w:rPr>
                <w:rFonts w:ascii="Times New Roman" w:cs="Times New Roman" w:eastAsia="Times New Roman" w:hAnsi="Times New Roman"/>
                <w:sz w:val="13"/>
                <w:szCs w:val="13"/>
                <w:b w:val="1"/>
                <w:bCs w:val="1"/>
                <w:color w:val="auto"/>
              </w:rPr>
              <w:t xml:space="preserve"> P</w:t>
            </w:r>
            <w:r>
              <w:rPr>
                <w:rFonts w:ascii="Times New Roman" w:cs="Times New Roman" w:eastAsia="Times New Roman" w:hAnsi="Times New Roman"/>
                <w:sz w:val="10"/>
                <w:szCs w:val="10"/>
                <w:b w:val="1"/>
                <w:bCs w:val="1"/>
                <w:color w:val="auto"/>
              </w:rPr>
              <w:t>OSITION</w:t>
            </w:r>
          </w:p>
        </w:tc>
        <w:tc>
          <w:tcPr>
            <w:tcW w:w="20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#1 supplier of</w:t>
            </w:r>
          </w:p>
        </w:tc>
        <w:tc>
          <w:tcPr>
            <w:tcW w:w="18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A leading</w:t>
            </w:r>
          </w:p>
        </w:tc>
        <w:tc>
          <w:tcPr>
            <w:tcW w:w="80" w:type="dxa"/>
            <w:vAlign w:val="bottom"/>
          </w:tcPr>
          <w:p>
            <w:pPr>
              <w:spacing w:after="0"/>
              <w:rPr>
                <w:sz w:val="10"/>
                <w:szCs w:val="10"/>
                <w:color w:val="auto"/>
              </w:rPr>
            </w:pPr>
          </w:p>
        </w:tc>
        <w:tc>
          <w:tcPr>
            <w:tcW w:w="1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auto"/>
            </w:tcBorders>
          </w:tcPr>
          <w:p>
            <w:pPr>
              <w:ind w:left="40"/>
              <w:spacing w:after="0" w:line="119" w:lineRule="exact"/>
              <w:rPr>
                <w:sz w:val="20"/>
                <w:szCs w:val="20"/>
                <w:color w:val="auto"/>
              </w:rPr>
            </w:pPr>
            <w:r>
              <w:rPr>
                <w:rFonts w:ascii="Times New Roman" w:cs="Times New Roman" w:eastAsia="Times New Roman" w:hAnsi="Times New Roman"/>
                <w:sz w:val="13"/>
                <w:szCs w:val="13"/>
                <w:color w:val="auto"/>
              </w:rPr>
              <w:t>A leading</w:t>
            </w:r>
          </w:p>
        </w:tc>
        <w:tc>
          <w:tcPr>
            <w:tcW w:w="18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#1 supplier of</w:t>
            </w:r>
          </w:p>
        </w:tc>
        <w:tc>
          <w:tcPr>
            <w:tcW w:w="18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A leading</w:t>
            </w:r>
          </w:p>
        </w:tc>
        <w:tc>
          <w:tcPr>
            <w:tcW w:w="20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#1 supplier of</w:t>
            </w:r>
          </w:p>
        </w:tc>
        <w:tc>
          <w:tcPr>
            <w:tcW w:w="380" w:type="dxa"/>
            <w:vAlign w:val="bottom"/>
          </w:tcPr>
          <w:p>
            <w:pPr>
              <w:ind w:left="2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right w:val="single" w:sz="8" w:color="auto"/>
            </w:tcBorders>
          </w:tcPr>
          <w:p>
            <w:pPr>
              <w:ind w:left="40"/>
              <w:spacing w:after="0" w:line="119" w:lineRule="exact"/>
              <w:rPr>
                <w:sz w:val="20"/>
                <w:szCs w:val="20"/>
                <w:color w:val="auto"/>
              </w:rPr>
            </w:pPr>
            <w:r>
              <w:rPr>
                <w:rFonts w:ascii="Times New Roman" w:cs="Times New Roman" w:eastAsia="Times New Roman" w:hAnsi="Times New Roman"/>
                <w:sz w:val="13"/>
                <w:szCs w:val="13"/>
                <w:color w:val="auto"/>
              </w:rPr>
              <w:t>Approximately</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fully-automatic</w:t>
            </w:r>
          </w:p>
        </w:tc>
        <w:tc>
          <w:tcPr>
            <w:tcW w:w="180" w:type="dxa"/>
            <w:vAlign w:val="bottom"/>
          </w:tcPr>
          <w:p>
            <w:pPr>
              <w:spacing w:after="0"/>
              <w:rPr>
                <w:sz w:val="12"/>
                <w:szCs w:val="12"/>
                <w:color w:val="auto"/>
              </w:rPr>
            </w:pPr>
          </w:p>
        </w:tc>
        <w:tc>
          <w:tcPr>
            <w:tcW w:w="10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supplier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independent</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fully-automatic</w:t>
            </w:r>
          </w:p>
        </w:tc>
        <w:tc>
          <w:tcPr>
            <w:tcW w:w="18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independent</w:t>
            </w: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transmissions</w:t>
            </w:r>
          </w:p>
        </w:tc>
        <w:tc>
          <w:tcPr>
            <w:tcW w:w="380" w:type="dxa"/>
            <w:vAlign w:val="bottom"/>
          </w:tcPr>
          <w:p>
            <w:pPr>
              <w:spacing w:after="0"/>
              <w:rPr>
                <w:sz w:val="12"/>
                <w:szCs w:val="12"/>
                <w:color w:val="auto"/>
              </w:rPr>
            </w:pPr>
          </w:p>
        </w:tc>
        <w:tc>
          <w:tcPr>
            <w:tcW w:w="13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1,400 dealers</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transmissions</w:t>
            </w:r>
          </w:p>
        </w:tc>
        <w:tc>
          <w:tcPr>
            <w:tcW w:w="180" w:type="dxa"/>
            <w:vAlign w:val="bottom"/>
          </w:tcPr>
          <w:p>
            <w:pPr>
              <w:spacing w:after="0"/>
              <w:rPr>
                <w:sz w:val="12"/>
                <w:szCs w:val="12"/>
                <w:color w:val="auto"/>
              </w:rPr>
            </w:pPr>
          </w:p>
        </w:tc>
        <w:tc>
          <w:tcPr>
            <w:tcW w:w="10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hybrid-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supplier</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transmissions in</w:t>
            </w:r>
          </w:p>
        </w:tc>
        <w:tc>
          <w:tcPr>
            <w:tcW w:w="18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supplier</w:t>
            </w: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for the U.S.</w:t>
            </w:r>
          </w:p>
        </w:tc>
        <w:tc>
          <w:tcPr>
            <w:tcW w:w="380" w:type="dxa"/>
            <w:vAlign w:val="bottom"/>
          </w:tcPr>
          <w:p>
            <w:pPr>
              <w:spacing w:after="0"/>
              <w:rPr>
                <w:sz w:val="12"/>
                <w:szCs w:val="12"/>
                <w:color w:val="auto"/>
              </w:rPr>
            </w:pPr>
          </w:p>
        </w:tc>
        <w:tc>
          <w:tcPr>
            <w:tcW w:w="13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and distributors</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propulsion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China and India</w:t>
            </w:r>
          </w:p>
        </w:tc>
        <w:tc>
          <w:tcPr>
            <w:tcW w:w="1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Department of</w:t>
            </w:r>
          </w:p>
        </w:tc>
        <w:tc>
          <w:tcPr>
            <w:tcW w:w="380" w:type="dxa"/>
            <w:vAlign w:val="bottom"/>
          </w:tcPr>
          <w:p>
            <w:pPr>
              <w:spacing w:after="0"/>
              <w:rPr>
                <w:sz w:val="12"/>
                <w:szCs w:val="12"/>
                <w:color w:val="auto"/>
              </w:rPr>
            </w:pPr>
          </w:p>
        </w:tc>
        <w:tc>
          <w:tcPr>
            <w:tcW w:w="13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worldwide</w:t>
            </w:r>
          </w:p>
        </w:tc>
        <w:tc>
          <w:tcPr>
            <w:tcW w:w="0" w:type="dxa"/>
            <w:vAlign w:val="bottom"/>
          </w:tcPr>
          <w:p>
            <w:pPr>
              <w:spacing w:after="0"/>
              <w:rPr>
                <w:sz w:val="1"/>
                <w:szCs w:val="1"/>
                <w:color w:val="auto"/>
              </w:rPr>
            </w:pPr>
          </w:p>
        </w:tc>
      </w:tr>
      <w:tr>
        <w:trPr>
          <w:trHeight w:val="188"/>
        </w:trPr>
        <w:tc>
          <w:tcPr>
            <w:tcW w:w="244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systems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Established</w:t>
            </w:r>
          </w:p>
        </w:tc>
        <w:tc>
          <w:tcPr>
            <w:tcW w:w="1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Defense</w:t>
            </w:r>
          </w:p>
        </w:tc>
        <w:tc>
          <w:tcPr>
            <w:tcW w:w="3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440" w:type="dxa"/>
            <w:vAlign w:val="bottom"/>
            <w:tcBorders>
              <w:left w:val="single" w:sz="8" w:color="auto"/>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presence in</w:t>
            </w:r>
          </w:p>
        </w:tc>
        <w:tc>
          <w:tcPr>
            <w:tcW w:w="1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40" w:type="dxa"/>
            <w:vAlign w:val="bottom"/>
            <w:tcBorders>
              <w:left w:val="single" w:sz="8" w:color="auto"/>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Western Europe</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44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b w:val="1"/>
                <w:bCs w:val="1"/>
                <w:color w:val="auto"/>
              </w:rPr>
              <w:t>V</w:t>
            </w:r>
            <w:r>
              <w:rPr>
                <w:rFonts w:ascii="Times New Roman" w:cs="Times New Roman" w:eastAsia="Times New Roman" w:hAnsi="Times New Roman"/>
                <w:sz w:val="10"/>
                <w:szCs w:val="10"/>
                <w:b w:val="1"/>
                <w:bCs w:val="1"/>
                <w:color w:val="auto"/>
              </w:rPr>
              <w:t>OCATIONS</w:t>
            </w:r>
            <w:r>
              <w:rPr>
                <w:rFonts w:ascii="Times New Roman" w:cs="Times New Roman" w:eastAsia="Times New Roman" w:hAnsi="Times New Roman"/>
                <w:sz w:val="13"/>
                <w:szCs w:val="13"/>
                <w:b w:val="1"/>
                <w:bCs w:val="1"/>
                <w:color w:val="auto"/>
              </w:rPr>
              <w:t xml:space="preserve"> O</w:t>
            </w:r>
            <w:r>
              <w:rPr>
                <w:rFonts w:ascii="Times New Roman" w:cs="Times New Roman" w:eastAsia="Times New Roman" w:hAnsi="Times New Roman"/>
                <w:sz w:val="10"/>
                <w:szCs w:val="10"/>
                <w:b w:val="1"/>
                <w:bCs w:val="1"/>
                <w:color w:val="auto"/>
              </w:rPr>
              <w:t>R</w:t>
            </w:r>
            <w:r>
              <w:rPr>
                <w:rFonts w:ascii="Times New Roman" w:cs="Times New Roman" w:eastAsia="Times New Roman" w:hAnsi="Times New Roman"/>
                <w:sz w:val="13"/>
                <w:szCs w:val="13"/>
                <w:b w:val="1"/>
                <w:bCs w:val="1"/>
                <w:color w:val="auto"/>
              </w:rPr>
              <w:t xml:space="preserve"> E</w:t>
            </w:r>
            <w:r>
              <w:rPr>
                <w:rFonts w:ascii="Times New Roman" w:cs="Times New Roman" w:eastAsia="Times New Roman" w:hAnsi="Times New Roman"/>
                <w:sz w:val="10"/>
                <w:szCs w:val="10"/>
                <w:b w:val="1"/>
                <w:bCs w:val="1"/>
                <w:color w:val="auto"/>
              </w:rPr>
              <w:t>ND</w:t>
            </w:r>
            <w:r>
              <w:rPr>
                <w:rFonts w:ascii="Times New Roman" w:cs="Times New Roman" w:eastAsia="Times New Roman" w:hAnsi="Times New Roman"/>
                <w:sz w:val="13"/>
                <w:szCs w:val="13"/>
                <w:b w:val="1"/>
                <w:bCs w:val="1"/>
                <w:color w:val="auto"/>
              </w:rPr>
              <w:t xml:space="preserve"> U</w:t>
            </w:r>
            <w:r>
              <w:rPr>
                <w:rFonts w:ascii="Times New Roman" w:cs="Times New Roman" w:eastAsia="Times New Roman" w:hAnsi="Times New Roman"/>
                <w:sz w:val="10"/>
                <w:szCs w:val="10"/>
                <w:b w:val="1"/>
                <w:bCs w:val="1"/>
                <w:color w:val="auto"/>
              </w:rPr>
              <w:t>SE</w:t>
            </w:r>
          </w:p>
        </w:tc>
        <w:tc>
          <w:tcPr>
            <w:tcW w:w="20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Distribution</w:t>
            </w:r>
          </w:p>
        </w:tc>
        <w:tc>
          <w:tcPr>
            <w:tcW w:w="18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Hybrid transit</w:t>
            </w:r>
          </w:p>
        </w:tc>
        <w:tc>
          <w:tcPr>
            <w:tcW w:w="80" w:type="dxa"/>
            <w:vAlign w:val="bottom"/>
          </w:tcPr>
          <w:p>
            <w:pPr>
              <w:spacing w:after="0"/>
              <w:rPr>
                <w:sz w:val="10"/>
                <w:szCs w:val="10"/>
                <w:color w:val="auto"/>
              </w:rPr>
            </w:pPr>
          </w:p>
        </w:tc>
        <w:tc>
          <w:tcPr>
            <w:tcW w:w="1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Energy</w:t>
            </w:r>
          </w:p>
        </w:tc>
        <w:tc>
          <w:tcPr>
            <w:tcW w:w="18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Distribution</w:t>
            </w:r>
          </w:p>
        </w:tc>
        <w:tc>
          <w:tcPr>
            <w:tcW w:w="18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Energy</w:t>
            </w:r>
          </w:p>
        </w:tc>
        <w:tc>
          <w:tcPr>
            <w:tcW w:w="20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Medium- and</w:t>
            </w:r>
          </w:p>
        </w:tc>
        <w:tc>
          <w:tcPr>
            <w:tcW w:w="380" w:type="dxa"/>
            <w:vAlign w:val="bottom"/>
          </w:tcPr>
          <w:p>
            <w:pPr>
              <w:ind w:left="2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Parts</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Emergency</w:t>
            </w:r>
          </w:p>
        </w:tc>
        <w:tc>
          <w:tcPr>
            <w:tcW w:w="180" w:type="dxa"/>
            <w:vAlign w:val="bottom"/>
          </w:tcPr>
          <w:p>
            <w:pPr>
              <w:spacing w:after="0"/>
              <w:rPr>
                <w:sz w:val="12"/>
                <w:szCs w:val="12"/>
                <w:color w:val="auto"/>
              </w:rPr>
            </w:pPr>
          </w:p>
        </w:tc>
        <w:tc>
          <w:tcPr>
            <w:tcW w:w="10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bus</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Mining</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Emergency</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Mining</w:t>
            </w: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heavy-tactical</w:t>
            </w:r>
          </w:p>
        </w:tc>
        <w:tc>
          <w:tcPr>
            <w:tcW w:w="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Support</w:t>
            </w:r>
          </w:p>
        </w:tc>
        <w:tc>
          <w:tcPr>
            <w:tcW w:w="0" w:type="dxa"/>
            <w:vAlign w:val="bottom"/>
          </w:tcPr>
          <w:p>
            <w:pPr>
              <w:spacing w:after="0"/>
              <w:rPr>
                <w:sz w:val="1"/>
                <w:szCs w:val="1"/>
                <w:color w:val="auto"/>
              </w:rPr>
            </w:pPr>
          </w:p>
        </w:tc>
      </w:tr>
      <w:tr>
        <w:trPr>
          <w:trHeight w:val="144"/>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Hybrid shuttle</w:t>
            </w: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5" w:lineRule="exact"/>
              <w:rPr>
                <w:sz w:val="20"/>
                <w:szCs w:val="20"/>
                <w:color w:val="auto"/>
              </w:rPr>
            </w:pPr>
            <w:r>
              <w:rPr>
                <w:rFonts w:ascii="Times New Roman" w:cs="Times New Roman" w:eastAsia="Times New Roman" w:hAnsi="Times New Roman"/>
                <w:sz w:val="14"/>
                <w:szCs w:val="14"/>
                <w:color w:val="auto"/>
              </w:rPr>
              <w:t>wheeled</w:t>
            </w:r>
          </w:p>
        </w:tc>
        <w:tc>
          <w:tcPr>
            <w:tcW w:w="380" w:type="dxa"/>
            <w:vAlign w:val="bottom"/>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Refuse</w:t>
            </w:r>
          </w:p>
        </w:tc>
        <w:tc>
          <w:tcPr>
            <w:tcW w:w="180" w:type="dxa"/>
            <w:vAlign w:val="bottom"/>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Refuse</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Construction</w:t>
            </w: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platforms</w:t>
            </w:r>
          </w:p>
        </w:tc>
        <w:tc>
          <w:tcPr>
            <w:tcW w:w="380" w:type="dxa"/>
            <w:vAlign w:val="bottom"/>
          </w:tcPr>
          <w:p>
            <w:pPr>
              <w:spacing w:after="0"/>
              <w:rPr>
                <w:sz w:val="12"/>
                <w:szCs w:val="12"/>
                <w:color w:val="auto"/>
              </w:rPr>
            </w:pPr>
          </w:p>
        </w:tc>
        <w:tc>
          <w:tcPr>
            <w:tcW w:w="13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equipment</w:t>
            </w:r>
          </w:p>
        </w:tc>
        <w:tc>
          <w:tcPr>
            <w:tcW w:w="0" w:type="dxa"/>
            <w:vAlign w:val="bottom"/>
          </w:tcPr>
          <w:p>
            <w:pPr>
              <w:spacing w:after="0"/>
              <w:rPr>
                <w:sz w:val="1"/>
                <w:szCs w:val="1"/>
                <w:color w:val="auto"/>
              </w:rPr>
            </w:pPr>
          </w:p>
        </w:tc>
      </w:tr>
      <w:tr>
        <w:trPr>
          <w:trHeight w:val="188"/>
        </w:trPr>
        <w:tc>
          <w:tcPr>
            <w:tcW w:w="2440" w:type="dxa"/>
            <w:vAlign w:val="bottom"/>
            <w:tcBorders>
              <w:left w:val="single" w:sz="8" w:color="auto"/>
              <w:right w:val="single" w:sz="8" w:color="auto"/>
            </w:tcBorders>
          </w:tcPr>
          <w:p>
            <w:pPr>
              <w:spacing w:after="0"/>
              <w:rPr>
                <w:sz w:val="16"/>
                <w:szCs w:val="16"/>
                <w:color w:val="auto"/>
              </w:rPr>
            </w:pPr>
          </w:p>
        </w:tc>
        <w:tc>
          <w:tcPr>
            <w:tcW w:w="20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bus</w:t>
            </w: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60" w:type="dxa"/>
            <w:vAlign w:val="bottom"/>
            <w:tcBorders>
              <w:right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Tracked combat</w:t>
            </w:r>
          </w:p>
        </w:tc>
        <w:tc>
          <w:tcPr>
            <w:tcW w:w="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Remanufactured</w:t>
            </w:r>
          </w:p>
        </w:tc>
        <w:tc>
          <w:tcPr>
            <w:tcW w:w="0" w:type="dxa"/>
            <w:vAlign w:val="bottom"/>
          </w:tcPr>
          <w:p>
            <w:pPr>
              <w:spacing w:after="0"/>
              <w:rPr>
                <w:sz w:val="1"/>
                <w:szCs w:val="1"/>
                <w:color w:val="auto"/>
              </w:rPr>
            </w:pPr>
          </w:p>
        </w:tc>
      </w:tr>
      <w:tr>
        <w:trPr>
          <w:trHeight w:val="82"/>
        </w:trPr>
        <w:tc>
          <w:tcPr>
            <w:tcW w:w="2440" w:type="dxa"/>
            <w:vAlign w:val="bottom"/>
            <w:tcBorders>
              <w:left w:val="single" w:sz="8" w:color="auto"/>
              <w:right w:val="single" w:sz="8" w:color="auto"/>
            </w:tcBorders>
          </w:tcPr>
          <w:p>
            <w:pPr>
              <w:spacing w:after="0"/>
              <w:rPr>
                <w:sz w:val="7"/>
                <w:szCs w:val="7"/>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Specialty</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Specialty</w:t>
            </w:r>
          </w:p>
        </w:tc>
        <w:tc>
          <w:tcPr>
            <w:tcW w:w="200" w:type="dxa"/>
            <w:vAlign w:val="bottom"/>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platforms</w:t>
            </w:r>
          </w:p>
        </w:tc>
        <w:tc>
          <w:tcPr>
            <w:tcW w:w="380" w:type="dxa"/>
            <w:vAlign w:val="bottom"/>
          </w:tcPr>
          <w:p>
            <w:pPr>
              <w:spacing w:after="0"/>
              <w:rPr>
                <w:sz w:val="12"/>
                <w:szCs w:val="12"/>
                <w:color w:val="auto"/>
              </w:rPr>
            </w:pPr>
          </w:p>
        </w:tc>
        <w:tc>
          <w:tcPr>
            <w:tcW w:w="13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transmissions</w:t>
            </w:r>
          </w:p>
        </w:tc>
        <w:tc>
          <w:tcPr>
            <w:tcW w:w="0" w:type="dxa"/>
            <w:vAlign w:val="bottom"/>
          </w:tcPr>
          <w:p>
            <w:pPr>
              <w:spacing w:after="0"/>
              <w:rPr>
                <w:sz w:val="1"/>
                <w:szCs w:val="1"/>
                <w:color w:val="auto"/>
              </w:rPr>
            </w:pPr>
          </w:p>
        </w:tc>
      </w:tr>
      <w:tr>
        <w:trPr>
          <w:trHeight w:val="188"/>
        </w:trPr>
        <w:tc>
          <w:tcPr>
            <w:tcW w:w="2440" w:type="dxa"/>
            <w:vAlign w:val="bottom"/>
            <w:tcBorders>
              <w:left w:val="single" w:sz="8" w:color="auto"/>
              <w:right w:val="single" w:sz="8" w:color="auto"/>
            </w:tcBorders>
          </w:tcPr>
          <w:p>
            <w:pPr>
              <w:spacing w:after="0"/>
              <w:rPr>
                <w:sz w:val="16"/>
                <w:szCs w:val="16"/>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Utility</w:t>
            </w:r>
          </w:p>
        </w:tc>
        <w:tc>
          <w:tcPr>
            <w:tcW w:w="18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vehicle</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Utility</w:t>
            </w:r>
          </w:p>
        </w:tc>
        <w:tc>
          <w:tcPr>
            <w:tcW w:w="180" w:type="dxa"/>
            <w:vAlign w:val="bottom"/>
          </w:tcPr>
          <w:p>
            <w:pPr>
              <w:spacing w:after="0"/>
              <w:rPr>
                <w:sz w:val="16"/>
                <w:szCs w:val="16"/>
                <w:color w:val="auto"/>
              </w:rPr>
            </w:pPr>
          </w:p>
        </w:tc>
        <w:tc>
          <w:tcPr>
            <w:tcW w:w="1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vehicle</w:t>
            </w:r>
          </w:p>
        </w:tc>
        <w:tc>
          <w:tcPr>
            <w:tcW w:w="2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Fluids</w:t>
            </w:r>
          </w:p>
        </w:tc>
        <w:tc>
          <w:tcPr>
            <w:tcW w:w="0" w:type="dxa"/>
            <w:vAlign w:val="bottom"/>
          </w:tcPr>
          <w:p>
            <w:pPr>
              <w:spacing w:after="0"/>
              <w:rPr>
                <w:sz w:val="1"/>
                <w:szCs w:val="1"/>
                <w:color w:val="auto"/>
              </w:rPr>
            </w:pPr>
          </w:p>
        </w:tc>
      </w:tr>
      <w:tr>
        <w:trPr>
          <w:trHeight w:val="99"/>
        </w:trPr>
        <w:tc>
          <w:tcPr>
            <w:tcW w:w="2440" w:type="dxa"/>
            <w:vAlign w:val="bottom"/>
            <w:tcBorders>
              <w:left w:val="single" w:sz="8" w:color="auto"/>
              <w:right w:val="single" w:sz="8" w:color="auto"/>
            </w:tcBorders>
          </w:tcPr>
          <w:p>
            <w:pPr>
              <w:spacing w:after="0"/>
              <w:rPr>
                <w:sz w:val="8"/>
                <w:szCs w:val="8"/>
                <w:color w:val="auto"/>
              </w:rPr>
            </w:pPr>
          </w:p>
        </w:tc>
        <w:tc>
          <w:tcPr>
            <w:tcW w:w="200" w:type="dxa"/>
            <w:vAlign w:val="bottom"/>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 w:type="dxa"/>
            <w:vAlign w:val="bottom"/>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380" w:type="dxa"/>
            <w:vAlign w:val="bottom"/>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School, transit,</w:t>
            </w:r>
          </w:p>
        </w:tc>
        <w:tc>
          <w:tcPr>
            <w:tcW w:w="1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Transit, shuttle</w:t>
            </w: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shuttle and</w:t>
            </w:r>
          </w:p>
        </w:tc>
        <w:tc>
          <w:tcPr>
            <w:tcW w:w="1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and coach buses</w:t>
            </w:r>
          </w:p>
        </w:tc>
        <w:tc>
          <w:tcPr>
            <w:tcW w:w="1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4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coach buses</w:t>
            </w:r>
          </w:p>
        </w:tc>
        <w:tc>
          <w:tcPr>
            <w:tcW w:w="18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40" w:type="dxa"/>
            <w:vAlign w:val="bottom"/>
            <w:tcBorders>
              <w:left w:val="single" w:sz="8" w:color="auto"/>
              <w:right w:val="single" w:sz="8" w:color="auto"/>
            </w:tcBorders>
          </w:tcPr>
          <w:p>
            <w:pPr>
              <w:spacing w:after="0"/>
              <w:rPr>
                <w:sz w:val="23"/>
                <w:szCs w:val="23"/>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Motorhome</w:t>
            </w:r>
          </w:p>
        </w:tc>
        <w:tc>
          <w:tcPr>
            <w:tcW w:w="180" w:type="dxa"/>
            <w:vAlign w:val="bottom"/>
          </w:tcPr>
          <w:p>
            <w:pPr>
              <w:spacing w:after="0"/>
              <w:rPr>
                <w:sz w:val="23"/>
                <w:szCs w:val="23"/>
                <w:color w:val="auto"/>
              </w:rPr>
            </w:pPr>
          </w:p>
        </w:tc>
        <w:tc>
          <w:tcPr>
            <w:tcW w:w="10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440" w:type="dxa"/>
            <w:vAlign w:val="bottom"/>
            <w:tcBorders>
              <w:left w:val="single" w:sz="8" w:color="auto"/>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Metro tractors</w:t>
            </w: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Refer to NOTE 18, “Concentration of Risk” and NOTE 22, “Geographic Information” in Part II, Item 8, of this Annual Report on Form 10-K for additional information on our significant original equipment manufacturer (“OEM”) customers and net sales by geographical areas.</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40"/>
          </w:cols>
          <w:pgMar w:left="240" w:top="455" w:right="2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17" w:lineRule="exact"/>
        <w:rPr>
          <w:sz w:val="20"/>
          <w:szCs w:val="20"/>
          <w:color w:val="auto"/>
        </w:rPr>
      </w:pPr>
    </w:p>
    <w:p>
      <w:pPr>
        <w:ind w:right="5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On-Highway. </w:t>
      </w:r>
      <w:r>
        <w:rPr>
          <w:rFonts w:ascii="Times New Roman" w:cs="Times New Roman" w:eastAsia="Times New Roman" w:hAnsi="Times New Roman"/>
          <w:sz w:val="18"/>
          <w:szCs w:val="18"/>
          <w:color w:val="auto"/>
        </w:rPr>
        <w:t>We are the largest manufacturer of fully-automatic transmissions for the on-highway medium- and heavy-duty commercial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in North America. The following is a summary of our on-highway net sales by vehicle class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283845</wp:posOffset>
            </wp:positionV>
            <wp:extent cx="3027045" cy="2358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27045"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core North American on-highway market includes Class 4-5, Class 6-7 and Class 8 straight trucks,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pull. We have been supplying transmissions for Class 8 straight trucks for decades, and it is a core end market for us. Today, we have very limited exposure to the Class 8 tractor market because lower priced manual transmissions generally meet the needs of these vehicles which are primarily used in long distance hauling. However, we have identified a portion of the Class 8 tractor market that we call metro tractors that are used in urban environments the majority of the time and developed a fully-automatic transmission (the “TC10”) that meets the unique duty cycle requirements of the Class 8 metro tractor market. Combining the startability and continuous, uninterrupted power qualities of a fully-automatic transmission with the cruising aspects of a manual transmission, the TC10 offers an alternative to traditional manual and automated manual transmissions in tractor applications.</w:t>
      </w:r>
    </w:p>
    <w:p>
      <w:pPr>
        <w:spacing w:after="0" w:line="18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sell substantially all of our transmissions in the North American on-highway market to OEMs. These OEMs, in turn, install our transmissions in vehicles in which our transmission is either the exclusive transmission available or is specifically requested by end users who are choosing between a manual transmission, an AMT or a fully-automatic transmission. In 2015, OEM customers representing over 90% of our North American on-highway unit volume participated in long-term supply agreements (“LTSA”) with us. Generally, these supply agreements offer the OEM customer defined levels of mutual commitment with respect to growing Allison’s presence in the OEMs’ products and promotional efforts, pricing and sharing of commodity cost risk. The length of our customer agreements is typically between three and five years. We often compete in this market against independent manufacturers of manual transmissions, AMTs, fully-automatic transmissions manufactured by Ford Motor Company (“Ford”), ZF Friedrichshafen AG (“ZF”) and Voith GmbH (“Voith”), and against OEMs in certain weight classes that use their own internally manufactured transmissions in certain vehicles.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our competitive position by vehicle class in the North America on-highway end market.</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96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CLASS 4-5</w:t>
            </w:r>
          </w:p>
        </w:tc>
        <w:tc>
          <w:tcPr>
            <w:tcW w:w="180" w:type="dxa"/>
            <w:vAlign w:val="bottom"/>
            <w:tcBorders>
              <w:top w:val="single" w:sz="8" w:color="auto"/>
            </w:tcBorders>
          </w:tcPr>
          <w:p>
            <w:pPr>
              <w:spacing w:after="0"/>
              <w:rPr>
                <w:sz w:val="12"/>
                <w:szCs w:val="12"/>
                <w:color w:val="auto"/>
              </w:rPr>
            </w:pPr>
          </w:p>
        </w:tc>
        <w:tc>
          <w:tcPr>
            <w:tcW w:w="1740" w:type="dxa"/>
            <w:vAlign w:val="bottom"/>
            <w:tcBorders>
              <w:top w:val="single" w:sz="8" w:color="auto"/>
              <w:right w:val="single" w:sz="8" w:color="auto"/>
            </w:tcBorders>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CLASS 6-7</w:t>
            </w:r>
          </w:p>
        </w:tc>
        <w:tc>
          <w:tcPr>
            <w:tcW w:w="200" w:type="dxa"/>
            <w:vAlign w:val="bottom"/>
            <w:tcBorders>
              <w:top w:val="single" w:sz="8" w:color="auto"/>
            </w:tcBorders>
          </w:tcPr>
          <w:p>
            <w:pPr>
              <w:spacing w:after="0"/>
              <w:rPr>
                <w:sz w:val="12"/>
                <w:szCs w:val="12"/>
                <w:color w:val="auto"/>
              </w:rPr>
            </w:pPr>
          </w:p>
        </w:tc>
        <w:tc>
          <w:tcPr>
            <w:tcW w:w="1740" w:type="dxa"/>
            <w:vAlign w:val="bottom"/>
            <w:tcBorders>
              <w:top w:val="single" w:sz="8" w:color="auto"/>
              <w:right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CLASS 8 STRAIGHT</w:t>
            </w: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SCHOOL BUSES</w:t>
            </w:r>
          </w:p>
        </w:tc>
        <w:tc>
          <w:tcPr>
            <w:tcW w:w="1800" w:type="dxa"/>
            <w:vAlign w:val="bottom"/>
            <w:tcBorders>
              <w:top w:val="single" w:sz="8" w:color="auto"/>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MOTORHOMES</w:t>
            </w:r>
          </w:p>
        </w:tc>
        <w:tc>
          <w:tcPr>
            <w:tcW w:w="0" w:type="dxa"/>
            <w:vAlign w:val="bottom"/>
          </w:tcPr>
          <w:p>
            <w:pPr>
              <w:spacing w:after="0"/>
              <w:rPr>
                <w:sz w:val="1"/>
                <w:szCs w:val="1"/>
                <w:color w:val="auto"/>
              </w:rPr>
            </w:pPr>
          </w:p>
        </w:tc>
      </w:tr>
      <w:tr>
        <w:trPr>
          <w:trHeight w:val="176"/>
        </w:trPr>
        <w:tc>
          <w:tcPr>
            <w:tcW w:w="196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TRUCKS</w:t>
            </w: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TRUCKS</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TRUCKS</w:t>
            </w:r>
          </w:p>
        </w:tc>
        <w:tc>
          <w:tcPr>
            <w:tcW w:w="1940" w:type="dxa"/>
            <w:vAlign w:val="bottom"/>
            <w:tcBorders>
              <w:bottom w:val="single" w:sz="8" w:color="auto"/>
              <w:right w:val="single" w:sz="8" w:color="auto"/>
            </w:tcBorders>
            <w:vMerge w:val="continue"/>
          </w:tcPr>
          <w:p>
            <w:pPr>
              <w:spacing w:after="0"/>
              <w:rPr>
                <w:sz w:val="15"/>
                <w:szCs w:val="15"/>
                <w:color w:val="auto"/>
              </w:rPr>
            </w:pPr>
          </w:p>
        </w:tc>
        <w:tc>
          <w:tcPr>
            <w:tcW w:w="18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2015 S</w:t>
            </w:r>
            <w:r>
              <w:rPr>
                <w:rFonts w:ascii="Times New Roman" w:cs="Times New Roman" w:eastAsia="Times New Roman" w:hAnsi="Times New Roman"/>
                <w:sz w:val="11"/>
                <w:szCs w:val="11"/>
                <w:b w:val="1"/>
                <w:bCs w:val="1"/>
                <w:color w:val="auto"/>
              </w:rPr>
              <w:t>HARE</w:t>
            </w:r>
          </w:p>
        </w:tc>
        <w:tc>
          <w:tcPr>
            <w:tcW w:w="62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jc w:val="center"/>
              <w:ind w:right="428"/>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jc w:val="center"/>
              <w:ind w:right="49"/>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200" w:type="dxa"/>
            <w:vAlign w:val="bottom"/>
            <w:tcBorders>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jc w:val="center"/>
              <w:ind w:right="49"/>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1940" w:type="dxa"/>
            <w:vAlign w:val="bottom"/>
            <w:tcBorders>
              <w:bottom w:val="single" w:sz="8" w:color="auto"/>
              <w:right w:val="single" w:sz="8" w:color="auto"/>
            </w:tcBorders>
          </w:tcPr>
          <w:p>
            <w:pPr>
              <w:jc w:val="right"/>
              <w:ind w:right="730"/>
              <w:spacing w:after="0" w:line="142" w:lineRule="exact"/>
              <w:rPr>
                <w:sz w:val="20"/>
                <w:szCs w:val="20"/>
                <w:color w:val="auto"/>
              </w:rPr>
            </w:pPr>
            <w:r>
              <w:rPr>
                <w:rFonts w:ascii="Times New Roman" w:cs="Times New Roman" w:eastAsia="Times New Roman" w:hAnsi="Times New Roman"/>
                <w:sz w:val="14"/>
                <w:szCs w:val="14"/>
                <w:color w:val="auto"/>
              </w:rPr>
              <w:t>98%</w:t>
            </w:r>
          </w:p>
        </w:tc>
        <w:tc>
          <w:tcPr>
            <w:tcW w:w="1800" w:type="dxa"/>
            <w:vAlign w:val="bottom"/>
            <w:tcBorders>
              <w:bottom w:val="single" w:sz="8" w:color="auto"/>
              <w:right w:val="single" w:sz="8" w:color="auto"/>
            </w:tcBorders>
          </w:tcPr>
          <w:p>
            <w:pPr>
              <w:jc w:val="right"/>
              <w:ind w:right="750"/>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19"/>
        </w:trPr>
        <w:tc>
          <w:tcPr>
            <w:tcW w:w="196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b w:val="1"/>
                <w:bCs w:val="1"/>
                <w:color w:val="auto"/>
              </w:rPr>
              <w:t>P</w:t>
            </w:r>
            <w:r>
              <w:rPr>
                <w:rFonts w:ascii="Times New Roman" w:cs="Times New Roman" w:eastAsia="Times New Roman" w:hAnsi="Times New Roman"/>
                <w:sz w:val="10"/>
                <w:szCs w:val="10"/>
                <w:b w:val="1"/>
                <w:bCs w:val="1"/>
                <w:color w:val="auto"/>
              </w:rPr>
              <w:t>RIMARY</w:t>
            </w:r>
            <w:r>
              <w:rPr>
                <w:rFonts w:ascii="Times New Roman" w:cs="Times New Roman" w:eastAsia="Times New Roman" w:hAnsi="Times New Roman"/>
                <w:sz w:val="13"/>
                <w:szCs w:val="13"/>
                <w:b w:val="1"/>
                <w:bCs w:val="1"/>
                <w:color w:val="auto"/>
              </w:rPr>
              <w:t xml:space="preserve"> C</w:t>
            </w:r>
            <w:r>
              <w:rPr>
                <w:rFonts w:ascii="Times New Roman" w:cs="Times New Roman" w:eastAsia="Times New Roman" w:hAnsi="Times New Roman"/>
                <w:sz w:val="10"/>
                <w:szCs w:val="10"/>
                <w:b w:val="1"/>
                <w:bCs w:val="1"/>
                <w:color w:val="auto"/>
              </w:rPr>
              <w:t>OMPETITION</w:t>
            </w:r>
          </w:p>
        </w:tc>
        <w:tc>
          <w:tcPr>
            <w:tcW w:w="620" w:type="dxa"/>
            <w:vAlign w:val="bottom"/>
          </w:tcPr>
          <w:p>
            <w:pPr>
              <w:ind w:left="160"/>
              <w:spacing w:after="0" w:line="119" w:lineRule="exact"/>
              <w:rPr>
                <w:sz w:val="20"/>
                <w:szCs w:val="20"/>
                <w:color w:val="auto"/>
              </w:rPr>
            </w:pPr>
            <w:r>
              <w:rPr>
                <w:rFonts w:ascii="Times New Roman" w:cs="Times New Roman" w:eastAsia="Times New Roman" w:hAnsi="Times New Roman"/>
                <w:sz w:val="13"/>
                <w:szCs w:val="13"/>
                <w:color w:val="auto"/>
              </w:rPr>
              <w:t>•  Ford</w:t>
            </w:r>
          </w:p>
        </w:tc>
        <w:tc>
          <w:tcPr>
            <w:tcW w:w="1260" w:type="dxa"/>
            <w:vAlign w:val="bottom"/>
            <w:tcBorders>
              <w:right w:val="single" w:sz="8" w:color="auto"/>
            </w:tcBorders>
          </w:tcPr>
          <w:p>
            <w:pPr>
              <w:spacing w:after="0"/>
              <w:rPr>
                <w:sz w:val="10"/>
                <w:szCs w:val="10"/>
                <w:color w:val="auto"/>
              </w:rPr>
            </w:pPr>
          </w:p>
        </w:tc>
        <w:tc>
          <w:tcPr>
            <w:tcW w:w="18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74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Manual Transmissions</w:t>
            </w:r>
          </w:p>
        </w:tc>
        <w:tc>
          <w:tcPr>
            <w:tcW w:w="20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74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Manual Transmissions</w:t>
            </w:r>
          </w:p>
        </w:tc>
        <w:tc>
          <w:tcPr>
            <w:tcW w:w="194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  Ford</w:t>
            </w:r>
          </w:p>
        </w:tc>
        <w:tc>
          <w:tcPr>
            <w:tcW w:w="180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  Ford</w:t>
            </w:r>
          </w:p>
        </w:tc>
        <w:tc>
          <w:tcPr>
            <w:tcW w:w="0" w:type="dxa"/>
            <w:vAlign w:val="bottom"/>
          </w:tcPr>
          <w:p>
            <w:pPr>
              <w:spacing w:after="0"/>
              <w:rPr>
                <w:sz w:val="1"/>
                <w:szCs w:val="1"/>
                <w:color w:val="auto"/>
              </w:rPr>
            </w:pPr>
          </w:p>
        </w:tc>
      </w:tr>
      <w:tr>
        <w:trPr>
          <w:trHeight w:val="149"/>
        </w:trPr>
        <w:tc>
          <w:tcPr>
            <w:tcW w:w="1960" w:type="dxa"/>
            <w:vAlign w:val="bottom"/>
            <w:tcBorders>
              <w:left w:val="single" w:sz="8" w:color="auto"/>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AMTs</w:t>
            </w:r>
          </w:p>
        </w:tc>
        <w:tc>
          <w:tcPr>
            <w:tcW w:w="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AMTs</w:t>
            </w:r>
          </w:p>
        </w:tc>
        <w:tc>
          <w:tcPr>
            <w:tcW w:w="194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60" w:type="dxa"/>
            <w:vAlign w:val="bottom"/>
            <w:tcBorders>
              <w:left w:val="single" w:sz="8" w:color="auto"/>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Ford</w:t>
            </w: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40"/>
          </w:cols>
          <w:pgMar w:left="240" w:top="455" w:right="2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Hybrid Transit Buses. </w:t>
      </w:r>
      <w:r>
        <w:rPr>
          <w:rFonts w:ascii="Times New Roman" w:cs="Times New Roman" w:eastAsia="Times New Roman" w:hAnsi="Times New Roman"/>
          <w:sz w:val="18"/>
          <w:szCs w:val="18"/>
          <w:color w:val="auto"/>
        </w:rPr>
        <w:t>The interest in conserving fuel and reducing greenhouse gas emissions is driving demand for more fuel efficient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vehicles. In North America, we sold approximately 60% of all units for the hybrid transit bus market in 2015. Our customers in this North American end market are typically city, state and federal governmental entities, which utilize government funds to subsidize a portion of the purchase price for the transit buses containing our hybrid-propulsion system. In this market, we compete primarily with BAE Systems plc (“BAE”).</w:t>
      </w:r>
    </w:p>
    <w:p>
      <w:pPr>
        <w:spacing w:after="0" w:line="177" w:lineRule="exact"/>
        <w:rPr>
          <w:sz w:val="20"/>
          <w:szCs w:val="20"/>
          <w:color w:val="auto"/>
        </w:rPr>
      </w:pPr>
    </w:p>
    <w:p>
      <w:pPr>
        <w:jc w:val="both"/>
        <w:ind w:firstLine="456"/>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Off-Highway. </w:t>
      </w:r>
      <w:r>
        <w:rPr>
          <w:rFonts w:ascii="Times New Roman" w:cs="Times New Roman" w:eastAsia="Times New Roman" w:hAnsi="Times New Roman"/>
          <w:sz w:val="17"/>
          <w:szCs w:val="17"/>
          <w:color w:val="auto"/>
        </w:rPr>
        <w:t>We have provided products used in vehicles and equipment that serve energy, mining and construction applications in North America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over 50 years. Off-highway energy applications include hydraulic fracturing equipment, well-stimulation equipment, pumping equipment, and well-servicing rigs, which often use a fully-automatic transmission to propel the vehicle and drive auxiliary equipment. We maintain a leadership position in this end market, with nearly all producers of well-stimulation and well-servicing equipment utilizing our heavy duty off-highway transmissions. Additionally, we sell kits that can increase the horsepower of our existing off-highway products. Competition includes Caterpillar, Inc. (“Caterpillar”) and Twin Disc, Inc. (“Twin Disc”).</w:t>
      </w:r>
    </w:p>
    <w:p>
      <w:pPr>
        <w:spacing w:after="0" w:line="16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also provide heavy-duty transmissions used in mining trucks, specialty vehicles and construction vehicles. Mining applications include trucks used to haul various commodities and other products, including rigid dump trucks, underground trucks and long-haul tractor trailer trucks with load capacities between 40 to 110 tons. Our major competitors in this end market are Caterpillar and Komatsu, Ltd. (“Komatsu”), both of which are vertically integrated and manufacture fully-automatic transmissions for their own vehicles. Specialty vehicles using our heavy-duty transmissions include airport rescue and firefighting vehicles and heavy-equipment transporters. Our major competitor in this end market is Twin Disc. Construction applications include articulated dump trucks with Caterpillar, Volvo and ZF as competitors.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Outside North America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Outside North America we serve several different markets, including: Europe, Middle East, Africa (“EMEA”), Asia-Pacific, South America and India.</w:t>
      </w:r>
    </w:p>
    <w:p>
      <w:pPr>
        <w:spacing w:after="0" w:line="221"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On-Highway. </w:t>
      </w:r>
      <w:r>
        <w:rPr>
          <w:rFonts w:ascii="Times New Roman" w:cs="Times New Roman" w:eastAsia="Times New Roman" w:hAnsi="Times New Roman"/>
          <w:sz w:val="18"/>
          <w:szCs w:val="18"/>
          <w:color w:val="auto"/>
        </w:rPr>
        <w:t>We are the largest manufacturer of fully-automatic transmissions for the commercial vehicle market outside of North America. While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of fully-automatic transmissions in the medium- and heavy-duty commercial vehicle market has been widely accepted in North America, the markets outside North America continue to be dominated by manual transmissions. In 2015, fully-automatic transmission-equipped medium- and heavy-duty commercial vehicles represented less than 5% of the vehicles in markets outside North America and are concentrated in certain vocational end markets. The following is a summary of our on-highway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299720</wp:posOffset>
            </wp:positionV>
            <wp:extent cx="3001645" cy="2015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0164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Europe, Middle East, Africa</w:t>
      </w:r>
      <w:r>
        <w:rPr>
          <w:rFonts w:ascii="Times New Roman" w:cs="Times New Roman" w:eastAsia="Times New Roman" w:hAnsi="Times New Roman"/>
          <w:sz w:val="18"/>
          <w:szCs w:val="18"/>
          <w:color w:val="auto"/>
        </w:rPr>
        <w:t>. EMEA is composed of several different markets, each of which differs significantly from our core North American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by the degree of market maturity, sophistication and acceptance of fully-automatic transmission technology. Within Europe, we serve Western European developed markets, as well as Russian and Eastern European emerging markets, principally in the refuse, emergency, bus, coach, distribution and utility markets. Competition in Western Europe is most notably characterized by a high level of vertical powertrain integration with OEMs often utilizing their own manual transmissions and AMTs in their vehicles. The Middle East and Africa regions are generally characterized by very limited local vehicle production, with imports from the U.S., South America, Turkey, China, India and Europe accounting for the majority of vehicles.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Asia-Pacific. </w:t>
      </w:r>
      <w:r>
        <w:rPr>
          <w:rFonts w:ascii="Times New Roman" w:cs="Times New Roman" w:eastAsia="Times New Roman" w:hAnsi="Times New Roman"/>
          <w:sz w:val="18"/>
          <w:szCs w:val="18"/>
          <w:color w:val="auto"/>
        </w:rPr>
        <w:t>Our key Asia-Pacific markets include China, Japan, Australia, and South Korea; however, we actively participate in several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important Asia-Pacific countries including Taiwan, Indonesia, Malaysia and Thailand, which are primarily importers of commercial vehicles. Within Asia-Pacific, our sales efforts are principally focused on the transit bus and vocational truck markets. Currently, manual transmissions are the predominant transmissions used in commercial vehicles in the Asia-Pacific region.</w:t>
      </w:r>
    </w:p>
    <w:p>
      <w:pPr>
        <w:spacing w:after="0" w:line="177" w:lineRule="exact"/>
        <w:rPr>
          <w:sz w:val="20"/>
          <w:szCs w:val="20"/>
          <w:color w:val="auto"/>
        </w:rPr>
      </w:pPr>
    </w:p>
    <w:p>
      <w:pPr>
        <w:ind w:right="7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South America</w:t>
      </w:r>
      <w:r>
        <w:rPr>
          <w:rFonts w:ascii="Times New Roman" w:cs="Times New Roman" w:eastAsia="Times New Roman" w:hAnsi="Times New Roman"/>
          <w:sz w:val="18"/>
          <w:szCs w:val="18"/>
          <w:color w:val="auto"/>
        </w:rPr>
        <w:t>. The South American region is characterized by a high level of OEM integration, with captive manual transmission and AMT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Currently, manual transmissions are the predominant transmissions used in commercial vehicles in South America.</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India</w:t>
      </w:r>
      <w:r>
        <w:rPr>
          <w:rFonts w:ascii="Times New Roman" w:cs="Times New Roman" w:eastAsia="Times New Roman" w:hAnsi="Times New Roman"/>
          <w:sz w:val="18"/>
          <w:szCs w:val="18"/>
          <w:color w:val="auto"/>
        </w:rPr>
        <w:t>. Currently, manual transmissions are the predominant transmission used in commercial vehicles in India.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Off-Highway. </w:t>
      </w:r>
      <w:r>
        <w:rPr>
          <w:rFonts w:ascii="Times New Roman" w:cs="Times New Roman" w:eastAsia="Times New Roman" w:hAnsi="Times New Roman"/>
          <w:sz w:val="18"/>
          <w:szCs w:val="18"/>
          <w:color w:val="auto"/>
        </w:rPr>
        <w:t>The following is a summary of our off-highway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328930</wp:posOffset>
            </wp:positionV>
            <wp:extent cx="3095625" cy="2255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95625"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Europe, Middle East, Africa. </w:t>
      </w:r>
      <w:r>
        <w:rPr>
          <w:rFonts w:ascii="Times New Roman" w:cs="Times New Roman" w:eastAsia="Times New Roman" w:hAnsi="Times New Roman"/>
          <w:sz w:val="18"/>
          <w:szCs w:val="18"/>
          <w:color w:val="auto"/>
        </w:rPr>
        <w:t>Our off-highway markets in EMEA are mining and construction. Our major off-highway competitors are Caterpillar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Komatsu, both of which are vertically integrated manufacturers of off-highway mining vehicles, including the specific fully-automatic transmission used in their mining trucks. A typical construction application is the articulated dump truck, with competition from Caterpillar, Volvo and ZF transmissions.</w:t>
      </w:r>
    </w:p>
    <w:p>
      <w:pPr>
        <w:spacing w:after="0" w:line="171" w:lineRule="exact"/>
        <w:rPr>
          <w:sz w:val="20"/>
          <w:szCs w:val="20"/>
          <w:color w:val="auto"/>
        </w:rPr>
      </w:pPr>
    </w:p>
    <w:p>
      <w:pPr>
        <w:ind w:right="3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Asia-Pacific</w:t>
      </w:r>
      <w:r>
        <w:rPr>
          <w:rFonts w:ascii="Times New Roman" w:cs="Times New Roman" w:eastAsia="Times New Roman" w:hAnsi="Times New Roman"/>
          <w:sz w:val="18"/>
          <w:szCs w:val="18"/>
          <w:color w:val="auto"/>
        </w:rPr>
        <w:t>. Off-highway markets in Asia are shared by energy, mining and construction applications. Our primary competitors are Caterpillar,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Danyang Winstar Auto Parts Co. and Twin Disc in energy applications, Caterpillar and Komatsu in mining applications and Caterpillar, Volvo and ZF in construction applications.</w:t>
      </w:r>
    </w:p>
    <w:p>
      <w:pPr>
        <w:spacing w:after="0" w:line="2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Defense</w:t>
      </w:r>
    </w:p>
    <w:p>
      <w:pPr>
        <w:spacing w:after="0" w:line="121" w:lineRule="exact"/>
        <w:rPr>
          <w:sz w:val="20"/>
          <w:szCs w:val="20"/>
          <w:color w:val="auto"/>
        </w:rPr>
      </w:pPr>
    </w:p>
    <w:p>
      <w:pPr>
        <w:ind w:right="160" w:firstLine="456"/>
        <w:spacing w:after="0" w:line="274" w:lineRule="auto"/>
        <w:rPr>
          <w:sz w:val="20"/>
          <w:szCs w:val="20"/>
          <w:color w:val="auto"/>
        </w:rPr>
      </w:pPr>
      <w:r>
        <w:rPr>
          <w:rFonts w:ascii="Times New Roman" w:cs="Times New Roman" w:eastAsia="Times New Roman" w:hAnsi="Times New Roman"/>
          <w:sz w:val="17"/>
          <w:szCs w:val="17"/>
          <w:color w:val="auto"/>
        </w:rPr>
        <w:t>We have a long-standing relationship with the U.S. Department of Defense (“DOD”), dating back to 1946, when we began developing our first-generation tank transmission. Today, we sell substantially all of the transmissions for medium- and heavy-tactical wheeled vehicle platforms including the Family of Medium Tactical Vehicles, Armored Security Vehicles, Heavy Expanded Mobility Tactical Trucks, Heavy Equipment Transporters, Palletized Loading Systems, M915 Series Trucks, Medium Tactical Vehicle Replacements and the Logistic Vehicle System Replacement. Additionally, we supplied transmissions for the majority of Mine-Resistant Ambush Protected (“MRAP”) Vehicles and the MRAP All-Terrain Vehicle and for the Joint Light Tactical Vehicles, which is the replacement vehicle for Humvee personnel transport. Transmissions for our wheeled vehicle platforms are typically sold to OEMs.</w:t>
      </w:r>
    </w:p>
    <w:p>
      <w:pPr>
        <w:spacing w:after="0" w:line="17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also the supplier on two of the three key tracked vehicle platforms, the Abrams tank and the M113 family of vehicles, which are sold directly to the DOD. Additionally, we sell parts kits to licensees for the production of transmissions for tracked vehicles manufactured outside North America. Overall, we have seen the demand for U.S. defense vehicles decrease as the funding for defense vehicles declines. Additionally, the DOD budgets and supplemental spending have allowed them to recapitalize and reset many vehicle systems, which has reduced the average age of the fleet and the need to procure new vehicles.</w:t>
      </w:r>
    </w:p>
    <w:p>
      <w:pPr>
        <w:spacing w:after="0" w:line="184"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Globally, we face competition for the supply of our transmissions in tracked defense vehicles primarily from L-3 Communications Corporation, Renk AG and ZF. Additionally, we face limited competition from Caterpillar in certain defense wheeled vehicle platforms.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455" w:right="2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Service Parts, Support Equipment and Other</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aftermarket provides us with a relatively stable source of revenues as the installed base of vehicles and equipment utilizing our transmissions continues to grow. The need for replacement parts is driven by normal vehicle and equipment maintenance requirements and is not significantly impacted by economic cycles. Uninterrupted operation is generally critical for end users’ profitability. End users focus on getting the vehicle back in service, which in some cases results in the aftermarket purchase decision being less price-sensitive.</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sale of Allison-branded parts and fluids, remanufactured transmissions and support equipment is fundamental to our brand promise. We have assembled a worldwide network of approximately 1,400 independent distributor and dealer locations to sell, service and support our transmissions. As part of our brand strategy, our distributors and dealers are required to sell genuine Allison-branded parts. Within the aftermarket, we offer remanufactured transmissions under our ReTran brand, which provides a cost-effective alternative for transmission repairs and replacements. We also provide support equipment to our OEMs to assist in installing new Allison transmissions into vehicles, and, therefore, sales of support equipment are dependent upon sales of new transmissions.</w:t>
      </w:r>
    </w:p>
    <w:p>
      <w:pPr>
        <w:spacing w:after="0" w:line="18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Over the last few years, traditional aftermarket sales have been tempered by improvements in product quality and durability. While traditional aftermarket sales are expected to grow, support equipment sales fluctuate with the introduction of new transmissions. The competition for service parts and ReTran transmissions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455" w:right="3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Our Product Offerings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Allison transmissions are sold under the Allison Transmission brand name and remanufactured transmissions are sold under the ReTran brand name.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13 transmission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160020</wp:posOffset>
            </wp:positionV>
            <wp:extent cx="5668645" cy="6174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8645" cy="617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240" w:top="455" w:right="4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208280</wp:posOffset>
            </wp:positionV>
            <wp:extent cx="5394325" cy="5556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94325"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19"/>
          </w:cols>
          <w:pgMar w:left="240" w:top="455" w:right="1440"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Product Development and Engineering</w:t>
      </w:r>
    </w:p>
    <w:p>
      <w:pPr>
        <w:spacing w:after="0" w:line="121" w:lineRule="exact"/>
        <w:rPr>
          <w:sz w:val="20"/>
          <w:szCs w:val="20"/>
          <w:color w:val="auto"/>
        </w:rPr>
      </w:pPr>
    </w:p>
    <w:p>
      <w:pPr>
        <w:ind w:right="180" w:firstLine="456"/>
        <w:spacing w:after="0" w:line="270" w:lineRule="auto"/>
        <w:rPr>
          <w:sz w:val="20"/>
          <w:szCs w:val="20"/>
          <w:color w:val="auto"/>
        </w:rPr>
      </w:pPr>
      <w:r>
        <w:rPr>
          <w:rFonts w:ascii="Times New Roman" w:cs="Times New Roman" w:eastAsia="Times New Roman" w:hAnsi="Times New Roman"/>
          <w:sz w:val="17"/>
          <w:szCs w:val="17"/>
          <w:color w:val="auto"/>
        </w:rPr>
        <w:t>We maintain product development and engineering capability dedicated to the design, development, refinement and support of our fully-automatic transmissions and hybrid-propulsion systems. 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we provide vehicle specification guidelines, transmission control software and mechanical components to optimize fuel economy while delivering desired vehicle performance. Further, we are developing new technology to improve fuel efficiency and fuel economy by allowing engines to operate more efficiently and at lower speeds to avoid consuming fuel without compromising performance. Building on our engineering capabilities, we pioneered hybrid-propulsion in commercial vehicles and are developing new alternative technologies for use in our global commercial vehicle markets; however, decreased fuel costs, alternative fuels and other technologies have resulted in deteriorating market conditions for hybrid-propulsion vehicles in recent years. For the years ended December 31, 2015, 2014 and 2013, we have invested $92.5 million, $103.8 million and $97.1 million in engineering – research and development expense, respectively.</w:t>
      </w:r>
    </w:p>
    <w:p>
      <w:pPr>
        <w:spacing w:after="0" w:line="17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From time to time, we acquire certain licenses to provide us with technology to complement our portfolio of products and product initiatives, such as our engineering development agreement with Torotrak plc and our development agreement with Fallbrook Technologies, Inc. For the years ended December 31, 2015, 2014 and 2013, we have invested $0.2 million, $6.1 million and $6.0 million, respectively, in engineering – research and development expense related to technology-related licenses.</w:t>
      </w:r>
    </w:p>
    <w:p>
      <w:pPr>
        <w:spacing w:after="0" w:line="180" w:lineRule="exact"/>
        <w:rPr>
          <w:sz w:val="20"/>
          <w:szCs w:val="20"/>
          <w:color w:val="auto"/>
        </w:rPr>
      </w:pPr>
    </w:p>
    <w:p>
      <w:pPr>
        <w:ind w:right="200" w:firstLine="456"/>
        <w:spacing w:after="0" w:line="313" w:lineRule="auto"/>
        <w:rPr>
          <w:sz w:val="20"/>
          <w:szCs w:val="20"/>
          <w:color w:val="auto"/>
        </w:rPr>
      </w:pPr>
      <w:r>
        <w:rPr>
          <w:rFonts w:ascii="Times New Roman" w:cs="Times New Roman" w:eastAsia="Times New Roman" w:hAnsi="Times New Roman"/>
          <w:sz w:val="17"/>
          <w:szCs w:val="17"/>
          <w:color w:val="auto"/>
        </w:rPr>
        <w:t>We maintain test tracks on our Indianapolis, Indiana campus and at our location in Szentgotthard, Hungary for vehicle drive, testing and calibration activities in addition to being a demonstration venue for customers. We also use test track facilities in New Carlisle, Indiana and Apache Junction, Arizona.</w:t>
      </w: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Sales and Marketing Organization</w:t>
      </w:r>
    </w:p>
    <w:p>
      <w:pPr>
        <w:spacing w:after="0" w:line="121"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Our sales and marketing effort is organized along geographic and customer lines and is comprised of marketing, sales and service professionals, supported by application engineers worldwide. In North America, selling efforts in the on-highway end market are organized by distributor area responsibility, OEM sales and national accounts, for our large end users. Outside North America, we manage our sales, marketing, service and application engineering professionals through regional areas of responsibility. These regional management teams distribute OEM service and application engineering resources globally. We manage our defense products sales, marketing, service and application engineering through professionals based in Indianapolis, Indiana and Detroit, Michigan.</w:t>
      </w:r>
    </w:p>
    <w:p>
      <w:pPr>
        <w:spacing w:after="0" w:line="188" w:lineRule="exact"/>
        <w:rPr>
          <w:sz w:val="20"/>
          <w:szCs w:val="20"/>
          <w:color w:val="auto"/>
        </w:rPr>
      </w:pPr>
    </w:p>
    <w:p>
      <w:pPr>
        <w:ind w:right="140" w:firstLine="456"/>
        <w:spacing w:after="0" w:line="289" w:lineRule="auto"/>
        <w:rPr>
          <w:sz w:val="20"/>
          <w:szCs w:val="20"/>
          <w:color w:val="auto"/>
        </w:rPr>
      </w:pPr>
      <w:r>
        <w:rPr>
          <w:rFonts w:ascii="Times New Roman" w:cs="Times New Roman" w:eastAsia="Times New Roman" w:hAnsi="Times New Roman"/>
          <w:sz w:val="17"/>
          <w:szCs w:val="17"/>
          <w:color w:val="auto"/>
        </w:rPr>
        <w:t>We have developed a marketing strategy to reach OEM customers as well as end users. We target our end users primarily through marketing activities by our sales staff, who directly call on end users and attend local trade shows, targeting specific vocations globally and through our plant tour programs, where end users may test our products on the Indianapolis test track and our enhanced customer experience demonstration track at our Hungary facility.</w:t>
      </w:r>
    </w:p>
    <w:p>
      <w:pPr>
        <w:spacing w:after="0" w:line="158"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While our marketing management uses the term “customer” interchangeably for OEMs and end users, the primary objective of our marketing strategy is to create demand for fully-automatic transmissions through:</w:t>
      </w:r>
    </w:p>
    <w:p>
      <w:pPr>
        <w:spacing w:after="0" w:line="67" w:lineRule="exact"/>
        <w:rPr>
          <w:sz w:val="20"/>
          <w:szCs w:val="20"/>
          <w:color w:val="auto"/>
        </w:rPr>
      </w:pPr>
    </w:p>
    <w:p>
      <w:pPr>
        <w:ind w:left="1120" w:hanging="207"/>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promotion of our products and incorporation of fully-automatic transmissions in their commercial vehicle product offerings;</w:t>
      </w:r>
    </w:p>
    <w:p>
      <w:pPr>
        <w:spacing w:after="0" w:line="130"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representative and/or Allison distributor contact with identified, major end users; and</w:t>
      </w:r>
    </w:p>
    <w:p>
      <w:pPr>
        <w:spacing w:after="0" w:line="130"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network of independent dealers who contact other end users.</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process is interactive, as Allison representatives, Allison distributors and OEM dealers educate customers and respond to the specific applications, requirements and needs of numerous specialty markets.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Similarly, we work with customers, dealers and OEMs to educate, improve and simplify how they specify vehicles and vehicle systems in order to optimize vehicle performance and fuel consumption. Our field organization also works closely with distributors who, in turn, work with dealers to provide end users with education, parts, service and warranty support. The defense marketing group follows a defined plan that identifies country, vehicle and specific OEMs and then approaches the ultimate end user through a variety of channels.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manufacturing strategy provides for distributed capability in manufacturing and assembly of our products for the global commercial vehicle market. Our primary manufacturing facilities, located in Indianapolis, Indiana, consist of approximately 2.3 million square feet of usable manufacturing space in six plants. We also have established customization and parts distribution in the United States, The Netherlands, Brazil, China, Hungary, India and Japan, and plants in Chennai, India and Szentgotthard, Hungary. Our high volume on-highway products are produced in multiple global locations while off-highway, hybrid-propulsion and defense tracked and wheeled products are produced in Indianapolis.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Suppliers and Raw Materials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 significant amount of the part numbers that make up our transmissions are purchased from outside suppliers, and during 2015, we purchased approximately $700.0 million of direct materials and components from outside suppliers. The largest elements of our direct spending are aluminum and steel castings and forgings that are formed by our suppliers into our larger components and assemblies for use in our transmissions. However, our spending on aluminum and steel raw materials directly and indirectly through our purchase of these components constituted approximately 10% of our direct material and component costs in 2015.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industry-leading quality.</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Patents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proprietary information. We own 109 issued patents, and we have licensing arrangements with respect to more than 600 additional issued patents. We have more than 300 pending patent applications throughout the world that relate to aspects of the technology incorporated in many of our products.</w:t>
      </w:r>
    </w:p>
    <w:p>
      <w:pPr>
        <w:spacing w:after="0" w:line="18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addition, in conjunction with the sale of Allison (the “Acquisition Transaction”) by Old GM, we acquired an irrevocable, royalty-free, worldwide license of more than 400 U.S. and foreign patents and patent applications, as well as certain unpatented technology and know-how, to manufacture, use and sell fully-automatic transmissions and certain hybrid-propulsion systems for use in vocational and defense vehicles and off-highway products. Such licenses are subject to certain limitations. See Part I, Item 1A, “Risk Factors” of this Annual Report on Form 10-K for a complete discussion of these risks and limitations. In addition, we acquired from Old GM an irrevocable, royalty-free, worldwide license under computer software programs that we use to run our business, including product design. Allison also acquired ownership of trademarks and copyrights relating to our business, subject in some cases to a non-exclusive license back to Old GM for use in connection with its existing six-speed A1000 transmission products, but only up to the termination of production of the A1000 transmission product by General Motors Company (“GM”), the successor to Old GM. GM has assumed Old GM’s obligations under these agreements pursuant to an agreement between us and GM in which GM assumed certain contracts and agreements between us and Old GM (the “Cure Agreement”).</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 Working capital levels do not fluctuate significantly in the normal course for our business.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2015, we had approximately 2,700 employees, with approximately 90% of those employees in the U.S. Approximately 60% of our U.S. employees are represented by the International Union, United Automobile, Aerospace and Agricultural Implement Workers of America (“UAW”) and are subject to a collective bargaining agreement. In November 2012, we entered into a five year agreement with the UAW Local 933 that expires in November 2017. As approximately 50% of our represented employees are currently retirement eligible, we anticipate a shift toward increasing the number of second tier employees over the coming years. There have been no strikes or work stoppages due to Allison-specific issues in over 30 years.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Environmental Compliance</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are subject to a variety of federal, state, local and foreign environmental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In addition, certain of our products and our customer’s products are subject to certification requirements by a variety of regulatory bodies. We believe we are in substantial compliance with all material environmental laws and regulations applicable to our plants and operations. Historically, our costs of achieving and maintaining compliance with environmental, health and safety requirements have not been material to our results.</w:t>
      </w:r>
    </w:p>
    <w:p>
      <w:pPr>
        <w:spacing w:after="0" w:line="18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(“EPA”) has taken action to control greenhouse gases from certain stationary and mobile sources. In addition, the U.S. Congress is considering proposals to limit greenhouse gas emissions, and several states have taken steps, such as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8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results.</w:t>
      </w:r>
    </w:p>
    <w:p>
      <w:pPr>
        <w:spacing w:after="0" w:line="188"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Under the asset purchase agreement with Old GM, Old GM agreed to indemnify us against certain environmental liabilities, including pre-acquisition offsite waste disposal from our facilities, former facilities associated with the business and any properties or facilities relating to the business that Old GM retained. While we are responsible for environmental liabilities that arise due to post-acquisition activities, GM, as successor to Old GM’s obligations, performed remedial activities at our Indianapolis, Indiana manufacturing facilities relating to historical soil and groundwater contamination at the facilities. GM’s activities were referred to as the “Corrective Action” plan, pursuant to the asset purchase agreement, whereby it retained responsibility for completing all obligations covered by a voluntary Corrective Action Agreement that Old GM entered with the EPA. By operation of the asset purchase agreement, once the EPA issues a final decision on GM’s activities under the Corrective Action plan, we assume all responsibility for operating, monitoring and maintaining the ongoing Corrective Action and GM’s indemnification obligations cease.</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third quarter of 2015, the EPA determined that GM’s remedial activities were complete and that the migration of any contamination is under control, and published a public notice seeking comment on a draft final decision, the issuance of which would result in us assuming responsibility for operating, monitoring and maintaining the ongoing Corrective Action activities through an anticipated agreed order of consent (“AOC”) with the EPA. As a result of the publishing of the draft final decision, we determined that appropriate liabilities for operating, monitoring and maintaining the ongoing remedial activities could be reasonably estimated and recorded approximately $14.0 million for the estimated undiscounted liabilities to be paid out over the next 30 years. The recorded liabilities will be adjusted periodically as remediation efforts progress or as additional technical, regulatory or legal information becomes available. We expect to fund the expenditures for these activities from operating cash flow.</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January 27, 2016, the EPA issued a final decision. With the AOC, financial assurance is required by the EPA to complete the operation, monitoring and maintenance activities in the event we fail to do so. This financial assurance can take a variety of forms including, but not limited to meeting certain financial metrics, providing a letter of credit, or securing a bond or an insurance policy. The amount and method by which we will be required to provide financial assurance is expected to be determined in 2016.</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compete on the basis of product performance, quality, price, distribution capability and service in addition to other factors. We face competition from numerous manufacturers of various types of transmissions for commercial vehicles. We also face competition from manufacturers in our international operations and from international manufacturers entering our domestic market. Furthermore, some of our customers are OEMs that manufacture transmissions for their own products. Despite their transmission manufacturing abilities, our existing OEM customers have chosen to purchase certain transmissions from us due to the quality, reliability and strong brand of our transmissions and in order to limit fixed costs, minimize production risks and maintain company focus on commercial vehicle design, production and marketing.</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Allison Transmission Holdings, Inc. was incorporated in Delaware on June 22, 2007. Our principal executive offices are located at One Allison Way, Indianapolis, IN 46222 and our telephone number is (317) 242-5000. Our internet address is www.allisontransmission.com. We file annual, quarterly and current reports, proxy statements and other documents with the United States Securities and Exchange Commission (“SEC”), under the Securities Exchange Act of 1934, as amended (the “Exchange Act”). These periodic and current reports and all amendments to those reports are available free of charge on the investor relations page of our website at http://ir.allisontransmission.com. We have included our website address throughout this filing as textual references only. The information contained on our website is not incorporated into this Annual Report on Form 10-K. The public may read and copy any materials we file with the SEC at the SEC’s Public Reference Room at 100 F Street, NE, Washington, DC 20549. The public may obtain information on the operation of the Public Reference Room by calling the SEC at 1-800-SEC-0330. The SEC also maintains an Internet site that contains reports, proxy and information statements, and other information regarding issuers that file electronically with the SEC at http://www.sec.gov.</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60"/>
          </w:cols>
          <w:pgMar w:left="240" w:top="455" w:right="3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cautionary discussion of risks, uncertainties and assumptions that we believe are significant to our business. In addition to the factors discussed elsewhere in this Annual Report on Form 10-K, the following are some of the important factors that, individually or in the aggregate, we believe could make our actual results differ materially from those described in any forward-looking statements. It is impossible to predict or identify all such factors and, as a result, you should not consider the following factors to be a complete discussion of risks, uncertainties and assumptions.</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2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participate in markets that are competitive, and our competitors’ actions could have a material adverse effect on our business, results of operations and financial condition.</w:t>
      </w:r>
    </w:p>
    <w:p>
      <w:pPr>
        <w:spacing w:after="0" w:line="5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business operates in competitive markets. We compete against other existing or new global manufacturers of transmissions for commercial vehicles on the basis of product performance, quality, price, distribution capability and service in addition to other factors. Actions by our competitors could lead to downward pressure on prices and/or a decline in our market share, either or both of which could adversely affect our results.</w:t>
      </w:r>
    </w:p>
    <w:p>
      <w:pPr>
        <w:spacing w:after="0" w:line="17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addition, some of our customers or future customers are OEMs that manufacture or could in the future manufacture transmissions for their own products. Despite their transmission manufacturing abilities, our existing OEM customers have chosen to purchase certain transmissions from us due to customer demand, resulting from the quality of our transmission products and in order to reduce fixed costs, eliminate production risks and maintain company focus.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manufacturer, the inability of third-party suppliers to meet specifications and the emergence of low-cost production opportunities in foreign countries. As a result, these OEMs may use transmissions produced internally or by another manufacturer and no longer choose to purchase transmissions from us. A significant reduction in the level of external sourcing of transmission production by our OEM customers could significantly impact our net sales and cash flows and, accordingly, have a material adverse effect on our business, results of operations and financial condition.</w:t>
      </w:r>
    </w:p>
    <w:p>
      <w:pPr>
        <w:spacing w:after="0" w:line="293" w:lineRule="exact"/>
        <w:rPr>
          <w:sz w:val="20"/>
          <w:szCs w:val="20"/>
          <w:color w:val="auto"/>
        </w:rPr>
      </w:pPr>
    </w:p>
    <w:p>
      <w:pPr>
        <w:ind w:left="24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51"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Some of the markets in which we operate, including energy, mining, construction, distribution and motorhomes, exhibit a high degree of cyclicality. Decisions to purchase our transmissions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and commercial construction,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289" w:lineRule="exact"/>
        <w:rPr>
          <w:sz w:val="20"/>
          <w:szCs w:val="20"/>
          <w:color w:val="auto"/>
        </w:rPr>
      </w:pPr>
    </w:p>
    <w:p>
      <w:pPr>
        <w:ind w:left="2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volatility in and disruption to the global economic environment could adversely affect the ability of customers and suppliers to obtain credit and may have a material adverse effect on our business, results of operations and financial condition.</w:t>
      </w:r>
    </w:p>
    <w:p>
      <w:pPr>
        <w:spacing w:after="0" w:line="5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commercial vehicle industry as a whole has been more adversely affected by volatile economic conditions than many other industries, as the purchase or replacement of commercial vehicles, which are durable items, can be deferred for many reasons, including reduced spending by end users. 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prospects and results of operations may be impaired if the rate of adoption of fully-automatic transmissions in commercial vehicles outside North America does not increase.</w:t>
      </w:r>
    </w:p>
    <w:p>
      <w:pPr>
        <w:spacing w:after="0" w:line="51" w:lineRule="exact"/>
        <w:rPr>
          <w:sz w:val="20"/>
          <w:szCs w:val="20"/>
          <w:color w:val="auto"/>
        </w:rPr>
      </w:pPr>
    </w:p>
    <w:p>
      <w:pPr>
        <w:ind w:right="40" w:firstLine="456"/>
        <w:spacing w:after="0" w:line="273" w:lineRule="auto"/>
        <w:rPr>
          <w:sz w:val="20"/>
          <w:szCs w:val="20"/>
          <w:color w:val="auto"/>
        </w:rPr>
      </w:pPr>
      <w:r>
        <w:rPr>
          <w:rFonts w:ascii="Times New Roman" w:cs="Times New Roman" w:eastAsia="Times New Roman" w:hAnsi="Times New Roman"/>
          <w:sz w:val="17"/>
          <w:szCs w:val="17"/>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including China, India, Brazil and Russia. However, manual transmissions remain the market leader outside North America and there can be no assurance that adoption of automatic transmissions will increase. Factors potentially impacting adoption of automatic transmissions outside of North America may include the large existing installed base of manual transmissions, customer preferences for manual transmissions, commercial vehicle OEM integration into manual transmission and AMT manufacturing, and failure to further develop the Allison brand. If the rate of adoption of fully-automatic transmissions does not increase as we have anticipated, our long-term growth prospects and results of operations may be impaired.</w:t>
      </w:r>
    </w:p>
    <w:p>
      <w:pPr>
        <w:spacing w:after="0" w:line="276" w:lineRule="exact"/>
        <w:rPr>
          <w:sz w:val="20"/>
          <w:szCs w:val="20"/>
          <w:color w:val="auto"/>
        </w:rPr>
      </w:pPr>
    </w:p>
    <w:p>
      <w:pPr>
        <w:ind w:left="24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are concentrated among our top five OEM customers and the loss or consolidation of any one of these customers or the discontinuation of particular vehicle models for which we are a significant supplier could reduce our net sales and have a materially adverse effect on our results of operations.</w:t>
      </w:r>
    </w:p>
    <w:p>
      <w:pPr>
        <w:spacing w:after="0" w:line="6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in the past and may in the future derive a significant portion of our net sales from a relatively limited number of OEM customers. For the years ended December 31, 2015, 2014 and 2013, our top five customers accounted for approximately 52%, 45% and 48% of our net sales, respectively. Our top three customers, Daimler, Navistar and Volvo, accounted for approximately 21%, 10% and 10%, respectively, of our net sales during 2015. The commercial vehicle industry, including our customers and suppliers, continues to experience volatility and uncertainty. The loss of, or consolidation of any one of these customers, or a significant decrease in business from, one or more of these customers could harm our business. In addition, the discontinuation of particular vehicle models for which we are a significant supplier could reduce our net sales and have a material adverse effect on our results of operations.</w:t>
      </w:r>
    </w:p>
    <w:p>
      <w:pPr>
        <w:spacing w:after="0" w:line="292" w:lineRule="exact"/>
        <w:rPr>
          <w:sz w:val="20"/>
          <w:szCs w:val="20"/>
          <w:color w:val="auto"/>
        </w:rPr>
      </w:pPr>
    </w:p>
    <w:p>
      <w:pPr>
        <w:jc w:val="both"/>
        <w:ind w:left="24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our hybrid-propulsion systems have been, and are expected to continue to be, negatively impacted by external factors, including fuel price trends, regulatory requirements, alternative technologies and governmental entities electing not to subsidize the purchase of such products by end users.</w:t>
      </w:r>
    </w:p>
    <w:p>
      <w:pPr>
        <w:spacing w:after="0" w:line="17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External factors, including diesel and natural gas fuel price trends, emissions and on-board diagnostics regulatory requirements, availability of compatible engine calibrations from engine manufacturers and alternative emerging green technologies, have, and are expected to continue to, negatively impact sales of our hybrid-propulsion systems. In addition, the sales of our hybrid-propulsion systems for use in transit buses have been, and are expected to continue to be, negatively impacted by governmental entities electing not to subsidize the purchase of such products by end users. In 2015, we derived approximately 4% of our net sales from the sale of hybrid-propulsion systems for use in transit buses to city, state and federal governmental end users. Such end users may be eligible to receive certain subsidies as a result of their purchase of vehicles using hybrid-propulsion systems. For example, the Federal Transit Authority and the DOE provide funds for end users to pursue alternative fuel propulsion systems. While we do not directly receive these subsidies, if any of the subsidizing entities elect to curtail such subsidies to end users for any reason including governmental budget reductions and related fiscal matters, failure of our hybrid technology to qualify for such subsidies or redundancy by alternative technologies created by our competitors, our sales from our hybrid-propulsion systems may be negatively impacted. For the years ended December 31, 2015, 2014 and 2013, we experienced decreases in revenue generated from hybrid-propulsion systems for use in transit buses of 22%, 11% and 9%, respectively.</w:t>
      </w:r>
    </w:p>
    <w:p>
      <w:pPr>
        <w:spacing w:after="0" w:line="297" w:lineRule="exact"/>
        <w:rPr>
          <w:sz w:val="20"/>
          <w:szCs w:val="20"/>
          <w:color w:val="auto"/>
        </w:rPr>
      </w:pPr>
    </w:p>
    <w:p>
      <w:pPr>
        <w:ind w:left="24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majority of our sales to the defense end market are to U.S. government entities and contractors for the U.S. government, and the loss of a significant number of our contracts, or budgetary declines or future reductions or changes in spending by the U.S. government would have a material adverse effect on our results of operations and financial condition.</w:t>
      </w:r>
    </w:p>
    <w:p>
      <w:pPr>
        <w:spacing w:after="0" w:line="6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majority of our net sales to the defense end market are derived from contracts (revenue arrangements) with agencies of, and prime system contractors for, the U.S. government. If a significant number of our DOD contracts and subcontracts are simultaneously delayed or cancelled for budgetary, performance or other reasons, it would have a material adverse effect on our results of operations and financial condition. Approximately 6%, or $113 million, of our net sales for the year ended December 31, 2015 were from our Defense end market.</w:t>
      </w:r>
    </w:p>
    <w:p>
      <w:pPr>
        <w:spacing w:after="0" w:line="180"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Sales in our defense end market have been, and we expect will continue to be, negatively impacted by declining DOD spending on wheeled and tracked vehicles. In addition to declines in defense budgets, our future financial results may be adversely affected by:</w:t>
      </w:r>
    </w:p>
    <w:p>
      <w:pPr>
        <w:spacing w:after="0" w:line="67" w:lineRule="exact"/>
        <w:rPr>
          <w:sz w:val="20"/>
          <w:szCs w:val="20"/>
          <w:color w:val="auto"/>
        </w:rPr>
      </w:pPr>
    </w:p>
    <w:p>
      <w:pPr>
        <w:ind w:left="900" w:right="1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the U.S. government’s use of technology or other services and product providers, including curtailment due to government budget reductions, future government shutdowns and related fiscal matters;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developments that affect demand for our products and services;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that impact purchasing decisions or our competitive position.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5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face exposure to product liability claims in the event that the use of our products has, or is alleged to have, resulted in injury, death or other adverse effects. We currently maintain product liability insurance coverage, but we cannot be assured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and we cannot give assurance similar product defects will not occur in the future. See NOTE 9 of Notes to Consolidated Financial Statements included in Part II, Item 8 of this Annual Report on Form 10-K for additional details regarding these warranty issues.</w:t>
      </w:r>
    </w:p>
    <w:p>
      <w:pPr>
        <w:spacing w:after="0" w:line="18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Furthermore, our business depends on the strong brand reputation we have developed. In addition to the risk of defective products we face with our new product installations, we also face significant risks in our efforts to penetrate new markets, where we have limited brand recognition. We also rely on our reputation with end users of our transmissions to specify our transmissions when purchasing new vehicles from our OEM customers. In the event we are not able to maintain or enhance our 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brand and reputation are dependent on the continued participation and level of service of our numerous independent distributors and dealers.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work with a network of approximately 1,400 independent distributors and dealers that provide post-sale service and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 the event of a catastrophic loss of our key manufacturing facility, our business would be adversely affected.</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or otherwise, whether short- or long-term, would have a material adverse effect on our business, results of operations and financial condition. Our most significant concentration of manufacturing is around our corporate headquarters in Indianapolis, Indiana where we produce approximately 90% of our transmissions. In addition to our Indianapolis manufacturing facilities, we currently operate manufacturing facilities in both Szentgotthard, Hungary and Chennai, India. In the event of a disruption at the Indianapolis facilities, our other facilities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introducing our new products and responding to customer needs.</w:t>
      </w:r>
    </w:p>
    <w:p>
      <w:pPr>
        <w:spacing w:after="0" w:line="12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We currently have new products and technologies under development. The development of new products and technologies is difficult and the timetable for commercial release is uncertain, and we may not be successful in introducing our new products and responding to customer needs. In addition, it often takes significant time, in some cases multiple fleet buy cycles, before customers gain experience with new products and technologies and those new products and technologies become widely-accepted by the market. If we do not adequately anticipate the changing needs of our customers by developing and introducing new and effective products and technologies on a timely basis, our competitive position and prospects could be harmed. If our competitors are able to respond to changing market demands and adopt new technologies more quickly than we do, demand for our products could decline, our competitive position could be harmed, and we will not be able to recoup a return on our development investments. Moreover, changing customer demands as well as evolving safety and environmental standards could require us to adapt our products and technologies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we experience significant delays in production, our net sales and results of operations may be materially adversely affected.</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continued research and development efforts, the outcome of which is uncertain.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improve the efficiency and performance of our transmissions, and we invest significant resources in research and development in order to do so. Nevertheless, the research and development process is time-consuming and costly, and offers uncertain results. We may not be able through our research and development efforts to keep pace with improvements in transmission-related technology of our competitors, and licenses for technologies that would enable us to keep pace with our competitors may not be available on commercially reasonable terms if at all. Finally, our research and development efforts, and generally our ability to introduce improved products in the marketplace, may be constrained by the patents and other intellectual property rights of competitors and others.</w:t>
      </w:r>
    </w:p>
    <w:p>
      <w:pPr>
        <w:spacing w:after="0" w:line="292" w:lineRule="exact"/>
        <w:rPr>
          <w:sz w:val="20"/>
          <w:szCs w:val="20"/>
          <w:color w:val="auto"/>
        </w:rPr>
      </w:pPr>
    </w:p>
    <w:p>
      <w:pPr>
        <w:ind w:left="24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5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business is subject to certain risks associated with doing business internationally, particularly in emerging markets. Outside-North America net sales represented approximately 19% of our net sales for 2015. Most of our operations are in the U.S., but we also have manufacturing and customization facilities in India and Hungary with a services agreement with Opel Szentgotthard Automotive Manufacturing Ltd., formerly GM-PTH, and customization capability in Brazil, The Netherlands, China and Japan. Further, we intend to continue to pursue growth opportunities for our business in a variety of business environments outside the U.S., which could exacerbate the risks set forth below. Our international operations are subject to, without limitation, the following risks:</w:t>
      </w:r>
    </w:p>
    <w:p>
      <w:pPr>
        <w:spacing w:after="0" w:line="93"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multiple and possibly conflicting laws and any unexpected changes in regulatory requirements;</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controls, import and export restrictions and tariffs, including restrictions promulgated by the Office of Foreign Assets Control of the U.S. Department of the Treasury, and other trade protection regulations and measures;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risks, including risks of loss due to civil disturbances, acts of terrorism, acts of war, guerilla activities and insurrection;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economic, financial and market conditions and increased expenses as a result of inflation, or higher interest rates;</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enforcement of third-party contractual obligations and intellectual property rights and collecting receivables through foreign legal systems;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international operations and the application of foreign labor regulations;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local product preferences and product requirements;</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to the extent that our assets or liabilities are denominated in a currency other than the functional currency of the country where we operate;</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from changes in tax laws, requirements relating to withholding taxes on remittances and other payments by subsidiaries and restrictions on our ability to repatriate dividends from our subsidiaries; and</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(“FCPA”) and similar laws and regulations in other jurisdictions.</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require us to comply with anti-corruption laws and regulations of the U.S. government and various international jurisdictions.</w:t>
      </w:r>
    </w:p>
    <w:p>
      <w:pPr>
        <w:spacing w:after="0" w:line="51"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7"/>
          <w:szCs w:val="17"/>
          <w:color w:val="auto"/>
        </w:rPr>
        <w:t>Doing business on a worldwide basis requires us and our subsidiaries to comply with the laws and regulations of the U.S. government and various international jurisdictions, and our failure to comply with these rules and regulations may expose us to liabilities. These laws and regulations may apply to companies, individual directors, officers, employees and agents, and may restrict our operations, trade practices investment decisions and partnering activities. In particular, our international operations are subject to U.S. and foreign anti-corruption laws and regulations, such as the FCPA. The FCPA prohibits U.S. companies and their officers, directors, employees and agents acting on their behalf from corruptly offering, promising, authorizing or providing anything of value to foreign officials for the purposes of influencing official decisions or obtaining or retaining business or otherwise obtaining favorable treatment. The FCPA also requires companies to make and keep books, records and accounts that accurately and fairly reflect transactions and dispositions of assets and to maintain a system of adequate internal accounting controls. As part of our business, we deal with state-owned business enterprises, the employees and representatives of which may be considered foreign officials for purposes of the FCPA. In addition, some of the international locations in which we operate lack a developed legal system and have elevated levels of corruption. As a result of the above activities, we are exposed to the risk of violating anti-corruption laws. Violations of these legal requirements are punishable by criminal fines and imprisonment, civil penalties, disgorgement of profits, injunctions, debarment from government contracts as well as other remedial measures. We have established policies and procedures designed to assist us and our personnel in complying with applicable U.S. and international laws and regulations. However, our employees, subcontractors and agents could take actions that violate these requirements, which could adversely affect our reputation,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Labor unrest could have a material adverse effect on our business, results of operations and financial condition.</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2015, approximately 60% of our U.S. employees, representing over 50% of our total employees, were represented by the UAW and are subject to a collective bargaining agreement. In November 2012, we reached an agreement on a new five-year collective bargaining agreement with the UAW Local 933, which is effective through November 2017.</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general, we consider our labor relations with all of our employees to be good. However, in the future we may be subject to labor unrest. The inability to reach a new agreement could delay or disrupt our operations in the affected regions, including the acquisition of raw materials and components, the manufacture, sales and distribution of products and the provision of services.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 disruption of supply or shortage of raw materials or components used in our products could harm our business and profitability.</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products contain various raw materials, including corrosion-resistant steel, non-ferrous metals such as aluminum and nickel, and precious metals such as platinum and palladium. We use raw materials directly in manufacturing and in transmission components that we purchase from our suppliers. We generally purchase components with significant raw material content on the open market. The prices for these raw materials fluctuate depending on market conditions. Volatility in the prices of raw materials such as steel, aluminum and nickel could increase the cost of manufacturing our products.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Additionally, our suppliers are also subject to fluctuations in the prices of raw materials and may attempt to pass all or a portion of such increases on to us. In the event they are successful in doing so, our margins would decline.</w:t>
      </w:r>
    </w:p>
    <w:p>
      <w:pPr>
        <w:spacing w:after="0" w:line="185"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In 2015, approximately 75% of our total spending on components was sourced from approximately 40 suppliers, some of which are the single source for such components.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 one is available, must be validated or materials and components must be purchased from a supplier without a completed PPAP. Any such price fluctuations or delays, if significant, could harm our profitability or operations. In addition, the loss of a supplier could result in significant material cost increases or reduce our production capacity.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power outages, labor strikes, or the like could negatively impact our business, results of operations and financial condition. Although we have agreements with many of our customers that we will pass such price increases through to them, such contracts may be cancelled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from suppliers is delayed or non-conforming, our operations could be disrupted or our profitability could be adversely impacted.</w:t>
      </w:r>
    </w:p>
    <w:p>
      <w:pPr>
        <w:spacing w:after="0" w:line="3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could be materially adversely affected by any failure to maintain cost controls.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rely on our cost structure and operating discipline to achieve strong operating margins. There are many factors that could affect our ability to realize expected cost savings or achieve future cost savings that we are not able to control, including the inability to meet demand through our low-cost country sourcing initiatives; the need for unexpected significant capital expenditures; unexpected changes in commodity or component pricing that we are unable to pass on to our suppliers or customers; our inability to maintain efficiencies gained from our workforce optimization initiatives; and our failure to achieve and maintain expected cost savings from our multi-tier wage and benefit structure. Additionally, we have substantial indebtedness of approximately $2,402.8 million as of December 31, 2015. Our inability to maintain our cost controls could adversely impact our operating margins.</w:t>
      </w:r>
    </w:p>
    <w:p>
      <w:pPr>
        <w:spacing w:after="0" w:line="292" w:lineRule="exact"/>
        <w:rPr>
          <w:sz w:val="20"/>
          <w:szCs w:val="20"/>
          <w:color w:val="auto"/>
        </w:rPr>
      </w:pPr>
    </w:p>
    <w:p>
      <w:pPr>
        <w:ind w:left="2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Protecting our intellectual property rights is critical to our ability to compete and succeed as a company. In connection with the Acquisition Transaction, under the patent and technology license agreement (the “Patent and Technology License Agreement”), which was assumed by GM, we were granted an irrevocable, perpetual, royalty-free, worldwide license under a large number of U.S. and foreign patents and patent applications, as well as certain unpatented technology and know-how, to design, develop, manufacture, use and sell fully-automatic transmissions and H 40/50 EP hybrid-propulsion transit bus systems for use in certain vocational vehicles, defense vehicles and off-road products. With respect to the bulk of the intellectual property licensed to us under such license agreement, our license is exclusive with respect to the design, development, manufacture, use and sale of fully-automatic transmissions and H 40/50 EP hybrid-propulsion transit bus systems in vocational vehicles above certain weight rating thresholds, certain defense vehicles and certain off-road products. It is non-exclusive with respect to certain other products that are within the scope of the licensed patents or to which the licensed technology can be applied. We consider the patents and technology licensed under such license agreement, as a whole, to be critical to preserving our competitive position in the market. However, GM continues to own such patents and technology, and pursuant to the terms of such license agreement, GM has the right, in the first instance, to control the maintenance, enforcement and defense of such patents and the prosecution of the licensed patent applications. In addition, the license agreement limits our ability to sublicense our rights. The Patent and Technology License Agreement permits us to utilize the bulk of the intellectual property rights on an exclusive basis in non-defense vehicles with gross vehicle weights above 5900 kilograms (typically Class 4 and higher) with some limited exceptions for GM light-duty pickup truck and van platforms. It also permits us to utilize the bulk of the intellectual property rights on an exclusive basis in defense vehicles that exceed 4250 kilograms (generally Class 3 to Class 4 and higher). GM continues to have the right under such patents and technology to utilize the licensed intellectual property for use in vehicles below the above mentioned rating thresholds, as well as in some light-duty van and pickup truck platforms.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rely on unpatented technology, which exposes us to certain risks.</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17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Although we believe the loss or expiration of any single patent would not have a material effect on our business, results of operations or financial position, there can be no assurance that any one, or more, of the patents licensed from GM, or any other intellectual property owned by or licensed to us, will not be challenged, invalidated or circumvented by third parties. In fact, a number of the patents licensed to us by GM have expired since the date of the Acquisition Transaction, and others are set to expire in the next few years. When a patent expires, the inventions it discloses can be used freely by others. Thus, the competitive advantage that we gain from the patents licensed to us from GM pursuant to the Acquisition Transaction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295" w:lineRule="exact"/>
        <w:rPr>
          <w:sz w:val="20"/>
          <w:szCs w:val="20"/>
          <w:color w:val="auto"/>
        </w:rPr>
      </w:pPr>
    </w:p>
    <w:p>
      <w:pPr>
        <w:ind w:left="2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pension and other post-retirement benefits funding obligations could increase significantly due to a reduction in funded status as a result of a variety of factors.</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requires that income or expense for defined benefit pension plans be calculated at the annual measurement date using actuarial assumptions and calculations. These calculations reflect certain assumptions, the most significant of which relate to the capital markets, interest rates, health care inflation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2015 defined benefit pension plans obligation of approximately $21.1 million. Likewise, a one percentage point decrease in the effective interest rate for determining defined benefit pension plans contributions would result in an increase in the minimum required contributions for 2015 of approximately $4.1 million. Similarly, a one percentage point decrease in the assumed discount rate would result in an increase in the December 31, 2015 OPEB obligation of approximately $28.0 million. As of December 31, 2015, the unfunded status of our defined benefit pension plans and OPEB plan was $0.3 million and $147.3 million, respectively.</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laws and regulations may impose significant compliance costs and liabilities on us.</w:t>
      </w:r>
    </w:p>
    <w:p>
      <w:pPr>
        <w:spacing w:after="0" w:line="12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We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if these environmental, health and safety laws and regulations become more stringent or expand to include a larger portion of our products or our customer’s products in the future, we could incur additional costs in order to ensure that our business and products comply with such regulations. In addition, we may not be successful in complying with or the vehicle or customer OEMs to which we sell our products may choose not to comply with such laws and regulations, which could impact our ability to sell our products in certain locations. Furthermore, if our products that are already placed in service are found to be non-compliant with certain laws, regulations and certifications, we may incur additional costs and fines. We cannot assure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 comply could also result in our failure to secure adequate insurance for our business, resulting in significant exposure, diminished ability to hedge our risks and material modifications of our business operations.</w:t>
      </w:r>
    </w:p>
    <w:p>
      <w:pPr>
        <w:spacing w:after="0" w:line="19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We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contamination, and any such liability may be determined without regard to causation or knowledge of contamination. We or our predecessors have been named potentially responsible parties at contaminated sites from time to time.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GM performed remediation activities at our Indianapolis, Indiana manufacturing facilities relating to historical soil and groundwater contamination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facilities. GM’s activities are referred to as the “Corrective Action” plan, pursuant to the asset purchase agreement, whereby it retained responsibility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completing all obligations covered by a voluntary Corrective Action Agreement that Old GM entered with the EPA. GM retained responsibility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completing the Corrective Action and agreed to indemnify us against certain environmental liabilities as successor to Old GM’s obligations. During the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2015, the EPA determined that GM’s remediation activities were complete and that migration of any contamination is under control, and published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public notice seeking comment on a draft final decision, the issuance of which would result in us assuming responsibility for maintaining the ongoing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monitoring and maintenance activities through an AOC with the EPA. As a result of the publishing of the draft final decision, we determined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liability for operating, monitoring and maintaining the ongoing, remedial activities could be reasonably estimated and recorded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million for the estimated undiscounted liabilities to be paid out over the next 30 years. See Part I, Item 1, “Business — Environmental Compliance”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Item 8, NOTE 17, “Commitments and Contingencies” of this Annual Report on Form 10-K. There can be no assurances that future environmental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remediation obligations will not have a material adverse effect on our results of operations. In addition, we occasionally evaluate various alternatives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our facilities, including possible dispositions or closings. Investigations undertaken in connection with these activities may lead to discoveries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contamination that must be remediated, and closings of facilities may trigger remediation requirements that are not applicable to operating facilities. We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face lawsuits brought by third parties that either allege property damage or personal injury as a result of, or seek reimbursement for costs associated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contamination.</w:t>
      </w:r>
    </w:p>
    <w:p>
      <w:pPr>
        <w:spacing w:after="0" w:line="3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financial results may be adversely affected by government contracting risks.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 suits and other enforcement actions. The laws and regulations to which we are subject include, but are not limited to, Export Administration Regulations, Federal Acquisition Regulation, International Traffic in Arms Regulations, Foreign Assets Control documentation and regulations from the Bureau of Alcohol, Tobacco and Firearms and the FCPA.</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could adversely affect our results of operations and financial position.</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As a result of the expansion of our international operations, currency exchange rate fluctuations could affect our results of operations and financial position. We expect to generate an increasing portion of our net sales and expenses in such foreign currencies as the Japanese Yen, Euro, Indian Rupee, Brazilian Real, Chinese Yuan Renminbi, Canadian Dollar, British Pound, and Hungarian Forint. Although we may enter into foreign exchange agreements with financial institutions in order to reduce our exposure to fluctuations in the value of these and other foreign currencies, these transactions, if entered into, will not eliminate that risk entirely. To the extent that we are unable to match net sales received in foreign currencies with expenses paid in the same currency, exchange rate fluctuations could have a negative impact on our results of operations and financial condition. Additionally, because our consolidated financial results are reported in U.S. Dollars, if we generate net sales or earnings in other currencies, the conversion of such amounts into U.S. Dollars can result in an increase or decrease in the amount of our net sales or earnings. Furthermore, we sell certain of our products in our non-North American markets denominated in the U.S. Dollar. To the extent that certain of the local currencies in our non-North American markets are relatively weaker than the U.S. Dollar, whether as a result of foreign governments’ influence or otherwise, we could become less price competitive, which could have a material adverse effect on the results of our operations.</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GM’s actions may materially affect our business and operating results.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Although we are an independent company as a result of the Acquisition Transaction, GM’s future actions may still have a material impact on our business and results of operations. Pursuant to the Cure Agreement after GM’s emergence from bankruptcy in 2009, GM has assumed certain agreements from its predecessor, including the asset purchase agreement, intellectual property and software license agreements and a hybrid co-branding agreement. GM’s failure to comply with any portion of these agreements for any reason, including the indemnities therein, could inhibit us from operating and expanding our business in the future.</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Additionally, GM has received a non-exclusive, royalty-free, worldwide license to use the “Allison Transmission” name and certain related trademarks on GM’s line of A1000 transmissions for use primarily in Class 2 and 3 pick-up trucks. If GM, or any of its subsidiaries or affiliated entities, or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Transaction, we entered into a mutual non-compete agreement with GM that restricts GM from competing with us in non-defense vehicles in North America with gross vehicle weights above 5900 kilograms (typically Class 4 and higher) with some limited exceptions for certain GM light-duty pickup truck and van platforms. It also restricts GM from competing with us in defense vehicles globally and in non-defense vehicles outside North America that exceed 4250 kilograms (generally Class 3 to Class 4 and higher) with some limited exceptions. The non-compete periods extend until August 2017 globally, except in Europe, where they expired in 2012. Similarly, we are restricted from competing with GM in weight classes below the above mentioned thresholds for similar periods of time. Upon expiration of the non-competition periods, both Allison and GM will be permitted to compete with each other but such expiration will generally not affect Allison’s rights under the Patent and Technology License Agreement to use on an exclusive basis within its respective weight classes (subject to previously mentioned exceptions) the intellectual property that is licensed to Allison on an exclusive basis.</w:t>
      </w:r>
    </w:p>
    <w:p>
      <w:pPr>
        <w:spacing w:after="0" w:line="185"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addition, because of our current manufacturing services agreement with Opel Szentgotthard Automotive Manufacturing Ltd., a GM subsidiary, we may be materially adversely affected by the failure of GM to perform as expected. This non-performance may consist of delays or failures caused by production issues. The risk of non-performance may also result from the insolvency or bankruptcy of GM. GM’s ability to provide personnel and technical resources to us is also subject to a number of risks, including destruction of our equipment or work stoppages. In addition, our failure to provide an adequate facility, or order sufficient quantities of inventory, may increase the cost of production or may lead to GM refusing to provide resources to us at all. Our efforts to protect against and to minimize these risks may not always be effective.</w:t>
      </w:r>
    </w:p>
    <w:p>
      <w:pPr>
        <w:spacing w:after="0" w:line="292" w:lineRule="exact"/>
        <w:rPr>
          <w:sz w:val="20"/>
          <w:szCs w:val="20"/>
          <w:color w:val="auto"/>
        </w:rPr>
      </w:pPr>
    </w:p>
    <w:p>
      <w:pPr>
        <w:ind w:left="24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impairment in the carrying value of goodwill or other indefinite-lived intangible assets could negatively affect our consolidated results of operations and net worth.</w:t>
      </w:r>
    </w:p>
    <w:p>
      <w:pPr>
        <w:spacing w:after="0" w:line="5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and unexpected significant declines in operating results may result in charges for goodwill and other asset impairments.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annual goodwill impairment test for 2015 resulted in no goodwill impairment. Although our analysis regarding the fair value of goodwill indicates that it exceeds its carrying value, materially different assumptions regarding the future performance of our business could result in goodwill impairment losses. A review of our trade name in 2015 resulted in an impairment charge of $80.0 million. The impairment charge was triggered principally by lower forecasted net sales for certain of our end markets in the fourth quarter of 2015. The effects of the impairment did not result in any other charges to goodwill, other intangible assets or long-lived assets. See NOTE 2 and NOTE 5 of Notes to Consolidated Financial Statements included in Part II, Item 8 of this Annual Report on Form 10-K for additional details.</w:t>
      </w:r>
    </w:p>
    <w:p>
      <w:pPr>
        <w:spacing w:after="0" w:line="292" w:lineRule="exact"/>
        <w:rPr>
          <w:sz w:val="20"/>
          <w:szCs w:val="20"/>
          <w:color w:val="auto"/>
        </w:rPr>
      </w:pPr>
    </w:p>
    <w:p>
      <w:pPr>
        <w:ind w:left="24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5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discourage, delay or prevent a change in control of our company or changes in our management that the stockholders of our company may deem advantageous. These provisions:</w:t>
      </w:r>
    </w:p>
    <w:p>
      <w:pPr>
        <w:spacing w:after="0" w:line="67" w:lineRule="exact"/>
        <w:rPr>
          <w:sz w:val="20"/>
          <w:szCs w:val="20"/>
          <w:color w:val="auto"/>
        </w:rPr>
      </w:pPr>
    </w:p>
    <w:p>
      <w:pPr>
        <w:ind w:left="900" w:right="8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issue to increase the number of outstanding shares and to discourage a takeover attempt;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stockholders to remove directors only “for cause”;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calling a special meeting of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adopt, or to alter or repeal our bylaws;</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stockholder meetings;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with three staggered terms; and</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holders of at least two-thirds of the outstanding shares of common stock to amend the bylaws and certain provisions of the certificate of incorporation.</w:t>
      </w:r>
    </w:p>
    <w:p>
      <w:pPr>
        <w:spacing w:after="0" w:line="16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our stockholders to elect directors of their choosing and cause us to take corporate actions other than those they desire.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health, restrict our activities and affect our ability to meet our obligations.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a significant amount of indebtedness. As of December 31, 2015, we had total indebtedness of $2,402.8 million and we would have been able to borrow an additional $461.0 million under the revolving portion of our credit facility, less $4.0 million of letters of credit. As of December 31, 2015, we had no outstanding borrowings against the revolving credit facility. At December 31, 2015, all $2,402.8 million of our total indebtedness was associated with ATI’s Senior Secured Credit Facility Term B-3 Loan due 2019 (“Term B-3 Loan,” and together with the revolving credit facility, the “Senior Secured Credit Facility”). For a complete description of the terms of the Senior Secured Credit Facility, please see Part II, Item 7, “Management’s Discussion and Analysis of Financial Condition and Results of Operations – Liquidity and Capital Resources.”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For example, it could:</w:t>
      </w:r>
    </w:p>
    <w:p>
      <w:pPr>
        <w:spacing w:after="0" w:line="131"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under our indebtedness;</w:t>
      </w:r>
    </w:p>
    <w:p>
      <w:pPr>
        <w:spacing w:after="0" w:line="130" w:lineRule="exact"/>
        <w:rPr>
          <w:rFonts w:ascii="Times New Roman" w:cs="Times New Roman" w:eastAsia="Times New Roman" w:hAnsi="Times New Roman"/>
          <w:sz w:val="18"/>
          <w:szCs w:val="18"/>
          <w:color w:val="auto"/>
        </w:rPr>
      </w:pPr>
    </w:p>
    <w:p>
      <w:pPr>
        <w:jc w:val="both"/>
        <w:ind w:left="900" w:right="280" w:hanging="325"/>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81"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and limit our flexibility in planning for, or reacting to, downturns or changes in our business and the industry in which we operate;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acquisitions or cause us to make non-strategic divestitures;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borrowings under the Senior Secured Credit Facility are subject to variable rates of interest;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225"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addition, the revolving portion of our Senior Secured Credit Facility contains a maximum total senior secured leverage ratio. The Senior Secured Credit Facility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284" w:lineRule="exact"/>
        <w:rPr>
          <w:sz w:val="20"/>
          <w:szCs w:val="20"/>
          <w:color w:val="auto"/>
        </w:rPr>
      </w:pPr>
    </w:p>
    <w:p>
      <w:pPr>
        <w:ind w:left="2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pay regular dividends on our common stock is subject to the discretion of our Board of Directors and may be limited by our structure and statutory restrictions and restrictions imposed by the Senior Secured Credit Facility.</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Board of Directors declared a quarterly dividend of $0.06 per share of common stock beginning in the second quarter of 2012, increased the quarterly dividend to $0.12 per share of common stock beginning in the second quarter of 2013 and increased the quarterly dividend again to $0.15 per share of common stock beginning in the fourth quarter of 2014. However, the payment of future dividends will be at the discretion of our Board of Directors and will depend on, among other things, our earnings, financial condition, capital requirements, level of indebtedness, statutory and contractual restrictions applying to the payment of dividends and other considerations that our Board of Directors deems relevant. The Senior Secured Credit Facility also effectively limits our ability to pay dividends. As a consequence of these limitations and restrictions, we may not be able to make, or may have to reduce or eliminate, the payment of dividends on our common stock. Accordingly, you may have to sell some or all of your common stock after price appreciation in order to generate cash flow from your investment. You may not receive a gain on your investment when you sell your common stock and you may lose the entire amount of the investment. Additionally, any change in the level of our dividends or the suspension of the payment thereof could adversely affect the market price of our common stock.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To service our indebtedness, we will require a significant amount of cash and our ability to generate cash depends on many factors beyond our control.</w:t>
      </w:r>
    </w:p>
    <w:p>
      <w:pPr>
        <w:spacing w:after="0" w:line="133"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cannot ensure that our business will generate sufficient cash flow from operations or that future borrowings will be available to us under the Senior Secured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we are unable to generate sufficient cash flow or are otherwise unable to obtain funds necessary to meet required payments of principal, premium, if any, and interest on our indebtedness, or if we otherwise fail to comply with the various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Senior Secured Credit Facility could elect to terminate their commitments thereunder, cease making further loans and institute foreclosure proceedings against our assets, and we could be forced into bankruptcy or liquidation. If our operating performance declines, we may in the future need to obtain waivers from the required lenders under the Senior Secured Credit Facility to avoid being in default. If we or any of our subsidiaries breach the covenants under the Senior Secured Credit Facility and seek a waiver, we may not be able to obtain a waiver from the required lenders. If this occurs, we would be in default under the Senior Secured Credit Facility, the lenders could exercise their rights, as described above, and we could be forced into bankruptcy or liquidation.</w:t>
      </w:r>
    </w:p>
    <w:p>
      <w:pPr>
        <w:spacing w:after="0" w:line="293" w:lineRule="exact"/>
        <w:rPr>
          <w:sz w:val="20"/>
          <w:szCs w:val="20"/>
          <w:color w:val="auto"/>
        </w:rPr>
      </w:pPr>
    </w:p>
    <w:p>
      <w:pPr>
        <w:ind w:left="24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5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and our subsidiaries may be able to incur additional indebtedness in the future because the terms of our indebtedness do not fully prohibit us or our subsidiaries from doing so. Subject to covenant compliance and certain conditions, our indebtedness permits additional borrowing, including total borrowing up to $461.0 million under the revolving portion of the Senior Secured Credit Facility. If new debt is added to our current debt levels and our subsidiaries’ current debt levels, the related risks that we and they now face could intensify.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Our world headquarters, which we own, is located at One Allison Way, Indianapolis, Indiana 46222. As of December 31, 2015, we have a total of 17 manufacturing and certain other facilities in seven countries. The following table sets forth certain information regarding these facilities.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Plant</w:t>
            </w:r>
          </w:p>
        </w:tc>
        <w:tc>
          <w:tcPr>
            <w:tcW w:w="820" w:type="dxa"/>
            <w:vAlign w:val="bottom"/>
          </w:tcPr>
          <w:p>
            <w:pPr>
              <w:spacing w:after="0"/>
              <w:rPr>
                <w:sz w:val="13"/>
                <w:szCs w:val="13"/>
                <w:color w:val="auto"/>
              </w:rPr>
            </w:pPr>
          </w:p>
        </w:tc>
        <w:tc>
          <w:tcPr>
            <w:tcW w:w="1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Owned /</w:t>
            </w:r>
          </w:p>
        </w:tc>
        <w:tc>
          <w:tcPr>
            <w:tcW w:w="314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52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Size (ft</w:t>
            </w:r>
            <w:r>
              <w:rPr>
                <w:rFonts w:ascii="Times New Roman" w:cs="Times New Roman" w:eastAsia="Times New Roman" w:hAnsi="Times New Roman"/>
                <w:sz w:val="12"/>
                <w:szCs w:val="12"/>
                <w:b w:val="1"/>
                <w:bCs w:val="1"/>
                <w:color w:val="auto"/>
              </w:rPr>
              <w:t>2</w:t>
            </w: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3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6"/>
              </w:rPr>
              <w:t>Plant</w:t>
            </w:r>
          </w:p>
        </w:tc>
        <w:tc>
          <w:tcPr>
            <w:tcW w:w="2180" w:type="dxa"/>
            <w:vAlign w:val="bottom"/>
            <w:tcBorders>
              <w:top w:val="single" w:sz="8" w:color="CCEEFF"/>
            </w:tcBorders>
            <w:shd w:val="clear" w:color="auto" w:fill="CCEEFF"/>
          </w:tcPr>
          <w:p>
            <w:pPr>
              <w:jc w:val="right"/>
              <w:ind w:right="183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Indianapolis</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927,000</w:t>
            </w: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Own</w:t>
            </w:r>
          </w:p>
        </w:tc>
        <w:tc>
          <w:tcPr>
            <w:tcW w:w="4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Operational Support</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#4</w:t>
            </w:r>
          </w:p>
        </w:tc>
        <w:tc>
          <w:tcPr>
            <w:tcW w:w="2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Indianapolis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425,900</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Own</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#6</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Indianapolis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431,500</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Own</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#16</w:t>
            </w:r>
          </w:p>
        </w:tc>
        <w:tc>
          <w:tcPr>
            <w:tcW w:w="2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Indianapolis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391,700</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Own</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#12</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Indianapolis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534,900</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Own</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#14</w:t>
            </w:r>
          </w:p>
        </w:tc>
        <w:tc>
          <w:tcPr>
            <w:tcW w:w="2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Indianapolis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481,100</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Own</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#15</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Indianapolis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126,400</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Lease</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#17</w:t>
            </w:r>
          </w:p>
        </w:tc>
        <w:tc>
          <w:tcPr>
            <w:tcW w:w="2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Indianapolis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389,000</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Own</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Parts Distribution Center</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#20 Tech. Center</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Indianapolis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59,000</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Own</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&amp; Testing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#21 Tech. Center</w:t>
            </w:r>
          </w:p>
        </w:tc>
        <w:tc>
          <w:tcPr>
            <w:tcW w:w="2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Indianapolis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10,000</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Own</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Engineering &amp; Testing</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Szentgotthard</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Hungary</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149,000</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Own</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&amp; Customization</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Szentgotthard</w:t>
            </w:r>
          </w:p>
        </w:tc>
        <w:tc>
          <w:tcPr>
            <w:tcW w:w="2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Hungary</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3,900</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Own</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Sales &amp; Marketing Support</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38,000</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Lease</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Customization &amp; Distribution</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Santo Amaro/Sorocabo</w:t>
            </w:r>
          </w:p>
        </w:tc>
        <w:tc>
          <w:tcPr>
            <w:tcW w:w="2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Brazil</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31,400</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Own</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Customization &amp; Distribution</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Chennai</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258,500</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Own</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Dubai</w:t>
            </w:r>
          </w:p>
        </w:tc>
        <w:tc>
          <w:tcPr>
            <w:tcW w:w="2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United Arab Emirates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16,500</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Lease</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Sliedrecht</w:t>
            </w:r>
          </w:p>
        </w:tc>
        <w:tc>
          <w:tcPr>
            <w:tcW w:w="2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The Netherlands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37,000</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Lease</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Customization &amp; Distribution</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96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NYSE under the symbol “ALSN.” The following table sets forth the high and low sale prices per share for our common stock on the NYSE and the dividends declared per share for each quarter for the periods indicated:</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3"/>
                <w:szCs w:val="13"/>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26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2015:</w:t>
            </w:r>
          </w:p>
        </w:tc>
        <w:tc>
          <w:tcPr>
            <w:tcW w:w="2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94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$33.85</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$31.14</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0.15</w:t>
            </w: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940" w:type="dxa"/>
            <w:vAlign w:val="bottom"/>
            <w:gridSpan w:val="3"/>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$32.31</w:t>
            </w:r>
          </w:p>
        </w:tc>
        <w:tc>
          <w:tcPr>
            <w:tcW w:w="10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$29.21</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0.15</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94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$29.91</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$26.12</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0.15</w:t>
            </w: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940" w:type="dxa"/>
            <w:vAlign w:val="bottom"/>
            <w:gridSpan w:val="3"/>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$29.28</w:t>
            </w:r>
          </w:p>
        </w:tc>
        <w:tc>
          <w:tcPr>
            <w:tcW w:w="10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$24.64</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0.15</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2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940" w:type="dxa"/>
            <w:vAlign w:val="bottom"/>
            <w:gridSpan w:val="3"/>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rPr>
              <w:t>$31.27</w:t>
            </w:r>
          </w:p>
        </w:tc>
        <w:tc>
          <w:tcPr>
            <w:tcW w:w="10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$26.41</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94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color w:val="auto"/>
              </w:rPr>
              <w:t>$31.42</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$28.56</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940" w:type="dxa"/>
            <w:vAlign w:val="bottom"/>
            <w:gridSpan w:val="3"/>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rPr>
              <w:t>$32.21</w:t>
            </w:r>
          </w:p>
        </w:tc>
        <w:tc>
          <w:tcPr>
            <w:tcW w:w="10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$28.34</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94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color w:val="auto"/>
              </w:rPr>
              <w:t>$34.62</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$26.15</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As of February 5, 2016, there were approximately 38,700 stockholders of record of our common stock, which includes the actual number of holders registered on the books of the Company and holders of shares in “street name” or persons, partnerships, associations, corporations or other entities identified in security position listings maintained by depositories.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Our Board of Directors declared a quarterly dividend of (i) $0.15 per share each quarter during 2015 and for the fourth quarter of 2014 and (ii) $0.12 per share for the first, second and third quarters of 2014. We expect to continue paying cash dividends on a quarterly basis; however, future dividends are subject to approval of the Board of Directors and may be adjusted as business needs or market conditions change. In addition, our Senior Secured Credit Facility restricts the payment of dividends under certain circumstances.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Annual Report on Form 10-K, we did not offer or sell any securities that were not registered under the Securities Act of 1933, as amended (the “Securities Act”).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455" w:right="2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October 30, 2014, our Board of Directors authorized us to repurchase up to $500.0 million of our common stock pursuant to a stock repurchase program (“Repurchase Program”). The terms of the Repurchase Program provide that we may repurchase shares of our common stock, from time to time depending on market conditions and corporate needs, in the open market or through privately negotiated transactions in accordance with Rule 10b-18 of the Exchange Act. Unless earlier terminated by our Board of Directors, the Repurchase Program will expire on December 31, 2016.</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related to our repurchase of our common stock on a monthly basis in the three months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30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30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5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30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2"/>
                <w:szCs w:val="12"/>
                <w:b w:val="1"/>
                <w:bCs w:val="1"/>
                <w:color w:val="auto"/>
              </w:rPr>
              <w:t>(1)</w:t>
            </w:r>
          </w:p>
        </w:tc>
        <w:tc>
          <w:tcPr>
            <w:tcW w:w="580" w:type="dxa"/>
            <w:vAlign w:val="bottom"/>
          </w:tcPr>
          <w:p>
            <w:pPr>
              <w:spacing w:after="0"/>
              <w:rPr>
                <w:sz w:val="15"/>
                <w:szCs w:val="15"/>
                <w:color w:val="auto"/>
              </w:rPr>
            </w:pPr>
          </w:p>
        </w:tc>
        <w:tc>
          <w:tcPr>
            <w:tcW w:w="15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8"/>
              </w:rPr>
              <w:t>Paid per Share</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12"/>
                <w:szCs w:val="12"/>
                <w:b w:val="1"/>
                <w:bCs w:val="1"/>
                <w:color w:val="auto"/>
              </w:rPr>
              <w:t>(2)</w:t>
            </w:r>
          </w:p>
        </w:tc>
        <w:tc>
          <w:tcPr>
            <w:tcW w:w="300" w:type="dxa"/>
            <w:vAlign w:val="bottom"/>
          </w:tcPr>
          <w:p>
            <w:pPr>
              <w:spacing w:after="0"/>
              <w:rPr>
                <w:sz w:val="15"/>
                <w:szCs w:val="15"/>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 Plans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October 31, 2015</w:t>
            </w:r>
          </w:p>
        </w:tc>
        <w:tc>
          <w:tcPr>
            <w:tcW w:w="8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203,773,549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November 1 – November 30, 2015</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348,505</w:t>
            </w:r>
          </w:p>
        </w:tc>
        <w:tc>
          <w:tcPr>
            <w:tcW w:w="88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27.30</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348,505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194,260,559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December 31, 2015</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1,807</w:t>
            </w:r>
          </w:p>
        </w:tc>
        <w:tc>
          <w:tcPr>
            <w:tcW w:w="8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25.89</w:t>
            </w: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194,260,559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350,312</w:t>
            </w:r>
          </w:p>
        </w:tc>
        <w:tc>
          <w:tcPr>
            <w:tcW w:w="20" w:type="dxa"/>
            <w:vAlign w:val="bottom"/>
            <w:tcBorders>
              <w:bottom w:val="single" w:sz="8" w:color="auto"/>
            </w:tcBorders>
          </w:tcPr>
          <w:p>
            <w:pPr>
              <w:spacing w:after="0"/>
              <w:rPr>
                <w:sz w:val="19"/>
                <w:szCs w:val="19"/>
                <w:color w:val="auto"/>
              </w:rPr>
            </w:pPr>
          </w:p>
        </w:tc>
        <w:tc>
          <w:tcPr>
            <w:tcW w:w="88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27.29</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348,505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Shares purchased include 1,807 shares withheld to cover taxes due upon the vesting of restricted stock in December 2015.</w:t>
      </w:r>
    </w:p>
    <w:p>
      <w:pPr>
        <w:spacing w:after="0" w:line="27"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values reflect repurchases made under the Repurchase Program.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Issuances Under Equity Compensation Plans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For information regarding the securities authorized for issuance under our equity compensation plans, see Part III, Item 12 of this Annual Report on Form 10-K.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60"/>
          </w:cols>
          <w:pgMar w:left="240" w:top="455" w:right="3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 Graph</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80"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Set forth below is a graph comparing the total cumulative returns of ALSN, the S&amp;P 500 Index and an index of peer companies selected by us. Our peer group includes Donaldson Company Inc., Graco Inc., Roper Industries Inc., Gentex Corporation, Rockwell Automation Inc. and Sensata Technologies Holding N.V. The graph assumes $100 was invested on March 15, 2012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142875</wp:posOffset>
            </wp:positionV>
            <wp:extent cx="4999990" cy="382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9990" cy="382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5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March 15,</w:t>
            </w: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3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Allison Transmission Holdings, Inc.</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2"/>
              </w:rPr>
              <w:t>151.30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103.52</w:t>
            </w:r>
          </w:p>
        </w:tc>
        <w:tc>
          <w:tcPr>
            <w:tcW w:w="2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137.04</w:t>
            </w:r>
          </w:p>
        </w:tc>
        <w:tc>
          <w:tcPr>
            <w:tcW w:w="280" w:type="dxa"/>
            <w:vAlign w:val="bottom"/>
          </w:tcPr>
          <w:p>
            <w:pPr>
              <w:spacing w:after="0"/>
              <w:rPr>
                <w:sz w:val="18"/>
                <w:szCs w:val="18"/>
                <w:color w:val="auto"/>
              </w:rPr>
            </w:pPr>
          </w:p>
        </w:tc>
        <w:tc>
          <w:tcPr>
            <w:tcW w:w="1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155.80</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157.96</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 Group</w:t>
            </w: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98.89</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135.29</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144.86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143.33</w:t>
            </w:r>
          </w:p>
        </w:tc>
      </w:tr>
    </w:tbl>
    <w:p>
      <w:pPr>
        <w:spacing w:after="0" w:line="225" w:lineRule="exact"/>
        <w:rPr>
          <w:sz w:val="20"/>
          <w:szCs w:val="20"/>
          <w:color w:val="auto"/>
        </w:rPr>
      </w:pPr>
    </w:p>
    <w:p>
      <w:pPr>
        <w:ind w:left="5620" w:right="2760" w:hanging="5612"/>
        <w:spacing w:after="0" w:line="454" w:lineRule="auto"/>
        <w:tabs>
          <w:tab w:leader="none" w:pos="45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Pall Corporation has been removed from our Peer Group as a result of no longer being a publicly traded company. 30</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for the most recent five years. The following table should be read in conjunction with Part II, Item 7, “Management’s Discussion and Analysis of Financial Condition and Results of Operations” and Part II, Item 8, “Financial Statements and Supplementary Data” of this Annual Report on Form 10-K.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800" w:type="dxa"/>
            <w:vAlign w:val="bottom"/>
          </w:tcPr>
          <w:p>
            <w:pPr>
              <w:spacing w:after="0"/>
              <w:rPr>
                <w:sz w:val="13"/>
                <w:szCs w:val="13"/>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80" w:type="dxa"/>
            <w:vAlign w:val="bottom"/>
          </w:tcPr>
          <w:p>
            <w:pPr>
              <w:spacing w:after="0"/>
              <w:rPr>
                <w:sz w:val="13"/>
                <w:szCs w:val="13"/>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Consolidated Statements of Operations:</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1,985.8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2,127.4</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1,926.8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2,141.8</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2,162.8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933.8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 impairment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Environmental remediation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associated with impairment of long-lived assets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534.1</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(139.3)</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Premiums and expenses on tender offer and redemption of long-term debt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216.2</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Data:</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 Data:</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15"/>
                <w:szCs w:val="15"/>
                <w:color w:val="auto"/>
              </w:rPr>
              <w:t>(1)</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4,408.4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4,656.2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4,812.6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4,866.0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5,192.6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15"/>
                <w:szCs w:val="15"/>
                <w:color w:val="auto"/>
              </w:rPr>
              <w:t>(1)</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2,377.2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2,491.2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2,678.3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2,820.8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3,378.6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1,188.6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260" w:hanging="452"/>
        <w:spacing w:after="0" w:line="266" w:lineRule="auto"/>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Total assets and total debt as of December 31, 2015 and 2014 include reclassifications as a result of compliance with newly adopted Financial Accounting Standards Board’s (“FASB”) authoritative accounting guidance. For more information, see our consolidated financial statements and the notes thereto included in Part II, Item 8 of this Annual Report on Form 10-K.</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that involve risks and uncertainties. Our actual results may differ materially from those discussed in the forward 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 as well as the information presented under Part II, Item 6 of this Annual Report on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design and manufacture commercial and defense fully-automatic transmissions. The business was founded in 1915 and has been headquartered in Indianapolis, Indiana since inception. Allison was an operating unit of Old GM from 1929 until 2007, when Allison once again became a stand-alone company. In March 2012, Allison began trading on the New York Stock Exchange under the symbol, “ALSN”.</w:t>
      </w:r>
    </w:p>
    <w:p>
      <w:pPr>
        <w:spacing w:after="0" w:line="176"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We have approximately 2,700 employees and 13 different transmission product lines. Although approximately 81% of revenues were generated in North America in 2015, we have a global presence by serving customers in Europe, Asia, South America and Africa. We serve customers through an independent network of approximately 1,400 independent distributor and dealer locations worldwide.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Impacting Our Business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net sales are driven by commercial vehicle production, which tends to be highly correlated to macroeconomic conditions. In 2016, we expect tempering demand conditions in the North America On-Highway end market, no meaningful relief from the global Off-Highway end markets challenges and divergent global economic environments. Our 2016 net sales outlook also assumes previously considered reductions in demand for North America Hybrid-Propulsion Systems for Transit Bus due to engine emissions improvements and non-hybrid alternatives.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 Year 2015 and 2014 Net Sales by End Market (in millions)</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 Market</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660" w:type="dxa"/>
            <w:vAlign w:val="bottom"/>
          </w:tcPr>
          <w:p>
            <w:pPr>
              <w:spacing w:after="0"/>
              <w:rPr>
                <w:sz w:val="13"/>
                <w:szCs w:val="13"/>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 Variance</w:t>
            </w:r>
          </w:p>
        </w:tc>
        <w:tc>
          <w:tcPr>
            <w:tcW w:w="0" w:type="dxa"/>
            <w:vAlign w:val="bottom"/>
          </w:tcPr>
          <w:p>
            <w:pPr>
              <w:spacing w:after="0"/>
              <w:rPr>
                <w:sz w:val="1"/>
                <w:szCs w:val="1"/>
                <w:color w:val="auto"/>
              </w:rPr>
            </w:pPr>
          </w:p>
        </w:tc>
      </w:tr>
      <w:tr>
        <w:trPr>
          <w:trHeight w:val="173"/>
        </w:trPr>
        <w:tc>
          <w:tcPr>
            <w:tcW w:w="6160" w:type="dxa"/>
            <w:vAlign w:val="bottom"/>
            <w:gridSpan w:val="2"/>
            <w:vMerge w:val="continue"/>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On-Highway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$ 1,059</w:t>
            </w: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988</w:t>
            </w:r>
          </w:p>
        </w:tc>
        <w:tc>
          <w:tcPr>
            <w:tcW w:w="6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 Hybrid-Propulsion Systems for Transit Bus</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73</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Off-Highway</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Defense</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113</w:t>
            </w:r>
          </w:p>
        </w:tc>
        <w:tc>
          <w:tcPr>
            <w:tcW w:w="1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157</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North America On-Highway</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264</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North America Off-Highway</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 Support Equipment and Other</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444</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2"/>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$ 1,986</w:t>
            </w:r>
          </w:p>
        </w:tc>
        <w:tc>
          <w:tcPr>
            <w:tcW w:w="6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6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North America On-Highway end market net sales were up 7% for the year ended December 31, 2015 compared to the year ended December 31, 2014, principally driven by higher demand for Rugged Duty Series and Highway Series models.</w:t>
      </w:r>
    </w:p>
    <w:p>
      <w:pPr>
        <w:spacing w:after="0" w:line="162"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North America Hybrid-Propulsion Systems for Transit Bus end market net sales were down 22% for the year ended December 31, 2015 compared to the year ended December 31, 2014, principally driven by lower demand due to engine emissions improvements and non-hybrid alternatives that generally require a fully-automatic transmission (e.g. xNG).</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North America Off-Highway end market net sales were down 45% for the year ended December 31, 2015 compared to the year ended December 31, 2014, principally driven by lower demand from hydraulic fracturing applications.</w:t>
      </w:r>
    </w:p>
    <w:p>
      <w:pPr>
        <w:spacing w:after="0" w:line="162"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Defense end market net sales were down 28% for the year ended December 31, 2015 compared to the year ended December 31, 2014, principally driven by the recognition of previously deferred revenue in 2014 related to shipment of certain tracked transmissions at the request of the U.S. government and lower U.S. defense spending.</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Outside North America On-Highway end market net sales were down 1% for the year ended December 31, 2015 compared to the year ended December 31, 2014, principally driven by lower demand in China partially offset by higher demand in Europe.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Outside North America Off-Highway end market net sales were down 57% for the year ended December 31, 2015 compared to the year ended December 31, 2014, principally driven by weak demand in the energy and mining sectors.</w:t>
      </w:r>
    </w:p>
    <w:p>
      <w:pPr>
        <w:spacing w:after="0" w:line="162"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Service parts, support equipment &amp; other end market net sales were down 12% for the year ended December 31, 2015 compared to the year ended December 31, 2014, principally driven by lower demand for North America service parts.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generate our net sales primarily from the sale of transmissions, transmission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primary components of cost of sales are purchased parts, the overhead expense related to our manufacturing operations and direct labor associated with the manufacture and assembly of transmissions and parts. For the year ended December 31, 2015, direct material costs were approximately 68%, overhead costs were approximately 26% and direct labor costs were approximately 6% of total cost of sales. We are subject to changes in our cost of sales caused by movements in underlying commodity prices. We seek to hedge against this risk by using commodity swap contracts and LTSAs. See Part II, Item 7A, “Quantitative and Qualitative Disclosures about Market Risk—Commodity Price Risk” included in this Annual Report on Form 10-K.</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Engineering — research and development</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incur costs in connection with research and development programs that are expected to contribute to future earnings. Such costs are expensed as incurred.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455" w:right="2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use Adjusted net income to measure our overall profitability because we believe it better reflects our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8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80"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80" w:type="dxa"/>
            <w:vAlign w:val="bottom"/>
          </w:tcPr>
          <w:p>
            <w:pPr>
              <w:spacing w:after="0"/>
              <w:rPr>
                <w:sz w:val="15"/>
                <w:szCs w:val="15"/>
                <w:color w:val="auto"/>
              </w:rPr>
            </w:pPr>
          </w:p>
        </w:tc>
        <w:tc>
          <w:tcPr>
            <w:tcW w:w="3260" w:type="dxa"/>
            <w:vAlign w:val="bottom"/>
            <w:gridSpan w:val="10"/>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114.5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interest expense</w:t>
            </w:r>
          </w:p>
        </w:tc>
        <w:tc>
          <w:tcPr>
            <w:tcW w:w="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(97.1)</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income taxes</w:t>
            </w:r>
          </w:p>
        </w:tc>
        <w:tc>
          <w:tcPr>
            <w:tcW w:w="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 impairment (a)</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Environmental remediation (b)</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associated with impairment of long-lived assets (c)</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Technology-related investment expense (d)</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offering expenses (e)</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493.4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479.1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interest expense</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income taxes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Premiums and expenses on tender offer and redemption of long-term debt</w:t>
            </w:r>
          </w:p>
        </w:tc>
        <w:tc>
          <w:tcPr>
            <w:tcW w:w="8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25.3</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w:t>
            </w:r>
          </w:p>
        </w:tc>
        <w:tc>
          <w:tcPr>
            <w:tcW w:w="80" w:type="dxa"/>
            <w:vAlign w:val="bottom"/>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Dual power inverter module extended coverage (g)</w:t>
            </w:r>
          </w:p>
        </w:tc>
        <w:tc>
          <w:tcPr>
            <w:tcW w:w="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foreign exchange (h)</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(gain) on commodity hedge contracts (i)</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repayments of long-term debt (j)</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charge (k)</w:t>
            </w:r>
          </w:p>
        </w:tc>
        <w:tc>
          <w:tcPr>
            <w:tcW w:w="80" w:type="dxa"/>
            <w:vAlign w:val="bottom"/>
          </w:tcPr>
          <w:p>
            <w:pPr>
              <w:spacing w:after="0"/>
              <w:rPr>
                <w:sz w:val="18"/>
                <w:szCs w:val="18"/>
                <w:color w:val="auto"/>
              </w:rPr>
            </w:pPr>
          </w:p>
        </w:tc>
        <w:tc>
          <w:tcPr>
            <w:tcW w:w="11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excluding technology-related licenses expenses (m)</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1,985.8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2,127.4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1,926.8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194"/>
        </w:trPr>
        <w:tc>
          <w:tcPr>
            <w:tcW w:w="62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EBITDA margin excluding technology-related licenses</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 (m)</w:t>
            </w:r>
          </w:p>
        </w:tc>
        <w:tc>
          <w:tcPr>
            <w:tcW w:w="80" w:type="dxa"/>
            <w:vAlign w:val="bottom"/>
          </w:tcPr>
          <w:p>
            <w:pPr>
              <w:spacing w:after="0"/>
              <w:rPr>
                <w:sz w:val="20"/>
                <w:szCs w:val="20"/>
                <w:color w:val="auto"/>
              </w:rPr>
            </w:pPr>
          </w:p>
        </w:tc>
        <w:tc>
          <w:tcPr>
            <w:tcW w:w="11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36.3%</w:t>
            </w: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108"/>
        </w:trPr>
        <w:tc>
          <w:tcPr>
            <w:tcW w:w="6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579.9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573.3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(Deductions) or additions to reconcile to Adjusted free cash flow:</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of long-lived assets</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(58.1)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 from stock-based compensation (n)</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Technology-related license expenses (m)</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associated with the impairment of our trade name as a result of lower forecasted net sales for certain of our end markets.</w:t>
      </w:r>
    </w:p>
    <w:p>
      <w:pPr>
        <w:spacing w:after="0" w:line="27"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environmental remediation expenses for ongoing environmental operating, monitoring and maintenance activities at our Indianapolis, Indiana manufacturing facilities as a result of the EPA determining that we are responsible for future operating, monitoring and maintenance activities, and that GM’s environmental remediation activities were completed in the third quarter of 2015.</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associated with the impairment of long-lived assets related to the production of the H3000 and H4000 hybrid-propulsion systems.</w:t>
      </w:r>
    </w:p>
    <w:p>
      <w:pPr>
        <w:spacing w:after="0" w:line="9" w:lineRule="exact"/>
        <w:rPr>
          <w:rFonts w:ascii="Times New Roman" w:cs="Times New Roman" w:eastAsia="Times New Roman" w:hAnsi="Times New Roman"/>
          <w:sz w:val="18"/>
          <w:szCs w:val="18"/>
          <w:color w:val="auto"/>
        </w:rPr>
      </w:pPr>
    </w:p>
    <w:p>
      <w:pPr>
        <w:ind w:left="460" w:right="920" w:hanging="452"/>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(recorded in Other expense, net) for investments in co-development agreements to expand our position in transmission technologies.</w:t>
      </w:r>
    </w:p>
    <w:p>
      <w:pPr>
        <w:ind w:left="460" w:right="140" w:hanging="452"/>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and expenses (recorded in Other expense, net) related to our secondary offerings in September 2014, June 2014, April 2014, February 2014, December 2013, November 2013 and August 2013 and proposed secondary offering in April 2013.</w:t>
      </w: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premiums and expenses related to the tender offer and redemption of Allison Transmission, Inc.’s (“ATI”), our wholly owned subsidiary,</w:t>
      </w:r>
    </w:p>
    <w:p>
      <w:pPr>
        <w:sectPr>
          <w:pgSz w:w="11900" w:h="16838" w:orient="portrait"/>
          <w:cols w:equalWidth="0" w:num="1">
            <w:col w:w="11400"/>
          </w:cols>
          <w:pgMar w:left="240" w:top="455" w:right="259" w:bottom="0" w:gutter="0" w:footer="0" w:header="0"/>
        </w:sectPr>
      </w:pPr>
    </w:p>
    <w:bookmarkStart w:id="36" w:name="page37"/>
    <w:bookmarkEnd w:id="36"/>
    <w:p>
      <w:pPr>
        <w:ind w:left="452"/>
        <w:spacing w:after="0"/>
        <w:rPr>
          <w:sz w:val="20"/>
          <w:szCs w:val="20"/>
          <w:color w:val="auto"/>
        </w:rPr>
      </w:pPr>
      <w:r>
        <w:rPr>
          <w:rFonts w:ascii="Times New Roman" w:cs="Times New Roman" w:eastAsia="Times New Roman" w:hAnsi="Times New Roman"/>
          <w:sz w:val="18"/>
          <w:szCs w:val="18"/>
          <w:color w:val="auto"/>
        </w:rPr>
        <w:t>7.125% senior cash pay notes due May 2019 (“7.125% Senior Notes”).</w:t>
      </w:r>
    </w:p>
    <w:p>
      <w:pPr>
        <w:spacing w:after="0" w:line="27" w:lineRule="exact"/>
        <w:rPr>
          <w:sz w:val="20"/>
          <w:szCs w:val="20"/>
          <w:color w:val="auto"/>
        </w:rPr>
      </w:pPr>
    </w:p>
    <w:p>
      <w:pPr>
        <w:jc w:val="both"/>
        <w:ind w:left="452" w:hanging="452"/>
        <w:spacing w:after="0" w:line="250"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adjustments (recorded in Selling, general and administrative expenses) associated with the Dual Power Inverter Module (“DPIM”) extended coverage program liability. The DPIM liability will continue to be reviewed for any changes in estimates as additional claims data and field information become available.</w:t>
      </w:r>
    </w:p>
    <w:p>
      <w:pPr>
        <w:spacing w:after="0" w:line="1" w:lineRule="exact"/>
        <w:rPr>
          <w:rFonts w:ascii="Times New Roman" w:cs="Times New Roman" w:eastAsia="Times New Roman" w:hAnsi="Times New Roman"/>
          <w:sz w:val="18"/>
          <w:szCs w:val="18"/>
          <w:color w:val="auto"/>
        </w:rPr>
      </w:pPr>
    </w:p>
    <w:p>
      <w:pPr>
        <w:ind w:left="452" w:right="480" w:hanging="452"/>
        <w:spacing w:after="0" w:line="250"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losses (recorded in Other expense, net) on the mark-to-market of our foreign currency hedge contracts and on intercompany financing transactions related to investments in plant assets for our India facility.</w:t>
      </w:r>
    </w:p>
    <w:p>
      <w:pPr>
        <w:ind w:left="452" w:hanging="452"/>
        <w:spacing w:after="0"/>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losses (gains) (recorded in Other expense, net) on the mark-to-market of our commodity hedge contracts.</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losses (recorded in Other expense, net) realized on the repayments of ATI’s long-term debt.</w:t>
      </w:r>
    </w:p>
    <w:p>
      <w:pPr>
        <w:spacing w:after="0" w:line="9" w:lineRule="exact"/>
        <w:rPr>
          <w:rFonts w:ascii="Times New Roman" w:cs="Times New Roman" w:eastAsia="Times New Roman" w:hAnsi="Times New Roman"/>
          <w:sz w:val="18"/>
          <w:szCs w:val="18"/>
          <w:color w:val="auto"/>
        </w:rPr>
      </w:pPr>
    </w:p>
    <w:p>
      <w:pPr>
        <w:ind w:left="452" w:right="400" w:hanging="452"/>
        <w:spacing w:after="0" w:line="250"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(recorded in Selling, general and administrative, and Engineering – research and development) related to employee headcount reductions in the second quarter of 2014 and second quarter of 2013.</w:t>
      </w:r>
    </w:p>
    <w:p>
      <w:pPr>
        <w:ind w:left="452" w:right="80" w:hanging="452"/>
        <w:spacing w:after="0" w:line="250"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employee stock compensation expense (recorded in Cost of sales, Selling, general and administrative expenses, and Engineering – research and development).</w:t>
      </w:r>
    </w:p>
    <w:p>
      <w:pPr>
        <w:ind w:left="452" w:hanging="452"/>
        <w:spacing w:after="0"/>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payments (recorded in Engineering – research and development) for licenses to expand our position in transmission technologies.</w:t>
      </w:r>
    </w:p>
    <w:p>
      <w:pPr>
        <w:spacing w:after="0" w:line="9" w:lineRule="exact"/>
        <w:rPr>
          <w:rFonts w:ascii="Times New Roman" w:cs="Times New Roman" w:eastAsia="Times New Roman" w:hAnsi="Times New Roman"/>
          <w:sz w:val="18"/>
          <w:szCs w:val="18"/>
          <w:color w:val="auto"/>
        </w:rPr>
      </w:pPr>
    </w:p>
    <w:p>
      <w:pPr>
        <w:ind w:left="452" w:right="220" w:hanging="452"/>
        <w:spacing w:after="0" w:line="261" w:lineRule="auto"/>
        <w:tabs>
          <w:tab w:leader="none" w:pos="4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tax benefit (recorded in Income tax expense) related to stock-based compensation adjusted from cash flows from operating activities to cash flows from financing activities.</w:t>
      </w:r>
    </w:p>
    <w:p>
      <w:pPr>
        <w:spacing w:after="0" w:line="11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92"/>
          </w:cols>
          <w:pgMar w:left="248" w:top="121"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tables set forth certain financial information for the years ended December 31, 2015 and 2014 and for the years ended December 31, 2014 and 2013. The following tables and discussion should be read in conjunction with the information contained in our consolidated financial statements and the notes thereto included in Part II, Item 8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2015 and 2014</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0" w:type="dxa"/>
            <w:vAlign w:val="bottom"/>
          </w:tcPr>
          <w:p>
            <w:pPr>
              <w:spacing w:after="0"/>
              <w:rPr>
                <w:sz w:val="10"/>
                <w:szCs w:val="10"/>
                <w:color w:val="auto"/>
              </w:rPr>
            </w:pP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Pr>
          <w:p>
            <w:pPr>
              <w:spacing w:after="0"/>
              <w:rPr>
                <w:sz w:val="10"/>
                <w:szCs w:val="10"/>
                <w:color w:val="auto"/>
              </w:rPr>
            </w:pPr>
          </w:p>
        </w:tc>
        <w:tc>
          <w:tcPr>
            <w:tcW w:w="680" w:type="dxa"/>
            <w:vAlign w:val="bottom"/>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Pr>
          <w:p>
            <w:pPr>
              <w:spacing w:after="0"/>
              <w:rPr>
                <w:sz w:val="10"/>
                <w:szCs w:val="10"/>
                <w:color w:val="auto"/>
              </w:rPr>
            </w:pPr>
          </w:p>
        </w:tc>
        <w:tc>
          <w:tcPr>
            <w:tcW w:w="680" w:type="dxa"/>
            <w:vAlign w:val="bottom"/>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1,985.8</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2,127.4</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1,052.0</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1,151.5</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933.8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975.9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317.1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344.6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92.5</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103.8</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name impairment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80.0</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Environmental remediation</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14.0</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associated with impairment of long-lived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1.3</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15.4</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504.9</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428.9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(114.5)</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(138.4)</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Premiums and expenses on tender offer and redemption of long-term</w:t>
            </w:r>
          </w:p>
        </w:tc>
        <w:tc>
          <w:tcPr>
            <w:tcW w:w="80" w:type="dxa"/>
            <w:vAlign w:val="bottom"/>
          </w:tcPr>
          <w:p>
            <w:pPr>
              <w:spacing w:after="0"/>
              <w:rPr>
                <w:sz w:val="17"/>
                <w:szCs w:val="17"/>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(25.3)</w:t>
            </w: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debt</w:t>
            </w:r>
          </w:p>
        </w:tc>
        <w:tc>
          <w:tcPr>
            <w:tcW w:w="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(0.3)</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(5.6)</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(140.1)</w:t>
            </w:r>
          </w:p>
        </w:tc>
        <w:tc>
          <w:tcPr>
            <w:tcW w:w="520" w:type="dxa"/>
            <w:vAlign w:val="bottom"/>
            <w:vMerge w:val="continue"/>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(144.0)</w:t>
            </w:r>
          </w:p>
        </w:tc>
        <w:tc>
          <w:tcPr>
            <w:tcW w:w="520" w:type="dxa"/>
            <w:vAlign w:val="bottom"/>
            <w:vMerge w:val="continue"/>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288.8</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(106.5)</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(139.5)</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228.6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Net sales for the year ended December 31, 2015 were $1,985.8 million compared to $2,127.4 million for the year ended December 31, 2014, a decrease of 7%. The decrease was principally driven by a $55.0 million, or 12%, decrease in net sales of parts and other products principally driven by lower demand for North American service parts, a $46.0 million, or 57%, decrease in net sales of Outside North America off-highway products principally driven by lower demand from the energy and mining sectors, a $45.0 million, or 45%, decrease in net sales of North American off-highway products principally driven by lower demand from hydraulic fracturing applications, a $44.0 million, or 28%, decrease in net sales of defense products driven by lower U.S. defense spending and the recognition of previously deferred revenue in 2014 related to shipment of certain tracked transmissions at the request of the U.S. government, a $20.0 million, or 22%, decrease in net sales of North America hybrid-propulsion systems for transit buses driven by lower demand due to engine emissions improvements and non-hybrid alternatives that generally require a fully-automatic transmission (e.g. xNG), and a $2.0 million, or 1%, decrease in net sales of Outside North America on-highway products principally driven by lower demand in China partially offset by higher demand in Europe, partially offset by a $71.0 million, or 7%, increase in net sales of North American on-highway products principally driven by higher demand from Rugged Duty Series and Highway Series models. See “Trends Impacting Our Business” above for additional information on net sales by end markets.</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Cost of sales for the year ended December 31, 2015 was $1,052.0 million compared to $1,151.5 million for the year ended December 31, 2014, a decrease of 9%. The decrease was principally driven by approximately $59.0 million of decreased direct material costs commensurate with decreased sales, $14.0 million of favorable direct material costs, $7.5 million of lower incentive compensation expense, and lower manufacturing cost commensurate with decreased sales and consistent with historical trends and management’s expectations given the respective change in sales volume.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Gross profit for the year ended December 31, 2015 was $933.8 million compared to $975.9 million for the year ended December 31, 2014, a decrease of 4%. The decrease was principally driven by $93.0 million related to decreased sales volume and $1.0 million of unfavorable foreign exchange, partially offset by $26.0 million of price increases on certain products, $14.0 million of favorable material costs, $7.5 million of lower incentive compensation expense and $5.0 million of lower depreciation expense. Gross profit as a percentage of net sales increased 1%, principally driven by price increases on certain products and favorable material costs.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2015 were $317.1 million compared to $344.6 million for the year ended December 31, 2014, a decrease of 8%. The decrease was principally driven by $9.6 million of lower incentive compensation expense, $4.4 million of lower stock-based compensation expense, a $3.1 million favorable adjustment related to the DPIM extended coverage program, $1.7 million of lower intangible asset amortization and reduced global commercial spending activities.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Engineering — research and development</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Engineering expenses for the year ended December 31, 2015 were $92.5 million compared to $103.8 million for the year ended December 31, 2014, a decrease of 11%. The decrease was principally driven by $5.9 million of lower technology-related license expenses to expand our position in transmission technologies, $4.2 million of lower incentive compensation expense and decreased product initiatives spending.</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Trade name impairment</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During the fourth quarter of 2015, we recorded a trade name impairment charge of $80.0 million as a result of lower forecasted net sales for certain of our end markets. Refer to NOTE 5, “Goodwill and other intangible assets” in Part II, Item 8, of this Annual Report on Form 10-K.</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During the third quarter of 2015, we recorded approximately $14.0 million for environmental remediation expenses as a result of the EPA determining that GM’s environmental remediation activities at our Indianapolis, Indiana manufacturing facilities were complete, and we were assuming responsibility for future operating, monitoring and maintenance activities. Refer to NOTE 17 “Commitments and contingencies” in Part II, Item 8, of this Annual Report on Form 10-K.</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Loss associated with impairment of long-lived assets</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During the first quarter of 2015 and the fourth quarter of 2014, we recorded approximately $1.3 million and $15.4 million, respectively, of losses associated with impairment of certain of our long-lived assets related to the production of the H3000 and H4000 hybrid-propulsion systems.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Interest expense, net for the year ended December 31, 2015 was $114.5 million compared to $138.4 million for the year ended December 31, 2014, a decrease of 17%. The decrease was principally driven by $24.3 million of lower interest expense as a result of the repurchase and redemption of ATI’s</w:t>
      </w:r>
    </w:p>
    <w:p>
      <w:pPr>
        <w:ind w:right="80"/>
        <w:spacing w:after="0" w:line="254" w:lineRule="auto"/>
        <w:rPr>
          <w:sz w:val="20"/>
          <w:szCs w:val="20"/>
          <w:color w:val="auto"/>
        </w:rPr>
      </w:pPr>
      <w:r>
        <w:rPr>
          <w:rFonts w:ascii="Times New Roman" w:cs="Times New Roman" w:eastAsia="Times New Roman" w:hAnsi="Times New Roman"/>
          <w:sz w:val="18"/>
          <w:szCs w:val="18"/>
          <w:color w:val="auto"/>
        </w:rPr>
        <w:t>7.125% Senior Notes during the second quarter of 2015, $18.8 million of lower interest expense as a result of the maturity of $950.0 million of interest rate derivatives, $5.5 million of lower interest expense as a result of debt repayments, $3.9 million of lower interest expense as a result of lower interest rates and $0.9 million of lower amortization of deferred financing charges, partially offset by $17.5 million of unfavorable mark-to-market adjustments for our interest rate derivatives and $11.8 million of higher interest expense as a result of the addition of $470.0 million to ATI’s Term B-3 Loan in April 2015.</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Premiums and expenses on tender offer and redemption of long-term debt</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In April 2015, we completed a cash tender offer to purchase any and all of ATI’s outstanding 7.125% Senior Notes. The tender offer resulted in the repurchase of $420.9 million of the 7.125% Senior Notes in April 2015. In May 2015, we redeemed the remaining $50.4 million of the outstanding 7.125% Senior Notes, resulting in premiums and expenses of $25.3 million for the year ended December 31, 2015.</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Other expense, net for the year ended December 31, 2015 was $0.3 million compared to $5.6 million for the year ended December 31, 2014, a decrease of 95%. The decrease was principally driven by $3.6 million of lower foreign exchange losses on intercompany financing, a $2.9 million gain as a result of a vendor settlement, $2.4 million of gains related to foreign exchange, $2.0 million of 2014 losses on impairment of technology-related investments, $1.4 million of 2014 public offering fees and expenses, and $0.2 million of lower expenses related to debt repayments, partially offset by $2.6 million of 2014 cost-share grant program income, $2.2 million of higher expenses related to unrealized and realized losses on derivative contracts, a $2.0 million 2014 gain related to the negotiation of a commercial agreement and $0.4 million of higher miscellaneous expenses.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Income tax expense for the year ended December 31, 2015 was $106.5 million compared to $139.5 million for the year ended December 31, 2014, resulting in effective tax rates of 37% and 38% for the years ended December 31, 2015 and 2014,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2014 and 2013</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0" w:type="dxa"/>
            <w:vAlign w:val="bottom"/>
          </w:tcPr>
          <w:p>
            <w:pPr>
              <w:spacing w:after="0"/>
              <w:rPr>
                <w:sz w:val="10"/>
                <w:szCs w:val="10"/>
                <w:color w:val="auto"/>
              </w:rPr>
            </w:pP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Pr>
          <w:p>
            <w:pPr>
              <w:spacing w:after="0"/>
              <w:rPr>
                <w:sz w:val="10"/>
                <w:szCs w:val="10"/>
                <w:color w:val="auto"/>
              </w:rPr>
            </w:pPr>
          </w:p>
        </w:tc>
        <w:tc>
          <w:tcPr>
            <w:tcW w:w="660" w:type="dxa"/>
            <w:vAlign w:val="bottom"/>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Pr>
          <w:p>
            <w:pPr>
              <w:spacing w:after="0"/>
              <w:rPr>
                <w:sz w:val="10"/>
                <w:szCs w:val="10"/>
                <w:color w:val="auto"/>
              </w:rPr>
            </w:pPr>
          </w:p>
        </w:tc>
        <w:tc>
          <w:tcPr>
            <w:tcW w:w="680" w:type="dxa"/>
            <w:vAlign w:val="bottom"/>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7"/>
              </w:rPr>
              <w:t>of net sales</w:t>
            </w: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2,127.4</w:t>
            </w:r>
          </w:p>
        </w:tc>
        <w:tc>
          <w:tcPr>
            <w:tcW w:w="54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1,926.8</w:t>
            </w:r>
          </w:p>
        </w:tc>
        <w:tc>
          <w:tcPr>
            <w:tcW w:w="5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1,151.5</w:t>
            </w:r>
          </w:p>
        </w:tc>
        <w:tc>
          <w:tcPr>
            <w:tcW w:w="54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1,084.9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54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54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334.9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54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97.1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associated with impairment of long-lived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54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5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5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54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409.9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(138.4)</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(132.9)</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(5.6)</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(144.0)</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(143.8)</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(139.5)</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(100.7)</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540" w:type="dxa"/>
            <w:vAlign w:val="bottom"/>
            <w:vMerge w:val="continue"/>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54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Net sales for the year ended December 31, 2014 were $2,127.4 million compared to $1,926.8 million for the year ended December 31, 2013, an increase of 10%. The increase was principally driven by a $163.0 million, or 20%, increase in net sales of North American on-highway products principally driven by higher demand from Rugged Duty Series and Pupil Transport/Shuttle Series models, a $69.0 million, or 18%, increase in net sales of parts and other products principally driven by higher demand for North American service parts and support equipment commensurate with increased transmission unit volumes, and a $61.0 million, or 156%, increase in net sales of North American off-highway products principally driven by higher demand from hydraulic fracturing applications, partially offset by a $45.0 million, or 22%, decrease in net sales of defense products due to lower U.S. defense spending, a $29.0 million, or 10%, decrease in net sales of Outside North America on-highway products principally driven by weakness in Europe and Asia, a $12.0 million, or 11%, decrease in net sales of North America hybrid-propulsion systems for transit buses principally driven by lower demand due to engine emissions improvements and non-hybrid alternatives (e.g. xNG), and a $7.0 million, or 8%, decrease in net sales of Outside North America off-highway products principally driven by lower demand from the energy sector. See “Trends Impacting Our Business” above for additional information on net sales by end markets.</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Cost of sales for the year ended December 31, 2014 was $1,151.5 million compared to $1,084.9 million for the year ended December 31, 2013, an increase of 6%. The increase was principally driven by $45.3 million related to increased direct material costs, $17.3 million of higher overhead costs and $4.0 million of higher direct labor costs, in each case commensurate with increased sales volume and consistent with historical trends for these three cost of sales components. The increase in each of these cost of sales components was consistent with historical trends and management’s expectations given the respective change in sales volume.</w:t>
      </w:r>
    </w:p>
    <w:p>
      <w:pPr>
        <w:sectPr>
          <w:pgSz w:w="11900" w:h="16838" w:orient="portrait"/>
          <w:cols w:equalWidth="0" w:num="1">
            <w:col w:w="11420"/>
          </w:cols>
          <w:pgMar w:left="240" w:top="455"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Gross profit for the year ended December 31, 2014 was $975.9 million compared to $841.9 million for the year ended December 31, 2013, an increase of 16%. The increase was principally driven by $122.0 million related to increased net sales, $20.0 million of price increases on certain products and $3.0 million of favorable foreign exchange, partially offset by $5.8 million of higher incentive compensation expense and $5.2 million of higher manufacturing expense commensurate with increased net sales. Gross profit as a percent of net sales increased by 2%. This increase was principally driven by increased net sales and price increases on certain products.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2014 were $344.6 million compared to $334.9 million for the year ended December 31, 2013, an increase of 3%. The increase was principally driven by $7.1 million of higher incentive compensation expense, increased global commercial spending activities, a $2.4 million favorable adjustment in 2013 related to the DPIM extended coverage program and a $1.0 million unfavorable adjustment in 2014 related to the DPIM extended coverage program, partially offset by $6.5 million of lower intangible asset amortization.</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Engineering — research and development</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Engineering expenses for the year ended December 31, 2014 were $103.8 million compared to $97.1 million for the year ended December 31, 2013, an increase of 7%. The increase was principally driven by increased spending on product initiatives and $2.7 million of higher incentive compensation expense.</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Loss associated with impairment of long-lived assets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During 2014, we reviewed certain of our long-lived assets related to the production of the H3000 and H4000 hybrid-propulsion systems, resulting in a $15.4 million loss recorded for the year ended December 31, 2014. The loss included approximately $1.7 million of accrued expenses related to the impairment of the long-lived assets.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Interest expense, net for the year ended December 31, 2014 was $138.4 million compared to $132.9 million for the year ended December 31, 2013, an increase of 4%. The increase was principally driven by $30.8 million of less favorable mark-to-market adjustments for interest rate derivatives, partially offset by $12.3 million of lower interest expense as a result of the maturity of $950.0 million of interest rate derivatives, $5.2 million of lower interest expense as a result of debt repayments, $4.7 million of lower interest expense related to lower interest rates and $2.8 million of lower amortization of deferred financing fees.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Other expense, net for the year ended December 31, 2014 was $5.6 million compared to $10.9 million for the year ended December 31, 2013, a decrease of 49%. The decrease in expense was principally driven by $4.5 million of lower expenses related to unrealized and realized losses on derivative contracts, $3.0 million of lower technology-related investment impairment expense, a $2.0 million gain related to the negotiation of a commercial agreement, $1.4 million of lower expenses related to foreign exchange losses, $0.3 million of lower expenses related to debt repayments, and $0.2 million of lower public offering fees and expenses, partially offset by $3.1 million of increased foreign exchange losses on intercompany financing, $2.6 million of lower grant program income and $0.4 million of lower miscellaneous income.</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Income tax expense for the year ended December 31, 2014 was $139.5 million compared to $100.7 million for the year ended December 31, 2013, resulting in an effective tax rate of 38% for each of the years ended December 31, 2014 and December 31, 2013.</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$251.6 million and $263.0 million as of December 31, 2015 and 2014, respectively. Of the available cash and cash equivalents, approximately $151.6 million and $208.0 million were deposited in operating accounts while approximately $100.0 million and $55.0 million were invested in U.S. government backed securities as of December 31, 2015 and 2014, respectively.</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2015, the total of cash and cash equivalents held by foreign subsidiaries was $32.4 million, the majority of which was located in China, Europe and India.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anticipate any local liquidity restrictions to preclude us from funding our targeted expectations or operating needs with local resources.</w:t>
      </w:r>
    </w:p>
    <w:p>
      <w:pPr>
        <w:spacing w:after="0" w:line="180"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If we distribute our foreign cash balance to the U.S. or to other foreign subsidiaries, we could be required to accrue and pay U.S. taxes. For example, we would be required to accrue and pay additional U.S. taxes if we repatriate cash from certain foreign subsidiaries whose earnings we have asserted are permanently reinvested outside of the U.S. Foreign earnings for which we assert permanent reinvestment outside the U.S. consists primarily of earnings of our Europe and China subsidiaries. We currently do not foresee a need to repatriate earnings from these subsidiaries for which we have asserted permanent reinvestment.</w:t>
      </w:r>
    </w:p>
    <w:p>
      <w:pPr>
        <w:spacing w:after="0" w:line="18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Our liquidity requirements are significant, primarily due to our debt service requirements. In March 2015, we commenced a cash tender offer to purchase ATI’s outstanding 7.125% Senior Notes. The total principal amount accepted for purchase in April 2015 was $420.9 million. In April 2015, we also entered into an amendment with the term loan lenders under our Senior Secured Credit Facility to add an additional $470.0 million of term loans under the Term B-3 Loan. A portion of the proceeds from the addition to the Term B-3 Loan was used to purchase $420.9 million of the tendered 7.125% Senior Notes plus accrued and unpaid interest, applicable premiums and expenses. The purchase resulted in a loss (the premium between the purchase price of the notes and the face value of such notes) of $22.7 million including deferred financing fees written off. In May 2015, we redeemed the remaining $50.4 million of outstanding 7.125% Senior Notes, at the redemption price equal to 103.563% of the principal amount plus any accrued and unpaid interest, using the remaining proceeds from the additional term loans and cash on hand, resulting in a loss (the premium between the purchase price of the notes and the face value of such notes) of $2.4 million including deferred financing fees written off.</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November 2015, we entered into an amendment with the term loan lenders under our Senior Secured Credit Facility to refinance $189.0 million of the Senior Secured Credit Facility Term B-2 Loan due 2017 replacing it with an additional $189.0 million of term loan under the Term B-3 Loan. This addition to the Term B-3 Loan increased the debt maturity from August 2017 to August 2019 and the applicable interest rate margin at our option, is either (a) 2.50% over the LIBOR (which may not be less than 1.00%) or (b) 1.50% over the greater of the prime lending rate provided by the British Banking Association or the federal funds effective rate published by the Federal Reserve Bank of New York. As of December 31, 2015, the interest rate was approximately 3.50% on the Term B-3 Loan. The November 2015 amendment was treated as a modification of debt under GAAP, and thus we expensed $0.3 million of deferred financing fees and recorded $1.3 million of new deferred financing fees in the consolidated financial statements.</w:t>
      </w:r>
    </w:p>
    <w:p>
      <w:pPr>
        <w:spacing w:after="0" w:line="18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2015, we had $2,402.8 million of indebtedness, all of which was associated with our Term B-3 Loan.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principal payments of $116.5 million, $157.6 million and $142.4 million on our long-term debt for the years ended December 31, 2015, 2014 and 2013, respectively.</w:t>
      </w:r>
    </w:p>
    <w:p>
      <w:pPr>
        <w:spacing w:after="0" w:line="18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also provides for $465.0 million in revolving credit borrowings, net of an allowance for up to $75.0 million in outstanding letters of credit commitments. As of December 31, 2015, we had no outstanding borrowings on our revolving credit facility. Additionally within the terms of the Senior Secured Credit Facility, a senior secured leverage ratio at or below 3.50x results in the elimination of excess cash flow payments on the Senior Secured Credit Facility for the applicable year. The Senior Secured Credit Facility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A total leverage ratio at or below 3.25x results in a 25 basis point reduction to the applicable margin on our Term B-3 Loan. These reductions would remain in effect as long as we achieve a total leverage ratio at or below the related threshold. As of December 31, 2015, the total leverage ratio was 2.99x.</w:t>
      </w:r>
    </w:p>
    <w:p>
      <w:pPr>
        <w:spacing w:after="0" w:line="18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addition to the maximum total senior secured leverage ratio for the revolving portion of the Senior Secured Credit Facility, the Senior Secured Credit Facility includes, among other things, customary restrictions (subject to certain exceptions) on our ability to incur certain indebtedness or liens, make certain investments, declare or pay certain dividends or repurchase shares of our common stock. As of December 31, 2015, we are in compliance with all covenants under the Senior Secured Credit Facility.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Our credit ratings are reviewed regularly by major debt ratings agencies such as Standard and Poor’s, Moody’s Investors Service and Fitch Ratings. In March 2015, Standard and Poor’s raised our corporate rating to ‘BB’ from ‘BB-’ and assigned ‘BB+’ to the incremental Term B-3 Loan. Moody’s raised our corporate rating to ‘Ba2’ from ‘Ba3’ and assigned ‘Ba2’ to the incremental Term B-3 Loan. In August 2015, Fitch ratings assigned ‘BB’ to the incremental Term B-3 Loan and raised our corporate rating to ‘BB+’ from ‘BB’.</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October 30, 2014, our Board of Directors authorized us to purchase up to $500.0 million of our common stock under a stock repurchase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During 2015, we repurchased approximately $305.8 million of our common stock under the Repurchase Program. All of the repurchase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2015 were settled in cash during the same period.</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sources and uses of funds for the years ended December 31, 2015, 2014 and 2013 (in millions):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Statement of Cash Flows Data</w:t>
            </w:r>
          </w:p>
        </w:tc>
        <w:tc>
          <w:tcPr>
            <w:tcW w:w="1980" w:type="dxa"/>
            <w:vAlign w:val="bottom"/>
          </w:tcPr>
          <w:p>
            <w:pPr>
              <w:spacing w:after="0"/>
              <w:rPr>
                <w:sz w:val="15"/>
                <w:szCs w:val="15"/>
                <w:color w:val="auto"/>
              </w:rPr>
            </w:pPr>
          </w:p>
        </w:tc>
        <w:tc>
          <w:tcPr>
            <w:tcW w:w="274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9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$ 579.9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$ 573.3</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for investing activities</w:t>
            </w:r>
          </w:p>
        </w:tc>
        <w:tc>
          <w:tcPr>
            <w:tcW w:w="2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(59.7)</w:t>
            </w: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(67.9)</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for financing activities</w:t>
            </w:r>
          </w:p>
        </w:tc>
        <w:tc>
          <w:tcPr>
            <w:tcW w:w="2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(528.7)</w:t>
            </w:r>
          </w:p>
        </w:tc>
        <w:tc>
          <w:tcPr>
            <w:tcW w:w="1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(424.1)</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2015 and 2014, we had approximately $97.4 million and $253.3 million, respectively, of net operating loss carryforwards for U.S. federal income tax purposes. If we continue to generate taxable income, we expect to utilize the remaining U.S. federal net operating loss carryforwards by the end of 2016.</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Operating activities for the year ended December 31, 2015 generated $579.9 million of cash compared to $573.3 million for the year ended December 31, 2014. The increase was principally driven by lower cash interest expense, lower accounts receivable commensurate with decreased net sales, and decreased excess tax benefit from stock-based compensation, partially offset by lower accounts payable, lower other liabilities, net, and higher inventories.</w:t>
      </w:r>
    </w:p>
    <w:p>
      <w:pPr>
        <w:spacing w:after="0" w:line="176"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Operating activities for the year ended December 31, 2014 generated $573.3 million of cash compared to $463.5 million for the year ended December 31, 2013. The increase was principally driven by increased net sales, lower inventories, lower cash interest expense and higher other liabilities, net, partially offset by higher accounts receivable commensurate with increased net sales and increased excess tax benefit from stock-based compensation.</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used for investing activities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Investing activities for the year ended December 31, 2015 used $59.7 million of cash compared to $67.9 million for the year ended December 31, 2014. The decrease was principally driven by a decrease of $6.0 million in capital expenditures and a decrease of $3.9 million in investments in technology-related initiatives. The decrease in capital expenditures was principally driven by lower product initiatives spending.</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Investing activities for the year ended December 31, 2014 used $67.9 million of cash compared to $81.5 million for the year ended December 31, 2013. The decrease was principally driven by a decrease of $10.3 million in capital expenditures and a decrease of $3.0 million in investments in technology-related initiatives. The decrease in capital expenditures was principally driven by lower product initiatives spending, partially offset by increased investments in productivity and replacement programs.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used for financing activities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Financing activities for the year ended December 31, 2015 used $528.7 million of cash compared to $424.1 million for the year ended December 31, 2014. The increase was principally driven by $56.0 million related to increased repurchases of our common stock, $36.7 million of decreased proceeds from the exercise of stock options, $16.2 million of decreased excess tax benefit from stock based compensation, $14.0 million of increased dividend payments and $8.1 million of increased debt financing fees, partially offset by $19.9 million of decreased payments related to our long-term debt and $6.5 million of lower taxes paid related to net share settlement of equity awards.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Financing activities for the year ended December 31, 2014 used $424.1 million of cash compared to $277.5 million for the year ended December 31, 2013. The increase was principally driven by $150.3 million related to increased repurchases of our common stock in connection with the June 2014 and February 2014 secondary offerings by investment funds affiliated with the Carlyle Group and Onex Corporation (together, the “Sponsors”), $15.2 million of increased payments on the Senior Secured Credit Facility, $14.5 million of increased dividend payments and $4.8 million of higher taxes paid related to net share settlement of equity awards, partially offset by $14.0 million of decreased debt financing fees, $13.3 million of increased proceeds from the exercise of stock options and $10.9 million of increased excess tax benefit from stock based compensation.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Contingent Liabilities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2015 (dollars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980" w:type="dxa"/>
            <w:vAlign w:val="bottom"/>
            <w:gridSpan w:val="2"/>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240" w:type="dxa"/>
            <w:vAlign w:val="bottom"/>
          </w:tcPr>
          <w:p>
            <w:pPr>
              <w:spacing w:after="0"/>
              <w:rPr>
                <w:sz w:val="10"/>
                <w:szCs w:val="10"/>
                <w:color w:val="auto"/>
              </w:rPr>
            </w:pPr>
          </w:p>
        </w:tc>
        <w:tc>
          <w:tcPr>
            <w:tcW w:w="860" w:type="dxa"/>
            <w:vAlign w:val="bottom"/>
            <w:gridSpan w:val="2"/>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3-5</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48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5"/>
                <w:szCs w:val="15"/>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Facility(1)</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$2,732.4</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$213.8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$2,410.4</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&amp; OPEB liabilities(2)</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13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see (2) below</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Total(3)</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2,786.9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233.2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2,429.1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460" w:right="100" w:hanging="452"/>
        <w:spacing w:after="0" w:line="257"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Credit Facility includes principal payments and estimated interest payments excluding the effects of our interest rate swaps. Interest on the Term B-3 Loan is equal to the LIBOR (which may not be less than 1.00%) plus 2.50% based on our total leverage ratio, resulting in an applied rate of 3.5%. Actual payments will vary.</w:t>
      </w:r>
    </w:p>
    <w:p>
      <w:pPr>
        <w:spacing w:after="0" w:line="1"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pension funding and post-retirement benefit payments are based on an increasing discount rate and effective interest rate for funding purposes between 4.5% - 5.3%. Pension funding and post-retirement benefit payments are excluded from the table beyond year 5, though we expect funding and payments to continue beyond year 5. See NOTE 13 of Notes to Consolidated Financial Statements included in Part II, Item 8, of this Annual Report on Form 10-K for the funding status of our pension plans and other post-retirement plan as of December 31, 2015.</w:t>
      </w:r>
    </w:p>
    <w:p>
      <w:pPr>
        <w:spacing w:after="0" w:line="1" w:lineRule="exact"/>
        <w:rPr>
          <w:rFonts w:ascii="Times New Roman" w:cs="Times New Roman" w:eastAsia="Times New Roman" w:hAnsi="Times New Roman"/>
          <w:sz w:val="18"/>
          <w:szCs w:val="18"/>
          <w:color w:val="auto"/>
        </w:rPr>
      </w:pPr>
    </w:p>
    <w:p>
      <w:pPr>
        <w:ind w:left="460" w:right="380" w:hanging="452"/>
        <w:spacing w:after="0" w:line="261"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warranty obligations, sales allowance programs and defense price reduction reserves, which total $78.3 million, $24.3 million and $55.1 million, respectively, as of December 31, 2015 have been excluded from this table as timing of any payments are uncertain.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Accounting Estimates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have affected our earnings by approximately $5.0 million to $7.0 million per year for each of the prior three fiscal years.</w:t>
      </w:r>
    </w:p>
    <w:p>
      <w:pPr>
        <w:spacing w:after="0" w:line="18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Under terms of the U.S. government contracts, there are certain price reduction clauses and provisions for potential price reductions which are estimated at the time of sale based upon history and experience, and finalized after completion of U.S. government audits. Potential reductions may be attributed to a change in projected sales volumes or plant efficiencies which impact overall costs. Assuming our current level of government contracts, a 10% adjustment in our price reduction reserve, would have affected our earnings by approximately $5.0 million to $6.0 million per year for each of the prior three fiscal years.</w:t>
      </w:r>
    </w:p>
    <w:p>
      <w:pPr>
        <w:spacing w:after="0" w:line="184" w:lineRule="exact"/>
        <w:rPr>
          <w:sz w:val="20"/>
          <w:szCs w:val="20"/>
          <w:color w:val="auto"/>
        </w:rPr>
      </w:pPr>
    </w:p>
    <w:p>
      <w:pPr>
        <w:ind w:right="920" w:firstLine="456"/>
        <w:spacing w:after="0" w:line="282" w:lineRule="auto"/>
        <w:rPr>
          <w:sz w:val="20"/>
          <w:szCs w:val="20"/>
          <w:color w:val="auto"/>
        </w:rPr>
      </w:pPr>
      <w:r>
        <w:rPr>
          <w:rFonts w:ascii="Times New Roman" w:cs="Times New Roman" w:eastAsia="Times New Roman" w:hAnsi="Times New Roman"/>
          <w:sz w:val="18"/>
          <w:szCs w:val="18"/>
          <w:color w:val="auto"/>
        </w:rPr>
        <w:t>Further information is provided in NOTE 2 to the consolidated financial statements in our Annual Report on Form 10-K for the year ended December 31, 2015.</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which is the same as our one operating and reportable segment. We have elected to perform our annual impairment test on October 31 of every year. A multi-step impairment test is performed on goodwill.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of our reporting unit to our carrying value including goodwill. If the fair value of the reporting unit exceeds the carrying value of the net assets assigned to that unit, goodwill is not considered impaired, and we are not required to perform further testing. If the carrying value of the net assets assigned to the reporting unit exceeds the fair value of the reporting unit, then we must perform Step 2 of the impairment test in order to determine the implied fair value of the reporting unit’s goodwill. If the carrying value of a reporting unit’s goodwill exceeds its implied fair value, then we would record an impairment loss equal to the difference.</w:t>
      </w:r>
    </w:p>
    <w:p>
      <w:pPr>
        <w:spacing w:after="0" w:line="189" w:lineRule="exact"/>
        <w:rPr>
          <w:sz w:val="20"/>
          <w:szCs w:val="20"/>
          <w:color w:val="auto"/>
        </w:rPr>
      </w:pPr>
    </w:p>
    <w:p>
      <w:pPr>
        <w:ind w:right="500" w:firstLine="456"/>
        <w:spacing w:after="0" w:line="266" w:lineRule="auto"/>
        <w:rPr>
          <w:sz w:val="20"/>
          <w:szCs w:val="20"/>
          <w:color w:val="auto"/>
        </w:rPr>
      </w:pPr>
      <w:r>
        <w:rPr>
          <w:rFonts w:ascii="Times New Roman" w:cs="Times New Roman" w:eastAsia="Times New Roman" w:hAnsi="Times New Roman"/>
          <w:sz w:val="18"/>
          <w:szCs w:val="18"/>
          <w:color w:val="auto"/>
        </w:rPr>
        <w:t>Our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quantitative analysis contains uncertainties because it is performed utilizing a discounted cash flow model which includes key assumptions, such as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76"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Events or circumstances that could unfavorably impact the key assumptions include lower net sales driven by market conditions, our inability to execute on marketing programs and/or a delay in the introduction of new products, lower gross margins as a result of market conditions or failure to obtain forecasted cost reductions, or a higher discount rate as a result of market conditions.</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Goodwill impairment testing for 2015 was performed by assessing certain qualitative trends and factors. These trends and factors were compared to, and based on, the assumptions used in prior years. After reviewing the various qualitative factors mentioned above, our 2015 annual goodwill impairment test indicated that the fair value of the reporting unit more likely than not exceeded its carrying value, indicating no impairment.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Other intangible assets have both indefinite and finite useful lives. Intangible assets with indefinite useful lives, such as our trade name, are not amortized but are tested annually for impairment. We have elected to perform our annual trade name impairment test on October 31 of every year and follow a similar multi-step impairment test that is performed on goodwill. Events or circumstances that could unfavorably impact the key assumptions include lower net sales driven by market conditions, our inability to execute on marketing programs and/or a delay in introduction of new products, and higher discount rate as a result of market conditions. While unpredictable and inherently uncertain, we believe the forecast estimates are reasonable and incorporate those assumptions that similar market participants would use in their estimates of fair value. After reviewing the various qualitative factors mentioned above, our annual 2015 trade name impairment test, as of October 31, 2015, indicated that the fair value of our trade name more likely than not exceeded the respective carrying value, indicating no impairment. However, late in the fourth quarter of 2015, we obtained updated market data showing a further decline in forecasted net sales for certain of our end markets. As a result of the new market data and revised near term and long term forecasts, we completed a Step 1 analysis for the trade name to assess the impact of these changes on its fair value. We performed a quantitative analysis to compare the fair value of trade name to the carrying value of the trade name primarily using the relief–from-royalty method under the income valuation approach consistent with prior years. Significant assumptions used to determine fair value under the relief–from-royalty method include forecasted net sales, royalty rates and a discount rate to be applied to the forecasted net sales. The estimated fair value of the trade name, as of December 31, 2015, was approximately $790.0 million versus a carrying amount of $870.0 million, resulting in a trade name impairment of $80.0 million as of December 31, 2015. The trade name impairment did not result in any other charges to goodwill, other intangible assets or long-lived assets.</w:t>
      </w:r>
    </w:p>
    <w:p>
      <w:pPr>
        <w:spacing w:after="0" w:line="19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and reviewed for impairment when circumstances change that would create a triggering event. Assumptions and estimates about future values and remaining useful lives of our intangible and other long-lived assets are complex and subjective. They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w:t>
      </w:r>
    </w:p>
    <w:p>
      <w:pPr>
        <w:spacing w:after="0" w:line="184"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Further information is provided in NOTE 2 and NOTE 5 to the consolidated financial statements in our Annual Report on Form 10-K for the year ended December 31, 2015.</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84"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a result of events and circumstances in the fourth quarter of 2014, we reviewed certain of our long-lived assets related to the production of the H3000 and H4000 hybrid-propulsion systems, resulting in a $15.4 million loss recorded for the year ended December 31, 2014. The loss, determined by using future net discounted cash flows, included approximately $1.7 million of accrued expenses related to the impairment of the long-lived assets. We also recorded $1.3 million loss during the first quarter of 2015. Deteriorating market conditions for hybrid-propulsion vehicles, principally as a result of decreased fuel costs, alternative fuels and other technologies, significantly contributed to the future cash flows of the related assets being less than the carrying value of those assets.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expenses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 recover certain costs from our suppliers and record a receivable from the supplier when we believe a recovery is probable. Warranty costs may differ from those estimated if actual claim rates are higher or lower than our historical rates. Further information is provided in NOTE 9 to our consolidated financial statements in our Annual Report on Form 10-K for the year ended December 31, 2015 which contains a summary of the activity in our warranty liability account for 2015 and 2014 including adjustments to pre-existing warranties.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Benefit Plans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 change in the discount rate can have a significant impact on determining our benefit obligations. Our current discount rate is determined by matching the plans’ projected cash flows to a yield curve based on long-term, fixed income debt instruments available as of the measurement date of December 31, 2015. The effect of a one percentage point decrease in the assumed discount rate would result in an increase in the December 31, 2015 defined benefit pension plans obligation of approximately $21.1 million. Similarly, a one percentage point decrease in the assumed discount rate would result in an increase in the December 31, 2015 OPEB obligation of approximately $28.0 million.</w:t>
      </w:r>
    </w:p>
    <w:p>
      <w:pPr>
        <w:spacing w:after="0" w:line="184" w:lineRule="exact"/>
        <w:rPr>
          <w:sz w:val="20"/>
          <w:szCs w:val="20"/>
          <w:color w:val="auto"/>
        </w:rPr>
      </w:pPr>
    </w:p>
    <w:p>
      <w:pPr>
        <w:ind w:right="840" w:firstLine="456"/>
        <w:spacing w:after="0" w:line="282" w:lineRule="auto"/>
        <w:rPr>
          <w:sz w:val="20"/>
          <w:szCs w:val="20"/>
          <w:color w:val="auto"/>
        </w:rPr>
      </w:pPr>
      <w:r>
        <w:rPr>
          <w:rFonts w:ascii="Times New Roman" w:cs="Times New Roman" w:eastAsia="Times New Roman" w:hAnsi="Times New Roman"/>
          <w:sz w:val="18"/>
          <w:szCs w:val="18"/>
          <w:color w:val="auto"/>
        </w:rPr>
        <w:t>Further information is provided in NOTE 13 to the consolidated financial statements in our Annual Report on Form 10-K for the year ended December 31, 2015, which contains our review on various actuarial assumptions.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Excluding net operating loss carryforwards, our expected tax payments would have increased by approximately $58.0 million for the year ended December 31, 2015. If we continue to generate taxable income, we expect to utilize the remaining U.S. federal net operating loss carryforwards by the end of 2016.</w:t>
      </w:r>
    </w:p>
    <w:p>
      <w:pPr>
        <w:spacing w:after="0" w:line="17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84"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2015, we early adopted the FASB’s authoritative accounting guidance on a retrospective basis to classify all deferred tax assets and liabilities, along with any related valuation allowance, as noncurrent on the balance sheet. Further information on income taxes is provided in NOTE 15 to the consolidated financial statements in our Annual Report on Form 10-K for the year ended December 31,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in Part II, Item 8, of this Annual Report on Form 10-K.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exposure to market risk consists of changes in interest rates, foreign currency rate fluctuations and movements in commodity prices.</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$2,863.8 million including $461.0 million under our revolving credit facility, net of $4.0 million of letters of credit. A one-eighth percent change in assumed interest rates for the Senior Secured Credit Facility, if fully drawn, as of December 31, 2015 would have an impact of approximately $0.6 million on interest expense assuming the 1.00% LIBOR floor is in effect for our Term B-3 Loan. Should LIBOR exceed 1.00%, a one-eighth percent change in assumed interest rates for the Senior Secured Credit Facility, if fully drawn, as of December 31, 2015 would have an impact of approximately $3.6 million on interest expense. As of December 31, 2015, we had no outstanding borrowings against the revolving credit facility.</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time to time, we enter into interest rate swap agreements to hedge our variable interest rate debt. Below is a list of our interest rate swaps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00" w:type="dxa"/>
            <w:vAlign w:val="bottom"/>
          </w:tcPr>
          <w:p>
            <w:pPr>
              <w:spacing w:after="0"/>
              <w:rPr>
                <w:sz w:val="13"/>
                <w:szCs w:val="1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LIBOR</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460" w:type="dxa"/>
            <w:vAlign w:val="bottom"/>
            <w:vMerge w:val="restart"/>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CCEEFF"/>
            </w:tcBorders>
            <w:vMerge w:val="continue"/>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Barclays</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M</w:t>
            </w: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JP Morgan</w:t>
            </w:r>
          </w:p>
        </w:tc>
        <w:tc>
          <w:tcPr>
            <w:tcW w:w="19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N</w:t>
            </w:r>
          </w:p>
        </w:tc>
        <w:tc>
          <w:tcPr>
            <w:tcW w:w="172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8"/>
              </w:rPr>
              <w:t>Bank of America</w:t>
            </w:r>
          </w:p>
        </w:tc>
        <w:tc>
          <w:tcPr>
            <w:tcW w:w="196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O</w:t>
            </w: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Deutsche Bank</w:t>
            </w:r>
          </w:p>
        </w:tc>
        <w:tc>
          <w:tcPr>
            <w:tcW w:w="19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75.0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P</w:t>
            </w:r>
          </w:p>
        </w:tc>
        <w:tc>
          <w:tcPr>
            <w:tcW w:w="172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8"/>
              </w:rPr>
              <w:t>Barclays</w:t>
            </w:r>
          </w:p>
        </w:tc>
        <w:tc>
          <w:tcPr>
            <w:tcW w:w="196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Q</w:t>
            </w: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Barclays</w:t>
            </w:r>
          </w:p>
        </w:tc>
        <w:tc>
          <w:tcPr>
            <w:tcW w:w="19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R</w:t>
            </w:r>
          </w:p>
        </w:tc>
        <w:tc>
          <w:tcPr>
            <w:tcW w:w="172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rPr>
              <w:t>Deutsche Bank</w:t>
            </w:r>
          </w:p>
        </w:tc>
        <w:tc>
          <w:tcPr>
            <w:tcW w:w="196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S</w:t>
            </w: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Deutsche Bank</w:t>
            </w:r>
          </w:p>
        </w:tc>
        <w:tc>
          <w:tcPr>
            <w:tcW w:w="19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T</w:t>
            </w:r>
          </w:p>
        </w:tc>
        <w:tc>
          <w:tcPr>
            <w:tcW w:w="17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Bank of America</w:t>
            </w:r>
          </w:p>
        </w:tc>
        <w:tc>
          <w:tcPr>
            <w:tcW w:w="196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U</w:t>
            </w: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Fifth Third Bank</w:t>
            </w:r>
          </w:p>
        </w:tc>
        <w:tc>
          <w:tcPr>
            <w:tcW w:w="19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V</w:t>
            </w:r>
          </w:p>
        </w:tc>
        <w:tc>
          <w:tcPr>
            <w:tcW w:w="172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Fifth Third Bank</w:t>
            </w:r>
          </w:p>
        </w:tc>
        <w:tc>
          <w:tcPr>
            <w:tcW w:w="196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W</w:t>
            </w: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Fifth Third Bank</w:t>
            </w:r>
          </w:p>
        </w:tc>
        <w:tc>
          <w:tcPr>
            <w:tcW w:w="19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25.0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X</w:t>
            </w:r>
          </w:p>
        </w:tc>
        <w:tc>
          <w:tcPr>
            <w:tcW w:w="17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Huntington Bank</w:t>
            </w:r>
          </w:p>
        </w:tc>
        <w:tc>
          <w:tcPr>
            <w:tcW w:w="196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includes LIBOR floor of 1.00%</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We are exposed to increased interest expense if a counterparty defaults. Refer to NOTE 7 and NOTE 8 of Notes to Consolidated Financial Statements included in Part II, Item 8, of this Annual Report on Form 10-K.</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 During 2015, we held hedging contracts in Japanese Yen, which were intended to hedge either known or forecasted cash flow payments denominated in the currency. We do not hold financial instruments for trading or speculative purposes.</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Assuming current levels of foreign currency transactions, a 10% aggregate increase or decrease in the Japanese Yen, Euro, Indian Rupee, Chinese Yuan Renminbi and Canadian Dollar would correspondingly change our earnings by an estimated $3 million per year. This includes the partial offset of our hedging contracts described above. All other exposure to foreign currencies is considered immaterial.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commodity swaps that are intended to hedge forecasted aluminum purchases. Based on our forecasted demand for 2016 and 2017, as of December 31, 2015, the hedge contracts cover approximately 32% and 23% of our aluminum requirements, respectively. We do not hold financial instruments for trading or speculative purposes.</w:t>
      </w:r>
    </w:p>
    <w:p>
      <w:pPr>
        <w:spacing w:after="0" w:line="18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Assuming current levels of commodity purchases, a 10% increase or decrease in the price of aluminum and steel would correspondingly change our earnings by approximately $1 million and $3 million per year, respectively. This includes the partial offset of our hedging contracts described above.</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Many of our LTSAs have incorporated a cost-sharing arrangement related to potential future commodity price fluctuations. Our hedging policy is that we hedge our exposure and do not hedge any portion of the customers’ exposure. For purposes of the sensitivity analysis above, the impact of these cost sharing arrangements has not been included.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Allison Transmission Holdings, Inc.</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accompanying consolidated balance sheets and the related consolidated statements of comprehensive income, of stockholders’ equity and of cash flows present fairly, in all material respects, the financial position of Allison Transmission Holdings, Inc. and its subsidiaries at December 31, 2015 and December 31, 2014, and the results of their operations and their cash flows for each of the three years in the period ended December 31, 2015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classifies deferred taxes and deferred financing costs in 2015.</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2016</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 net of allowance for doubtful accounts of $0.4 and $0.3, respectively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28.8</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616.8</w:t>
            </w: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479.7</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1,941.0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34.2</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4,408.4</w:t>
            </w: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126.2</w:t>
            </w:r>
          </w:p>
        </w:tc>
        <w:tc>
          <w:tcPr>
            <w:tcW w:w="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24.5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345.9</w:t>
            </w: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18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53.4</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2,352.7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248.1</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3,219.8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3,258.4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17)</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1,880,000,000 shares authorized, 171,157,004 shares issued and outstanding and</w:t>
            </w:r>
          </w:p>
        </w:tc>
        <w:tc>
          <w:tcPr>
            <w:tcW w:w="1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179,488,247 shares issued and outstanding, respectively</w:t>
            </w:r>
          </w:p>
        </w:tc>
        <w:tc>
          <w:tcPr>
            <w:tcW w:w="1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Non-voting common stock, $0.01 par value, 20,000,000 shares authorized, none issued and outstanding</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none issued and outstanding</w:t>
            </w: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Paid in capital</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1,690.2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(444.5)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(58.8)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1,188.6</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4,408.4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1,985.8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2,127.4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1,052.0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1,151.5</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933.8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317.1</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344.6</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Trade name impairment (see NOTE 5)</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80.0</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remediation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Loss associated with impairment of long-lived assets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expenses on tender offer and redemption of long-term debt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(25.3)</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288.8</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(106.5)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common stockholders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OPEB liability adjustment</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 income, net of tax</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9"/>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182.3</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97.1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96.0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name impairment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Premiums and expenses on tender offer and redemption of long-term debt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25.3</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associated with impairment of long-lived assets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repayments of long-term debt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loss on investments in technology-related initiatives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73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579.9</w:t>
            </w:r>
          </w:p>
        </w:tc>
        <w:tc>
          <w:tcPr>
            <w:tcW w:w="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of long-lived assets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(58.1)</w:t>
            </w:r>
          </w:p>
        </w:tc>
        <w:tc>
          <w:tcPr>
            <w:tcW w:w="8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technology-related initiatives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disposal of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Collateral for interest rate derivatives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738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(59.7)</w:t>
            </w: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and redemption of long-term debt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(491.2)</w:t>
            </w:r>
          </w:p>
        </w:tc>
        <w:tc>
          <w:tcPr>
            <w:tcW w:w="80" w:type="dxa"/>
            <w:vAlign w:val="bottom"/>
          </w:tcPr>
          <w:p>
            <w:pPr>
              <w:spacing w:after="0"/>
              <w:rPr>
                <w:sz w:val="24"/>
                <w:szCs w:val="24"/>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long-term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(305.8)</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(249.8)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(116.5)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(157.6)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 payments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(105.6)</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financing costs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(9.0)</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(528.7)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(424.1)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paid</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taxes paid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26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$1,601.5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87"/>
              </w:rPr>
              <w:t>(43.9)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OPEB liability adjustment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198"/>
        </w:trPr>
        <w:tc>
          <w:tcPr>
            <w:tcW w:w="38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Excess tax benefit from stock-based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20"/>
                <w:szCs w:val="20"/>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$1,631.8</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87"/>
              </w:rPr>
              <w:t>(21.0)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OPEB liability adjustment</w:t>
            </w: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(178.7)</w:t>
            </w:r>
          </w:p>
        </w:tc>
        <w:tc>
          <w:tcPr>
            <w:tcW w:w="140" w:type="dxa"/>
            <w:vAlign w:val="bottom"/>
          </w:tcPr>
          <w:p>
            <w:pPr>
              <w:spacing w:after="0"/>
              <w:rPr>
                <w:sz w:val="18"/>
                <w:szCs w:val="18"/>
                <w:color w:val="auto"/>
              </w:rPr>
            </w:pPr>
          </w:p>
        </w:tc>
        <w:tc>
          <w:tcPr>
            <w:tcW w:w="9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198"/>
        </w:trPr>
        <w:tc>
          <w:tcPr>
            <w:tcW w:w="38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Excess tax benefit from stock-based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20"/>
                <w:szCs w:val="20"/>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$1,651.0</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87"/>
              </w:rPr>
              <w:t>(39.5)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OPEB liability adjustment</w:t>
            </w: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(305.7)</w:t>
            </w:r>
          </w:p>
        </w:tc>
        <w:tc>
          <w:tcPr>
            <w:tcW w:w="140" w:type="dxa"/>
            <w:vAlign w:val="bottom"/>
          </w:tcPr>
          <w:p>
            <w:pPr>
              <w:spacing w:after="0"/>
              <w:rPr>
                <w:sz w:val="18"/>
                <w:szCs w:val="18"/>
                <w:color w:val="auto"/>
              </w:rPr>
            </w:pPr>
          </w:p>
        </w:tc>
        <w:tc>
          <w:tcPr>
            <w:tcW w:w="9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(305.8)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(105.6)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(105.6)</w:t>
            </w:r>
          </w:p>
        </w:tc>
        <w:tc>
          <w:tcPr>
            <w:tcW w:w="0" w:type="dxa"/>
            <w:vAlign w:val="bottom"/>
          </w:tcPr>
          <w:p>
            <w:pPr>
              <w:spacing w:after="0"/>
              <w:rPr>
                <w:sz w:val="1"/>
                <w:szCs w:val="1"/>
                <w:color w:val="auto"/>
              </w:rPr>
            </w:pPr>
          </w:p>
        </w:tc>
      </w:tr>
      <w:tr>
        <w:trPr>
          <w:trHeight w:val="198"/>
        </w:trPr>
        <w:tc>
          <w:tcPr>
            <w:tcW w:w="38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Excess tax benefit from stock-based</w:t>
            </w:r>
          </w:p>
        </w:tc>
        <w:tc>
          <w:tcPr>
            <w:tcW w:w="100" w:type="dxa"/>
            <w:vAlign w:val="bottom"/>
          </w:tcPr>
          <w:p>
            <w:pPr>
              <w:spacing w:after="0"/>
              <w:rPr>
                <w:sz w:val="17"/>
                <w:szCs w:val="17"/>
                <w:color w:val="auto"/>
              </w:rPr>
            </w:pPr>
          </w:p>
        </w:tc>
        <w:tc>
          <w:tcPr>
            <w:tcW w:w="7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8.4</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980" w:type="dxa"/>
            <w:vAlign w:val="bottom"/>
            <w:gridSpan w:val="2"/>
            <w:vMerge w:val="restart"/>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34"/>
        </w:trPr>
        <w:tc>
          <w:tcPr>
            <w:tcW w:w="3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20"/>
                <w:szCs w:val="20"/>
                <w:color w:val="auto"/>
              </w:rPr>
            </w:pPr>
          </w:p>
        </w:tc>
        <w:tc>
          <w:tcPr>
            <w:tcW w:w="76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182.3</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1,690.2</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(444.5</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87"/>
              </w:rPr>
              <w:t>(58.8)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OVERVIEW</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(“Old GM”) from 1929 until 2007, when Allison once again became a stand-alone company. In March 2012, Allison began trading on the New York Stock Exchange under the symbol, “ALSN”.</w:t>
      </w:r>
    </w:p>
    <w:p>
      <w:pPr>
        <w:spacing w:after="0" w:line="180"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Company has approximately 2,700 employees and 13 different transmission product lines. Although approximately 81% of revenues were generated in North America in 2015, the Company has a global presence by serving customers in Europe, Asia, South America and Africa. The Company serves customers through an independent network of approximately 1,400 independent distributor and dealer locations worldwide.</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the fair statements of the results for the periods presented. The consolidated financial statements herein consist of all wholly-owned domestic and foreign subsidiaries with all significant intercompany transactions eliminated.</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present the financial position, results of comprehensive income, cash flows and statements of equity. Certain reclassifications have been made in the consolidated financial statements of prior periods to conform to the current period presentation. The Company revised its consolidated statements of cash flows for prior periods due to changes in how foreign currency exchange rate movements on cash were calculated. The revisions resulted in a decrease to the “Effect of exchange rate changes on cash” with a corresponding increase to “Net cash provided by operating activities.” Management believes the revisions are immaterial to the consolidated financial statements.</w:t>
      </w:r>
    </w:p>
    <w:p>
      <w:pPr>
        <w:spacing w:after="0" w:line="184" w:lineRule="exact"/>
        <w:rPr>
          <w:sz w:val="20"/>
          <w:szCs w:val="20"/>
          <w:color w:val="auto"/>
        </w:rPr>
      </w:pPr>
    </w:p>
    <w:p>
      <w:pPr>
        <w:jc w:val="both"/>
        <w:ind w:right="440" w:firstLine="456"/>
        <w:spacing w:after="0" w:line="266" w:lineRule="auto"/>
        <w:rPr>
          <w:sz w:val="20"/>
          <w:szCs w:val="20"/>
          <w:color w:val="auto"/>
        </w:rPr>
      </w:pPr>
      <w:r>
        <w:rPr>
          <w:rFonts w:ascii="Times New Roman" w:cs="Times New Roman" w:eastAsia="Times New Roman" w:hAnsi="Times New Roman"/>
          <w:sz w:val="18"/>
          <w:szCs w:val="18"/>
          <w:color w:val="auto"/>
        </w:rPr>
        <w:t>The Company made reclassifications to the balance sheets for deferred financing costs and deferred taxes as a result of newly adopted accounting guidance. All reclassifications and revisions had no impact on previously reported net income, total stockholders’ equity or cash. See “Recently Issued Accounting Pronouncements” below for more details.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accordance with the Financial Accounting Standards Board’s (“FASB”) authoritative accounting guidance on segment reporting, the Company has one operating segment and reportable segment. The Company is in one line of business, which is the manufacture and distribution of fully-automatic transmissions.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580" w:firstLine="456"/>
        <w:spacing w:after="0" w:line="261" w:lineRule="auto"/>
        <w:rPr>
          <w:sz w:val="20"/>
          <w:szCs w:val="20"/>
          <w:color w:val="auto"/>
        </w:rPr>
      </w:pPr>
      <w:r>
        <w:rPr>
          <w:rFonts w:ascii="Times New Roman" w:cs="Times New Roman" w:eastAsia="Times New Roman" w:hAnsi="Times New Roman"/>
          <w:sz w:val="18"/>
          <w:szCs w:val="18"/>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Company determines the appropriate classification of all marketable securities as “held-to-maturity,” “available-for-sale” or “trading” at the time of purchase, and re-evaluates such classifications as of each balance sheet date. As of December 31, 2015, the Company’s marketable securities are classified as either available-for-sale or trading.</w:t>
      </w:r>
    </w:p>
    <w:p>
      <w:pPr>
        <w:spacing w:after="0" w:line="176"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Available-for-sale securities are carried at fair value with the unrealized gain or loss reported in Accumulated other comprehensive loss (“AOCL”). Unrealized gains or losses considered to be “other-than-temporary” are recognized in income. Trading securities are carried at fair value with the unrealized gain or loss recognized in Other expense, net. The fair value of the Company’s investment securities is determined by currently available market prices. See NOTE 6 for more details.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allowance for doubtful trade accounts receivable reflects estimated losses to be incurred in the collection of the receivables. Estimated losses are based on historical collection experience as well as a review by management of the current status of all receivables. Account balances are charged against the allowance after all means of collection have been exhausted and the potential for recovery is considered remote.</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market.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recorded at cost less accumulated depreciation. Depreciation expense is recorded using the straight-line method over the following estimated lives:</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98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rPr>
              <w:t>Range in Years</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20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 30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0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 40</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 – 20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0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 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tools</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 – 10</w:t>
            </w:r>
          </w:p>
        </w:tc>
      </w:tr>
    </w:tbl>
    <w:p>
      <w:pPr>
        <w:spacing w:after="0" w:line="19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Special tooling represents the costs to design and develop tools, dies, jigs and other items owned by the Company and used in the manufacture of components by suppliers under long-term supply agreements. Special tooling is depreciated over the tool’s expected life. Special tooling used in the development of new technology is expensed as incurred. Engineering, testing and other costs incurred in the design and development of production parts are expensed as incurred.</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ectPr>
          <w:pgSz w:w="11900" w:h="16838" w:orient="portrait"/>
          <w:cols w:equalWidth="0" w:num="1">
            <w:col w:w="11420"/>
          </w:cols>
          <w:pgMar w:left="240" w:top="455"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a result of events and circumstances in the fourth quarter of 2014, the Company reviewed certain of its long-lived assets related to the production of the H3000 and H4000 hybrid-propulsion systems, resulting in a $15.4 million loss recorded for the year ended December 31, 2014. The loss, determined by using future net discounted cash flows, included approximately $1.7 million of accrued expenses related to the impairment of the long-lived assets. The Company also recorded $1.3 million impairment loss during the first quarter of 2015. Deteriorating market conditions for hybrid-propulsion vehicles, principally as a result of decreased fuel costs, alternative fuels and other technologies, significantly contributed to the future cash flows of the related assets being less than the carrying value of those assets.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Goodwill is tested for impairment at the reporting unit level, which is the same as the Company’s one operating and reportable segment. The Company has elected to perform its annual impairment test on October 31 of every year. A multi-step impairment test is performed on goodwill. In Step 0, the Company has the option to evaluate various qualitative factors to determine the likelihood of impairment. If determined that the fair value is more likely than not less than the carrying value, then the Company is required to perform Step 1. If the Company does not elect to perform Step 0, it can voluntarily proceed directly to Step 1. In Step 1, the Company performs a quantitative analysis to compare the fair value of its reporting unit to its carrying value including goodwill. If the fair value of the reporting unit exceeds the carrying value of the net assets assigned to that unit, goodwill is not considered impaired, and the Company is not required to perform further testing. If the carrying value of the net assets assigned to the reporting unit exceeds the fair value of the reporting unit, then the Company must perform Step 2 of the impairment test in order to determine the implied fair value of the reporting unit’s goodwill. If the carrying value of a reporting unit’s goodwill exceeds its implied fair value, then the Company would record an impairment loss equal to the difference.</w:t>
      </w:r>
    </w:p>
    <w:p>
      <w:pPr>
        <w:spacing w:after="0" w:line="19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Goodwill impairment testing for 2015 was performed by assessing certain qualitative trends and factors. The Company’s qualitative assessment included an assessment of business changes, economic outlook, financial trends and forecasts, growth rates, credit ratings, equity ratings, discount rates, industry data and other relevant qualitative factors. Events or circumstances that could unfavorably impact the key assumptions include lower net sales driven by market conditions, our inability to execute on marketing programs and/or delay in the introduction of new products, lower gross margins as a result of market conditions or failure to obtain forecasted cost reductions, or a higher discount rate as a result of market conditions. While unpredictable and inherently uncertain, the Company believes its forecast estimates are reasonable and incorporate assumptions that similar market participants would use in their estimates of fair value. These trends and factors were compared to, and based on, the assumptions used in prior years. After reviewing various qualitative factors, the Company’s 2015 annual goodwill impairment test indicated that the fair value of the reporting unit more likely than not exceeded its carrying value, indicating no impairment.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intangible assets have both indefinite and finite useful lives. Intangible assets with indefinite useful lives, such as the Company’s trade name,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amortized but are tested annually for impairment. The Company has elected to perform our annual trade name impairment test on October 31 of every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and follow a similar multi-step impairment test that is performed on goodwill. Events or circumstances that could unfavorably impact the 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include lower net sales driven by market conditions, our inability to execute on marketing programs and/or delay in introduction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and higher discount rate as a result of market conditions. While unpredictable and inherently uncertain, the Company believes the forecast estimates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reasonable and incorporate those assumptions that similar market participants would use in their estimates of fair value. After reviewing various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qualitative factors, the Company’s annual 2015 trade name impairment test, as of October 31, 2015, indicated that the fair value of the trade name more likely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not exceeded its carrying value, indicating no impairment. However, late in the fourth quarter of 2015, the Company obtained updated market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showing a further decline in forecasted net sales for certain of the Company’s end markets. As a result of the new market data and revised near term and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forecasts, the Company completed a Step 1 analysis for the trade name to assess the impact of these changes on its fair value. The Company performed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quantitative analysis to compare the fair value of trade name to the carrying value of the trade name primarily using the relief-from-royalty method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valuation approach consistent with prior years. Significant assumptions used to determine fair value under the relief-from-royalty method 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forecasted net sales, royalty rates and a discount rate to be applied to the forecasted net sales. The estimated fair value of the trade name, as of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was approximately $790.0 million versus a carrying amount of $870.0 million, resulting in a trade name impairment of $80.0 million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The trade name impairment did not result in any other charges to goodwill, other intangible assets or long-lived assets. Refer to NOTE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useful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They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 5 provides further information on Goodwill and Other intangible assets.</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early adopted the FASB’s authoritative accounting guidance, as of December 31, 2015, to present the deferred financing costs on the balance sheet as a direct deduction from the carrying amount of the debt rather than at cost as a component of other non-current assets. The debt issuance costs related to line-of-credit arrangements is presented as a component of other non-current assets as permitted by the new guidance. Deferred financing costs continue to be amortized over the life of the related debt using the effective interest method. Amortization of deferred financing costs is recorded as part of interest expense and totaled $8.0 million, $8.1 million and $10.9 million for the years ended December 31, 2015, 2014 and 2013, respectively.</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cash equivalents are invested in U.S. Government backed securities and recorded at fair value in the Consolidated Balance Sheets. The carrying values of accounts receivable and accounts payable approximate fair value due to their short-term nature. The Company’s financial derivative instruments, including interest rate swaps and foreign currency and commodity forward contracts are carried at fair value on the Consolidated Balance Sheets. Refer to NOTE 6 for more detail. The Company’s long-term debt obligations are carried at historical amounts with the Company providing fair value disclosure in NOTE 7.</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Insurable Liabilities</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Company records sales when title has transferred to the customer, there is evidence of an agreement, the sales price is fixed or determinable, delivery has occurred or services have been rendered, and collectability is reasonably assured. The Company sells Extended Transmission Coverage (“ETC”) for which sales are deferred. ETC sales are recognized ratably over the period of the ETC, which typically ranges from two to five years after initial sale. Costs associated with ETC programs are recorded as incurred during the extended period. Distributor and customer sales incentives, consisting of allowances and other rebates, are estimated at the time of sale based upon the Company’s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rate of acceptance of any incentive program. If the actual number of affected transmissions differs from this estimate, or if a different mix of incentives is actually paid, the impact on Net sales would be recorded in the period that the change was identified. Consideration given to commercial customers recorded as a reduction of Net sales in the Consolidated Statements of Comprehensive Income included $46.7 million, $66.9 million, and $65.2 million for the years ended December 31, 2015, 2014 and 2013, respectively.</w:t>
      </w:r>
    </w:p>
    <w:p>
      <w:pPr>
        <w:spacing w:after="0" w:line="18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Sales under U.S. government production contracts are recorded when the product is accepted, title has transferred to the U.S. government, the sales price is fixed or determinable, and delivery has occurred. Deferred revenue arises from cash received in advance of the culmination of the earnings process and is recognized as revenue in future periods when the applicable revenue recognition criteria have been met. Under the terms of some U.S. government contracts, there are certain price reduction clauses and provisions for potential price reductions which are estimated at the time of sale based upon the Company’s history and experience and are recorded as a reduction to Net sales. Potential reductions may be attributed to a change in projected sales volumes or plant efficiencies which impact overall costs. As of December 31, 2015 and 2014, the Company had $55.1 million and $63.1 million recorded in the price reduction reserve account, respectively.</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Due to requests from the U.S. government, the Company billed, but did not ship certain tracked transmissions during 2013. Based on the lack of a fixed delivery date from the U.S. government, the Company deferred approximately $8.8 million of Net sales for these transmissions until they were shipped in 2014. See NOTE 10 for additional details.</w:t>
      </w:r>
    </w:p>
    <w:p>
      <w:pPr>
        <w:sectPr>
          <w:pgSz w:w="11900" w:h="16838" w:orient="portrait"/>
          <w:cols w:equalWidth="0" w:num="1">
            <w:col w:w="11400"/>
          </w:cols>
          <w:pgMar w:left="240" w:top="455" w:right="259" w:bottom="1440"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Company classifies shipping and handling billed to customers in Net sales and shipping and handling costs in Cost of sales, in accordance with authoritative accounting guidance.</w:t>
      </w:r>
    </w:p>
    <w:p>
      <w:pPr>
        <w:spacing w:after="0" w:line="135"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Company contracts with various third parties to provide engineering services. These services are recorded as Net sales in accordance with the terms of the contract. The saleable engineering recorded was $4.2 million, $7.4 million and $12.4 million for the years ended December 31, 2015, 2014 and 2013, respectively. The associated costs are recorded in Cost of sales.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expenses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 Warranty costs may differ from those estimated if actual claim rates are higher or lower than our historical rates.</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Company incurs costs in connection with research and development programs that are expected to contribute to future earnings. Such costs are charged to Engineering — research and development as incurred.</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Company accrues costs related to environmental matters when it is probable that the Company has incurred a liability related to a contaminated site and the costs can be reasonably estimated. For additional information, see NOTE 17 Commitments and Contingencies.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Most of the subsidiaries outside the United States prepare financial statements in currencies other than the U.S. dollar. The functional currency for all these subsidiaries is the local currency, except for the Company’s Hong Kong and Middle East subsidiaries which currently use the U.S. dollar as their functional currency. Balances are translated at period-end exchange rates for assets and liabilities and monthly weighted-average exchange rates for revenues and expenses. The translation gains (losses) are stated as a component of AOCL as disclosed in NOTE 16.</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exposed to fluctuations in interest rates, foreign currency exchange rates, and commodity prices. The risk is managed through the use of financial derivative instruments including interest rate swaps and commodity and foreign currency forward contracts. Despite the fact that the Company either has not elected or does not qualify for hedge accounting treatment on all of its derivative instruments, the contracts are used strictly as an economic hedge and not for speculative purposes. As necessary, the Company adjusts the values of the derivative instruments for counter-party or credit risk. NOTE 8 provides further information on the accounting treatment of the Company’s derivative instruments.</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43"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Company early adopted the FASB’s authoritative accounting guidance on a retrospective basis, as of December 31, 2015, to classify all deferred tax assets and liabilities, along with any related valuation allowance, as noncurrent on the balance sheet.</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maintains a stock-based compensation plan which allows employees (including executive officers), consultants and directors to receive equity awards. The Company follows the FASB’s authoritative accounting guidance on share-based payments and recognizes the fair value of the awards as compensation expense over the vesting period. The accounting guidance also requires that forfeitures be estimated over the vesting period of an award instead of being recognized as a reduction of compensation expense when the forfeiture actually occurs.</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Benefit Plans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For pension and other post-retirement benefits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84"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Post-retirement benefit costs consist of service cost, interest cost on accrued obligations and the expected return on assets (calculated using a smoothed market value of assets). Any difference between actual and expected returns on assets during a year and actuarial gains and losses on liabilities together with any prior service costs are charged (or credited) to income over the average remaining service lives of employees.</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 Changes in key economic indicators can change these assumptions. These assumptions, along with the actual value of assets at the measurement date, will impact the calculation of pension expenses for the year. For instance, the effect of a one percentage point decrease in the assumed discount rate would result in an increase in the December 31, 2015 defined benefit pension plans obligation of approximately $21.1 million. Similarly, a one percentage point decrease in the assumed discount rate would result in an increase in the December 31, 2015 OPEB obligation of approximately $28.0 million.</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November 2015, the FASB issued authoritative accounting guidance to simplify the balance sheet classification of deferred taxes. The guidance requires that all deferred tax assets and liabilities, along with any related valuation allowance, be classified as noncurrent on the balance sheet. As a result, each jurisdiction will now only have one net noncurrent deferred tax asset or liability. The guidance will be effective prospectively or retrospectively for public entities for interim and annual reporting periods beginning after December 15, 2016, but can be early-adopted. Management has elected to early adopt the guidance on a retrospective basis as of December 31, 2015. As of December 31, 2014, the Company reclassified $1.0 million and ($118.7) million to non-current deferred income tax assets, net and non-current deferred income tax liabilities, net, respectively, to conform to the current period presentation.</w:t>
      </w:r>
    </w:p>
    <w:p>
      <w:pPr>
        <w:spacing w:after="0" w:line="18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July 2015, the FASB issued authoritative accounting guidance to simplify the measurement of inventory. The guidance requires that inventory be measured at the lower of cost and net realizable value. When evidence exists that the net realizable value of inventory is lower than its cost, the difference shall be recognized as a loss in earnings in the period in which it occurs. Inventory measured using last-in, first-out and the retail inventory method are not impacted by the new guidance. The guidance is effective for public entities for interim and annual reporting periods beginning after December 15, 2016, but can be early-adopted. Management is assessing the potential impact of the adoption of this guidance on the Company’s consolidated financial statements.</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April 2015, the FASB issued authoritative accounting guidance to simplify the presentation of the debt issuance costs. The guidance requires that the debt issuance costs be presented in the balance sheet as a direct deduction from the carrying amount of debt liability, consistent with debt discounts or premiums. The debt issuance costs related to line-of-credit arrangements can still be deferred and presented as an asset and subsequently amortized ratably over the term of the line-of-credit arrangement. The recognition and measurement guidance for debt issuance costs are not affected. The guidance is effective for public entities for interim and annual reporting periods beginning after December 15, 2015, but can be early-adopted. The guidance should also be applied on a retrospective basis. As of December 31, 2015, management has decided to early adopt this guidance. As of December 31, 2015 and 2014, approximately $25.6 million and $29.3 million of debt issuance costs, net of accumulated amortization, were presented in the consolidated balance sheet as direct deductions from the carrying amounts of the debt.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August 2014, the FASB issued authoritative accounting guidance on the disclosure of uncertainties about an entity’s ability to continue as a going concern. The guidance requires management to evaluate whether there is substantial doubt about an entity’s ability to continue as a going concern within one year after the date that the financial statements are issued (or within one year after the date that financial statements are available to be issued when applicable) and to provide related footnote disclosures. The guidance is effective prospectively for fiscal years beginning after December 15, 2016, but can be early-adopted. While the adoption of this guidance is not expected to have an effect on the Company’s consolidated financial statements, it could affect the disclosure applied under these circumstances in the future.</w:t>
      </w:r>
    </w:p>
    <w:p>
      <w:pPr>
        <w:spacing w:after="0" w:line="18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May 2014, the FASB issued authoritative accounting guidance on a company’s accounting for revenue from contracts with customers.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allows either full or modified retrospective adoption. The new guidance would have become effective for annual and interim periods beginning January 1, 2017. In July 2015, the FASB approved a one year delay of the effective date of the standard to January 1, 2018, to provide adequate time for implementation. Management is in the early stage of assessing the impact of both methods of adoption on the Company’s consolidated financial statements.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5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components (dollars in millions):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0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parts and raw materials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11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r>
              <w:rPr>
                <w:rFonts w:ascii="Times New Roman" w:cs="Times New Roman" w:eastAsia="Times New Roman" w:hAnsi="Times New Roman"/>
                <w:sz w:val="18"/>
                <w:szCs w:val="18"/>
                <w:b w:val="1"/>
                <w:bCs w:val="1"/>
                <w:u w:val="single" w:color="auto"/>
                <w:color w:val="auto"/>
              </w:rPr>
              <w:t>4</w:t>
            </w:r>
          </w:p>
        </w:tc>
        <w:tc>
          <w:tcPr>
            <w:tcW w:w="9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12, “Other Current Liabilities” for more information.</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cost and accumulated depreciation of property, plant and equipment are as follows (dollars in millions):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840" w:type="dxa"/>
            <w:vAlign w:val="bottom"/>
            <w:gridSpan w:val="4"/>
          </w:tcPr>
          <w:p>
            <w:pPr>
              <w:ind w:left="1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2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5"/>
                <w:szCs w:val="15"/>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293.8</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tools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CEEFF"/>
          </w:tcPr>
          <w:p>
            <w:pPr>
              <w:spacing w:after="0"/>
              <w:rPr>
                <w:sz w:val="18"/>
                <w:szCs w:val="18"/>
                <w:color w:val="auto"/>
              </w:rPr>
            </w:pP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(734.9)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(667.3)</w:t>
            </w: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78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479.7</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2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Depreciation of property, plant and equipment was $88.3 million, $93.8 million and $98.7 million for the years ended December 31, 2015, 2014 and 2013, respectively.</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During 2015 and 2014, the Company recorded an impairment of certain machinery and equipment, and special tools associated with the production of the H3000 and H4000 hybrid-propulsion systems. See NOTE 2, “Impairment of long-lived assets” for more information.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2015 and 2014, the carrying amount of the Company’s Goodwill was $1,941.0 million.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presents a summary of other intangible assets (dollars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380" w:type="dxa"/>
            <w:vAlign w:val="bottom"/>
          </w:tcPr>
          <w:p>
            <w:pPr>
              <w:spacing w:after="0"/>
              <w:rPr>
                <w:sz w:val="10"/>
                <w:szCs w:val="10"/>
                <w:color w:val="auto"/>
              </w:rPr>
            </w:pPr>
          </w:p>
        </w:tc>
        <w:tc>
          <w:tcPr>
            <w:tcW w:w="760" w:type="dxa"/>
            <w:vAlign w:val="bottom"/>
            <w:gridSpan w:val="3"/>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28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6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28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6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100" w:type="dxa"/>
            <w:vAlign w:val="bottom"/>
          </w:tcPr>
          <w:p>
            <w:pPr>
              <w:spacing w:after="0"/>
              <w:rPr>
                <w:sz w:val="10"/>
                <w:szCs w:val="10"/>
                <w:color w:val="auto"/>
              </w:rPr>
            </w:pPr>
          </w:p>
        </w:tc>
      </w:tr>
      <w:tr>
        <w:trPr>
          <w:trHeight w:val="173"/>
        </w:trPr>
        <w:tc>
          <w:tcPr>
            <w:tcW w:w="538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gross</w:t>
            </w:r>
          </w:p>
        </w:tc>
        <w:tc>
          <w:tcPr>
            <w:tcW w:w="2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16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gross</w:t>
            </w:r>
          </w:p>
        </w:tc>
        <w:tc>
          <w:tcPr>
            <w:tcW w:w="2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assets, net</w:t>
            </w: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790.0</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790.0</w:t>
            </w:r>
          </w:p>
        </w:tc>
        <w:tc>
          <w:tcPr>
            <w:tcW w:w="1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4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 defense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 commercial</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831.8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technology</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476.3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Patented technology - defense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Tooling rights</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Patented technology - commercial</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2,471.0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(1,136.2</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1,334.8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1,512.0</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$97.1 million, $98.8 million and $105.3 million for the years ended December 31, 2015, 2014 and 2013, respectively.</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2015, the Company recorded a trade name impairment charge of $80.0 million. The impairment charge was a result of a decline in forecasted net sales for certain of the Company’s end markets. The impairment charge was derived from an income approach by which the relief-from-royalty method was applied valuing the savings to cash flow. The relief-from-royalty method requires assumptions be made concerning forecasted revenue, a discount rate, and a royalty rate. The underlying concept of the relief-from-royalty method is that the value of the trade name can be estimated by determining the cost savings the Company achieves by not having to license the trade name.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trade name impairment did not result in any other charges to goodwill, other intangible assets or long-lived assets.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2015, the net carrying value of the Company’s Goodwill and Other intangible assets, net was $3,275.8 million.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related to other intangible assets for the next five years and thereafter is expected to be (dollars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$92.4</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$89.7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$87.2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$49.9</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140.6</w:t>
            </w:r>
          </w:p>
        </w:tc>
        <w:tc>
          <w:tcPr>
            <w:tcW w:w="100" w:type="dxa"/>
            <w:vAlign w:val="bottom"/>
            <w:tcBorders>
              <w:top w:val="single" w:sz="8" w:color="CCEEFF"/>
            </w:tcBorders>
            <w:shd w:val="clear" w:color="auto" w:fill="CCEEFF"/>
          </w:tcPr>
          <w:p>
            <w:pPr>
              <w:spacing w:after="0"/>
              <w:rPr>
                <w:sz w:val="18"/>
                <w:szCs w:val="18"/>
                <w:color w:val="auto"/>
              </w:rPr>
            </w:pPr>
          </w:p>
        </w:tc>
      </w:tr>
      <w:tr>
        <w:trPr>
          <w:trHeight w:val="365"/>
        </w:trPr>
        <w:tc>
          <w:tcPr>
            <w:tcW w:w="3600" w:type="dxa"/>
            <w:vAlign w:val="bottom"/>
          </w:tcPr>
          <w:p>
            <w:pPr>
              <w:spacing w:after="0"/>
              <w:rPr>
                <w:sz w:val="24"/>
                <w:szCs w:val="24"/>
                <w:color w:val="auto"/>
              </w:rPr>
            </w:pPr>
          </w:p>
        </w:tc>
        <w:tc>
          <w:tcPr>
            <w:tcW w:w="34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2015 and 2014, the Company did not have any Level 3 financial assets or liabilities.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swaps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8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foreign currency swaps consist of forward rate contracts which are intended to hedge exposure of transactions denominated in certain currencies and reduce the impact of currency price volatility on the Company’s financial results. The commodity swaps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8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swaps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Consolidated Balance Sheets. The Company generally does not elect to apply hedge accounting for these foreign currency swaps, and as a result, unrealized fair value adjustments and realized gains and losses are recorded in Other expense, net in the Consolidated Statements of Comprehensive Income during the period of change.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Consolidated Balance Sheets. The Company has either not qualified for or not elected hedge accounting treatment for these commodity swaps, and as a result, unrealized fair value adjustments and realized gains and losses are recorded in Other expense, net in the Consolidated Statements of Comprehensive Income.</w:t>
      </w:r>
    </w:p>
    <w:p>
      <w:pPr>
        <w:spacing w:after="0" w:line="18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Consolidated Balance Sheets. The Company has not qualified for hedge accounting treatment for the interest rate swaps and, as a result, fair value adjustments are charged directly to Interest expense in the Consolidated Statements of Comprehensive Income.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financial assets and (liabilities) as of December 31 (dollars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40" w:type="dxa"/>
            <w:vAlign w:val="bottom"/>
            <w:gridSpan w:val="6"/>
          </w:tcPr>
          <w:p>
            <w:pPr>
              <w:jc w:val="center"/>
              <w:ind w:right="208"/>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60" w:type="dxa"/>
            <w:vAlign w:val="bottom"/>
          </w:tcPr>
          <w:p>
            <w:pPr>
              <w:spacing w:after="0"/>
              <w:rPr>
                <w:sz w:val="10"/>
                <w:szCs w:val="10"/>
                <w:color w:val="auto"/>
              </w:rPr>
            </w:pPr>
          </w:p>
        </w:tc>
        <w:tc>
          <w:tcPr>
            <w:tcW w:w="1960" w:type="dxa"/>
            <w:vAlign w:val="bottom"/>
            <w:gridSpan w:val="6"/>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2"/>
                <w:szCs w:val="12"/>
                <w:color w:val="auto"/>
              </w:rPr>
            </w:pPr>
          </w:p>
        </w:tc>
        <w:tc>
          <w:tcPr>
            <w:tcW w:w="196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12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 Inputs (Level 2)</w:t>
            </w:r>
          </w:p>
        </w:tc>
        <w:tc>
          <w:tcPr>
            <w:tcW w:w="80" w:type="dxa"/>
            <w:vAlign w:val="bottom"/>
          </w:tcPr>
          <w:p>
            <w:pPr>
              <w:spacing w:after="0"/>
              <w:rPr>
                <w:sz w:val="15"/>
                <w:szCs w:val="15"/>
                <w:color w:val="auto"/>
              </w:rPr>
            </w:pPr>
          </w:p>
        </w:tc>
        <w:tc>
          <w:tcPr>
            <w:tcW w:w="12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18"/>
                <w:szCs w:val="18"/>
                <w:color w:val="auto"/>
              </w:rPr>
            </w:pPr>
          </w:p>
        </w:tc>
        <w:tc>
          <w:tcPr>
            <w:tcW w:w="7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Rabbi trust assets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obligation</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Pr>
          <w:p>
            <w:pPr>
              <w:spacing w:after="0"/>
              <w:rPr>
                <w:sz w:val="18"/>
                <w:szCs w:val="18"/>
                <w:color w:val="auto"/>
              </w:rPr>
            </w:pPr>
          </w:p>
        </w:tc>
        <w:tc>
          <w:tcPr>
            <w:tcW w:w="7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(30.1)</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72.8</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$ 48.2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5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Long-term debt and maturities are as follows (dollars 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4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Credit Facility Term B-2 Loan, variable, due 2017</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Term B-3 Loan, variable, due 2019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2,402.8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fixed 7.125%, due 2019</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2,402.8</w:t>
            </w:r>
          </w:p>
        </w:tc>
        <w:tc>
          <w:tcPr>
            <w:tcW w:w="8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financing costs, net (see NOTE 2)</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 net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2,352.7</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payments required on long-term debt during the next five years are as follows:</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Required Principal Payments</w:t>
            </w: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6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w:t>
            </w:r>
          </w:p>
        </w:tc>
        <w:tc>
          <w:tcPr>
            <w:tcW w:w="1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$24.5</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$24.5</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$24.5</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$2,329.3</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2015, the Company had $2,402.8 million of indebtedness associated with Allison Transmission, Inc.’s (“ATI”), the Company’s wholly-owned subsidiary, Senior Secured Credit Facility Term B-3 Loan due 2019 (“Term B-3 Loan”, and together the revolving credit facility, defined as the “Senior Secured Credit Facility”).</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obligations as of December 31, 2015 was $2,384.8 million. The fair value is based on quoted Level 2 market prices of the Company’s debt as of December 31, 2015.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7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March 2015, ATI commenced a cash tender offer to purchase its outstanding 7.125% senior cash pay notes due May 2019 (“7.125% Senior Notes”). In connection with the cash tender offer, ATI solicited consents to enter into a supplemental indenture to eliminate substantially all of the restrictive covenants, certain events of default and related provisions contained in the indenture dated as of May 6, 2011 (the “Indenture”) governing the 7.125% Senior Notes. On March 31, 2015, ATI received valid consents from holders with an aggregate principal amount of $420.9 million of the 7.125% Senior Notes. Accordingly, ATI entered into a first supplemental indenture to the Indenture contingent on the execution of an amendment with the term loan lenders under its Senior Secured Credit Facility.</w:t>
      </w:r>
    </w:p>
    <w:p>
      <w:pPr>
        <w:spacing w:after="0" w:line="188" w:lineRule="exact"/>
        <w:rPr>
          <w:sz w:val="20"/>
          <w:szCs w:val="20"/>
          <w:color w:val="auto"/>
        </w:rPr>
      </w:pPr>
    </w:p>
    <w:p>
      <w:pPr>
        <w:ind w:right="160" w:firstLine="456"/>
        <w:spacing w:after="0" w:line="276" w:lineRule="auto"/>
        <w:rPr>
          <w:sz w:val="20"/>
          <w:szCs w:val="20"/>
          <w:color w:val="auto"/>
        </w:rPr>
      </w:pPr>
      <w:r>
        <w:rPr>
          <w:rFonts w:ascii="Times New Roman" w:cs="Times New Roman" w:eastAsia="Times New Roman" w:hAnsi="Times New Roman"/>
          <w:sz w:val="17"/>
          <w:szCs w:val="17"/>
          <w:color w:val="auto"/>
        </w:rPr>
        <w:t>In April 2015, ATI entered into an amendment with the term loan lenders under its Senior Secured Credit Facility to add up to an additional $470.0 million of Term B-3 Loan commitments and incur term loans in an aggregate principal amount of $470.0 million. The amendment also, among other things,</w:t>
      </w:r>
    </w:p>
    <w:p>
      <w:pPr>
        <w:spacing w:after="0" w:line="1" w:lineRule="exact"/>
        <w:rPr>
          <w:sz w:val="20"/>
          <w:szCs w:val="20"/>
          <w:color w:val="auto"/>
        </w:rPr>
      </w:pPr>
    </w:p>
    <w:p>
      <w:pPr>
        <w:ind w:firstLine="8"/>
        <w:spacing w:after="0" w:line="252"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prepayment, repurchase or redemption of ATI’s 7.125% Senior Notes with the proceeds of the financing and (ii) resets the period for which a prepayment premium of 1.00% will apply in the event of a repricing transaction to the six-month anniversary of the closing date of the financing. With the exception of the items noted above, the terms (including maturity and pricing) of the financing are materially the same as the terms of the existing Term B-3 Loan outstanding. As a result of the newly structured Senior Secured Credit Facility, ATI recorded approximately $7.7 million as deferred financing fees in the Consolidated Balance Sheets. Immediately following the financing, ATI purchased $420.9 million of the tendered 7.125% Senior Notes using the proceeds from the financing in a cash payment equal to $1,042 per $1,000 aggregate principal amount of the 7.125% Senior Notes plus accrued and unpaid interest. Upon the payment, the supplemental indenture to the Indenture became operative. The purchase resulted in a loss (the premium between the purchase price of the notes and the face value of such notes) of $22.7 million including deferred financing fees written off.</w:t>
      </w:r>
    </w:p>
    <w:p>
      <w:pPr>
        <w:spacing w:after="0" w:line="188"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In May 2015, ATI redeemed the remaining $50.4 million of its outstanding 7.125% Senior Notes, at the redemption price equal to 103.563% of the principal amount plus any accrued and unpaid interest, using the remaining proceeds from the financing and cash on hand, resulting in a loss (the premium between the purchase price of the notes and the face value of such notes) of $2.4 million including deferred financing fees written off.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November 2015, ATI entered into an amendment with the term loan lenders under its Senior Secured Credit Facility to refinance $189.0 million of Senior Secured Credit Facility Term B-2 Loan due 2017 (“Term B-2 Loan”) replacing it with an additional $189.0 million of term loans under the Term B-3 Loan. The addition to the Term B-3 Loan increased the Company’s debt maturity from August 2017 to August 2019 and the applicable interest rate margin at the Company’s option, is either (a) 2.50% over the LIBOR (which may not be less than 1.00%) or (b) 1.50% over the greater of the prime lending rate provided by the British Banking Association or the federal funds effective rate published by the Federal Reserve Bank of New York. As of December 31, 2015, the rate was approximately 3.50% on the Term B-3 Loan. The November 2015 amendment was treated as a modification of debt under GAAP, and thus the Company expensed $0.3 million of deferred financing fees and recorded $1.3 million of new deferred financing fees in the consolidated financial statements.</w:t>
      </w:r>
    </w:p>
    <w:p>
      <w:pPr>
        <w:spacing w:after="0" w:line="18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Senior Secured Credit Facility requires minimum quarterly principal payments on the Term B-3 Loan as well as prepayments from certain net cash proceeds of non-ordinary course asset sales and casualty and condemnation events and from a percentage of excess cash flow, if applicable. During 2015, the Company made principal payments of $94.5 million on the Term B-2 Loan, resulting in a loss of $0.3 million associated with the write off of related deferred debt issuance costs. The minimum required quarterly principal payment on the Term B-3 Loan is $6.1 million and remains through its maturity date of 2019. As of December 31, 2015, there had been no payments required from certain net cash proceeds of non-ordinary course asset sales and casualty and condemnation events. The remaining principal balance is due upon maturity.</w:t>
      </w:r>
    </w:p>
    <w:p>
      <w:pPr>
        <w:spacing w:after="0" w:line="188"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accordance with the Senior Secured Credit Facility, net cash proceeds of non-ordinary course asset sales, casualty and condemnation events will only be required to prepay the term loan if the Company does not reinvest or commit to reinvest such net cash proceeds in assets to be used in its business or to make certain other permitted investments within 15 months of the related transaction or event, subject to certain limitations. The Company must apply 50% of its annual excess cash flow (as defined in the Senior Secured Credit Facility) to the prepayment of the Senior Secured Credit Facility, however this percentage reduces to certain levels and eventually to zero upon achievement of certain total senior secured leverage ratios. For the years ended December 31, 2015 and 2014, the Company was not required to make an excess cash flow payment.</w:t>
      </w:r>
    </w:p>
    <w:p>
      <w:pPr>
        <w:spacing w:after="0" w:line="18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also provides for a revolving credit borrowing. In 2014, ATI increased the revolving commitments available under the revolving portion of the Senior Secured Credit Facility to $465.0 million, net of an allowance for up to $75.0 million in outstanding letters of credit commitments. The increase was treated as a modification of debt under GAAP, and thus the Company recorded $0.6 million of new deferred financing fees in the consolidated financial statements. As of December 31, 2015, the Company had $461.0 million available under the revolving credit facility, net of $4.0 million in letters of credit. Revolving credit borrowings bear interest at a variable base rate plus an applicable margin based on the Company’s total leverage ratio. As of December 31, 2015, this rate would have been approximately 1.63%. In addition, there is an annual commitment fee, based on the Company’s total leverage ratio, which as of December 31, 2015, was equal to 0.25% of the average unused revolving credit borrowings available under the Senior Secured Credit Facility. Revolving credit borrowings are payable at the option of the Company throughout the term of the Senior Secured Credit Facility with the balance due in January 2019.</w:t>
      </w:r>
    </w:p>
    <w:p>
      <w:pPr>
        <w:spacing w:after="0" w:line="18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revolving portion of the Senior Secured Credit Facility requires the Company to maintain a specified maximum total senior secured leverage ratio of 5.50x when revolving loan commitments remain outstanding at the end of a fiscal quarter. In March 2014, however, the revolving lenders holding a majority of the revolving loan commitments permanently waived and agreed that no event of default would result from any non-compliance so long as there were no revolving loans outstanding as of the last day of any fiscal quarter. As of December 31, 2015, the Company had no revolving loans outstanding; however the Company would have been in compliance with the maximum total senior secured leverage ratio, achieving a 2.99x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A total leverage ratio at or below 3.25x results in a 25 basis point reduction to the applicable margin on our Term B-3 Loan. These reductions would remain in effect as long as the Company achieves a total leverage ratio at or below the related threshold. As of December 31, 2015, the total leverage ratio was 2.99x.</w:t>
      </w:r>
    </w:p>
    <w:p>
      <w:pPr>
        <w:spacing w:after="0" w:line="191"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December 31, 2015, the Company is in compliance with all covenants under the Senior Secured Credit Facility.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swaps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jc w:val="both"/>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Consolidated Statements of Comprehensive Income. A summary of the Company’s interest rate derivatives as of December 31, 2015 and December 31, 2014 follows (dollars in millions):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500" w:type="dxa"/>
            <w:vAlign w:val="bottom"/>
          </w:tcPr>
          <w:p>
            <w:pPr>
              <w:spacing w:after="0"/>
              <w:rPr>
                <w:sz w:val="15"/>
                <w:szCs w:val="15"/>
                <w:color w:val="auto"/>
              </w:rPr>
            </w:pPr>
          </w:p>
        </w:tc>
        <w:tc>
          <w:tcPr>
            <w:tcW w:w="16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24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3.44%</w:t>
            </w:r>
          </w:p>
        </w:tc>
        <w:tc>
          <w:tcPr>
            <w:tcW w:w="61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L, Aug 2016 – Aug 2019*</w:t>
            </w: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shd w:val="clear" w:color="auto" w:fill="CCEEFF"/>
          </w:tcPr>
          <w:p>
            <w:pPr>
              <w:spacing w:after="0"/>
              <w:rPr>
                <w:sz w:val="18"/>
                <w:szCs w:val="18"/>
                <w:color w:val="auto"/>
              </w:rPr>
            </w:pPr>
          </w:p>
        </w:tc>
        <w:tc>
          <w:tcPr>
            <w:tcW w:w="61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3.43%</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M, Aug 2016 – Aug 2019*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3.37%</w:t>
            </w:r>
          </w:p>
        </w:tc>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N, Aug 2016 – Aug 2019*</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(3.5)</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O, Aug 2016 – Aug 2019*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(3.1)</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3.08%</w:t>
            </w:r>
          </w:p>
        </w:tc>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P, Aug 2016 – Aug 2019*</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(2.8)</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2.99%</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Q, Aug 2016 – Aug 2019*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(1.7)</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2.98%</w:t>
            </w:r>
          </w:p>
        </w:tc>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R, Aug 2016 – Aug 2019*</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(1.7)</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2.73%</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 Aug 2016 – Aug 2019*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(1.4)</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2.74%</w:t>
            </w:r>
          </w:p>
        </w:tc>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T, Aug 2016 – Aug 2019*</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(2.1)</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2.66%</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U, Aug 2016 – Aug 2019*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(1.2)</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2.60%</w:t>
            </w:r>
          </w:p>
        </w:tc>
        <w:tc>
          <w:tcPr>
            <w:tcW w:w="6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V, Aug 2016 – Aug 2019*</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(1.2)</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2.40%</w:t>
            </w: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W, Aug 2016 – Aug 2019*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(0.5)</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6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2.25% Interest Rate Swap X, Aug 2016 – Aug 2019*</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(0.8)</w:t>
            </w:r>
          </w:p>
        </w:tc>
        <w:tc>
          <w:tcPr>
            <w:tcW w:w="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includes LIBOR floor of 1.00%</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800.0</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$ 750.0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has not elected to apply hedge accounting under the authoritative accounting guidance and recorded the unrealized fair value adjustments and realized gains and losses associated with these contracts in Other expense, net in the Consolidated Statements of Comprehensive Income during the period of change.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outstanding foreign currency swaps as of December 31, 2015 and 2014 (amounts in millions):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8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00" w:type="dxa"/>
            <w:vAlign w:val="bottom"/>
          </w:tcPr>
          <w:p>
            <w:pPr>
              <w:spacing w:after="0"/>
              <w:rPr>
                <w:sz w:val="10"/>
                <w:szCs w:val="10"/>
                <w:color w:val="auto"/>
              </w:rPr>
            </w:pP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2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540" w:type="dxa"/>
            <w:vAlign w:val="bottom"/>
          </w:tcPr>
          <w:p>
            <w:pPr>
              <w:spacing w:after="0"/>
              <w:rPr>
                <w:sz w:val="10"/>
                <w:szCs w:val="10"/>
                <w:color w:val="auto"/>
              </w:rPr>
            </w:pPr>
          </w:p>
        </w:tc>
        <w:tc>
          <w:tcPr>
            <w:tcW w:w="8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26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Japanese Yen (JPY)</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¥ 300.0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Commodity</w:t>
      </w:r>
    </w:p>
    <w:p>
      <w:pPr>
        <w:spacing w:after="0" w:line="12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Company’s business is subject to commodity price risk, primarily with component suppliers. As a result, the Company enters into various commodity swap contracts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swaps, and as a result, unrealized fair value adjustments and realized gains and losses associated with these contracts were charged directly to Other expense, net in the Consolidated Statements of Comprehensive Income during the period of change.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outstanding commodity swaps as of December 31, 2015 and December 31, 2014 (dollars in millions):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28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80" w:type="dxa"/>
            <w:vAlign w:val="bottom"/>
            <w:vMerge w:val="restart"/>
          </w:tcPr>
          <w:p>
            <w:pPr>
              <w:spacing w:after="0"/>
              <w:rPr>
                <w:sz w:val="10"/>
                <w:szCs w:val="10"/>
                <w:color w:val="auto"/>
              </w:rPr>
            </w:pPr>
          </w:p>
        </w:tc>
        <w:tc>
          <w:tcPr>
            <w:tcW w:w="9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28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Aluminum</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8,150 metric tons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6,200 metric tons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Natural Gas</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0.2</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70,000 MMBtu</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60,000 MMBtu</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tabular disclosures further describe the Company’s derivative instruments and their impact on the financial condition of the Company (dollars in millions):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0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92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520" w:type="dxa"/>
            <w:vAlign w:val="bottom"/>
          </w:tcPr>
          <w:p>
            <w:pPr>
              <w:spacing w:after="0"/>
              <w:rPr>
                <w:sz w:val="12"/>
                <w:szCs w:val="12"/>
                <w:color w:val="auto"/>
              </w:rPr>
            </w:pPr>
          </w:p>
        </w:tc>
        <w:tc>
          <w:tcPr>
            <w:tcW w:w="19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20" w:type="dxa"/>
            <w:vAlign w:val="bottom"/>
            <w:gridSpan w:val="3"/>
          </w:tcPr>
          <w:p>
            <w:pPr>
              <w:ind w:left="340"/>
              <w:spacing w:after="0" w:line="194" w:lineRule="exact"/>
              <w:rPr>
                <w:sz w:val="20"/>
                <w:szCs w:val="20"/>
                <w:color w:val="auto"/>
              </w:rPr>
            </w:pPr>
            <w:r>
              <w:rPr>
                <w:rFonts w:ascii="Times New Roman" w:cs="Times New Roman" w:eastAsia="Times New Roman" w:hAnsi="Times New Roman"/>
                <w:sz w:val="18"/>
                <w:szCs w:val="18"/>
                <w:color w:val="auto"/>
              </w:rPr>
              <w:t>Foreign currency swaps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Other current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20" w:type="dxa"/>
            <w:vAlign w:val="bottom"/>
            <w:gridSpan w:val="3"/>
          </w:tcPr>
          <w:p>
            <w:pPr>
              <w:ind w:left="45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swaps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20" w:type="dxa"/>
            <w:vAlign w:val="bottom"/>
            <w:gridSpan w:val="3"/>
          </w:tcPr>
          <w:p>
            <w:pPr>
              <w:ind w:left="4520"/>
              <w:spacing w:after="0" w:line="194" w:lineRule="exact"/>
              <w:rPr>
                <w:sz w:val="20"/>
                <w:szCs w:val="20"/>
                <w:color w:val="auto"/>
              </w:rPr>
            </w:pPr>
            <w:r>
              <w:rPr>
                <w:rFonts w:ascii="Times New Roman" w:cs="Times New Roman" w:eastAsia="Times New Roman" w:hAnsi="Times New Roman"/>
                <w:sz w:val="18"/>
                <w:szCs w:val="18"/>
                <w:b w:val="1"/>
                <w:bCs w:val="1"/>
                <w:color w:val="auto"/>
              </w:rPr>
              <w:t>Other current and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Other current and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20" w:type="dxa"/>
            <w:vAlign w:val="bottom"/>
            <w:gridSpan w:val="3"/>
          </w:tcPr>
          <w:p>
            <w:pPr>
              <w:ind w:left="45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(1.7)</w:t>
            </w: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20" w:type="dxa"/>
            <w:vAlign w:val="bottom"/>
            <w:gridSpan w:val="3"/>
          </w:tcPr>
          <w:p>
            <w:pPr>
              <w:ind w:left="4520"/>
              <w:spacing w:after="0" w:line="194" w:lineRule="exact"/>
              <w:rPr>
                <w:sz w:val="20"/>
                <w:szCs w:val="20"/>
                <w:color w:val="auto"/>
              </w:rPr>
            </w:pPr>
            <w:r>
              <w:rPr>
                <w:rFonts w:ascii="Times New Roman" w:cs="Times New Roman" w:eastAsia="Times New Roman" w:hAnsi="Times New Roman"/>
                <w:sz w:val="18"/>
                <w:szCs w:val="18"/>
                <w:b w:val="1"/>
                <w:bCs w:val="1"/>
                <w:color w:val="auto"/>
              </w:rPr>
              <w:t>Other current and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Other non-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520" w:type="dxa"/>
            <w:vAlign w:val="bottom"/>
            <w:gridSpan w:val="3"/>
          </w:tcPr>
          <w:p>
            <w:pPr>
              <w:ind w:left="45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(28.4)</w:t>
            </w: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(30.1)</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fair values of the derivatives are recorded between Other current and non-current assets and Other current and non-current liabilities as appropriate in the Consolidated Balance Sheets. As of December 31, 2015, the amounts recorded to Other current and non-current liabilities for commodity swaps were ($1.1) million and ($0.6) million, respectively. The amounts recorded to Other current and non-current liabilities for interest rate swaps were ($3.9) million and ($24.5) million, respectively.</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2014, the amount recorded to Other current liabilities for foreign currency swaps was ($0.3) million. The amounts recorded to Other current and non-current liabilities for commodity swaps were ($0.6) million and ($0.1) million, respectively. The amount recorded to Other non-current liabilities for interest rate swaps was ($14.4) million, respectively.</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impact on the Company’s Consolidated Statements of Comprehensive Income related to foreign currency and commodity swaps can be found in NOTE 11, and the following tabular disclosure describes the location and impact on the Company’s results of operations related to unrealized (loss) gain on interest rate derivatives (dollars in millions):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9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Location of impact on results of operations</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(14.0)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r>
      <w:tr>
        <w:trPr>
          <w:trHeight w:val="342"/>
        </w:trPr>
        <w:tc>
          <w:tcPr>
            <w:tcW w:w="3900" w:type="dxa"/>
            <w:vAlign w:val="bottom"/>
          </w:tcPr>
          <w:p>
            <w:pPr>
              <w:spacing w:after="0"/>
              <w:rPr>
                <w:sz w:val="24"/>
                <w:szCs w:val="24"/>
                <w:color w:val="auto"/>
              </w:rPr>
            </w:pP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PRODUCT WARRANTY LIABILITIES</w:t>
      </w:r>
    </w:p>
    <w:p>
      <w:pPr>
        <w:spacing w:after="0" w:line="121"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2015, the current and non-current product warranty liabilities were $24.9 million and $53.4 million, respectively. As of December 31, 2014, the current and non-current product warranty liabilities were $24.0 million and $59.6 million, respectively. Product warranty liability activities consist of the following (dollars in millions):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540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(32.5)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liability (warranty issued during period)</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adjustments to liability</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(for predecessor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During 2015, the Company recorded approximately $9.2 million of adjustments to the product warranty liabilities as a result of specific field action programs. As a result of the uncertainty surrounding the nature and frequency of specific field action programs, these liabilities will change as additional field information becomes available.</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remaining adjustments to the total liability in 2015, 2014 and 2013, excluding the Dual Power Inverter Module (“DPIM”) as discussed below, were the result of general changes in estimates for various products as additional claims data and field information became available.</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Dual Power Inverter Module</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During June 2007, Old GM recognized the estimated cost of replacing the DPIM used on H 40/50 EP hybrid systems. Certain units were falling short of their expected service life and the Company’s predecessor, Allison Transmission, an operating unit of General Motors Corporation, decided to cover repair or replacement for an extended period. The Company is responsible for the first $12.0 million of qualified cost while General Motors Company (“GM”) is responsible for the next $34.0 million of costs, with any amount over $46.0 million being shared one-third by the Company and two-thirds by GM for shipments through June 30, 2009.</w:t>
      </w:r>
    </w:p>
    <w:p>
      <w:pPr>
        <w:spacing w:after="0" w:line="18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During 2015, the Company completed an analysis of its DPIM extended coverage program and determined, based on current claims, that the product warranty liability should be increased by $1.8 million. This resulted in a $2.1 million increase in the GM DPIM receivable and a $0.3 million favorable adjustment to the Consolidated Statements of Comprehensive Income. During 2015, the Company also received a $1.8 million favorable settlement related to the specific DPIM field action programs. As of December 31, 2015, the DPIM liability was $50.3 million with an associated receivable from GM of $30.7 million. Through December 31, 2015, the Company had paid approximately $39.6 million in DPIM claims and received approximately $23.6 million in reimbursement from GM. The Company will continue to review the total DPIM liability and GM receivable for any changes in estimates as additional data becomes available.</w:t>
      </w:r>
    </w:p>
    <w:p>
      <w:pPr>
        <w:spacing w:after="0" w:line="18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During 2014, the Company completed an analysis of its DPIM extended coverage program and determined, based on current claims, that the product warranty liability should be increased by $3.9 million. This resulted in a $2.9 million increase in the GM DPIM receivable and a $1.0 million unfavorable adjustment to the Consolidated Statements of Comprehensive Income. As of December 31, 2014, the DPIM liability was $48.5 million with an associated receivable from GM of $28.7 million. Through December 31, 2014, the Company had paid approximately $32.8 million in DPIM claims and received approximately $14.9 million in reimbursement from GM. The Company will continue to review the total DPIM liability and GM receivable for any changes in estimates as additional data becomes available.</w:t>
      </w:r>
    </w:p>
    <w:p>
      <w:pPr>
        <w:spacing w:after="0" w:line="188"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During 2013, the Company completed an analysis of its DPIM extended coverage program and determined, based on current claims, that the product warranty liability should be reduced by $8.2 million. This resulted in a $5.8 million reduction in the GM DPIM receivable and a $2.4 million favorable adjustment to the Consolidated Statements of Comprehensive Income. As of December 31, 2013, the DPIM liability was $44.6 million with an associated receivable from GM of $25.8 million. Through December 31, 2013, the Company had paid approximately $25.5 million in DPIM claims and received approximately $9.1 million in reimbursement from GM.</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2015, the current and non-current deferred revenue for ETC were $22.9 million and $56.4 million, respectively. As of December 31, 2014, the current and non-current deferred revenue for ETC were $20.3 million and $48.7 million, respectively. Deferred revenue for ETC activity (dollars in millions):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542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Increases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31.9</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earned</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(21.6)</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Deferred revenue recorded in current liabilities related to unearned net sales for defense contracts for the years ended December 31, 2015, 2014 and 2013 was approximately $0.0 million, $0.3 million and $8.8 million, respectively.</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Due to requests from the U.S. government, the Company billed, but did not ship certain tracked transmissions during 2013. Based on the lack of a fixed delivery date from the U.S. government, the Company deferred approximately $8.8 million of net sales for these transmissions until they were shipped in 2014.</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Other expense, net consists of the following (dollars in millions):</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0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settlement</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$ 2.9</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Loss on intercompany foreign exchange</w:t>
            </w:r>
          </w:p>
        </w:tc>
        <w:tc>
          <w:tcPr>
            <w:tcW w:w="20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foreign exchange</w:t>
            </w:r>
          </w:p>
        </w:tc>
        <w:tc>
          <w:tcPr>
            <w:tcW w:w="20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1.4</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derivative contracts (see NOTE 8)</w:t>
            </w:r>
          </w:p>
        </w:tc>
        <w:tc>
          <w:tcPr>
            <w:tcW w:w="20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gain on derivative contracts (see NOTE 8)</w:t>
            </w:r>
          </w:p>
        </w:tc>
        <w:tc>
          <w:tcPr>
            <w:tcW w:w="2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(0.8)</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Loss on repayments and repurchases of long-term debt (see NOTE 7)</w:t>
            </w:r>
          </w:p>
        </w:tc>
        <w:tc>
          <w:tcPr>
            <w:tcW w:w="20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(0.3)</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program income</w:t>
            </w:r>
          </w:p>
        </w:tc>
        <w:tc>
          <w:tcPr>
            <w:tcW w:w="1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investments in technology-related initiatives</w:t>
            </w:r>
          </w:p>
        </w:tc>
        <w:tc>
          <w:tcPr>
            <w:tcW w:w="114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negotiation of commercial agreement</w:t>
            </w:r>
          </w:p>
        </w:tc>
        <w:tc>
          <w:tcPr>
            <w:tcW w:w="1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fees and expenses</w:t>
            </w:r>
          </w:p>
        </w:tc>
        <w:tc>
          <w:tcPr>
            <w:tcW w:w="114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(0.5)</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(0.3</w:t>
            </w: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(5.6</w:t>
            </w: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40" w:type="dxa"/>
            <w:vAlign w:val="bottom"/>
            <w:vMerge w:val="restart"/>
          </w:tcPr>
          <w:p>
            <w:pPr>
              <w:ind w:left="4700"/>
              <w:spacing w:after="0"/>
              <w:rPr>
                <w:sz w:val="20"/>
                <w:szCs w:val="20"/>
                <w:color w:val="auto"/>
              </w:rPr>
            </w:pPr>
            <w:r>
              <w:rPr>
                <w:rFonts w:ascii="Times New Roman" w:cs="Times New Roman" w:eastAsia="Times New Roman" w:hAnsi="Times New Roman"/>
                <w:sz w:val="18"/>
                <w:szCs w:val="18"/>
                <w:color w:val="auto"/>
              </w:rPr>
              <w:t>67</w:t>
            </w:r>
          </w:p>
        </w:tc>
        <w:tc>
          <w:tcPr>
            <w:tcW w:w="1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w:t>
            </w:r>
          </w:p>
        </w:tc>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5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Other current liabilities consist of the following (dollars in millions):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700" w:type="dxa"/>
            <w:vAlign w:val="bottom"/>
            <w:gridSpan w:val="4"/>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210"/>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buyback obligation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 price reduction reserve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r>
              <w:rPr>
                <w:rFonts w:ascii="Times New Roman" w:cs="Times New Roman" w:eastAsia="Times New Roman" w:hAnsi="Times New Roman"/>
                <w:sz w:val="18"/>
                <w:szCs w:val="18"/>
                <w:b w:val="1"/>
                <w:bCs w:val="1"/>
                <w:u w:val="single" w:color="auto"/>
                <w:color w:val="auto"/>
              </w:rPr>
              <w:t>1</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21" w:lineRule="exact"/>
        <w:rPr>
          <w:sz w:val="20"/>
          <w:szCs w:val="20"/>
          <w:color w:val="auto"/>
        </w:rPr>
      </w:pPr>
    </w:p>
    <w:p>
      <w:pPr>
        <w:ind w:right="560" w:firstLine="456"/>
        <w:spacing w:after="0" w:line="276" w:lineRule="auto"/>
        <w:rPr>
          <w:sz w:val="20"/>
          <w:szCs w:val="20"/>
          <w:color w:val="auto"/>
        </w:rPr>
      </w:pPr>
      <w:r>
        <w:rPr>
          <w:rFonts w:ascii="Times New Roman" w:cs="Times New Roman" w:eastAsia="Times New Roman" w:hAnsi="Times New Roman"/>
          <w:sz w:val="17"/>
          <w:szCs w:val="17"/>
          <w:color w:val="auto"/>
        </w:rPr>
        <w:t>The Company’s hourly defined benefit pension plan generally provides benefits of negotiated, stated amounts for each year of service as well as significant supplemental benefits for employees who retire with 30 years of service before normal retirement age. For all hourly employees hired after</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May 18, 2008, the defined benefit pension plan was replaced with a defined contribution pension plan, and the company-sponsored retiree healthcare was also eliminated for those hired after May 18, 2008. The charge to expense for the hourly defined contribution pension plan was $1.5 million, $1.3 million and $1.0 million for the years ended December 31, 2015, 2014 and 2013, respectively.</w:t>
      </w:r>
    </w:p>
    <w:p>
      <w:pPr>
        <w:spacing w:after="0" w:line="18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Company’s salaried defined benefit plan covering salaried employees with a service date prior to January 1, 2001 is generally based on years of service and compensation history. The salaried defined contribution retirement savings plan requires the Company to match employee contributions up to certain predefined limits based upon eligible base salary. In addition to the matching contribution, the Company is required to make a contribution equal to 1% of eligible base salary for salaried employees with a service date on or after January 1, 1993 to cover certain benefits in retirement that are different from salaried employees with a service date prior to January 1, 1993. In addition, for salaried employees with a service date on or after January 1, 2001, the Company is required to contribute to its defined contribution retirement savings plan an amount equal to 4% of eligible base salary under the program. The charge to expense for the salaried defined contribution retirement savings plan was $5.7 million, $5.4 million and $5.4 million for the years ended December 31, 2015, 2014 and 2013, respectively.</w:t>
      </w:r>
    </w:p>
    <w:p>
      <w:pPr>
        <w:spacing w:after="0" w:line="18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Company is also responsible for OPEB costs (medical, dental, vision, and life insurance) for hourly employees hired prior to May 19, 2008. Post-retirement benefit costs consist of service cost, interest cost on accrued obligations and the expected return on assets (calculated using a smoothed market value of assets).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OPEB accounting disclosures, and certain allocation methodologies such as population demographics. The plan is unfunded and any future payments will be funded by the Company’s operating cash flows. As of December 31, 2015 and 2014, the Company had an estimated OPEB liability for hourly employees hired prior to May 19, 2008, excluding those employees eligible to retire at the time of the sale of the Company (“the Acquisition Transaction”), of $147.3 million and $136.0 million, respectively.</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As part of the Health Care Reform Act enacted in 2010, the Company has evaluated the impact on “High-cost Health Plans” in which employers offering health plan coverage exceeding certain thresholds must pay an excise tax equal to 40% of the value of the plan that exceeds the threshold amount. As a result of the excise tax, the Company has recorded $12.2 million in its OPEB liability as of December 31, 2015 with a corresponding adjustment to AOCL, net of tax. This includes an adjustment for the delay in the start date from 2018 to 2020 as a result of the Bipartisan Budget Act of 2015.</w:t>
      </w:r>
    </w:p>
    <w:p>
      <w:pPr>
        <w:spacing w:after="0" w:line="180" w:lineRule="exact"/>
        <w:rPr>
          <w:sz w:val="20"/>
          <w:szCs w:val="20"/>
          <w:color w:val="auto"/>
        </w:rPr>
      </w:pPr>
    </w:p>
    <w:p>
      <w:pPr>
        <w:jc w:val="center"/>
        <w:ind w:right="200"/>
        <w:spacing w:after="0" w:line="454" w:lineRule="auto"/>
        <w:rPr>
          <w:sz w:val="20"/>
          <w:szCs w:val="20"/>
          <w:color w:val="auto"/>
        </w:rPr>
      </w:pPr>
      <w:r>
        <w:rPr>
          <w:rFonts w:ascii="Times New Roman" w:cs="Times New Roman" w:eastAsia="Times New Roman" w:hAnsi="Times New Roman"/>
          <w:sz w:val="18"/>
          <w:szCs w:val="18"/>
          <w:color w:val="auto"/>
        </w:rPr>
        <w:t>The Company provides contributions to certain international benefit plans; however, these contributions are not material for periods presented. 68</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For all pension and OPEB plans in which employees participate, costs are determined within the FASB’s authoritative accounting guidance set forth on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Information about the net periodic benefit cost and other changes recognized in AOCL for the pension and post-retirement benefit plans is as follows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0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Pr>
          <w:p>
            <w:pPr>
              <w:spacing w:after="0"/>
              <w:rPr>
                <w:sz w:val="10"/>
                <w:szCs w:val="10"/>
                <w:color w:val="auto"/>
              </w:rPr>
            </w:pPr>
          </w:p>
        </w:tc>
        <w:tc>
          <w:tcPr>
            <w:tcW w:w="1240" w:type="dxa"/>
            <w:vAlign w:val="bottom"/>
            <w:gridSpan w:val="3"/>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340" w:type="dxa"/>
            <w:vAlign w:val="bottom"/>
          </w:tcPr>
          <w:p>
            <w:pPr>
              <w:spacing w:after="0"/>
              <w:rPr>
                <w:sz w:val="10"/>
                <w:szCs w:val="10"/>
                <w:color w:val="auto"/>
              </w:rPr>
            </w:pPr>
          </w:p>
        </w:tc>
        <w:tc>
          <w:tcPr>
            <w:tcW w:w="124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12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Periodic Benefit Cost: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14.4</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w:t>
            </w:r>
          </w:p>
        </w:tc>
        <w:tc>
          <w:tcPr>
            <w:tcW w:w="5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(Gain) loss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w:t>
            </w:r>
          </w:p>
        </w:tc>
        <w:tc>
          <w:tcPr>
            <w:tcW w:w="5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changes recognized in other comprehensive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credit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(gain) loss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recognized – other comprehensive income</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w:t>
            </w:r>
          </w:p>
        </w:tc>
        <w:tc>
          <w:tcPr>
            <w:tcW w:w="1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weighted-average actuarial assumptions used to determine the net periodic benefit cost.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4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17"/>
        </w:trPr>
        <w:tc>
          <w:tcPr>
            <w:tcW w:w="3400" w:type="dxa"/>
            <w:vAlign w:val="bottom"/>
          </w:tcPr>
          <w:p>
            <w:pPr>
              <w:spacing w:after="0"/>
              <w:rPr>
                <w:sz w:val="10"/>
                <w:szCs w:val="10"/>
                <w:color w:val="auto"/>
              </w:rPr>
            </w:pPr>
          </w:p>
        </w:tc>
        <w:tc>
          <w:tcPr>
            <w:tcW w:w="12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00" w:type="dxa"/>
            <w:vAlign w:val="bottom"/>
          </w:tcPr>
          <w:p>
            <w:pPr>
              <w:spacing w:after="0"/>
              <w:rPr>
                <w:sz w:val="10"/>
                <w:szCs w:val="10"/>
                <w:color w:val="auto"/>
              </w:rPr>
            </w:pPr>
          </w:p>
        </w:tc>
        <w:tc>
          <w:tcPr>
            <w:tcW w:w="138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560" w:type="dxa"/>
            <w:vAlign w:val="bottom"/>
          </w:tcPr>
          <w:p>
            <w:pPr>
              <w:spacing w:after="0"/>
              <w:rPr>
                <w:sz w:val="10"/>
                <w:szCs w:val="10"/>
                <w:color w:val="auto"/>
              </w:rPr>
            </w:pPr>
          </w:p>
        </w:tc>
        <w:tc>
          <w:tcPr>
            <w:tcW w:w="10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360" w:type="dxa"/>
            <w:vAlign w:val="bottom"/>
          </w:tcPr>
          <w:p>
            <w:pPr>
              <w:spacing w:after="0"/>
              <w:rPr>
                <w:sz w:val="10"/>
                <w:szCs w:val="10"/>
                <w:color w:val="auto"/>
              </w:rPr>
            </w:pPr>
          </w:p>
        </w:tc>
        <w:tc>
          <w:tcPr>
            <w:tcW w:w="140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00" w:type="dxa"/>
            <w:vAlign w:val="bottom"/>
          </w:tcPr>
          <w:p>
            <w:pPr>
              <w:spacing w:after="0"/>
              <w:rPr>
                <w:sz w:val="10"/>
                <w:szCs w:val="10"/>
                <w:color w:val="auto"/>
              </w:rPr>
            </w:pPr>
          </w:p>
        </w:tc>
      </w:tr>
      <w:tr>
        <w:trPr>
          <w:trHeight w:val="149"/>
        </w:trPr>
        <w:tc>
          <w:tcPr>
            <w:tcW w:w="34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5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5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5"/>
                <w:szCs w:val="15"/>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4.80%</w:t>
            </w: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4.00%</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4.90%</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 (salaried)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3.00%</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3.00%</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N/A</w:t>
            </w:r>
          </w:p>
        </w:tc>
        <w:tc>
          <w:tcPr>
            <w:tcW w:w="360" w:type="dxa"/>
            <w:vAlign w:val="bottom"/>
          </w:tcPr>
          <w:p>
            <w:pPr>
              <w:spacing w:after="0"/>
              <w:rPr>
                <w:sz w:val="18"/>
                <w:szCs w:val="18"/>
                <w:color w:val="auto"/>
              </w:rPr>
            </w:pPr>
          </w:p>
        </w:tc>
        <w:tc>
          <w:tcPr>
            <w:tcW w:w="14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6.25%</w:t>
            </w: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6.80%</w:t>
            </w: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7.00%</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N/A</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weighted-average actuarial assumptions used to determine the benefit obligations of the Company’s plans.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0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0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42"/>
        </w:trPr>
        <w:tc>
          <w:tcPr>
            <w:tcW w:w="64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260" w:type="dxa"/>
            <w:vAlign w:val="bottom"/>
            <w:tcBorders>
              <w:top w:val="single" w:sz="8" w:color="auto"/>
              <w:bottom w:val="single" w:sz="8" w:color="auto"/>
            </w:tcBorders>
            <w:gridSpan w:val="4"/>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5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7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4.40%</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3.90%</w:t>
            </w:r>
          </w:p>
        </w:tc>
        <w:tc>
          <w:tcPr>
            <w:tcW w:w="1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4.60%</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4.00%</w:t>
            </w:r>
          </w:p>
        </w:tc>
      </w:tr>
      <w:tr>
        <w:trPr>
          <w:trHeight w:val="23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 (salaried)</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3.00%</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3.00%</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5"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Company’s pension and OPEB costs are calculated using various actuarial assumptions and methodologies as prescribed by authoritative accounting guidance. These assumptions include discount rates, expected return on plan assets, health care cost trend rates, inflation, rate of compensation increases, mortality rates and other factors. The Company reviews all actuarial assumptions on an annual basis.</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2015.</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overall expected rate of return on plan assets is based upon historical and expected future returns consistent with the expected benefit duration of the plan for each asset group adjusted for investment and administrative fees.</w:t>
      </w:r>
    </w:p>
    <w:p>
      <w:pPr>
        <w:spacing w:after="0" w:line="162"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Health care cost trends are used to project future post-retirement benefits payable from the Company’s plans. For the Company’s December 31, 2015 obligations, future post-retirement medical care costs were forecasted assuming an initial annual increase of 6.67%, decreasing to 4.50% by the year 2027. Future post-retirement prescription drug costs were forecasted assuming an initial annual increase of 5.75%, decreasing to 4.50% by the year 2027.</w:t>
      </w:r>
    </w:p>
    <w:p>
      <w:pPr>
        <w:spacing w:after="0" w:line="176"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As health care costs trends have a significant effect on the amounts reported, an increase and decrease of one-percentage-point would have the following effects in the year ended December 31, 2015 (dollars in millions):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16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 Decrease</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total of service and interest cost</w:t>
            </w:r>
          </w:p>
        </w:tc>
        <w:tc>
          <w:tcPr>
            <w:tcW w:w="15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Effect on post-retirement benefit obligation</w:t>
            </w:r>
          </w:p>
        </w:tc>
        <w:tc>
          <w:tcPr>
            <w:tcW w:w="18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reconciliation of the changes in the net benefit obligations and fair value of plan assets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2014 and 2013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460" w:type="dxa"/>
            <w:vAlign w:val="bottom"/>
          </w:tcPr>
          <w:p>
            <w:pPr>
              <w:spacing w:after="0"/>
              <w:rPr>
                <w:sz w:val="10"/>
                <w:szCs w:val="10"/>
                <w:color w:val="auto"/>
              </w:rPr>
            </w:pPr>
          </w:p>
        </w:tc>
        <w:tc>
          <w:tcPr>
            <w:tcW w:w="106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10"/>
                <w:szCs w:val="10"/>
                <w:color w:val="auto"/>
              </w:rPr>
            </w:pPr>
          </w:p>
        </w:tc>
        <w:tc>
          <w:tcPr>
            <w:tcW w:w="1060" w:type="dxa"/>
            <w:vAlign w:val="bottom"/>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10"/>
                <w:szCs w:val="10"/>
                <w:color w:val="auto"/>
              </w:rPr>
            </w:pPr>
          </w:p>
        </w:tc>
        <w:tc>
          <w:tcPr>
            <w:tcW w:w="8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Pr>
          <w:p>
            <w:pPr>
              <w:spacing w:after="0"/>
              <w:rPr>
                <w:sz w:val="10"/>
                <w:szCs w:val="10"/>
                <w:color w:val="auto"/>
              </w:rPr>
            </w:pPr>
          </w:p>
        </w:tc>
        <w:tc>
          <w:tcPr>
            <w:tcW w:w="120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8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0"/>
                <w:szCs w:val="10"/>
                <w:color w:val="auto"/>
              </w:rPr>
            </w:pPr>
          </w:p>
        </w:tc>
      </w:tr>
      <w:tr>
        <w:trPr>
          <w:trHeight w:val="149"/>
        </w:trPr>
        <w:tc>
          <w:tcPr>
            <w:tcW w:w="44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040" w:type="dxa"/>
            <w:vAlign w:val="bottom"/>
            <w:gridSpan w:val="3"/>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Benefit Obligations: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benefit obligation at beginning of year</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133.5</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105.9</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tcPr>
          <w:p>
            <w:pPr>
              <w:spacing w:after="0"/>
              <w:rPr>
                <w:sz w:val="18"/>
                <w:szCs w:val="18"/>
                <w:color w:val="auto"/>
              </w:rPr>
            </w:pPr>
          </w:p>
        </w:tc>
        <w:tc>
          <w:tcPr>
            <w:tcW w:w="34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136.0</w:t>
            </w:r>
          </w:p>
        </w:tc>
        <w:tc>
          <w:tcPr>
            <w:tcW w:w="34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Amendments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benefit obligation at end of year</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r>
              <w:rPr>
                <w:rFonts w:ascii="Times New Roman" w:cs="Times New Roman" w:eastAsia="Times New Roman" w:hAnsi="Times New Roman"/>
                <w:sz w:val="18"/>
                <w:szCs w:val="18"/>
                <w:b w:val="1"/>
                <w:bCs w:val="1"/>
                <w:u w:val="single" w:color="auto"/>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r>
              <w:rPr>
                <w:rFonts w:ascii="Times New Roman" w:cs="Times New Roman" w:eastAsia="Times New Roman" w:hAnsi="Times New Roman"/>
                <w:sz w:val="18"/>
                <w:szCs w:val="18"/>
                <w:b w:val="1"/>
                <w:bCs w:val="1"/>
                <w:u w:val="single" w:color="auto"/>
                <w:color w:val="auto"/>
              </w:rPr>
              <w:t>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135.3</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34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Funded Status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(0.3)</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(147.3)</w:t>
            </w:r>
          </w:p>
        </w:tc>
        <w:tc>
          <w:tcPr>
            <w:tcW w:w="3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(120.7)</w:t>
            </w:r>
          </w:p>
        </w:tc>
      </w:tr>
      <w:tr>
        <w:trPr>
          <w:trHeight w:val="20"/>
        </w:trPr>
        <w:tc>
          <w:tcPr>
            <w:tcW w:w="4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pension plan assets mostly consist of diversified equity securities and diversified debt securities. The fair values of plan assets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pension plans as of December 31, 2015 and 2014 are as follows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560" w:type="dxa"/>
            <w:vAlign w:val="bottom"/>
            <w:gridSpan w:val="6"/>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4"/>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60" w:type="dxa"/>
            <w:vAlign w:val="bottom"/>
          </w:tcPr>
          <w:p>
            <w:pPr>
              <w:spacing w:after="0"/>
              <w:rPr>
                <w:sz w:val="15"/>
                <w:szCs w:val="15"/>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 Inputs (Level 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Diversified equity securities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21.1</w:t>
            </w: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Diversified debt securities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21.9</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94.1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r>
              <w:rPr>
                <w:rFonts w:ascii="Times New Roman" w:cs="Times New Roman" w:eastAsia="Times New Roman" w:hAnsi="Times New Roman"/>
                <w:sz w:val="18"/>
                <w:szCs w:val="18"/>
                <w:b w:val="1"/>
                <w:bCs w:val="1"/>
                <w:u w:val="single" w:color="auto"/>
                <w:color w:val="auto"/>
              </w:rPr>
              <w:t>1</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140.1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356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40" w:type="dxa"/>
            <w:vAlign w:val="bottom"/>
            <w:tcBorders>
              <w:bottom w:val="single" w:sz="8" w:color="auto"/>
            </w:tcBorders>
            <w:vMerge w:val="continue"/>
          </w:tcPr>
          <w:p>
            <w:pPr>
              <w:spacing w:after="0"/>
              <w:rPr>
                <w:sz w:val="12"/>
                <w:szCs w:val="12"/>
                <w:color w:val="auto"/>
              </w:rPr>
            </w:pPr>
          </w:p>
        </w:tc>
        <w:tc>
          <w:tcPr>
            <w:tcW w:w="3560" w:type="dxa"/>
            <w:vAlign w:val="bottom"/>
            <w:tcBorders>
              <w:bottom w:val="single" w:sz="8" w:color="CCEEFF"/>
            </w:tcBorders>
            <w:vMerge w:val="continue"/>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Hourly</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Salary</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 equity securities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Diversified debt securities</w:t>
            </w:r>
          </w:p>
        </w:tc>
        <w:tc>
          <w:tcPr>
            <w:tcW w:w="24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Pr>
          <w:p>
            <w:pPr>
              <w:spacing w:after="0"/>
              <w:rPr>
                <w:sz w:val="19"/>
                <w:szCs w:val="19"/>
                <w:color w:val="auto"/>
              </w:rPr>
            </w:pPr>
          </w:p>
        </w:tc>
        <w:tc>
          <w:tcPr>
            <w:tcW w:w="102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Through 2015, the Company’s investment committee has continued to evaluate the investments and take steps toward the established targets.</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discloses the amounts recognized in the balance sheet and in AOCL at December 31, 2015 and 2014, on a pre-tax basis (dollars in millions):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5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00" w:type="dxa"/>
            <w:vAlign w:val="bottom"/>
          </w:tcPr>
          <w:p>
            <w:pPr>
              <w:spacing w:after="0"/>
              <w:rPr>
                <w:sz w:val="15"/>
                <w:szCs w:val="15"/>
                <w:color w:val="auto"/>
              </w:rPr>
            </w:pPr>
          </w:p>
        </w:tc>
        <w:tc>
          <w:tcPr>
            <w:tcW w:w="170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Amounts Recognized in Balance Sheet: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$ 6.6</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$ 7.9</w:t>
            </w:r>
          </w:p>
        </w:tc>
        <w:tc>
          <w:tcPr>
            <w:tcW w:w="40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(6.9)</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(liability) asset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(0.3)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(147.3)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 credit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$(0.3)</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4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$ 4.7</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amounts in AOCL expected to be amortized and recognized as a component of net periodic benefit cost in 2016 are as follows (dollars in millions):</w:t>
      </w:r>
    </w:p>
    <w:p>
      <w:pPr>
        <w:spacing w:after="0" w:line="257"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0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6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540" w:type="dxa"/>
            <w:vAlign w:val="bottom"/>
            <w:gridSpan w:val="3"/>
          </w:tcPr>
          <w:p>
            <w:pPr>
              <w:ind w:left="560"/>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100" w:type="dxa"/>
            <w:vAlign w:val="bottom"/>
          </w:tcPr>
          <w:p>
            <w:pPr>
              <w:spacing w:after="0"/>
              <w:rPr>
                <w:sz w:val="10"/>
                <w:szCs w:val="10"/>
                <w:color w:val="auto"/>
              </w:rPr>
            </w:pPr>
          </w:p>
        </w:tc>
      </w:tr>
      <w:tr>
        <w:trPr>
          <w:trHeight w:val="173"/>
        </w:trPr>
        <w:tc>
          <w:tcPr>
            <w:tcW w:w="40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Benefits</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(0.2)</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2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accumulated benefit obligation for the Company’s pension plans as of December 31, 2015 and 2014 was $136.6 million and $129.7 million, respectively.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2015 and 2014, the projected benefit obligation, the accumulated benefit obligation, and the fair value of plan assets for pension plans with a projected benefit obligation in excess of plan assets and for pension plans with an accumulated benefit obligation in excess of plan assets were as follows (dollars in millions):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5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Hourly Plan</w:t>
            </w:r>
          </w:p>
        </w:tc>
        <w:tc>
          <w:tcPr>
            <w:tcW w:w="220" w:type="dxa"/>
            <w:vAlign w:val="bottom"/>
          </w:tcPr>
          <w:p>
            <w:pPr>
              <w:spacing w:after="0"/>
              <w:rPr>
                <w:sz w:val="15"/>
                <w:szCs w:val="15"/>
                <w:color w:val="auto"/>
              </w:rPr>
            </w:pPr>
          </w:p>
        </w:tc>
        <w:tc>
          <w:tcPr>
            <w:tcW w:w="14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Salary Plan</w:t>
            </w:r>
          </w:p>
        </w:tc>
      </w:tr>
      <w:tr>
        <w:trPr>
          <w:trHeight w:val="142"/>
        </w:trPr>
        <w:tc>
          <w:tcPr>
            <w:tcW w:w="73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5"/>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640" w:type="dxa"/>
            <w:vAlign w:val="bottom"/>
            <w:gridSpan w:val="2"/>
          </w:tcPr>
          <w:p>
            <w:pPr>
              <w:jc w:val="center"/>
              <w:ind w:left="1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46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2"/>
                <w:szCs w:val="12"/>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Plans with projected benefit obligation in excess of plan assets:</w:t>
            </w: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5"/>
                <w:szCs w:val="15"/>
                <w:b w:val="1"/>
                <w:bCs w:val="1"/>
                <w:color w:val="auto"/>
              </w:rPr>
              <w:t>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15"/>
                <w:szCs w:val="15"/>
                <w:color w:val="auto"/>
              </w:rPr>
              <w:t>1</w:t>
            </w: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$74.6</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5"/>
                <w:szCs w:val="15"/>
                <w:b w:val="1"/>
                <w:bCs w:val="1"/>
                <w:color w:val="auto"/>
              </w:rPr>
              <w:t>1</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15"/>
                <w:szCs w:val="15"/>
                <w:color w:val="auto"/>
              </w:rPr>
              <w:t>1</w:t>
            </w:r>
          </w:p>
        </w:tc>
        <w:tc>
          <w:tcPr>
            <w:tcW w:w="110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$67.7</w:t>
            </w:r>
          </w:p>
        </w:tc>
        <w:tc>
          <w:tcPr>
            <w:tcW w:w="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Plans with accumulated benefit obligation in excess of plan assets:</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5"/>
                <w:szCs w:val="15"/>
                <w:b w:val="1"/>
                <w:bCs w:val="1"/>
                <w:color w:val="auto"/>
              </w:rPr>
              <w:t>1</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15"/>
                <w:szCs w:val="15"/>
                <w:color w:val="auto"/>
              </w:rPr>
              <w:t>1</w:t>
            </w:r>
          </w:p>
        </w:tc>
        <w:tc>
          <w:tcPr>
            <w:tcW w:w="110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$70.8</w:t>
            </w:r>
          </w:p>
        </w:tc>
        <w:tc>
          <w:tcPr>
            <w:tcW w:w="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$67.6</w:t>
            </w:r>
          </w:p>
        </w:tc>
      </w:t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5"/>
                <w:szCs w:val="15"/>
                <w:b w:val="1"/>
                <w:bCs w:val="1"/>
                <w:color w:val="auto"/>
              </w:rPr>
              <w:t>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15"/>
                <w:szCs w:val="15"/>
                <w:color w:val="auto"/>
              </w:rPr>
              <w:t>1</w:t>
            </w: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$67.7</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$65.3</w:t>
            </w:r>
          </w:p>
        </w:tc>
      </w:tr>
    </w:tbl>
    <w:p>
      <w:pPr>
        <w:spacing w:after="0" w:line="202" w:lineRule="exact"/>
        <w:rPr>
          <w:sz w:val="20"/>
          <w:szCs w:val="20"/>
          <w:color w:val="auto"/>
        </w:rPr>
      </w:pPr>
    </w:p>
    <w:p>
      <w:pPr>
        <w:ind w:left="460" w:right="480" w:hanging="452"/>
        <w:spacing w:after="0" w:line="282" w:lineRule="auto"/>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December 31, 2015 and 2014, the hourly defined benefit pension plan had plan assets greater than both the projected benefit obligation and accumulated benefit obligation.</w:t>
      </w:r>
    </w:p>
    <w:p>
      <w:pPr>
        <w:spacing w:after="0" w:line="161" w:lineRule="exact"/>
        <w:rPr>
          <w:rFonts w:ascii="Times New Roman" w:cs="Times New Roman" w:eastAsia="Times New Roman" w:hAnsi="Times New Roman"/>
          <w:sz w:val="15"/>
          <w:szCs w:val="15"/>
          <w:color w:val="auto"/>
        </w:rPr>
      </w:pPr>
    </w:p>
    <w:p>
      <w:pPr>
        <w:ind w:left="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Information about expected cash flows for the Company’s pension and post-retirement benefit plans is as follows (dollars in millions):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90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73"/>
        </w:trPr>
        <w:tc>
          <w:tcPr>
            <w:tcW w:w="4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Benefits</w:t>
            </w: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Employer Contributions:</w:t>
            </w:r>
          </w:p>
        </w:tc>
        <w:tc>
          <w:tcPr>
            <w:tcW w:w="2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2016 expected contributions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8.0</w:t>
            </w:r>
          </w:p>
        </w:tc>
        <w:tc>
          <w:tcPr>
            <w:tcW w:w="9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Benefit Payments:</w:t>
            </w:r>
          </w:p>
        </w:tc>
        <w:tc>
          <w:tcPr>
            <w:tcW w:w="2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2021-2025</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June 2012, the Company established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a charge of $0.2 million, $0.2 million, and $0.3 million to the Consolidated Statements of Comprehensive Income for the years ended December 31, 2015, 2014 and 2013, respectively, and the fair value of the rabbi trust plan assets and deferred compensation obligation was $4.8 million and $2.9 million as of December 31, 2015 and 2014, respectively.</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March 2015, the Company’s Board of Directors adopted and in May 2015, the Company’s stockholders approved the Allison Transmission Holdings, Inc. 2015 Equity Incentive Award Plan (“2015 Plan”), which became effective on May 14, 2015. Under the 2015 Plan, certain employees (including executive officers), consultants and directors are eligible to receive equity-based compensation, including non-qualified stock options, incentive stock options, restricted stock, dividend equivalents, stock payments, restricted stock units (“RSU”), performance awards, stock appreciation rights and other equity-based awards, or any combination thereof. The 2015 Plan limits the aggregate number of shares of common stock available for issue to 15.3 million and will expire on, and no option or other equity award may be granted pursuant to the 2015 Plan after, the tenth anniversary of the date the 2015 Plan was approved by the Board of Directors.</w:t>
      </w:r>
    </w:p>
    <w:p>
      <w:pPr>
        <w:spacing w:after="0" w:line="18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Prior to the adoption of the 2015 Plan, the Company’s equity-based awards were granted under Allison Transmission Holdings, Inc. 2011 Equity Incentive Award Plan (“2011 Plan”) and the Equity Incentive Plan of Allison Transmission Holdings, Inc. (“Equity Plan” and, together with the 2011 Plan, the “Prior Plans”). As of the effective date of the 2015 Plan, no new awards will be granted under the Prior Plans, but the Prior Plans will continue to govern the equity awards issued under the Prior Plans.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RSUs were issued to certain employees in 2015, 2014 and 2013 under the 2011 Plan, and certain directors in 2015 and 2014 under the 2015 Plan and 2011 Plan, at fair market value at the date of grant. These awards entitle the holder to receive one common share for each RSU upon vesting, which generally occurs over one to three years upon continued performance of services by the RSU holders. A summary of RSU activity as of December 31, 2015, 2014 and 2013, and changes during the period then ended is presented below:</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Non-vested RSUs:</w:t>
            </w:r>
          </w:p>
        </w:tc>
        <w:tc>
          <w:tcPr>
            <w:tcW w:w="3120" w:type="dxa"/>
            <w:vAlign w:val="bottom"/>
            <w:vMerge w:val="restart"/>
          </w:tcPr>
          <w:p>
            <w:pPr>
              <w:spacing w:after="0"/>
              <w:rPr>
                <w:sz w:val="12"/>
                <w:szCs w:val="12"/>
                <w:color w:val="auto"/>
              </w:rPr>
            </w:pPr>
          </w:p>
        </w:tc>
        <w:tc>
          <w:tcPr>
            <w:tcW w:w="15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1120" w:type="dxa"/>
            <w:vAlign w:val="bottom"/>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5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2012</w:t>
            </w:r>
          </w:p>
        </w:tc>
        <w:tc>
          <w:tcPr>
            <w:tcW w:w="15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8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as of December 31, 2013</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8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8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2014</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8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as of December 31, 2015</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480" w:type="dxa"/>
            <w:vAlign w:val="bottom"/>
          </w:tcPr>
          <w:p>
            <w:pPr>
              <w:spacing w:after="0"/>
              <w:rPr>
                <w:sz w:val="20"/>
                <w:szCs w:val="20"/>
                <w:color w:val="auto"/>
              </w:rPr>
            </w:pP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of December 31, 2015 and 2014, there were $2.8 million and $3.0 million, respectively, of unrecognized compensation cost related to non-vested RSU compensation arrangements granted under the 2015 Plan and 2011 Plan. This cost is expected to be recognized, on a straight line basis, over a period of approximately two years. RSU incentive compensation expense recorded was $3.0 million, $9.8 million and $12.0 million for the years ended December 31, 2015, 2014 and 2013, respectively. The total intrinsic value of RSUs vested during the years ended December 31, 2015, 2014 and 2013 was $0.2 million, $7.4 million and $1.1 million, respectively. The total fair value of RSUs vested during the years ended December 31, 2015, 2014 and 2013 was approximately $3.8 million, $20.2 million and $9.0 million, respectively.</w:t>
      </w:r>
    </w:p>
    <w:p>
      <w:pPr>
        <w:spacing w:after="0" w:line="18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Pursuant to the share withholding provisions of the 2011 Plan and the related RSU award agreement, certain employees, in lieu of paying withholding taxes on the vesting of RSUs, authorized the withholding of an aggregate of approximately 0.1 million, 0.3 million and 0.1 million shares, respectively of the Company’s common stock to satisfy their minimum statutory tax withholding requirements related to such vesting events during 2015, 2014 and 2013. The withheld shares were recorded as a reduction to equity on the applicable vesting dates of approximately $1.4 million, $8.4 million and $3.6 million during 2015, 2014 and 2013, respectively.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Restricted stock was granted to certain employees in 2015 and 2014 under the 2011 Plan at fair market value on the date of grant. The restrictions lapse upon continued performance by the restricted stock holders on the vest date which generally occurs over one, two or three years. A summary of restricted stock activity as of December 31, 2015 and 2014, and changes during the period ended December 31, 2015 and 2014 is presented below:</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12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580" w:type="dxa"/>
            <w:vAlign w:val="bottom"/>
          </w:tcPr>
          <w:p>
            <w:pPr>
              <w:spacing w:after="0"/>
              <w:rPr>
                <w:sz w:val="12"/>
                <w:szCs w:val="12"/>
                <w:color w:val="auto"/>
              </w:rPr>
            </w:pPr>
          </w:p>
        </w:tc>
        <w:tc>
          <w:tcPr>
            <w:tcW w:w="740" w:type="dxa"/>
            <w:vAlign w:val="bottom"/>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73"/>
        </w:trPr>
        <w:tc>
          <w:tcPr>
            <w:tcW w:w="4240" w:type="dxa"/>
            <w:vAlign w:val="bottom"/>
            <w:gridSpan w:val="2"/>
            <w:vMerge w:val="continue"/>
          </w:tcPr>
          <w:p>
            <w:pPr>
              <w:spacing w:after="0"/>
              <w:rPr>
                <w:sz w:val="15"/>
                <w:szCs w:val="15"/>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15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2013</w:t>
            </w:r>
          </w:p>
        </w:tc>
        <w:tc>
          <w:tcPr>
            <w:tcW w:w="15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as of December 31, 2014</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rPr>
              <w:t>32.05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rPr>
              <w:t>29.08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2015</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rPr>
              <w:t>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2015 and 2014, there was $2.8 million and $3.4 million, respectively, of unrecognized compensation cost related to non-vested restricted stock compensation arrangements granted under the 2011 Plan. This cost is expected to be recognized, on a straight line basis, over a period of approximately two years. Restricted stock incentive compensation expense recorded was $2.2 million and $1.6 million for the years ended December 31, 2015 and 2014, respectively. The total intrinsic value of restricted stock vested during the year ended December 31, 2015 was $0.1 million.</w:t>
      </w:r>
    </w:p>
    <w:p>
      <w:pPr>
        <w:spacing w:after="0" w:line="180"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Pursuant to the share withholding provisions of the 2011 Plan and the related restricted stock award agreement, certain employees, in lieu of paying withholding taxes on the vesting of restricted stock, authorized the withholding of the Company’s common stock to satisfy their minimum statutory tax withholding requirements related to such vesting events during 2015. The withheld shares were recorded as a reduction to equity on the applicable vesting dates of approximately $0.5 million during 2015.</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Performance awards were granted to certain employees in 2015 under the 2011 Plan. In accordance with the FASB’s authoritative accounting guidance on stock compensation, each performance award granted is to be recorded at fair value. The Company records the fair value of each performance award based on a Monte-Carlo pricing model using the assumptions noted in the following table:</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3380" w:type="dxa"/>
            <w:vAlign w:val="bottom"/>
            <w:gridSpan w:val="2"/>
          </w:tcPr>
          <w:p>
            <w:pPr>
              <w:jc w:val="center"/>
              <w:ind w:left="2496"/>
              <w:spacing w:after="0"/>
              <w:rPr>
                <w:sz w:val="20"/>
                <w:szCs w:val="20"/>
                <w:color w:val="auto"/>
              </w:rPr>
            </w:pPr>
            <w:r>
              <w:rPr>
                <w:rFonts w:ascii="Times New Roman" w:cs="Times New Roman" w:eastAsia="Times New Roman" w:hAnsi="Times New Roman"/>
                <w:sz w:val="14"/>
                <w:szCs w:val="14"/>
                <w:b w:val="1"/>
                <w:bCs w:val="1"/>
                <w:color w:val="auto"/>
                <w:w w:val="99"/>
              </w:rPr>
              <w:t>2015</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18%-34%</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380" w:type="dxa"/>
            <w:vAlign w:val="bottom"/>
            <w:gridSpan w:val="2"/>
          </w:tcPr>
          <w:p>
            <w:pPr>
              <w:jc w:val="center"/>
              <w:ind w:left="2496"/>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380" w:type="dxa"/>
            <w:vAlign w:val="bottom"/>
            <w:gridSpan w:val="2"/>
            <w:shd w:val="clear" w:color="auto" w:fill="CCEEFF"/>
          </w:tcPr>
          <w:p>
            <w:pPr>
              <w:jc w:val="center"/>
              <w:ind w:left="2496"/>
              <w:spacing w:after="0"/>
              <w:rPr>
                <w:sz w:val="20"/>
                <w:szCs w:val="20"/>
                <w:color w:val="auto"/>
              </w:rPr>
            </w:pPr>
            <w:r>
              <w:rPr>
                <w:rFonts w:ascii="Times New Roman" w:cs="Times New Roman" w:eastAsia="Times New Roman" w:hAnsi="Times New Roman"/>
                <w:sz w:val="18"/>
                <w:szCs w:val="18"/>
                <w:b w:val="1"/>
                <w:bCs w:val="1"/>
                <w:color w:val="auto"/>
                <w:w w:val="98"/>
              </w:rPr>
              <w:t>1.0%</w:t>
            </w:r>
          </w:p>
        </w:tc>
      </w:tr>
    </w:tbl>
    <w:p>
      <w:pPr>
        <w:spacing w:after="0" w:line="198"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restrictions lapse on the date the Compensation Committee of the Board of Directors determines the number of shares that shall vest based on the total stockholders return of the Company and the specified peer group, which date should be no later than February 28, 2018. A summary of performance award activity as of December 31, 2015, and changes during the period ended December 31, 2015 is presented below:</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10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560" w:type="dxa"/>
            <w:vAlign w:val="bottom"/>
          </w:tcPr>
          <w:p>
            <w:pPr>
              <w:spacing w:after="0"/>
              <w:rPr>
                <w:sz w:val="12"/>
                <w:szCs w:val="12"/>
                <w:color w:val="auto"/>
              </w:rPr>
            </w:pPr>
          </w:p>
        </w:tc>
        <w:tc>
          <w:tcPr>
            <w:tcW w:w="800" w:type="dxa"/>
            <w:vAlign w:val="bottom"/>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4220" w:type="dxa"/>
            <w:vAlign w:val="bottom"/>
            <w:gridSpan w:val="2"/>
            <w:vMerge w:val="continue"/>
          </w:tcPr>
          <w:p>
            <w:pPr>
              <w:spacing w:after="0"/>
              <w:rPr>
                <w:sz w:val="15"/>
                <w:szCs w:val="15"/>
                <w:color w:val="auto"/>
              </w:rPr>
            </w:pPr>
          </w:p>
        </w:tc>
        <w:tc>
          <w:tcPr>
            <w:tcW w:w="15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5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2014</w:t>
            </w:r>
          </w:p>
        </w:tc>
        <w:tc>
          <w:tcPr>
            <w:tcW w:w="156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51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ind w:left="476"/>
              <w:spacing w:after="0"/>
              <w:rPr>
                <w:sz w:val="20"/>
                <w:szCs w:val="20"/>
                <w:color w:val="auto"/>
              </w:rPr>
            </w:pPr>
            <w:r>
              <w:rPr>
                <w:rFonts w:ascii="Times New Roman" w:cs="Times New Roman" w:eastAsia="Times New Roman" w:hAnsi="Times New Roman"/>
                <w:sz w:val="18"/>
                <w:szCs w:val="18"/>
                <w:b w:val="1"/>
                <w:bCs w:val="1"/>
                <w:color w:val="auto"/>
              </w:rPr>
              <w:t>36.53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416"/>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as of December 31, 2015</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ind w:left="476"/>
              <w:spacing w:after="0"/>
              <w:rPr>
                <w:sz w:val="20"/>
                <w:szCs w:val="20"/>
                <w:color w:val="auto"/>
              </w:rPr>
            </w:pPr>
            <w:r>
              <w:rPr>
                <w:rFonts w:ascii="Times New Roman" w:cs="Times New Roman" w:eastAsia="Times New Roman" w:hAnsi="Times New Roman"/>
                <w:sz w:val="18"/>
                <w:szCs w:val="18"/>
                <w:b w:val="1"/>
                <w:bCs w:val="1"/>
                <w:color w:val="auto"/>
              </w:rPr>
              <w:t>36.53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2015, there was $1.7 million of unrecognized compensation cost related to non-vested performance awards granted under the 2011 Plan. This cost is expected to be recognized, on a straight line basis, over a period of approximately three years. Performance award incentive compensation expense recorded was $0.7 million for the year ended December 31, 2015.</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Stock options granted under the Equity Plan after the completion of the Acquisition Transaction and through March 2012, have a per share exercise price based on the fair market value of the Company at the date of grant. Stock options granted under the 2015 Plan and 2011 Plan have a per share exercise price based on the closing price of a share of the Company’s common stock as reported by the NYSE on the date of grant. All stock options expire 10 years after the grant date. The options vest upon the continued performance of services by the option holder over time, with either 20% or 33% of the award vesting on each anniversary of the grant date over three to five years for awards under the Equity Plan and 100% of the award vesting in December of the year that is two years after the year of grant or the third anniversary of the grant date under the 2011 Plan. Upon termination of employment for reasons other than cause, retirement before the age of 65 with less than 90 points (calculated as age plus years of service), death or disability, the options shall cease to be exercisable ninety days following the date of the optionees’ termination of service. Upon termination of employment for cause, the options shall not be exercisable on the date of such termination. Upon termination of employment for retirement at or after the age of 65, the options shall cease to be exercisable three years following such date. Upon termination of employment for retirement before the age of 65 with 90 or more points, the options shall cease to be exercisable two years following such date. Upon termination of employment for death or disability, the options shall cease to be exercisable twelve months following such date.</w:t>
      </w:r>
    </w:p>
    <w:p>
      <w:pPr>
        <w:spacing w:after="0" w:line="19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accordance with the FASB’s authoritative accounting guidance on stock compensation, each option grant is to be recorded at fair value. When options are granted, the Company uses a Black-Scholes option pricing model to calculate the fair value of each option award using the assumptions noted in the following table:</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7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6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6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Borders>
              <w:bottom w:val="single" w:sz="8" w:color="CCEEFF"/>
            </w:tcBorders>
          </w:tcPr>
          <w:p>
            <w:pPr>
              <w:spacing w:after="0"/>
              <w:rPr>
                <w:sz w:val="15"/>
                <w:szCs w:val="15"/>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31%</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1.9%</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6.0</w:t>
            </w:r>
          </w:p>
        </w:tc>
        <w:tc>
          <w:tcPr>
            <w:tcW w:w="9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1.5%</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75"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Expected volatility is based on “the average volatilities of otherwise similar public entities” as defined by authoritative accounting guidance. The Company currently pays a $0.15 dividend per quarter. The expected term is derived from the average of the weighted vesting life and the contractual term. The risk-free rate for periods within the contractual life of the option is based on the U.S. Treasury yield curve in effect at the time of grant.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option activity as of December 31, 2015, 2014 and 2013, and changes during the period then ended is presented below:</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3"/>
                <w:szCs w:val="13"/>
                <w:color w:val="auto"/>
              </w:rPr>
            </w:pPr>
          </w:p>
        </w:tc>
        <w:tc>
          <w:tcPr>
            <w:tcW w:w="16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2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60" w:type="dxa"/>
            <w:vAlign w:val="bottom"/>
          </w:tcPr>
          <w:p>
            <w:pPr>
              <w:spacing w:after="0"/>
              <w:rPr>
                <w:sz w:val="15"/>
                <w:szCs w:val="15"/>
                <w:color w:val="auto"/>
              </w:rPr>
            </w:pPr>
          </w:p>
        </w:tc>
        <w:tc>
          <w:tcPr>
            <w:tcW w:w="160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7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2012</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14.02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 years</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23.39</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2013</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15.33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 years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2013</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14.79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 years</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30.23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2014</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17.49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 years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2014</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15.32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 years</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32.13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2015</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19.47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4.12 years</w:t>
            </w: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2015</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16.87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3.12 years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2015, 2014 and 2013 was $8.39, $9.51 and $9.76, respectively. The total fair value of stock options vested during the years ended December 31, 2015, 2014 and 2013 was $5.9 million, $0.0 million and $0.7 million, respectively. The total intrinsic value of stock options exercised during the years ended December 31, 2015, 2014 and 2013 was $25.8 million, $82.3 million and $58.0 million, respectively. The aggregate intrinsic value of stock options outstanding and exercisable was $23.1 million and $27.1 million as of December 31, 2015, and $80.4 million and $72.5 million as of December 31, 2014, respectively.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status of the Company’s non-vested stock options as of December 31, 2015, 2014 and 2013, and changes during the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2014 and 2013 is presented below:</w:t>
      </w:r>
    </w:p>
    <w:p>
      <w:pPr>
        <w:spacing w:after="0" w:line="21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Non-vested Stock Options:</w:t>
            </w:r>
          </w:p>
        </w:tc>
        <w:tc>
          <w:tcPr>
            <w:tcW w:w="16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4120" w:type="dxa"/>
            <w:vAlign w:val="bottom"/>
            <w:gridSpan w:val="2"/>
            <w:vMerge w:val="continue"/>
          </w:tcPr>
          <w:p>
            <w:pPr>
              <w:spacing w:after="0"/>
              <w:rPr>
                <w:sz w:val="15"/>
                <w:szCs w:val="15"/>
                <w:color w:val="auto"/>
              </w:rPr>
            </w:pPr>
          </w:p>
        </w:tc>
        <w:tc>
          <w:tcPr>
            <w:tcW w:w="29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1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0"/>
              </w:rPr>
              <w:t>Non-vested at December</w:t>
            </w:r>
          </w:p>
        </w:tc>
        <w:tc>
          <w:tcPr>
            <w:tcW w:w="2480" w:type="dxa"/>
            <w:vAlign w:val="bottom"/>
            <w:tcBorders>
              <w:top w:val="single" w:sz="8" w:color="CCEEFF"/>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31, 2012</w:t>
            </w:r>
          </w:p>
        </w:tc>
        <w:tc>
          <w:tcPr>
            <w:tcW w:w="1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at December 31, 2013</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2014</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573"/>
              <w:spacing w:after="0"/>
              <w:rPr>
                <w:sz w:val="20"/>
                <w:szCs w:val="20"/>
                <w:color w:val="auto"/>
              </w:rPr>
            </w:pPr>
            <w:r>
              <w:rPr>
                <w:rFonts w:ascii="Times New Roman" w:cs="Times New Roman" w:eastAsia="Times New Roman" w:hAnsi="Times New Roman"/>
                <w:sz w:val="18"/>
                <w:szCs w:val="18"/>
                <w:b w:val="1"/>
                <w:bCs w:val="1"/>
                <w:color w:val="auto"/>
              </w:rPr>
              <w:t>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(0.6)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b w:val="1"/>
                <w:bCs w:val="1"/>
                <w:color w:val="auto"/>
              </w:rPr>
              <w:t>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at December 31, 2015</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500" w:type="dxa"/>
            <w:vAlign w:val="bottom"/>
          </w:tcPr>
          <w:p>
            <w:pPr>
              <w:spacing w:after="0"/>
              <w:rPr>
                <w:sz w:val="20"/>
                <w:szCs w:val="20"/>
                <w:color w:val="auto"/>
              </w:rPr>
            </w:pP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center"/>
              <w:ind w:left="573"/>
              <w:spacing w:after="0"/>
              <w:rPr>
                <w:sz w:val="20"/>
                <w:szCs w:val="20"/>
                <w:color w:val="auto"/>
              </w:rPr>
            </w:pPr>
            <w:r>
              <w:rPr>
                <w:rFonts w:ascii="Times New Roman" w:cs="Times New Roman" w:eastAsia="Times New Roman" w:hAnsi="Times New Roman"/>
                <w:sz w:val="18"/>
                <w:szCs w:val="18"/>
                <w:b w:val="1"/>
                <w:bCs w:val="1"/>
                <w:color w:val="auto"/>
              </w:rPr>
              <w:t>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2015, 2014 and 2013, there was $2.9 million, $4.8 million and $4.2 million, respectively, of unrecognized compensation cost related to non-vested stock option compensation arrangements granted under the Prior Plans. This cost is expected to be recognized, on a straight line basis, over a period of approximately two to three years. Stock option incentive compensation expense recorded was $3.9 million, $3.3 million and $1.7 million for the years ended December 31, 2015, 2014 and 2013, respectively.</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20"/>
          </w:cols>
          <w:pgMar w:left="240" w:top="455"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w:t>
            </w:r>
          </w:p>
        </w:tc>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Income before income taxes included the following (dollars in millions):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income</w:t>
            </w:r>
          </w:p>
        </w:tc>
        <w:tc>
          <w:tcPr>
            <w:tcW w:w="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$260.5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w:t>
            </w:r>
          </w:p>
        </w:tc>
        <w:tc>
          <w:tcPr>
            <w:tcW w:w="94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28.3</w:t>
            </w:r>
          </w:p>
        </w:tc>
        <w:tc>
          <w:tcPr>
            <w:tcW w:w="3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288.8</w:t>
            </w: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368.1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266.1</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 expense was estimated as follows (dollars in millions):</w:t>
            </w: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10"/>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50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Estimated current income taxes:</w:t>
            </w: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9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3.0</w:t>
            </w:r>
          </w:p>
        </w:tc>
        <w:tc>
          <w:tcPr>
            <w:tcW w:w="9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  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90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5.4</w:t>
            </w:r>
          </w:p>
        </w:tc>
        <w:tc>
          <w:tcPr>
            <w:tcW w:w="9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 and local</w:t>
            </w:r>
          </w:p>
        </w:tc>
        <w:tc>
          <w:tcPr>
            <w:tcW w:w="1100" w:type="dxa"/>
            <w:vAlign w:val="bottom"/>
            <w:gridSpan w:val="2"/>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w:t>
            </w:r>
          </w:p>
        </w:tc>
        <w:tc>
          <w:tcPr>
            <w:tcW w:w="110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 (credit), net: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90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89.7</w:t>
            </w:r>
          </w:p>
        </w:tc>
        <w:tc>
          <w:tcPr>
            <w:tcW w:w="9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9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(0.1)</w:t>
            </w:r>
          </w:p>
        </w:tc>
        <w:tc>
          <w:tcPr>
            <w:tcW w:w="9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 and local</w:t>
            </w:r>
          </w:p>
        </w:tc>
        <w:tc>
          <w:tcPr>
            <w:tcW w:w="190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6.4</w:t>
            </w:r>
          </w:p>
        </w:tc>
        <w:tc>
          <w:tcPr>
            <w:tcW w:w="9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w:t>
            </w:r>
          </w:p>
        </w:tc>
        <w:tc>
          <w:tcPr>
            <w:tcW w:w="1100" w:type="dxa"/>
            <w:vAlign w:val="bottom"/>
            <w:gridSpan w:val="2"/>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96.0</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90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106.5</w:t>
            </w:r>
          </w:p>
        </w:tc>
        <w:tc>
          <w:tcPr>
            <w:tcW w:w="96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100.7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paid for income taxes for the years ended December 31, 2015, 2014 and 2013 was $5.2 million, $5.0 million and $3.8 million, respectively.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provision for income tax expense compared with the amounts at the U.S. federal statutory rate is as follows (dollars in millions):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38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at U.S. statutory income tax rate</w:t>
            </w:r>
          </w:p>
        </w:tc>
        <w:tc>
          <w:tcPr>
            <w:tcW w:w="3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$101.1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4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(3.0)</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4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3.9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expense</w:t>
            </w:r>
          </w:p>
        </w:tc>
        <w:tc>
          <w:tcPr>
            <w:tcW w:w="44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deferred tax expense</w:t>
            </w:r>
          </w:p>
        </w:tc>
        <w:tc>
          <w:tcPr>
            <w:tcW w:w="44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4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106.5</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52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Temporary differences and carryforwards that gave rise to deferred tax assets and liabilities included the following (dollars in millions):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gridSpan w:val="4"/>
          </w:tcPr>
          <w:p>
            <w:pPr>
              <w:jc w:val="center"/>
              <w:ind w:left="11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3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accrual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allowances and rebates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Post-retirement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interest rate derivatives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credits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Environmental remediation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Technology-related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279.8</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(365.0)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(91.3)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(478.3)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380" w:type="dxa"/>
            <w:vAlign w:val="bottom"/>
          </w:tcPr>
          <w:p>
            <w:pPr>
              <w:jc w:val="right"/>
              <w:ind w:right="30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2015, the Company early adopted the FASB’s authoritative accounting guidance on a retrospective basis to classify all deferred tax assets and liabilities, along with any related valuation allowance, as noncurrent on the balance sheet. Refer to NOTE 2 for more details.</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Of the estimated net operating loss carryforwards as of December 31, 2015, approximately 85% relates to U.S. federal net operating loss carryforwards and approximately 16% relates to the U.S. state net operating loss carryforwards. Substantially all U.S. Federal and State operating loss carryforwards will not expire until 2027-2032. As of December 31, 2015 and 2014, the Company had $97.4 million and $253.3 million, respectively, of net operating loss carryforwards for U.S. federal income tax purposes. If the Company continues to generate taxable income, it expects to utilize the remaining U.S. federal net operating loss carryforwards by the end of 2016.</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Management has determined, based on an evaluation of available objective and subjective evidence, that it is more likely than not that certain foreign deferred tax assets will not be realized and therefore continue to offset these deferred tax assets with a valuation allowance of $4.2 million and $5.2 million as of December 31, 2015 and 2014, respectively.</w:t>
      </w:r>
    </w:p>
    <w:p>
      <w:pPr>
        <w:spacing w:after="0" w:line="1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Company has not recognized any deferred tax liabilities associated with investments and earnings in foreign subsidiaries as they are intended to be permanent in duration. Such amounts may become taxable upon an actual or deemed repatriation in the future; however, at this time, management believes any related unrecognized deferred tax liability is immaterial.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accordance with the FASB’s authoritative guidance on accounting for uncertainty in income taxes, the Company has recorded a liability for unrecognized tax benefits related to a 2010 Research &amp; Development Credit. The accounting guidance prescribes a recognition threshold and measurement attributes for the financial statement recognition and measurement of a tax position taken or expected to be taken in a tax return. For the year ended December 31, 2015, all of the company’s returns (when filed) will remain subject to examination by the various taxing authorities for the duration of the applicable statute of limitations (generally three years from the later of the date of filing or the due date of the return). The change in the liability for unrecognized tax benefits are as follows (dollars in millions):</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$ 2.3</w:t>
            </w:r>
          </w:p>
        </w:tc>
        <w:tc>
          <w:tcPr>
            <w:tcW w:w="100" w:type="dxa"/>
            <w:vAlign w:val="bottom"/>
            <w:shd w:val="clear" w:color="auto" w:fill="CCEEFF"/>
          </w:tcPr>
          <w:p>
            <w:pPr>
              <w:spacing w:after="0"/>
              <w:rPr>
                <w:sz w:val="18"/>
                <w:szCs w:val="18"/>
                <w:color w:val="auto"/>
              </w:rPr>
            </w:pPr>
          </w:p>
        </w:tc>
      </w:tr>
      <w:tr>
        <w:trPr>
          <w:trHeight w:val="32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$ 2.5</w:t>
            </w:r>
          </w:p>
        </w:tc>
        <w:tc>
          <w:tcPr>
            <w:tcW w:w="100" w:type="dxa"/>
            <w:vAlign w:val="bottom"/>
          </w:tcPr>
          <w:p>
            <w:pPr>
              <w:spacing w:after="0"/>
              <w:rPr>
                <w:sz w:val="24"/>
                <w:szCs w:val="24"/>
                <w:color w:val="auto"/>
              </w:rPr>
            </w:pPr>
          </w:p>
        </w:tc>
      </w:tr>
      <w:tr>
        <w:trPr>
          <w:trHeight w:val="108"/>
        </w:trPr>
        <w:tc>
          <w:tcPr>
            <w:tcW w:w="7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Increases in unrecognized tax benefits as a result of current year activity</w:t>
            </w:r>
          </w:p>
        </w:tc>
        <w:tc>
          <w:tcPr>
            <w:tcW w:w="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331"/>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$ 2.5</w:t>
            </w:r>
          </w:p>
        </w:tc>
        <w:tc>
          <w:tcPr>
            <w:tcW w:w="100" w:type="dxa"/>
            <w:vAlign w:val="bottom"/>
          </w:tcPr>
          <w:p>
            <w:pPr>
              <w:spacing w:after="0"/>
              <w:rPr>
                <w:sz w:val="24"/>
                <w:szCs w:val="24"/>
                <w:color w:val="auto"/>
              </w:rPr>
            </w:pPr>
          </w:p>
        </w:tc>
      </w:tr>
      <w:tr>
        <w:trPr>
          <w:trHeight w:val="20"/>
        </w:trPr>
        <w:tc>
          <w:tcPr>
            <w:tcW w:w="7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2015, 2014 and 2013, the Company recognized no interest and penalties in the Consolidated Statements of Comprehensive Income. The Company follows a policy of recording any tax related interest or penalties in Income tax expense.</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8"/>
          <w:szCs w:val="18"/>
          <w:b w:val="1"/>
          <w:bCs w:val="1"/>
          <w:color w:val="auto"/>
        </w:rPr>
        <w:t>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components of accumulated other comprehensive loss consisted of the following (dollars in millions):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Before Tax</w:t>
            </w:r>
          </w:p>
        </w:tc>
        <w:tc>
          <w:tcPr>
            <w:tcW w:w="660" w:type="dxa"/>
            <w:vAlign w:val="bottom"/>
            <w:vMerge w:val="restart"/>
          </w:tcPr>
          <w:p>
            <w:pPr>
              <w:spacing w:after="0"/>
              <w:rPr>
                <w:sz w:val="13"/>
                <w:szCs w:val="13"/>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After Tax</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6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OPEB liability adjustment</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9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80" w:type="dxa"/>
            <w:vAlign w:val="bottom"/>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40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OPEB liability adjustment</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9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60" w:type="dxa"/>
            <w:vAlign w:val="bottom"/>
          </w:tcPr>
          <w:p>
            <w:pPr>
              <w:jc w:val="right"/>
              <w:ind w:right="5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212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324"/>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(11.5)</w:t>
            </w:r>
          </w:p>
        </w:tc>
        <w:tc>
          <w:tcPr>
            <w:tcW w:w="16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OPEB liability adjustment</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0.4</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(7.6)</w:t>
            </w: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2.8</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(22.5)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0" w:type="dxa"/>
            <w:vAlign w:val="bottom"/>
          </w:tcPr>
          <w:p>
            <w:pPr>
              <w:spacing w:after="0"/>
              <w:rPr>
                <w:sz w:val="1"/>
                <w:szCs w:val="1"/>
                <w:color w:val="auto"/>
              </w:rPr>
            </w:pPr>
          </w:p>
        </w:tc>
      </w:tr>
      <w:tr>
        <w:trPr>
          <w:trHeight w:val="32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21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(17.4)</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(41.4)</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4"/>
                <w:szCs w:val="24"/>
                <w:color w:val="auto"/>
              </w:rPr>
            </w:pPr>
          </w:p>
        </w:tc>
        <w:tc>
          <w:tcPr>
            <w:tcW w:w="19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shows the location in the Consolidated Statements of Comprehensive Income affected by reclassifications from AOCL (dollars in millions):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For the year ended December 31, 2015</w:t>
            </w: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49"/>
        </w:trPr>
        <w:tc>
          <w:tcPr>
            <w:tcW w:w="454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AOCL Components</w:t>
            </w:r>
          </w:p>
        </w:tc>
        <w:tc>
          <w:tcPr>
            <w:tcW w:w="14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2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AOCL</w:t>
            </w:r>
          </w:p>
        </w:tc>
        <w:tc>
          <w:tcPr>
            <w:tcW w:w="4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statements of comprehensive income</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440" w:type="dxa"/>
            <w:vAlign w:val="bottom"/>
          </w:tcPr>
          <w:p>
            <w:pPr>
              <w:spacing w:after="0"/>
              <w:rPr>
                <w:sz w:val="18"/>
                <w:szCs w:val="18"/>
                <w:color w:val="auto"/>
              </w:rPr>
            </w:pPr>
          </w:p>
        </w:tc>
        <w:tc>
          <w:tcPr>
            <w:tcW w:w="2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44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administrative</w:t>
            </w: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440" w:type="dxa"/>
            <w:vAlign w:val="bottom"/>
          </w:tcPr>
          <w:p>
            <w:pPr>
              <w:spacing w:after="0"/>
              <w:rPr>
                <w:sz w:val="17"/>
                <w:szCs w:val="17"/>
                <w:color w:val="auto"/>
              </w:rPr>
            </w:pPr>
          </w:p>
        </w:tc>
        <w:tc>
          <w:tcPr>
            <w:tcW w:w="268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color w:val="auto"/>
              </w:rPr>
              <w:t>Engineering – research and</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development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44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440" w:type="dxa"/>
            <w:vAlign w:val="bottom"/>
          </w:tcPr>
          <w:p>
            <w:pPr>
              <w:spacing w:after="0"/>
              <w:rPr>
                <w:sz w:val="17"/>
                <w:szCs w:val="17"/>
                <w:color w:val="auto"/>
              </w:rPr>
            </w:pPr>
          </w:p>
        </w:tc>
        <w:tc>
          <w:tcPr>
            <w:tcW w:w="268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administrative</w:t>
            </w: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44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Engineering – research and</w:t>
            </w: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development</w:t>
            </w:r>
          </w:p>
        </w:tc>
        <w:tc>
          <w:tcPr>
            <w:tcW w:w="0" w:type="dxa"/>
            <w:vAlign w:val="bottom"/>
          </w:tcPr>
          <w:p>
            <w:pPr>
              <w:spacing w:after="0"/>
              <w:rPr>
                <w:sz w:val="1"/>
                <w:szCs w:val="1"/>
                <w:color w:val="auto"/>
              </w:rPr>
            </w:pPr>
          </w:p>
        </w:tc>
      </w:tr>
      <w:tr>
        <w:trPr>
          <w:trHeight w:val="205"/>
        </w:trPr>
        <w:tc>
          <w:tcPr>
            <w:tcW w:w="4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440" w:type="dxa"/>
            <w:vAlign w:val="bottom"/>
          </w:tcPr>
          <w:p>
            <w:pPr>
              <w:spacing w:after="0"/>
              <w:rPr>
                <w:sz w:val="17"/>
                <w:szCs w:val="17"/>
                <w:color w:val="auto"/>
              </w:rPr>
            </w:pPr>
          </w:p>
        </w:tc>
        <w:tc>
          <w:tcPr>
            <w:tcW w:w="2680" w:type="dxa"/>
            <w:vAlign w:val="bottom"/>
            <w:gridSpan w:val="2"/>
          </w:tcPr>
          <w:p>
            <w:pPr>
              <w:ind w:left="380"/>
              <w:spacing w:after="0" w:line="205" w:lineRule="exact"/>
              <w:rPr>
                <w:sz w:val="20"/>
                <w:szCs w:val="20"/>
                <w:color w:val="auto"/>
              </w:rPr>
            </w:pPr>
            <w:r>
              <w:rPr>
                <w:rFonts w:ascii="Times New Roman" w:cs="Times New Roman" w:eastAsia="Times New Roman" w:hAnsi="Times New Roman"/>
                <w:sz w:val="18"/>
                <w:szCs w:val="18"/>
                <w:color w:val="auto"/>
              </w:rPr>
              <w:t>Income before income</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taxes</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(1.3)</w:t>
            </w:r>
          </w:p>
        </w:tc>
        <w:tc>
          <w:tcPr>
            <w:tcW w:w="2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expense</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40" w:type="dxa"/>
            <w:vAlign w:val="bottom"/>
          </w:tcPr>
          <w:p>
            <w:pPr>
              <w:spacing w:after="0"/>
              <w:rPr>
                <w:sz w:val="19"/>
                <w:szCs w:val="19"/>
                <w:color w:val="auto"/>
              </w:rPr>
            </w:pPr>
          </w:p>
        </w:tc>
        <w:tc>
          <w:tcPr>
            <w:tcW w:w="2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Prior service cost and actuarial loss are included in the computation of the Company’s net periodic benefit cost. Please see NOTE 13 for additional details.</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Company leases certain facilities under various operating leases. Rent expense under the non-cancelable operating leases was $5.1 million, $5.4 million, and $5.7 million for the years ended December 31, 2015, 2014 and 2013, respectively. Certain leases contain renewal options.</w:t>
      </w:r>
    </w:p>
    <w:p>
      <w:pPr>
        <w:spacing w:after="0" w:line="162"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2015, future payments under non-cancelable operating leases are as follows over each of the next five years and thereafter (dollars in millions):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3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14.8</w:t>
            </w:r>
          </w:p>
        </w:tc>
        <w:tc>
          <w:tcPr>
            <w:tcW w:w="100" w:type="dxa"/>
            <w:vAlign w:val="bottom"/>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the asset purchase agreement with Old GM, Old GM agreed to indemnify the Company against certain environmental liabilities, including pre-acquisition offsite waste disposal from the Company’s facilities, former facilities associated with the business and any properties or facilities relating to the business that Old GM retained. While the Company is responsible for environmental liabilities that arise due to post-acquisition activities, GM, as successor to Old GM’s obligations, has continued to perform remedial activities at the Company’s Indianapolis, Indiana manufacturing facilities relating to historical soil and groundwater contamination at the facilities. GM’s activities are referred to as the “Corrective Action” plan, pursuant to the asset purchase agreement, whereby it retained responsibility for completing all obligations covered by a voluntary Corrective Action Agreement that Old GM entered with the U.S. Environmental Protection Agency (“EPA”). By operation of the asset purchase agreement, once the EPA issues a final decision on GM’s activities under the Corrective Action Plan, the Company assumes all responsibility for operating, monitoring and maintaining the ongoing corrective action and GM’s indemnification obligations cease.</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60"/>
          </w:cols>
          <w:pgMar w:left="240" w:top="455" w:right="29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During the third quarter of 2015, the EPA determined that GM’s remedial activities were complete and that the migration of any contamination is under control, and published a public notice seeking comment on a draft final decision, the issuance of which would result in the Company assuming responsibility for operating, monitoring and maintaining the ongoing Corrective Action activities through an agreed order of consent (“AOC”) with the EPA.</w:t>
      </w:r>
    </w:p>
    <w:p>
      <w:pPr>
        <w:spacing w:after="0" w:line="14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As a result of the publishing of the draft final decision, the Company has determined that appropriate liabilities for the operating, monitoring and maintaining the ongoing remedial activities can be reasonably estimated. As of September 30, 2015, the Company recorded approximately $14.0 million for the estimated undiscounted liabilities to be paid out over the next 30 years, including approximately $0.5 million recorded to Other current liabilities and approximately $13.5 million to Other non-current liabilities. The recorded liabilities will be adjusted periodically as remediation efforts progress or as additional technical, regulatory or legal information becomes available. The Company expects to fund the expenditures for these activities from operating cash flow.</w:t>
      </w:r>
    </w:p>
    <w:p>
      <w:pPr>
        <w:spacing w:after="0" w:line="14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January 27, 2016, the EPA issued a final decision. With the AOC, financial assurance is required by the EPA to complete the operation, monitoring and maintenance activities in the event the Company fails to do so. This financial assurance can take a variety of forms including, but not limited to meeting certain financial metrics, providing a letter of credit, or securing a bond or an insurance policy. The amount and method by which the Company will be required to provide financial assurance is expected to be determined in 2016.</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Claims, Disputes, and Litigation</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25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CONCENTRATION OF RISK</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2015 and 2014, the Company employed approximately 2,700 employees with 90% of those employees in the U.S. Approximately 60% of the Company’s U.S. employees were represented by unions and subject to a collective bargaining agreement as of December 31, 2015 and 2014. In addition, many of the hourly employees outside the U.S. are represented by various unions. The Company is currently operating under a collective bargaining agreement with the UAW Local 933 that expires in November 2017.</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Three customers accounted for greater than 10% of net sales within the last three years presented.</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of net sales</w:t>
            </w: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7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Daimler AG</w:t>
            </w:r>
          </w:p>
        </w:tc>
        <w:tc>
          <w:tcPr>
            <w:tcW w:w="10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21%</w:t>
            </w: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Navistar, Inc.</w:t>
            </w:r>
          </w:p>
        </w:tc>
        <w:tc>
          <w:tcPr>
            <w:tcW w:w="10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10%</w:t>
            </w: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Group</w:t>
            </w:r>
          </w:p>
        </w:tc>
        <w:tc>
          <w:tcPr>
            <w:tcW w:w="10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10%</w:t>
            </w: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other customers accounted for more than 10% of net sales of the Company during the years ended December 31, 2015, 2014 or 2013.</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Two customers accounted for greater than 10% of outstanding accounts receivable within the last two years presented.</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of accounts receivable</w:t>
            </w:r>
          </w:p>
        </w:tc>
        <w:tc>
          <w:tcPr>
            <w:tcW w:w="3600" w:type="dxa"/>
            <w:vAlign w:val="bottom"/>
            <w:gridSpan w:val="3"/>
          </w:tcPr>
          <w:p>
            <w:pPr>
              <w:jc w:val="center"/>
              <w:ind w:left="14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3"/>
          </w:tcPr>
          <w:p>
            <w:pPr>
              <w:jc w:val="center"/>
              <w:ind w:left="11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Borders>
              <w:bottom w:val="single" w:sz="8" w:color="CCEEFF"/>
            </w:tcBorders>
            <w:vMerge w:val="continue"/>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6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Daimler AG</w:t>
            </w:r>
          </w:p>
        </w:tc>
        <w:tc>
          <w:tcPr>
            <w:tcW w:w="2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24%</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Navistar, Inc.</w:t>
            </w:r>
          </w:p>
        </w:tc>
        <w:tc>
          <w:tcPr>
            <w:tcW w:w="36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8%</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other customers accounted for more than 10% of the outstanding accounts receivable as of December 31, 2015 or December 31, 2014.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One supplier accounted for greater than 10% of materials purchased for the periods presented:</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of material purchased</w:t>
            </w: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2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7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7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Linamar Corporation Inc.</w:t>
            </w:r>
          </w:p>
        </w:tc>
        <w:tc>
          <w:tcPr>
            <w:tcW w:w="10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8%</w:t>
            </w: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other supplier accounted for more than 10% of materials purchased during the years ended December 31, 2015, 2014 or 2013.</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80"/>
          </w:cols>
          <w:pgMar w:left="240" w:top="455" w:right="2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CERTAIN RELATIONSHIPS AND RELATED PARTY TRANSACTIONS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Senior Notes Held by Executive Officers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In May 2015, the Company redeemed $100,000 and $450,000 of ATI’s 7.125% Senior Notes held by Lawrence E. Dewey, Chairman and Chief Executive Officer, and David S. Graziosi, President, Chief Financial Officer and Treasurer, respectively, at the specified redemption price in the governing indenture equal to 103.563% of the principal amount plus any accrued and unpaid interest. Refer to NOTE 7 for additional details.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Repurchase of Common Stock held by Sponsors</w:t>
      </w:r>
    </w:p>
    <w:p>
      <w:pPr>
        <w:spacing w:after="0" w:line="121"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During 2014, the Company completed four secondary public offerings in September, June, April and February of 5,392,499, 40,250,000, 25,000,000, and 28,750,000 shares of its common stock held by investment funds affiliated with the Carlyle Group and Onex Corporation (collectively, the Sponsors”) at public offering prices, less underwriting discounts and commissions, of $30.46, $29.95, $29.78 and $29.17 per share, respectively. In connection with certain of the offerings, the Company repurchased from the underwriters 5,000,000 shares in June 2014 and 3,428,179 shares in February 2014 at the prices paid by the underwriters and subsequently retired those shares.</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20.</w:t>
      </w:r>
      <w:r>
        <w:rPr>
          <w:sz w:val="20"/>
          <w:szCs w:val="20"/>
          <w:color w:val="auto"/>
        </w:rPr>
        <w:tab/>
      </w: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current stock repurchase program was announced on October 30, 2014. The Board authorized management to repurchase up to $500.0 million of its common stock on the open market or through privately negotiated transactions through December 31, 2016. The timing and amount of stock purchases are subject to market conditions and corporate needs. This stock repurchase program may be extended, modified, suspended or discontinued at any time at the Board’s discretion. During 2015, the Company repurchased approximately $305.8 million of its common stock under the repurchase program. All of the repurchase transactions during the fourth quarter of 2015 were settled in cash during the same period.</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As of December 31, 2015, the Company had 0.7 million shares of outstanding anti-dilutive stock options.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to calculate basic EPS and diluted EPS (in millions, except per share data):</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182.3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228.6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175.9</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179.8</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stock-based awards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177.2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182.3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4700"/>
              <w:spacing w:after="0"/>
              <w:rPr>
                <w:sz w:val="20"/>
                <w:szCs w:val="20"/>
                <w:color w:val="auto"/>
              </w:rPr>
            </w:pPr>
            <w:r>
              <w:rPr>
                <w:rFonts w:ascii="Times New Roman" w:cs="Times New Roman" w:eastAsia="Times New Roman" w:hAnsi="Times New Roman"/>
                <w:sz w:val="18"/>
                <w:szCs w:val="18"/>
                <w:color w:val="auto"/>
              </w:rPr>
              <w:t>82</w:t>
            </w: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22.</w:t>
            </w:r>
          </w:p>
        </w:tc>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GEOGRAPHIC INFORMATION</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Company had the following net sales by country as follows (dollars in millions):</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gridSpan w:val="10"/>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$1,459.8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0" w:type="dxa"/>
            <w:vAlign w:val="bottom"/>
            <w:gridSpan w:val="4"/>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95.5</w:t>
            </w:r>
          </w:p>
        </w:tc>
        <w:tc>
          <w:tcPr>
            <w:tcW w:w="2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c>
          <w:tcPr>
            <w:tcW w:w="3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40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63.9</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128.7</w:t>
            </w: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400" w:type="dxa"/>
            <w:vAlign w:val="bottom"/>
            <w:gridSpan w:val="4"/>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48.7</w:t>
            </w:r>
          </w:p>
        </w:tc>
        <w:tc>
          <w:tcPr>
            <w:tcW w:w="2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45.8</w:t>
            </w:r>
          </w:p>
        </w:tc>
        <w:tc>
          <w:tcPr>
            <w:tcW w:w="3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40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44.0</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400" w:type="dxa"/>
            <w:vAlign w:val="bottom"/>
            <w:gridSpan w:val="4"/>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39.6</w:t>
            </w:r>
          </w:p>
        </w:tc>
        <w:tc>
          <w:tcPr>
            <w:tcW w:w="2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3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214.9</w:t>
            </w: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1,985.8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2,127.4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1,926.8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The Company had net long-lived assets by country as follows (dollars in millions):</w:t>
            </w: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9"/>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500" w:type="dxa"/>
            <w:vAlign w:val="bottom"/>
            <w:tcBorders>
              <w:top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center"/>
              <w:ind w:left="1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$419.2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$442.6</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6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43.2</w:t>
            </w:r>
          </w:p>
        </w:tc>
        <w:tc>
          <w:tcPr>
            <w:tcW w:w="11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51.5</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16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12.5</w:t>
            </w:r>
          </w:p>
        </w:tc>
        <w:tc>
          <w:tcPr>
            <w:tcW w:w="11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gridSpan w:val="2"/>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w:t>
            </w:r>
          </w:p>
        </w:tc>
        <w:tc>
          <w:tcPr>
            <w:tcW w:w="11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5.4</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gridSpan w:val="2"/>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479.7</w:t>
            </w:r>
          </w:p>
        </w:tc>
        <w:tc>
          <w:tcPr>
            <w:tcW w:w="11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514.6</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563.4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QUARTERLY FINANCIAL INFORMATION</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unaudited quarterly results of operations. The Company believes that all adjustments considered necessary for a fair presentation in accordance with GAAP have been included (unaudited, in millions, except per share data).</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2"/>
                <w:szCs w:val="12"/>
                <w:color w:val="auto"/>
              </w:rPr>
            </w:pPr>
          </w:p>
        </w:tc>
        <w:tc>
          <w:tcPr>
            <w:tcW w:w="14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2015</w:t>
            </w: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503.6</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3"/>
              </w:rPr>
              <w:t>511.0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493.0</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239.2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3"/>
              </w:rPr>
              <w:t>236.3</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236.1</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142.3</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3"/>
              </w:rPr>
              <w:t>137.5</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111.9</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108.2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87.1</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73.8</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68.4</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54.4</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46.5</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0.38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0.30</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0.27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0.38</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0.30</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0.27</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0.08</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6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2014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493.6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536.1</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553.3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238.5</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259.3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132.2</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147.3</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94.7</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Company’s 2015 quarterly results were affected by certain items. For the quarter ended December 31, 2015, the Company recorded $80.0 million of trade name impairment charge as a result of lower forecasted net sales for certain of the Company’s end markets.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40"/>
          </w:cols>
          <w:pgMar w:left="240" w:top="455" w:right="31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I—Parent Company only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and advances to subsidiaries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1,397.8</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1,188.6</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stock</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1,690.2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(444.5)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(58.8)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1,188.6</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I—Parent Company only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fees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income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earnings of consolidated subsidiary</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3"/>
              </w:rPr>
              <w:t>182.3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228.6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165.4</w:t>
            </w:r>
          </w:p>
        </w:tc>
        <w:tc>
          <w:tcPr>
            <w:tcW w:w="100" w:type="dxa"/>
            <w:vAlign w:val="bottom"/>
            <w:shd w:val="clear" w:color="auto" w:fill="CCEEFF"/>
          </w:tcPr>
          <w:p>
            <w:pPr>
              <w:spacing w:after="0"/>
              <w:rPr>
                <w:sz w:val="18"/>
                <w:szCs w:val="18"/>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182.3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228.6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165.4</w:t>
            </w: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182.3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228.6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165.4</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3"/>
              </w:rPr>
              <w:t>182.3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228.6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165.4</w:t>
            </w:r>
          </w:p>
        </w:tc>
        <w:tc>
          <w:tcPr>
            <w:tcW w:w="100" w:type="dxa"/>
            <w:vAlign w:val="bottom"/>
            <w:shd w:val="clear" w:color="auto" w:fill="CCEEFF"/>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I—Parent Company only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gridSpan w:val="9"/>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8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182.3</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 items included in net income not providing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earnings in consolidated subsidiary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(182.3)</w:t>
            </w: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(228.6)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(165.4)</w:t>
            </w:r>
          </w:p>
        </w:tc>
      </w:tr>
      <w:tr>
        <w:trPr>
          <w:trHeight w:val="216"/>
        </w:trPr>
        <w:tc>
          <w:tcPr>
            <w:tcW w:w="8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8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105.6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r>
      <w:tr>
        <w:trPr>
          <w:trHeight w:val="27"/>
        </w:trPr>
        <w:tc>
          <w:tcPr>
            <w:tcW w:w="8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r>
      <w:tr>
        <w:trPr>
          <w:trHeight w:val="223"/>
        </w:trPr>
        <w:tc>
          <w:tcPr>
            <w:tcW w:w="8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contributions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(105.6)</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r>
      <w:tr>
        <w:trPr>
          <w:trHeight w:val="27"/>
        </w:trPr>
        <w:tc>
          <w:tcPr>
            <w:tcW w:w="8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r>
      <w:tr>
        <w:trPr>
          <w:trHeight w:val="223"/>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during period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I—Parent Company only Footnote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 7 of the Consolidated Financial Statements). The entire amount of our consolidated net assets was subject to restrictions on payment of dividends at the end of December 31, 2015, 2014 and 2013. 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240" w:top="455" w:right="31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December 31, 2015.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concluded that our disclosure controls and procedures as of December 31, 2015,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conducted an assessment of the effectiveness of our internal control over financial reporting as of December 31, 2015. In making this assessment, our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this assessment, management concluded that our internal control over financial reporting was effective as of December 31, 2015. PricewaterhouseCoopers LLP, our independent registered public accounting firm, has audited the effectiveness of our internal control over financial reporting as of December 31, 2015. Their report is included in Part II, Item 8, “Financial Statements and Supplementary Data” in this Annual Report on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2015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80"/>
          </w:cols>
          <w:pgMar w:left="240" w:top="455" w:right="27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concerning our executive officers, directors and nominees for director, Audit Committee members and financial expert(s) and disclosure of delinquent filers under Section 16(a) of the Exchange Act is incorporated herein by reference from our definitive Proxy Statement for our 2016 annual meeting of stockholders which will be filed with the SEC pursuant to Regulation 14A within 120 days after the end of our last fiscal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www.allisontransmission.com. We will post on the Investor Relations section of our website any amendment to the code of business conduct, or any grant of a waiver from a provision of the code of business conduct.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are incorporated herein by reference to our definitive Proxy Statement for our 2016 annual meeting of stockholders which will be filed with the SEC pursuant to Regulation 14A within 120 days after the end of our last fiscal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concerning the stock ownership of management, five percent beneficial owners and securities authorized for issuance under equity compensation plans is incorporated herein by reference to our definitive Proxy Statement for our 2016 annual meeting of stockholders which will be filed with the SEC pursuant to Regulation 14A within 120 days after the end of our last fiscal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concerning certain relationships and related person transactions, and director independence is incorporated herein by reference to our definitive Proxy Statement for our 2016 annual meeting of stockholders which will be filed with the SEC pursuant to Regulation 14A within 120 days after the end of our last fiscal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concerning the fees and services of our independent registered public accounting firm and our Audit Committee actions with respect thereto is incorporated herein by reference to our definitive Proxy Statement for our 2016 annual meeting of stockholders which will be filed with the SEC pursuant to Regulation 14A within 120 days after the end of our last fiscal year.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00"/>
          </w:cols>
          <w:pgMar w:left="240" w:top="455"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response to this item is included in Part II, Item 8, of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Schedule I is included in Part II, Item 8, of this Annual Report on Form 10-K. All other schedules have been omitted because they are not required or because the information required is included in the consolidated financial statements and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response to Item 15(b)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exhibits are filed as part of, or are incorporated by reference into, this Annual Report on Form 10-K:</w:t>
      </w:r>
    </w:p>
    <w:p>
      <w:pPr>
        <w:sectPr>
          <w:pgSz w:w="11900" w:h="16838" w:orient="portrait"/>
          <w:cols w:equalWidth="0" w:num="1">
            <w:col w:w="11400"/>
          </w:cols>
          <w:pgMar w:left="240" w:top="455" w:right="259" w:bottom="1440" w:gutter="0" w:footer="0" w:header="0"/>
        </w:sectPr>
      </w:pPr>
    </w:p>
    <w:p>
      <w:pPr>
        <w:spacing w:after="0" w:line="24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wp:posOffset>
            </wp:positionV>
            <wp:extent cx="2832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EXHIBIT</w:t>
      </w:r>
    </w:p>
    <w:p>
      <w:pPr>
        <w:spacing w:after="0" w:line="1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Second Amended and Restated Certificate of Incorporation of Allison Transmission Holdings, Inc. (incorporated by reference to Exhibit 3.1 to the Registrant’s Quarterly Report on Form 10-Q for the quarter ended March 31, 2012 filed on April 26, 2012)</w:t>
      </w:r>
    </w:p>
    <w:p>
      <w:pPr>
        <w:spacing w:after="0" w:line="54" w:lineRule="exact"/>
        <w:rPr>
          <w:sz w:val="20"/>
          <w:szCs w:val="20"/>
          <w:color w:val="auto"/>
        </w:rPr>
      </w:pPr>
    </w:p>
    <w:p>
      <w:pPr>
        <w:sectPr>
          <w:pgSz w:w="11900" w:h="16838" w:orient="portrait"/>
          <w:cols w:equalWidth="0" w:num="2">
            <w:col w:w="480" w:space="440"/>
            <w:col w:w="10480"/>
          </w:cols>
          <w:pgMar w:left="240" w:top="455" w:right="259" w:bottom="1440" w:gutter="0" w:footer="0" w:header="0"/>
          <w:type w:val="continuous"/>
        </w:sectPr>
      </w:pPr>
    </w:p>
    <w:p>
      <w:pPr>
        <w:ind w:left="920" w:right="58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Third Amended and Restated Bylaws of Allison Transmission Holdings, Inc. (incorporated by reference to Exhibit 3.2 to the Registrant’s Quarterly Report on Form 10-Q for the quarter ended March 31, 2012 filed on April 26, 2012)</w:t>
      </w:r>
    </w:p>
    <w:p>
      <w:pPr>
        <w:spacing w:after="0" w:line="54" w:lineRule="exact"/>
        <w:rPr>
          <w:sz w:val="20"/>
          <w:szCs w:val="20"/>
          <w:color w:val="auto"/>
        </w:rPr>
      </w:pPr>
    </w:p>
    <w:p>
      <w:pPr>
        <w:ind w:left="920" w:right="8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Form of Stock Certificate (incorporated by reference to Exhibit 4.1 to Amendment No. 3 to the Registrant’s Registration Statement on Form S-1 filed June 16, 2011)</w:t>
      </w:r>
    </w:p>
    <w:p>
      <w:pPr>
        <w:spacing w:after="0" w:line="54" w:lineRule="exact"/>
        <w:rPr>
          <w:sz w:val="20"/>
          <w:szCs w:val="20"/>
          <w:color w:val="auto"/>
        </w:rPr>
      </w:pPr>
    </w:p>
    <w:p>
      <w:pPr>
        <w:ind w:left="920" w:right="240" w:hanging="73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Indenture governing the 7.125% Senior Notes due 2019, among Allison Transmission, Inc. as Issuer, the Guarantors named therein, and Wells Fargo Bank, National Association, as trustee, dated May 6, 2011 (incorporated by reference to Exhibit 4.6 to Amendment No. 2 to the Registrant’s Registration Statement on Form S-1 filed May 16, 2011)</w:t>
      </w:r>
    </w:p>
    <w:p>
      <w:pPr>
        <w:spacing w:after="0" w:line="68"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Form of 7.125% Senior Note due 2019 (included in Exhibit 4.2)</w:t>
      </w:r>
    </w:p>
    <w:p>
      <w:pPr>
        <w:spacing w:after="0" w:line="117" w:lineRule="exact"/>
        <w:rPr>
          <w:sz w:val="20"/>
          <w:szCs w:val="20"/>
          <w:color w:val="auto"/>
        </w:rPr>
      </w:pPr>
    </w:p>
    <w:p>
      <w:pPr>
        <w:ind w:left="920" w:right="180" w:hanging="73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First Supplemental Indenture, dated as of March 31, 2015, between Allison Transmission, Inc. and Wells Fargo Bank, National Association, as Trustee (incorporated by reference to Exhibit 4.1 to the Registrant’s Current Report on Form 8-K filed on April 7, 2015)</w:t>
      </w:r>
    </w:p>
    <w:p>
      <w:pPr>
        <w:spacing w:after="0" w:line="54" w:lineRule="exact"/>
        <w:rPr>
          <w:sz w:val="20"/>
          <w:szCs w:val="20"/>
          <w:color w:val="auto"/>
        </w:rPr>
      </w:pPr>
    </w:p>
    <w:p>
      <w:pPr>
        <w:ind w:left="920" w:right="20" w:hanging="827"/>
        <w:spacing w:after="0" w:line="256" w:lineRule="auto"/>
        <w:tabs>
          <w:tab w:leader="none" w:pos="9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Credit Agreement among Allison Transmission Holdings, Inc., Allison Transmission, Inc., as Borrower, the Several Lenders from time to time parties thereto, Citicorp North America, Inc., as Administrative Agent, Lehman Brothers Commercial Bank and Merrill Lynch, Pierce, Fenner &amp; Smith Incorporated, as Syndication Agents, Sumitomo Mitsui Banking Corporation, as Documentation Agent and Co-Arranger and Citigroup Global Markets Inc., Lehman Brothers Inc. and Merrill Lynch &amp; Co., Merrill Lynch, Pierce, Fenner &amp; Smith Incorporated, As Joint Lead Arrangers And Joint Bookrunners, dated as of August 7, 2007 (incorporated by reference to Exhibit 10.1 to Amendment No. 1 to the Registrant’s Registration Statement on Form S-1 filed April 26, 2011)</w:t>
      </w:r>
    </w:p>
    <w:p>
      <w:pPr>
        <w:spacing w:after="0" w:line="80" w:lineRule="exact"/>
        <w:rPr>
          <w:sz w:val="20"/>
          <w:szCs w:val="20"/>
          <w:color w:val="auto"/>
        </w:rPr>
      </w:pPr>
    </w:p>
    <w:p>
      <w:pPr>
        <w:ind w:left="920" w:right="100" w:hanging="827"/>
        <w:spacing w:after="0" w:line="256" w:lineRule="auto"/>
        <w:tabs>
          <w:tab w:leader="none" w:pos="9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First Amendment to the Credit Agreement among Allison Transmission Holdings, Inc., Allison Transmission, Inc., as Borrower, the Several Lenders from time to time parties thereto, Citicorp North America, Inc., as Administrative Agent, Lehman Brothers Commercial Bank and Merrill Lynch, Pierce, Fenner &amp; Smith Incorporated, as Syndication Agents, Sumitomo Mitsui Banking Corporation, as Documentation Agent and Co-Arranger and Citigroup Global Markets Inc., Lehman Brothers Inc. and Merrill Lynch &amp; Co., Merrill Lynch, Pierce, Fenner &amp; Smith Incorporated, As Joint Lead Arrangers And Joint Bookrunners, dated as of November 21, 2008 (incorporated by reference to Exhibit 10.2 to the Registrant’s Registration Statement on Form S-1 filed March 18, 2011)</w:t>
      </w:r>
    </w:p>
    <w:p>
      <w:pPr>
        <w:spacing w:after="0" w:line="80" w:lineRule="exact"/>
        <w:rPr>
          <w:sz w:val="20"/>
          <w:szCs w:val="20"/>
          <w:color w:val="auto"/>
        </w:rPr>
      </w:pPr>
    </w:p>
    <w:p>
      <w:pPr>
        <w:ind w:left="920" w:hanging="82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Guarantee And Collateral Agreement made by Allison Transmission Holdings, Inc. Allison Transmission, Inc. as Borrower, and the Subsidiary Guarantors party hereto in favor of Citicorp North America, Inc., as Administrative Agent, dated as of August 7, 2007 (incorporated by reference to Exhibit 10.3 to the Registrant’s Registration Statement on Form S-1 filed March 18, 2011)</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455" w:right="259" w:bottom="1440" w:gutter="0" w:footer="0" w:header="0"/>
          <w:type w:val="continuous"/>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6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Trademark Security Agreement made by Allison Transmission, Inc. in favor of Citicorp North America, Inc., as Administrative Agent, dated as of August 7, 2007 (incorporated by reference to Exhibit 10.4 to the Registrant’s Registration Statement on Form S-1 filed March 18, 2011)</w:t>
      </w:r>
    </w:p>
    <w:p>
      <w:pPr>
        <w:spacing w:after="0" w:line="54" w:lineRule="exact"/>
        <w:rPr>
          <w:sz w:val="20"/>
          <w:szCs w:val="20"/>
          <w:color w:val="auto"/>
        </w:rPr>
      </w:pPr>
    </w:p>
    <w:p>
      <w:pPr>
        <w:ind w:left="920" w:right="20" w:hanging="82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Copyright Security Agreement made by Allison Transmission, Inc. in favor of Citicorp North America, Inc., as Administrative Agent, dated as of August 7, 2007 (incorporated by reference to Exhibit 10.5 to Amendment No. 2 to the Registrant’s Registration Statement on Form S-1 filed May 16, 2011)</w:t>
      </w:r>
    </w:p>
    <w:p>
      <w:pPr>
        <w:spacing w:after="0" w:line="68" w:lineRule="exact"/>
        <w:rPr>
          <w:sz w:val="20"/>
          <w:szCs w:val="20"/>
          <w:color w:val="auto"/>
        </w:rPr>
      </w:pPr>
    </w:p>
    <w:p>
      <w:pPr>
        <w:ind w:left="920" w:right="12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Form of Allison Transmission Holdings, Inc. Indemnification Agreement (incorporated by reference to Exhibit 10.9 to Amendment No. 2 to the Registrant’s Registration Statement on Form S-1 filed May 16, 2011)</w:t>
      </w:r>
    </w:p>
    <w:p>
      <w:pPr>
        <w:spacing w:after="0" w:line="54" w:lineRule="exact"/>
        <w:rPr>
          <w:sz w:val="20"/>
          <w:szCs w:val="20"/>
          <w:color w:val="auto"/>
        </w:rPr>
      </w:pPr>
    </w:p>
    <w:p>
      <w:pPr>
        <w:ind w:left="920" w:right="18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Allison Transmission Holdings, Inc. 2011 Equity Incentive Award Plan (incorporated by reference to Exhibit 10.10 to Amendment No. 3 to the Registrant’s Registration Statement on Form S-1 filed June 16, 2011)</w:t>
      </w:r>
    </w:p>
    <w:p>
      <w:pPr>
        <w:spacing w:after="0" w:line="54" w:lineRule="exact"/>
        <w:rPr>
          <w:sz w:val="20"/>
          <w:szCs w:val="20"/>
          <w:color w:val="auto"/>
        </w:rPr>
      </w:pPr>
    </w:p>
    <w:p>
      <w:pPr>
        <w:ind w:left="920" w:right="14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Form of 2011 Equity Incentive Award Plan Restricted Stock Agreement (incorporated by reference to Exhibit 10.11 to Amendment No. 3 to the Registrant’s Registration Statement on Form S-1 filed June 16, 2011)</w:t>
      </w:r>
    </w:p>
    <w:p>
      <w:pPr>
        <w:spacing w:after="0" w:line="54" w:lineRule="exact"/>
        <w:rPr>
          <w:sz w:val="20"/>
          <w:szCs w:val="20"/>
          <w:color w:val="auto"/>
        </w:rPr>
      </w:pPr>
    </w:p>
    <w:p>
      <w:pPr>
        <w:ind w:left="920" w:right="4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Form of 2011 Equity Incentive Award Plan Restricted Stock Unit Agreement (incorporated by reference to Exhibit 10.12 to Amendment No. 3 to the Registrant’s Registration Statement on Form S-1 filed June 16, 2011)</w:t>
      </w:r>
    </w:p>
    <w:p>
      <w:pPr>
        <w:spacing w:after="0" w:line="54" w:lineRule="exact"/>
        <w:rPr>
          <w:sz w:val="20"/>
          <w:szCs w:val="20"/>
          <w:color w:val="auto"/>
        </w:rPr>
      </w:pPr>
    </w:p>
    <w:p>
      <w:pPr>
        <w:ind w:left="920" w:right="36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Form of 2011 Equity Incentive Award Plan Stock Option Agreement (incorporated by reference to Exhibit 10.13 to Amendment No. 3 to the Registrant’s Registration Statement on Form S-1 filed June 16, 2011)</w:t>
      </w:r>
    </w:p>
    <w:p>
      <w:pPr>
        <w:spacing w:after="0" w:line="54" w:lineRule="exact"/>
        <w:rPr>
          <w:sz w:val="20"/>
          <w:szCs w:val="20"/>
          <w:color w:val="auto"/>
        </w:rPr>
      </w:pPr>
    </w:p>
    <w:p>
      <w:pPr>
        <w:ind w:left="92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Equity Incentive Plan of Allison Transmission Holdings, Inc. (incorporated by reference to Exhibit 10.14 to Amendment No. 2 to the Registrant’s Registration Statement on Form S-1 filed May 16, 2011)</w:t>
      </w:r>
    </w:p>
    <w:p>
      <w:pPr>
        <w:spacing w:after="0" w:line="54" w:lineRule="exact"/>
        <w:rPr>
          <w:sz w:val="20"/>
          <w:szCs w:val="20"/>
          <w:color w:val="auto"/>
        </w:rPr>
      </w:pPr>
    </w:p>
    <w:p>
      <w:pPr>
        <w:ind w:left="920" w:right="24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Form of Employee Stock Option Agreement under Equity Incentive Plan of Allison Transmission Holdings, Inc. (incorporated by reference to Exhibit 10.15 to Amendment No. 2 to the Registrant’s Registration Statement on Form S-1 filed May 16, 2011)</w:t>
      </w:r>
    </w:p>
    <w:p>
      <w:pPr>
        <w:spacing w:after="0" w:line="54" w:lineRule="exact"/>
        <w:rPr>
          <w:sz w:val="20"/>
          <w:szCs w:val="20"/>
          <w:color w:val="auto"/>
        </w:rPr>
      </w:pPr>
    </w:p>
    <w:p>
      <w:pPr>
        <w:ind w:left="920" w:right="34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Form of Independent Director Stock Option Agreement under Equity Incentive Plan of Allison Transmission Holdings, Inc. (incorporated by reference to Exhibit 10.16 to Amendment No. 2 to the Registrant’s Registration Statement on Form S-1 filed May 16, 2011)</w:t>
      </w:r>
    </w:p>
    <w:p>
      <w:pPr>
        <w:spacing w:after="0" w:line="54" w:lineRule="exact"/>
        <w:rPr>
          <w:sz w:val="20"/>
          <w:szCs w:val="20"/>
          <w:color w:val="auto"/>
        </w:rPr>
      </w:pPr>
    </w:p>
    <w:p>
      <w:pPr>
        <w:ind w:left="920" w:right="40" w:hanging="827"/>
        <w:spacing w:after="0" w:line="255" w:lineRule="auto"/>
        <w:tabs>
          <w:tab w:leader="none" w:pos="90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Second Amendment to the Credit Agreement among Allison Transmission Holdings, Inc., Allison Transmission, Inc., as Borrower, the several banks and other financial institutions or entities from time to time parties thereto as Lenders, Citicorp North America, Inc., as Administrative Agent and Collateral Agent, Lehman Brothers Commercial Bank and Merrill Lynch, Pierce, Fenner &amp; Smith Incorporated, as Syndication Agents, Sumitomo Mitsui Banking Corporation, as Documentation Agent and Co-Arranger, and Citigroup Global Markets Inc., Lehman Brothers Inc., and Merrill Lynch &amp; Co., Merrill Lynch, Pierce, Fenner &amp; Smith Incorporated, as Joint Lead Arrangers and Joint Bookrunners, dated as of May 13, 2011 (incorporated by reference to Exhibit 10.17 to Amendment No. 3 to the Registrant’s Registration Statement on Form S-1 filed June 16, 2011)</w:t>
      </w:r>
    </w:p>
    <w:p>
      <w:pPr>
        <w:spacing w:after="0" w:line="81" w:lineRule="exact"/>
        <w:rPr>
          <w:sz w:val="20"/>
          <w:szCs w:val="20"/>
          <w:color w:val="auto"/>
        </w:rPr>
      </w:pPr>
    </w:p>
    <w:p>
      <w:pPr>
        <w:jc w:val="both"/>
        <w:ind w:left="920" w:right="340" w:hanging="827"/>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Third Amendment to the Credit Agreement among Allison Transmission Holdings, Inc., Allison Transmission, Inc., as Borrower, the several banks and other financial institutions or entities from time to time parties thereto as Lenders, Citicorp North America, Inc., as Administrative Agent and Collateral Agent and the other agents and arrangers party thereto, dated as of March 9, 2012 (incorporated by reference to Exhibit 10.19 to Amendment No. 8 to the Registrant’s Registration Statement on Form S-1 filed March 12, 2012)</w:t>
      </w:r>
    </w:p>
    <w:p>
      <w:pPr>
        <w:spacing w:after="0" w:line="72" w:lineRule="exact"/>
        <w:rPr>
          <w:sz w:val="20"/>
          <w:szCs w:val="20"/>
          <w:color w:val="auto"/>
        </w:rPr>
      </w:pPr>
    </w:p>
    <w:p>
      <w:pPr>
        <w:ind w:left="100"/>
        <w:spacing w:after="0"/>
        <w:tabs>
          <w:tab w:leader="none" w:pos="90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7"/>
          <w:szCs w:val="17"/>
          <w:color w:val="auto"/>
        </w:rPr>
        <w:t>Incentive Plan of Allison Transmission Holdings, Inc. (incorporated by reference to Exhibit 10.20 to the Registrant’s Quarterly Report on Form</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10-Q for the quarter ended June 30, 2012 filed on July 31, 2012)</w:t>
      </w:r>
    </w:p>
    <w:p>
      <w:pPr>
        <w:spacing w:after="0" w:line="99" w:lineRule="exact"/>
        <w:rPr>
          <w:sz w:val="20"/>
          <w:szCs w:val="20"/>
          <w:color w:val="auto"/>
        </w:rPr>
      </w:pPr>
    </w:p>
    <w:p>
      <w:pPr>
        <w:ind w:left="920" w:right="30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Deferred Compensation Plan of Allison Transmission Inc. (incorporated by reference to Exhibit 10.21 to the Registrant’s Quarterly Report on Form 10-Q for the quarter ended June 30, 2012 filed on July 31, 2012)</w:t>
      </w:r>
    </w:p>
    <w:p>
      <w:pPr>
        <w:spacing w:after="0" w:line="54" w:lineRule="exact"/>
        <w:rPr>
          <w:sz w:val="20"/>
          <w:szCs w:val="20"/>
          <w:color w:val="auto"/>
        </w:rPr>
      </w:pPr>
    </w:p>
    <w:p>
      <w:pPr>
        <w:ind w:left="920" w:right="360" w:hanging="827"/>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Amendment No. 4 to the Credit Agreement, dated as of August 23, 2012,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August 23, 2012)</w:t>
      </w:r>
    </w:p>
    <w:p>
      <w:pPr>
        <w:spacing w:after="0" w:line="72" w:lineRule="exact"/>
        <w:rPr>
          <w:sz w:val="20"/>
          <w:szCs w:val="20"/>
          <w:color w:val="auto"/>
        </w:rPr>
      </w:pPr>
    </w:p>
    <w:p>
      <w:pPr>
        <w:ind w:left="920" w:right="20" w:hanging="827"/>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Amendment No. 5 to the Credit Agreement, dated as of October 4, 2012,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October 4, 2012)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2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Non-Employee Director Deferred Compensation Plan of Allison Transmission Holdings, Inc. (incorporated by reference to Exhibit 10.23 to the Registrant’s Annual Report on Form 10-K for the year ended December 31, 2012 filed on February 28, 2013)</w:t>
      </w:r>
    </w:p>
    <w:p>
      <w:pPr>
        <w:spacing w:after="0" w:line="54" w:lineRule="exact"/>
        <w:rPr>
          <w:sz w:val="20"/>
          <w:szCs w:val="20"/>
          <w:color w:val="auto"/>
        </w:rPr>
      </w:pPr>
    </w:p>
    <w:p>
      <w:pPr>
        <w:ind w:left="920" w:right="6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Form Amendment to Stock Option Agreement under Equity Incentive Plan of Allison Transmission Holdings, Inc. (incorporated by reference to Exhibit 10.24 to the Registrant’s Annual Report on Form 10-K for the year ended December 31, 2012 filed on February 28, 2013)</w:t>
      </w:r>
    </w:p>
    <w:p>
      <w:pPr>
        <w:spacing w:after="0" w:line="54" w:lineRule="exact"/>
        <w:rPr>
          <w:sz w:val="20"/>
          <w:szCs w:val="20"/>
          <w:color w:val="auto"/>
        </w:rPr>
      </w:pPr>
    </w:p>
    <w:p>
      <w:pPr>
        <w:ind w:left="920" w:right="280" w:hanging="827"/>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Amendment No. 6 to the Credit Agreement, dated as of February 6,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February 6, 2013)</w:t>
      </w:r>
    </w:p>
    <w:p>
      <w:pPr>
        <w:spacing w:after="0" w:line="72" w:lineRule="exact"/>
        <w:rPr>
          <w:sz w:val="20"/>
          <w:szCs w:val="20"/>
          <w:color w:val="auto"/>
        </w:rPr>
      </w:pPr>
    </w:p>
    <w:p>
      <w:pPr>
        <w:ind w:left="920" w:right="320" w:hanging="827"/>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color w:val="auto"/>
        </w:rPr>
        <w:t>Amendment No. 7 to the Credit Agreement, dated as of February 6,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10.2 to the Registrant’s Current Report on Form 8-K filed February 6, 2013)</w:t>
      </w:r>
    </w:p>
    <w:p>
      <w:pPr>
        <w:spacing w:after="0" w:line="72" w:lineRule="exact"/>
        <w:rPr>
          <w:sz w:val="20"/>
          <w:szCs w:val="20"/>
          <w:color w:val="auto"/>
        </w:rPr>
      </w:pPr>
    </w:p>
    <w:p>
      <w:pPr>
        <w:ind w:left="920" w:right="380" w:hanging="827"/>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color w:val="auto"/>
        </w:rPr>
        <w:t>Form Amendment to Stock Option Agreement under the Allison Transmission Holdings, Inc. 2011 Equity Incentive Award Plan and Equity Incentive Plan of Allison Transmission Holdings, Inc.</w:t>
      </w:r>
    </w:p>
    <w:p>
      <w:pPr>
        <w:ind w:left="920" w:right="440"/>
        <w:spacing w:after="0" w:line="261" w:lineRule="auto"/>
        <w:rPr>
          <w:sz w:val="20"/>
          <w:szCs w:val="20"/>
          <w:color w:val="auto"/>
        </w:rPr>
      </w:pPr>
      <w:r>
        <w:rPr>
          <w:rFonts w:ascii="Times New Roman" w:cs="Times New Roman" w:eastAsia="Times New Roman" w:hAnsi="Times New Roman"/>
          <w:sz w:val="18"/>
          <w:szCs w:val="18"/>
          <w:color w:val="auto"/>
        </w:rPr>
        <w:t>(incorporated by reference to Exhibit 10.27 to the Registrant’s Quarterly Report on Form 10-Q for the quarter ended June 30, 2013 filed on July 30, 2013)</w:t>
      </w:r>
    </w:p>
    <w:p>
      <w:pPr>
        <w:spacing w:after="0" w:line="85" w:lineRule="exact"/>
        <w:rPr>
          <w:sz w:val="20"/>
          <w:szCs w:val="20"/>
          <w:color w:val="auto"/>
        </w:rPr>
      </w:pPr>
    </w:p>
    <w:p>
      <w:pPr>
        <w:ind w:left="920" w:right="24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color w:val="auto"/>
        </w:rPr>
        <w:t>Form of 2011 Equity Incentive Award Plan Stock Option Agreement (incorporated by reference to Exhibit 10.29 to the Registrant’s Quarterly Report on Form 10-Q for the quarter ended September 30, 2013 filed on October 29, 2013)</w:t>
      </w:r>
    </w:p>
    <w:p>
      <w:pPr>
        <w:spacing w:after="0" w:line="54" w:lineRule="exact"/>
        <w:rPr>
          <w:sz w:val="20"/>
          <w:szCs w:val="20"/>
          <w:color w:val="auto"/>
        </w:rPr>
      </w:pPr>
    </w:p>
    <w:p>
      <w:pPr>
        <w:ind w:left="920" w:right="320" w:hanging="827"/>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8"/>
          <w:szCs w:val="18"/>
          <w:color w:val="auto"/>
        </w:rPr>
        <w:t>Amendment No. 8 to the Credit Agreement, dated as of August 26,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August 26, 2013)</w:t>
      </w:r>
    </w:p>
    <w:p>
      <w:pPr>
        <w:spacing w:after="0" w:line="72" w:lineRule="exact"/>
        <w:rPr>
          <w:sz w:val="20"/>
          <w:szCs w:val="20"/>
          <w:color w:val="auto"/>
        </w:rPr>
      </w:pPr>
    </w:p>
    <w:p>
      <w:pPr>
        <w:ind w:left="920" w:right="100" w:hanging="827"/>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8"/>
          <w:szCs w:val="18"/>
          <w:color w:val="auto"/>
        </w:rPr>
        <w:t>Amendment No. 9 to the Credit Agreement, dated as of December 31,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December 31, 2013)</w:t>
      </w:r>
    </w:p>
    <w:p>
      <w:pPr>
        <w:spacing w:after="0" w:line="72" w:lineRule="exact"/>
        <w:rPr>
          <w:sz w:val="20"/>
          <w:szCs w:val="20"/>
          <w:color w:val="auto"/>
        </w:rPr>
      </w:pPr>
    </w:p>
    <w:p>
      <w:pPr>
        <w:ind w:left="920" w:right="16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Form of Change in Control Severance Agreement (incorporated by reference to Exhibit 10.34 to the Registrant’s Annual Report on Form 10-K for the year ended December 31, 2013 filed on February 24, 2014)</w:t>
      </w:r>
    </w:p>
    <w:p>
      <w:pPr>
        <w:spacing w:after="0" w:line="54" w:lineRule="exact"/>
        <w:rPr>
          <w:sz w:val="20"/>
          <w:szCs w:val="20"/>
          <w:color w:val="auto"/>
        </w:rPr>
      </w:pPr>
    </w:p>
    <w:p>
      <w:pPr>
        <w:ind w:left="920" w:right="260" w:hanging="827"/>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8"/>
          <w:szCs w:val="18"/>
          <w:color w:val="auto"/>
        </w:rPr>
        <w:t>Consent Agreement to the Credit Agreement, dated as of March 12, 2014,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March 14, 2014)</w:t>
      </w:r>
    </w:p>
    <w:p>
      <w:pPr>
        <w:spacing w:after="0" w:line="72" w:lineRule="exact"/>
        <w:rPr>
          <w:sz w:val="20"/>
          <w:szCs w:val="20"/>
          <w:color w:val="auto"/>
        </w:rPr>
      </w:pPr>
    </w:p>
    <w:p>
      <w:pPr>
        <w:ind w:left="920" w:hanging="827"/>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Amendment No. 10 to the Credit Agreement, dated as of April 14, 2014,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April 15, 2014)</w:t>
      </w:r>
    </w:p>
    <w:p>
      <w:pPr>
        <w:spacing w:after="0" w:line="72" w:lineRule="exact"/>
        <w:rPr>
          <w:sz w:val="20"/>
          <w:szCs w:val="20"/>
          <w:color w:val="auto"/>
        </w:rPr>
      </w:pPr>
    </w:p>
    <w:p>
      <w:pPr>
        <w:ind w:left="920" w:right="12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8"/>
          <w:szCs w:val="18"/>
          <w:color w:val="auto"/>
        </w:rPr>
        <w:t>Employment Agreement, between Allison Transmission, Inc. and Lawrence E. Dewey, dated as of April 15, 2014 (incorporated by reference to Exhibit 10.2 to the Registrant’s Current Report on Form 8-K filed April 15, 2014)</w:t>
      </w:r>
    </w:p>
    <w:p>
      <w:pPr>
        <w:spacing w:after="0" w:line="54" w:lineRule="exact"/>
        <w:rPr>
          <w:sz w:val="20"/>
          <w:szCs w:val="20"/>
          <w:color w:val="auto"/>
        </w:rPr>
      </w:pPr>
    </w:p>
    <w:p>
      <w:pPr>
        <w:ind w:left="920" w:right="300" w:hanging="82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8"/>
          <w:szCs w:val="18"/>
          <w:color w:val="auto"/>
        </w:rPr>
        <w:t>Employment Agreement, between Allison Transmission, Inc. and David S. Graziosi, dated as of April 15, 2014 (incorporated by reference to Exhibit 10.3 to the Registrant’s Current Report on Form 8-K filed April 15, 2014)</w:t>
      </w:r>
    </w:p>
    <w:p>
      <w:pPr>
        <w:spacing w:after="0" w:line="54" w:lineRule="exact"/>
        <w:rPr>
          <w:sz w:val="20"/>
          <w:szCs w:val="20"/>
          <w:color w:val="auto"/>
        </w:rPr>
      </w:pPr>
    </w:p>
    <w:p>
      <w:pPr>
        <w:ind w:left="920" w:right="40" w:hanging="827"/>
        <w:spacing w:after="0" w:line="313" w:lineRule="auto"/>
        <w:tabs>
          <w:tab w:leader="none" w:pos="900" w:val="left"/>
        </w:tabs>
        <w:rPr>
          <w:sz w:val="20"/>
          <w:szCs w:val="20"/>
          <w:color w:val="auto"/>
        </w:rPr>
      </w:pPr>
      <w:r>
        <w:rPr>
          <w:rFonts w:ascii="Times New Roman" w:cs="Times New Roman" w:eastAsia="Times New Roman" w:hAnsi="Times New Roman"/>
          <w:sz w:val="18"/>
          <w:szCs w:val="18"/>
          <w:color w:val="auto"/>
        </w:rPr>
        <w:t>10.33*</w:t>
      </w:r>
      <w:r>
        <w:rPr>
          <w:sz w:val="20"/>
          <w:szCs w:val="20"/>
          <w:color w:val="auto"/>
        </w:rPr>
        <w:tab/>
      </w:r>
      <w:r>
        <w:rPr>
          <w:rFonts w:ascii="Times New Roman" w:cs="Times New Roman" w:eastAsia="Times New Roman" w:hAnsi="Times New Roman"/>
          <w:sz w:val="17"/>
          <w:szCs w:val="17"/>
          <w:color w:val="auto"/>
        </w:rPr>
        <w:t>Form of 2011 Equity Incentive Award Plan Restricted Stock Unit Agreement for Non-Employee Directors for 2014 Compensation (incorporated by reference to Exhibit 10.40 to the Registrant’s Quarterly Report on Form 10-Q for the quarter ended June 30, 2014 filed July 25, 2014)</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80"/>
          </w:cols>
          <w:pgMar w:left="240" w:top="455" w:right="2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10.34</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11 to the Credit Agreement, dated as of April 7, 2015, among Allison Transmission Holdings, Inc., Allison Transmission,</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 as Borrower, the several banks and other financial institutions or entities from time to time parties thereto as Lenders, Citicorp North</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America, Inc., as Administrative Agent and the other agents and arrangers parties thereto (incorporated by reference to Exhibit 10.1 to the</w:t>
            </w:r>
          </w:p>
        </w:tc>
      </w:tr>
      <w:tr>
        <w:trPr>
          <w:trHeight w:val="234"/>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Registrant’s Current Report on Form 8-K filed on April 7, 2015)</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10.35*</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Amended and Restated Non-Employee Directors Deferred Compensation Plan of Allison Transmission Holdings, Inc. (incorporated by</w:t>
            </w:r>
          </w:p>
        </w:tc>
      </w:tr>
      <w:tr>
        <w:trPr>
          <w:trHeight w:val="234"/>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reference to Exhibit 10.38 to the Registrant’s Quarterly Report on Form 10-Q for the quarter ended March 31, 2015 filed on April 28, 2015)</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10.36*</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Separation Agreement between the Company and David L. Parish, dated October 15, 2015 (incorporated by reference to Exhibit 10.1 to the</w:t>
            </w:r>
          </w:p>
        </w:tc>
      </w:tr>
      <w:tr>
        <w:trPr>
          <w:trHeight w:val="234"/>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Registrant’s Current Report on Form 8-K filed on October 16, 2015)</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10.37</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No. 12 to the Credit Agreement, dated as of November 30, 2015, among Allison Transmission Holdings, Inc., Allison</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Transmission, Inc., as Borrower, the several banks and other financial institutions or entities from time to time parties thereto as Lenders,</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Citicorp North America, Inc., as Administrative Agent and the other agents and arrangers party thereto (incorporated by reference to Exhibit</w:t>
            </w:r>
          </w:p>
        </w:tc>
      </w:tr>
      <w:tr>
        <w:trPr>
          <w:trHeight w:val="234"/>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 to the Registrant’s Current Report on Form 8-K filed on November 30, 2015)</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10.38*</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Separation Agreement between the Company and Michael G. Headly, dated December 17, 2015 (incorporated by reference to Exhibit 10.1 to</w:t>
            </w:r>
          </w:p>
        </w:tc>
      </w:tr>
      <w:tr>
        <w:trPr>
          <w:trHeight w:val="234"/>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Registrant’s Current Report on Form 8-K filed on December 18, 2015)</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10.39*</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Allison Transmission Holdings, Inc. 2015 Equity Incentive Award Plan (incorporated by reference to Appendix A to the Registrant’s</w:t>
            </w:r>
          </w:p>
        </w:tc>
      </w:tr>
      <w:tr>
        <w:trPr>
          <w:trHeight w:val="234"/>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Definitive Proxy Statement on Schedule 14A filed April 2, 2015)</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10.40*</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Allison Transmission Holdings, Inc. 2016 Incentive Plan (incorporated by reference to Appendix B to the Registrant’s Definitive Proxy</w:t>
            </w:r>
          </w:p>
        </w:tc>
      </w:tr>
      <w:tr>
        <w:trPr>
          <w:trHeight w:val="234"/>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Statement on Schedule 14A filed April 2, 2015)</w:t>
            </w:r>
          </w:p>
        </w:tc>
      </w:tr>
      <w:tr>
        <w:trPr>
          <w:trHeight w:val="324"/>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10.41*</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2015 Equity Incentive Award Plan Restricted Stock Agreement (filed herewith)</w:t>
            </w:r>
          </w:p>
        </w:tc>
      </w:tr>
      <w:tr>
        <w:trPr>
          <w:trHeight w:val="324"/>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10.42*</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2015 Equity Incentive Award Plan Restricted Stock Unit Agreement (filed herewith)</w:t>
            </w:r>
          </w:p>
        </w:tc>
      </w:tr>
      <w:tr>
        <w:trPr>
          <w:trHeight w:val="324"/>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10.43*</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2015 Equity Incentive Award Plan Stock Option Agreement (filed herewith)</w:t>
            </w:r>
          </w:p>
        </w:tc>
      </w:tr>
      <w:tr>
        <w:trPr>
          <w:trHeight w:val="324"/>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10.44*</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Second Amended and Restated Non-Employee Directors Compensation Policy (filed herewith)</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14.1</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Code of Business Conduct, adopted by the Board of Directors on October 30, 2014 (incorporated by reference to Exhibit 14.1 to the</w:t>
            </w:r>
          </w:p>
        </w:tc>
      </w:tr>
      <w:tr>
        <w:trPr>
          <w:trHeight w:val="234"/>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Registrant’s Annual Report on Form 10-K for the year ended December 31, 2014 filed on February 20, 2015)</w:t>
            </w:r>
          </w:p>
        </w:tc>
      </w:tr>
      <w:tr>
        <w:trPr>
          <w:trHeight w:val="324"/>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List of Subsidiaries of Allison Transmission Holdings, Inc. (filed herewith)</w:t>
            </w:r>
          </w:p>
        </w:tc>
      </w:tr>
      <w:tr>
        <w:trPr>
          <w:trHeight w:val="324"/>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 of PricewaterhouseCoopers LLP (filed herewith)</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pursuant to Rule 13a-14(a)/15d-14(a) of the Securities Exchange Act of 1934 of the Chief Executive Officer, as adopted</w:t>
            </w:r>
          </w:p>
        </w:tc>
      </w:tr>
      <w:tr>
        <w:trPr>
          <w:trHeight w:val="234"/>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 (filed herewith)</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Certification pursuant to Rule 13a-14(a)/15d-14(a) of the Securities Exchange Act of 1934 of the Chief Financial Officer, as adopted pursuant</w:t>
            </w:r>
          </w:p>
        </w:tc>
      </w:tr>
      <w:tr>
        <w:trPr>
          <w:trHeight w:val="234"/>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Section 302 of the Sarbanes-Oxley Act of 2002 (filed herewith)</w:t>
            </w:r>
          </w:p>
        </w:tc>
      </w:tr>
      <w:tr>
        <w:trPr>
          <w:trHeight w:val="324"/>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(filed herewith)</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80"/>
          </w:cols>
          <w:pgMar w:left="240" w:top="455" w:right="2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tc>
      </w:tr>
      <w:tr>
        <w:trPr>
          <w:trHeight w:val="234"/>
        </w:trPr>
        <w:tc>
          <w:tcPr>
            <w:tcW w:w="3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2016</w:t>
            </w:r>
          </w:p>
        </w:tc>
        <w:tc>
          <w:tcPr>
            <w:tcW w:w="75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Lawrence E. Dewey</w:t>
            </w:r>
          </w:p>
        </w:tc>
      </w:tr>
      <w:tr>
        <w:trPr>
          <w:trHeight w:val="203"/>
        </w:trPr>
        <w:tc>
          <w:tcPr>
            <w:tcW w:w="3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Lawrence E. Dewey</w:t>
            </w:r>
          </w:p>
        </w:tc>
      </w:tr>
      <w:tr>
        <w:trPr>
          <w:trHeight w:val="216"/>
        </w:trPr>
        <w:tc>
          <w:tcPr>
            <w:tcW w:w="3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Officer (Principal</w:t>
            </w:r>
          </w:p>
        </w:tc>
      </w:tr>
      <w:tr>
        <w:trPr>
          <w:trHeight w:val="236"/>
        </w:trPr>
        <w:tc>
          <w:tcPr>
            <w:tcW w:w="3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w:t>
            </w:r>
          </w:p>
        </w:tc>
      </w:tr>
    </w:tbl>
    <w:p>
      <w:pPr>
        <w:spacing w:after="0" w:line="198"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6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6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Lawrence E. Dewey</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of the Board and Chief Executive Officer (Principal</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19, 2016</w:t>
            </w: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E. Dewey</w:t>
            </w:r>
          </w:p>
        </w:tc>
        <w:tc>
          <w:tcPr>
            <w:tcW w:w="1660" w:type="dxa"/>
            <w:vAlign w:val="bottom"/>
          </w:tcPr>
          <w:p>
            <w:pPr>
              <w:spacing w:after="0"/>
              <w:rPr>
                <w:sz w:val="19"/>
                <w:szCs w:val="19"/>
                <w:color w:val="auto"/>
              </w:rPr>
            </w:pPr>
          </w:p>
        </w:tc>
        <w:tc>
          <w:tcPr>
            <w:tcW w:w="5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Officer)</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7"/>
        </w:trPr>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S. Graziosi</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President, Chief Financial Officer and Treasurer (Principal Financial</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19, 2016</w:t>
            </w: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 Graziosi</w:t>
            </w:r>
          </w:p>
        </w:tc>
        <w:tc>
          <w:tcPr>
            <w:tcW w:w="1660" w:type="dxa"/>
            <w:vAlign w:val="bottom"/>
          </w:tcPr>
          <w:p>
            <w:pPr>
              <w:spacing w:after="0"/>
              <w:rPr>
                <w:sz w:val="19"/>
                <w:szCs w:val="19"/>
                <w:color w:val="auto"/>
              </w:rPr>
            </w:pPr>
          </w:p>
        </w:tc>
        <w:tc>
          <w:tcPr>
            <w:tcW w:w="5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7"/>
        </w:trPr>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Denison</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19, 2016</w:t>
            </w: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Denison</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7"/>
        </w:trPr>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Everitt</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19, 2016</w:t>
            </w: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Everitt</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7"/>
        </w:trPr>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Alvaro Garcia-Tunon</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19, 2016</w:t>
            </w: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Alvaro Garcia-Tunon</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7"/>
        </w:trPr>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Gregory S. Ledford</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19, 2016</w:t>
            </w: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S. Ledford</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7"/>
        </w:trPr>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W. Rabaut</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19, 2016</w:t>
            </w: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W. Rabaut</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7"/>
        </w:trPr>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Francis Raborn</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19, 2016</w:t>
            </w: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Francis Raborn</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7"/>
        </w:trPr>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V. Reynolds</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19, 2016</w:t>
            </w: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V. Reynolds</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7"/>
        </w:trPr>
        <w:tc>
          <w:tcPr>
            <w:tcW w:w="2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Gregory P. Spivy</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February 19, 2016</w:t>
            </w:r>
          </w:p>
        </w:tc>
      </w:tr>
      <w:tr>
        <w:trPr>
          <w:trHeight w:val="22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P. Spivy</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60"/>
        </w:trPr>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94</w:t>
            </w:r>
          </w:p>
        </w:tc>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EQUITY INCENTIVE AWARD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GRANT NOTICE</w:t>
      </w:r>
    </w:p>
    <w:p>
      <w:pPr>
        <w:spacing w:after="0" w:line="22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Allison Transmission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its 2015 Equity Incentive Award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holder listed below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the number of shares of Restricted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set forth below. The Shares are subject to the terms and conditions set forth in this Restricted Stock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xml:space="preserve">”) and the Restricted Stock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Plan, which are incorporated herein by reference. Unless otherwise defined herein, the terms defined in the Plan shall have the same defined meanings in the Grant Notice and the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Number of Shares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08"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[To be specified in individual agreements]</w:t>
      </w:r>
    </w:p>
    <w:p>
      <w:pPr>
        <w:spacing w:after="0" w:line="22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tc>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4220" w:type="dxa"/>
            <w:vAlign w:val="bottom"/>
            <w:tcBorders>
              <w:top w:val="single" w:sz="8" w:color="auto"/>
              <w:bottom w:val="single" w:sz="8" w:color="auto"/>
            </w:tcBorders>
          </w:tcPr>
          <w:p>
            <w:pPr>
              <w:spacing w:after="0"/>
              <w:rPr>
                <w:sz w:val="19"/>
                <w:szCs w:val="19"/>
                <w:color w:val="auto"/>
              </w:rPr>
            </w:pPr>
          </w:p>
        </w:tc>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Print Name:</w:t>
            </w:r>
          </w:p>
        </w:tc>
        <w:tc>
          <w:tcPr>
            <w:tcW w:w="4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Borders>
              <w:bottom w:val="single" w:sz="8" w:color="auto"/>
            </w:tcBorders>
          </w:tcPr>
          <w:p>
            <w:pPr>
              <w:spacing w:after="0"/>
              <w:rPr>
                <w:sz w:val="19"/>
                <w:szCs w:val="19"/>
                <w:color w:val="auto"/>
              </w:rPr>
            </w:pPr>
          </w:p>
        </w:tc>
        <w:tc>
          <w:tcPr>
            <w:tcW w:w="6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RESTRICTED STOCK GRANT NOTICE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AGREEMENT</w:t>
      </w:r>
    </w:p>
    <w:p>
      <w:pPr>
        <w:spacing w:after="0" w:line="22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Pursuant to the Grant Notice to which this Agreement is attached, the Company has granted to Participant the number of Shares set forth in the Grant Notice.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not specifically defined herein shall have the meanings specified in the Plan or the Grant Notice.</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Shares issued to Participant pursuant to the Grant Notice are subject to the terms and conditions set forth in this Agreement and the Plan, which is incorporated herein by reference. In the event of any inconsistency between the Plan and this Agreement, the terms of the Plan shall control.</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ISSUANCE OF SHARES</w:t>
      </w:r>
    </w:p>
    <w:p>
      <w:pPr>
        <w:spacing w:after="0" w:line="22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In consideration of Participant’s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the Company has granted to Participant the number of Shares set forth in the Grant Notice, upon the terms and conditions set forth in the Grant Notice, this Agreement and the Plan.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Issuance Mechanics</w:t>
      </w:r>
      <w:r>
        <w:rPr>
          <w:rFonts w:ascii="Times New Roman" w:cs="Times New Roman" w:eastAsia="Times New Roman" w:hAnsi="Times New Roman"/>
          <w:sz w:val="18"/>
          <w:szCs w:val="18"/>
          <w:color w:val="auto"/>
        </w:rPr>
        <w:t>. As of the Grant Date, the Company shall issue the Shares in the form of Common Stock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to Participant and shall</w:t>
      </w:r>
    </w:p>
    <w:p>
      <w:pPr>
        <w:spacing w:after="0" w:line="27" w:lineRule="exact"/>
        <w:rPr>
          <w:sz w:val="20"/>
          <w:szCs w:val="20"/>
          <w:color w:val="auto"/>
        </w:rPr>
      </w:pPr>
    </w:p>
    <w:p>
      <w:pPr>
        <w:ind w:right="40" w:firstLine="8"/>
        <w:spacing w:after="0" w:line="254"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stock certificate or certificates representing such shares of Stock to be registered in the name of Participant, or (b) cause such shares of Stock to be held in book-entry form. If a stock certificate is issued, it shall be delivered to and held in custody by the Company and shall bear the restrictive legends required by Section 5.1. If the shares of Stock are held in book-entry form, then such entry will reflect that the shares are subject to the restrictions of this Agreement.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FORFEITURE AND TRANSFER RESTRICTIONS</w:t>
      </w:r>
    </w:p>
    <w:p>
      <w:pPr>
        <w:spacing w:after="0" w:line="22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Forfeiture Restriction</w:t>
      </w:r>
      <w:r>
        <w:rPr>
          <w:rFonts w:ascii="Times New Roman" w:cs="Times New Roman" w:eastAsia="Times New Roman" w:hAnsi="Times New Roman"/>
          <w:sz w:val="18"/>
          <w:szCs w:val="18"/>
          <w:color w:val="auto"/>
        </w:rPr>
        <w:t>. Subject to the provisions of Sections 3.2 and 3.5 below, in the event of Participant’s Termination of Service for any reason, including as a result of Participant’s death or Disability, all of the Unreleased Shares (as defined below) shall thereupon be forfeited immediately and without any further action by the Company (the “</w:t>
      </w:r>
      <w:r>
        <w:rPr>
          <w:rFonts w:ascii="Times New Roman" w:cs="Times New Roman" w:eastAsia="Times New Roman" w:hAnsi="Times New Roman"/>
          <w:sz w:val="18"/>
          <w:szCs w:val="18"/>
          <w:u w:val="single" w:color="auto"/>
          <w:color w:val="auto"/>
        </w:rPr>
        <w:t>Forfeiture Restriction</w:t>
      </w:r>
      <w:r>
        <w:rPr>
          <w:rFonts w:ascii="Times New Roman" w:cs="Times New Roman" w:eastAsia="Times New Roman" w:hAnsi="Times New Roman"/>
          <w:sz w:val="18"/>
          <w:szCs w:val="18"/>
          <w:color w:val="auto"/>
        </w:rPr>
        <w:t>”), except as otherwise provided in a written agreement between Participant and the Company. Upon the occurrence of such forfeiture, the Company shall become the legal and beneficial owner of the Unreleased Shares and all rights and interests therein or relating thereto, and the Company shall have the right to retain and transfer to its own name the number of Unreleased Shares being forfeited by Participant. The Unreleased Shares shall be held by the Company in accordance with Section 3.3 until the Shares are forfeited as provided in this Section 3.1, until such Unreleased Shares are fully released from the Forfeiture Restriction as provided 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00"/>
          </w:cols>
          <w:pgMar w:left="240" w:top="266" w:right="259" w:bottom="1440" w:gutter="0" w:footer="0" w:header="0"/>
        </w:sectPr>
      </w:pPr>
    </w:p>
    <w:bookmarkStart w:id="99" w:name="page100"/>
    <w:bookmarkEnd w:id="99"/>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Sections 3.2 or 3.5 or until such time as this Agreement is no longer in effect. Participant hereby authorizes and directs the Secretary of the Company, or such other person designated by the Administrator, to transfer any Unreleased Shares that are forfeited pursuant to this Section 3.1 from Participant to the Company.</w:t>
      </w:r>
    </w:p>
    <w:p>
      <w:pPr>
        <w:spacing w:after="0" w:line="17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Release of Shares from Forfeiture Restriction</w:t>
      </w:r>
      <w:r>
        <w:rPr>
          <w:rFonts w:ascii="Times New Roman" w:cs="Times New Roman" w:eastAsia="Times New Roman" w:hAnsi="Times New Roman"/>
          <w:sz w:val="18"/>
          <w:szCs w:val="18"/>
          <w:color w:val="auto"/>
        </w:rPr>
        <w:t>. Subject to Section 3.5 below, the Shares shall be released from the Forfeiture Restriction in accordance with the vesting schedule set forth in the Grant Notice. Any of the Shares which, from time to time, have not yet been released from the Forfeiture Restriction are referred to herein as “</w:t>
      </w:r>
      <w:r>
        <w:rPr>
          <w:rFonts w:ascii="Times New Roman" w:cs="Times New Roman" w:eastAsia="Times New Roman" w:hAnsi="Times New Roman"/>
          <w:sz w:val="18"/>
          <w:szCs w:val="18"/>
          <w:u w:val="single" w:color="auto"/>
          <w:color w:val="auto"/>
        </w:rPr>
        <w:t>Unreleased Shares</w:t>
      </w:r>
      <w:r>
        <w:rPr>
          <w:rFonts w:ascii="Times New Roman" w:cs="Times New Roman" w:eastAsia="Times New Roman" w:hAnsi="Times New Roman"/>
          <w:sz w:val="18"/>
          <w:szCs w:val="18"/>
          <w:color w:val="auto"/>
        </w:rPr>
        <w:t>.” In the event any of the Unreleased Shares are released from the Forfeiture Restriction, any Retained Distributions (as defined below) paid on such Unreleased Shares shall be promptly paid by the Company to Participant. As soon as administratively practicable following the release of any Shares from the Forfeiture Restriction, the Company shall, as applicable, either deliver to Participant the certificate or certificates representing such Shares in the Company’s possession belonging to Participant, or, if the Shares are held in book-entry form, then the Company shall remove the notations indicating that the Shares are subject to the restrictions of this Agreement. Participant (or the beneficiary or personal representative of Participant in the event of Participant’s death or incapacity, as the case may be) shall deliver to the Company any representations or other documents or assurances as the Company or its representatives deem necessary or advisable in connection with any such delivery.</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21"/>
        <w:spacing w:after="0" w:line="272" w:lineRule="auto"/>
        <w:tabs>
          <w:tab w:leader="none" w:pos="115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Unreleased Shares shall be held by the Company until such Unreleased Shares are forfeited as provided in Section 3.1, until such Unreleased Shares are fully released from the Forfeiture Restriction as provided in Section 3.2 or until such time as this Agreement is no longer in effect. Participant shall not retain physical custody of any certificates representing Unreleased Shares issued to Participant. Participant, by acceptance of this Award, shall be deemed to appoint, and does so appoint, the Company and each of its authorized representatives as Participant’s attorney(s)-in-fact to effect any transfer of forfeited Unreleased Shares (and Retained Distributions, if any, paid on such forfeited Unreleased Shares) to the Company as may be required pursuant to the Plan or this Agreement, and to execute such representations or other documents or assurances as the Company or such representatives deem necessary or advisable in connection with any such transfer. To the extent allowable by Applicable Law, the Company, or its designee, shall not be liable for any act it may do or omit to do with respect to holding the Shares in escrow and while acting in good faith and in the exercise of its judgment.</w:t>
      </w:r>
    </w:p>
    <w:p>
      <w:pPr>
        <w:spacing w:after="0" w:line="172" w:lineRule="exact"/>
        <w:rPr>
          <w:rFonts w:ascii="Times New Roman" w:cs="Times New Roman" w:eastAsia="Times New Roman" w:hAnsi="Times New Roman"/>
          <w:sz w:val="17"/>
          <w:szCs w:val="17"/>
          <w:color w:val="auto"/>
        </w:rPr>
      </w:pPr>
    </w:p>
    <w:p>
      <w:pPr>
        <w:ind w:firstLine="921"/>
        <w:spacing w:after="0" w:line="254" w:lineRule="auto"/>
        <w:tabs>
          <w:tab w:leader="none" w:pos="11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retain custody of all cash dividends and other distributions (“</w:t>
      </w:r>
      <w:r>
        <w:rPr>
          <w:rFonts w:ascii="Times New Roman" w:cs="Times New Roman" w:eastAsia="Times New Roman" w:hAnsi="Times New Roman"/>
          <w:sz w:val="18"/>
          <w:szCs w:val="18"/>
          <w:u w:val="single" w:color="auto"/>
          <w:color w:val="auto"/>
        </w:rPr>
        <w:t>Retained Distributions</w:t>
      </w:r>
      <w:r>
        <w:rPr>
          <w:rFonts w:ascii="Times New Roman" w:cs="Times New Roman" w:eastAsia="Times New Roman" w:hAnsi="Times New Roman"/>
          <w:sz w:val="18"/>
          <w:szCs w:val="18"/>
          <w:color w:val="auto"/>
        </w:rPr>
        <w:t>”) made or declared with respect to Unreleased Shares (and such Retained Distributions will be subject to the Forfeiture Restriction and the other terms and conditions under this Agreement that are applicable to the Shares) until such time, if ever, as the Unreleased Shares with respect to which such Retained Distributions shall have been made, paid or declared shall have become vested pursuant to the Grant Notice. Retained Distributions that were made or declared in cash will be deemed reinvested in notional shares of Stock such that upon release and distribution of such Retained Distributions to Participant as set forth in the immediately preceding sentence, Participant shall be entitled to receive on the date of such distribution or release an amount of cash or the number of whole shares of Stock or a combination thereof, as determined by the Administrator, the aggregate fair value of which shall be equal to the Fair Market Value of the notional shares of Stock to which such released Retained Distributions relate. Any Retained Distributions with respect to Unreleased Shares shall be forfeited in the event such Unreleased Shares are forfeited.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20"/>
          </w:cols>
          <w:pgMar w:left="240" w:top="270" w:right="239" w:bottom="1440" w:gutter="0" w:footer="0" w:header="0"/>
        </w:sectPr>
      </w:pPr>
    </w:p>
    <w:bookmarkStart w:id="100" w:name="page101"/>
    <w:bookmarkEnd w:id="100"/>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Except as otherwise provided herein, upon issuance of the Shares by the Company, Participant shall have all the rights of a stockholder with respect to said Shares, subject to the restrictions herein, including the right to vote the Shares and to receive all dividends or other distributions paid or made with respect to the Shares.</w:t>
      </w:r>
    </w:p>
    <w:p>
      <w:pPr>
        <w:spacing w:after="0" w:line="176"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Notwithstanding any contrary provision of this Agreement, in the event of Participant’s Termination of Service by the Company without Cause or due to Participant’s death or Disability, in each case, within twenty-four (24) months following a Change in Control, all Unreleased Shares will vest in full and will be released from the Forfeiture Restriction; provided, however, that if Participant is a party to a written employment or change in control severance agreement with the Company (or its Subsidiary) that provides more favorable treatment for the Unreleased Shares in connection with a Change in Control, then the Shares shall be treated as provided in the applicable written employment or change in control severance agreement.</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 the Board’s determination that Participant failed to substantially perform his or her duties (other than any such failure resulting from Participant’s Disability); (b) the Board’s determination that Participant failed to carry out, or comply with any lawful and reasonable directive of the Board or Participant’s immediate supervisor; (c) Participant’s conviction, plea of no contest, plea of nolo contendere,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 (e) Participant’s commission of an act of fraud, embezzlement, misappropriation, misconduct, or breach of fiduciary duty against the Company or any of its Subsidiaries. Notwithstanding the foregoing, if Participant is a party to a written employment or change in control severance agreement with the Company (or its Subsidiary) that contains a definition of Cause, then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be as such term is defined in the applicable written employment or change in control severance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2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his or her own tax advisors the federal, state, local and foreign tax consequences of this investment and the transactions contemplated by this Agreement. Participant is relying solely on such advisors and not on any statements or representations of the Company or any of its agents. Participant is ultimately liable and responsible for all taxes owed in connection with this investment and the transactions contemplated by this Agreement, regardless of any action the Company or any Subsidiary takes with respect to any tax withholding obligations that arise in connection with the Shares. Neither the Company nor any Subsidiary makes any representation or undertaking regarding the treatment of any tax withholding in connection with the Shares or the Participant’s sale of shares of Stock. The Company and the Subsidiaries do not commit and are under no obligation to structure this investment or the transactions contemplated by this Agreement to reduce or eliminate Participant’s tax liability.</w:t>
      </w:r>
    </w:p>
    <w:p>
      <w:pPr>
        <w:spacing w:after="0" w:line="18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If Participant makes an election under Section 83(b)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to be taxed with respect to the Shares as of the date of transfer of the Shares rather than as of the date or dates upon which Participant would otherwise be taxable under Section 83(a) of the Code, Participant shall deliver a copy of such election to the Company promptly upon filing such election with the Internal Revenue Service.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00"/>
          </w:cols>
          <w:pgMar w:left="240" w:top="270" w:right="25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Notwithstanding any other provision of this Agreement:</w:t>
      </w:r>
    </w:p>
    <w:p>
      <w:pPr>
        <w:spacing w:after="0" w:line="225" w:lineRule="exact"/>
        <w:rPr>
          <w:sz w:val="20"/>
          <w:szCs w:val="20"/>
          <w:color w:val="auto"/>
        </w:rPr>
      </w:pPr>
    </w:p>
    <w:p>
      <w:pPr>
        <w:jc w:val="both"/>
        <w:ind w:left="-20" w:firstLine="921"/>
        <w:spacing w:after="0" w:line="261" w:lineRule="auto"/>
        <w:tabs>
          <w:tab w:leader="none" w:pos="11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180" w:lineRule="exact"/>
        <w:rPr>
          <w:rFonts w:ascii="Times New Roman" w:cs="Times New Roman" w:eastAsia="Times New Roman" w:hAnsi="Times New Roman"/>
          <w:sz w:val="18"/>
          <w:szCs w:val="18"/>
          <w:color w:val="auto"/>
        </w:rPr>
      </w:pPr>
    </w:p>
    <w:p>
      <w:pPr>
        <w:ind w:left="1680" w:hanging="208"/>
        <w:spacing w:after="0"/>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 made payable to the Company or the Subsidiary with respect to which the withholding obligation arises;</w:t>
      </w:r>
    </w:p>
    <w:p>
      <w:pPr>
        <w:spacing w:after="0" w:line="225" w:lineRule="exact"/>
        <w:rPr>
          <w:rFonts w:ascii="Times New Roman" w:cs="Times New Roman" w:eastAsia="Times New Roman" w:hAnsi="Times New Roman"/>
          <w:sz w:val="18"/>
          <w:szCs w:val="18"/>
          <w:color w:val="auto"/>
        </w:rPr>
      </w:pPr>
    </w:p>
    <w:p>
      <w:pPr>
        <w:ind w:left="1740" w:hanging="268"/>
        <w:spacing w:after="0"/>
        <w:tabs>
          <w:tab w:leader="none" w:pos="1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deduction of such amount from other compensation payable to Participant;</w:t>
      </w:r>
    </w:p>
    <w:p>
      <w:pPr>
        <w:spacing w:after="0" w:line="225" w:lineRule="exact"/>
        <w:rPr>
          <w:rFonts w:ascii="Times New Roman" w:cs="Times New Roman" w:eastAsia="Times New Roman" w:hAnsi="Times New Roman"/>
          <w:sz w:val="18"/>
          <w:szCs w:val="18"/>
          <w:color w:val="auto"/>
        </w:rPr>
      </w:pPr>
    </w:p>
    <w:p>
      <w:pPr>
        <w:jc w:val="both"/>
        <w:ind w:left="-20" w:right="100" w:firstLine="1492"/>
        <w:spacing w:after="0" w:line="261" w:lineRule="auto"/>
        <w:tabs>
          <w:tab w:leader="none" w:pos="177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vesting of the Shares, with the consent of the Administrator, by requesting that the Company and its Subsidiaries withhold a net number of vested Shares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80" w:lineRule="exact"/>
        <w:rPr>
          <w:rFonts w:ascii="Times New Roman" w:cs="Times New Roman" w:eastAsia="Times New Roman" w:hAnsi="Times New Roman"/>
          <w:sz w:val="18"/>
          <w:szCs w:val="18"/>
          <w:color w:val="auto"/>
        </w:rPr>
      </w:pPr>
    </w:p>
    <w:p>
      <w:pPr>
        <w:ind w:left="-20" w:right="120" w:firstLine="1492"/>
        <w:spacing w:after="0" w:line="261" w:lineRule="auto"/>
        <w:tabs>
          <w:tab w:leader="none" w:pos="17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vesting of the Shares, with the consent of the Administrator, by tendering to the Company vested shares of Stock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80" w:lineRule="exact"/>
        <w:rPr>
          <w:rFonts w:ascii="Times New Roman" w:cs="Times New Roman" w:eastAsia="Times New Roman" w:hAnsi="Times New Roman"/>
          <w:sz w:val="18"/>
          <w:szCs w:val="18"/>
          <w:color w:val="auto"/>
        </w:rPr>
      </w:pPr>
    </w:p>
    <w:p>
      <w:pPr>
        <w:ind w:left="-20" w:right="80" w:firstLine="1492"/>
        <w:spacing w:after="0" w:line="258" w:lineRule="auto"/>
        <w:tabs>
          <w:tab w:leader="none" w:pos="17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withholding taxes arising in connection with the vesting of the Shares, through the delivery of a notice that Participant has placed a market sell order with a broker acceptable to the Company with respect to those Shares that are then becoming vested and 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such proceeds is then made to the Company or the applicable Subsidiary at such time as may be required by the Administrator, but in any event not later the settlement of such sale; or</w:t>
      </w:r>
    </w:p>
    <w:p>
      <w:pPr>
        <w:spacing w:after="0" w:line="183" w:lineRule="exact"/>
        <w:rPr>
          <w:rFonts w:ascii="Times New Roman" w:cs="Times New Roman" w:eastAsia="Times New Roman" w:hAnsi="Times New Roman"/>
          <w:sz w:val="18"/>
          <w:szCs w:val="18"/>
          <w:color w:val="auto"/>
        </w:rPr>
      </w:pPr>
    </w:p>
    <w:p>
      <w:pPr>
        <w:ind w:left="1780" w:hanging="308"/>
        <w:spacing w:after="0"/>
        <w:tabs>
          <w:tab w:leader="none" w:pos="17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combination of the foregoing.</w:t>
      </w:r>
    </w:p>
    <w:p>
      <w:pPr>
        <w:spacing w:after="0" w:line="225" w:lineRule="exact"/>
        <w:rPr>
          <w:rFonts w:ascii="Times New Roman" w:cs="Times New Roman" w:eastAsia="Times New Roman" w:hAnsi="Times New Roman"/>
          <w:sz w:val="18"/>
          <w:szCs w:val="18"/>
          <w:color w:val="auto"/>
        </w:rPr>
      </w:pPr>
    </w:p>
    <w:p>
      <w:pPr>
        <w:ind w:left="-20" w:firstLine="921"/>
        <w:spacing w:after="0" w:line="255" w:lineRule="auto"/>
        <w:tabs>
          <w:tab w:leader="none" w:pos="11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Shares, in the event Participant fails to provide timely payment of all sums required pursuant to Section 4.3(a), the Company shall have the right and option, but not the obligation, to treat such failure as an election by Participant to satisfy all or any portion of Participant’s required payment obligation pursuant to Section 4.3(a)(ii) or Section 4.3(a)(iii) above, or any combination of the foregoing as the Company may determine to be appropriate. The Company shall not be obligated to deliver any certificate representing the Shares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of the Shares or any other taxable event related to the Shares.</w:t>
      </w:r>
    </w:p>
    <w:p>
      <w:pPr>
        <w:spacing w:after="0" w:line="189" w:lineRule="exact"/>
        <w:rPr>
          <w:rFonts w:ascii="Times New Roman" w:cs="Times New Roman" w:eastAsia="Times New Roman" w:hAnsi="Times New Roman"/>
          <w:sz w:val="18"/>
          <w:szCs w:val="18"/>
          <w:color w:val="auto"/>
        </w:rPr>
      </w:pPr>
    </w:p>
    <w:p>
      <w:pPr>
        <w:ind w:left="-20" w:right="40" w:firstLine="921"/>
        <w:spacing w:after="0" w:line="282" w:lineRule="auto"/>
        <w:tabs>
          <w:tab w:leader="none" w:pos="11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tax withholding obligation arising in connection with the Shares will be satisfied under Section 4.3(a)(iii), then the Company may elect to instruct any brokerage firm determined acceptable to the Company for such purpose to sell on Participant’s behalf a whole number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380"/>
          </w:cols>
          <w:pgMar w:left="260" w:top="270" w:right="259" w:bottom="1440" w:gutter="0" w:footer="0" w:header="0"/>
        </w:sectPr>
      </w:pPr>
    </w:p>
    <w:bookmarkStart w:id="102" w:name="page103"/>
    <w:bookmarkEnd w:id="102"/>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Stock from those Shares that are then becoming vested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4.3(c), including the transactions described in the previous sentence, as applicable. The Company may refuse to deliver any certificate representing the Shares to Participant or his or her legal representative until the foregoing tax withholding obligations are satisfied.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RESTRICTIVE LEGENDS AND STOP-TRANSFER ORDERS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certificate or certificates representing the Shares, if any, shall bear the following legend (as well as any legends required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charter and Applicable Law):</w:t>
      </w:r>
    </w:p>
    <w:p>
      <w:pPr>
        <w:spacing w:after="0" w:line="99" w:lineRule="exact"/>
        <w:rPr>
          <w:sz w:val="20"/>
          <w:szCs w:val="20"/>
          <w:color w:val="auto"/>
        </w:rPr>
      </w:pPr>
    </w:p>
    <w:p>
      <w:pPr>
        <w:ind w:left="920" w:right="220"/>
        <w:spacing w:after="0" w:line="266" w:lineRule="auto"/>
        <w:rPr>
          <w:sz w:val="20"/>
          <w:szCs w:val="20"/>
          <w:color w:val="auto"/>
        </w:rPr>
      </w:pPr>
      <w:r>
        <w:rPr>
          <w:rFonts w:ascii="Times New Roman" w:cs="Times New Roman" w:eastAsia="Times New Roman" w:hAnsi="Times New Roman"/>
          <w:sz w:val="18"/>
          <w:szCs w:val="18"/>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Refusal to Transfer; Stop-Transfer Notices</w:t>
      </w:r>
      <w:r>
        <w:rPr>
          <w:rFonts w:ascii="Times New Roman" w:cs="Times New Roman" w:eastAsia="Times New Roman" w:hAnsi="Times New Roman"/>
          <w:sz w:val="18"/>
          <w:szCs w:val="18"/>
          <w:color w:val="auto"/>
        </w:rPr>
        <w:t>. The Company shall not be required (a) to transfer on its books any Shares that have been sold or otherwise transferred in violation of any of the provisions of this Agreement or (b) to treat as owner of such Shares or to accord the right to vote or pay dividends to any purchaser or other transferee to whom such Shares shall have been so transferred.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Removal of Legend</w:t>
      </w:r>
      <w:r>
        <w:rPr>
          <w:rFonts w:ascii="Times New Roman" w:cs="Times New Roman" w:eastAsia="Times New Roman" w:hAnsi="Times New Roman"/>
          <w:sz w:val="18"/>
          <w:szCs w:val="18"/>
          <w:color w:val="auto"/>
        </w:rPr>
        <w:t>. After such time as the Forfeiture Restriction shall have lapsed with respect to the Shares, and upon Participant’s request, a new certificate or certificates representing such Shares shall be issued without the legend referred to in Section 5.1 and delivered to Participant. If the Shares are held in book entry form, the Company shall cause any restrictions noted on the book form to be removed.</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84"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Shares Not Transferable</w:t>
      </w:r>
      <w:r>
        <w:rPr>
          <w:rFonts w:ascii="Times New Roman" w:cs="Times New Roman" w:eastAsia="Times New Roman" w:hAnsi="Times New Roman"/>
          <w:sz w:val="18"/>
          <w:szCs w:val="18"/>
          <w:color w:val="auto"/>
        </w:rPr>
        <w:t>. The Shares and Retained Distributions may not be sold, pledged, assigned or transferred in any manner unless and until the Forfeiture Restrictions have lapsed.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380"/>
          </w:cols>
          <w:pgMar w:left="240" w:top="270" w:right="279" w:bottom="1440" w:gutter="0" w:footer="0" w:header="0"/>
        </w:sectPr>
      </w:pPr>
    </w:p>
    <w:bookmarkStart w:id="103" w:name="page104"/>
    <w:bookmarkEnd w:id="103"/>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Unreleased Shares or Retained Distributions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8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Administrator may accelerate the vesting of all or a portion of the Unreleased Shares in such circumstances as it, in its sole discretion, may determine. Participant acknowledges that the Shares are subject to adjustment, modification and termination in certain events as provided in this Agreement and Section 12.2 of the Plan.</w:t>
      </w:r>
    </w:p>
    <w:p>
      <w:pPr>
        <w:spacing w:after="0" w:line="17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6.4,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Shares are granted, only in such a manner as to conform to Applicable Law. To the extent permitted by Applicable Law, the Plan and this Agreement shall be deemed amended to the extent necessary to conform to Applicable Law.</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Amendment, Suspension and Termination</w:t>
      </w:r>
      <w:r>
        <w:rPr>
          <w:rFonts w:ascii="Times New Roman" w:cs="Times New Roman" w:eastAsia="Times New Roman" w:hAnsi="Times New Roman"/>
          <w:sz w:val="18"/>
          <w:szCs w:val="18"/>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except as may otherwise be provided by the Plan, no amendment, modification, suspension or termination of this Agreement shall adversely affect the Shares in any material way without the prior written consent of Participant.</w:t>
      </w:r>
    </w:p>
    <w:p>
      <w:pPr>
        <w:spacing w:after="0" w:line="180"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shall inure to the benefit of the successors and assigns of the Company. Subject to the restrictions on transfer set forth in Section 6.2 and the Plan, this Agreement shall be binding upon and inure to the benefit of the heirs, legatees, legal representatives, successors and assigns of the parties hereto.</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360"/>
          </w:cols>
          <w:pgMar w:left="240" w:top="270" w:right="299" w:bottom="1440" w:gutter="0" w:footer="0" w:header="0"/>
        </w:sectPr>
      </w:pPr>
    </w:p>
    <w:bookmarkStart w:id="104" w:name="page105"/>
    <w:bookmarkEnd w:id="104"/>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8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76"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Award.</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any broker-assisted sale of shares of Stock in connection with the payment of withholding taxes as provided in Section 4.3(a)(iii) or Section 4.3(a)(v):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360"/>
          </w:cols>
          <w:pgMar w:left="240" w:top="270" w:right="299" w:bottom="1440" w:gutter="0" w:footer="0" w:header="0"/>
        </w:sectPr>
      </w:pPr>
    </w:p>
    <w:bookmarkStart w:id="105" w:name="page106"/>
    <w:bookmarkEnd w:id="105"/>
    <w:p>
      <w:pPr>
        <w:ind w:left="-8" w:firstLine="8"/>
        <w:spacing w:after="0" w:line="255" w:lineRule="auto"/>
        <w:tabs>
          <w:tab w:leader="none" w:pos="2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89" w:lineRule="exact"/>
        <w:rPr>
          <w:sz w:val="20"/>
          <w:szCs w:val="20"/>
          <w:color w:val="auto"/>
        </w:rPr>
      </w:pPr>
    </w:p>
    <w:p>
      <w:pPr>
        <w:ind w:left="5212"/>
        <w:spacing w:after="0"/>
        <w:tabs>
          <w:tab w:leader="none" w:pos="5632" w:val="left"/>
          <w:tab w:leader="none" w:pos="6092"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392"/>
          </w:cols>
          <w:pgMar w:left="248" w:top="270" w:right="2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EQUITY INCENTIVE AWARD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229"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Allison Transmission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its 2015 Equity Incentive Award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holder listed below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the number of Restricted Stock Units (the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set forth below. The RSUs are subject to the terms and conditions set forth in this Restricted Stock Unit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xml:space="preserve">”) and the Restricted Stock Unit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Plan, which are incorporated herein by reference. Unless otherwise defined herein, the terms defined in the Plan shall have the same defined meanings in the Grant Notice and the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RSUs:</w:t>
      </w:r>
    </w:p>
    <w:p>
      <w:pPr>
        <w:spacing w:after="0" w:line="117"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b w:val="1"/>
          <w:bCs w:val="1"/>
          <w:color w:val="auto"/>
        </w:rPr>
        <w:t>Type of Shares Issuable:</w:t>
      </w:r>
      <w:r>
        <w:rPr>
          <w:sz w:val="20"/>
          <w:szCs w:val="20"/>
          <w:color w:val="auto"/>
        </w:rPr>
        <w:tab/>
      </w:r>
      <w:r>
        <w:rPr>
          <w:rFonts w:ascii="Times New Roman" w:cs="Times New Roman" w:eastAsia="Times New Roman" w:hAnsi="Times New Roman"/>
          <w:sz w:val="17"/>
          <w:szCs w:val="17"/>
          <w:color w:val="auto"/>
        </w:rPr>
        <w:t>Common Stock of Allison Transmission Holdings, Inc.</w:t>
      </w:r>
    </w:p>
    <w:p>
      <w:pPr>
        <w:spacing w:after="0" w:line="117"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[To be specified in individual agreements]</w:t>
      </w:r>
    </w:p>
    <w:p>
      <w:pPr>
        <w:spacing w:after="0" w:line="22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tc>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4220" w:type="dxa"/>
            <w:vAlign w:val="bottom"/>
            <w:tcBorders>
              <w:top w:val="single" w:sz="8" w:color="auto"/>
              <w:bottom w:val="single" w:sz="8" w:color="auto"/>
            </w:tcBorders>
          </w:tcPr>
          <w:p>
            <w:pPr>
              <w:spacing w:after="0"/>
              <w:rPr>
                <w:sz w:val="19"/>
                <w:szCs w:val="19"/>
                <w:color w:val="auto"/>
              </w:rPr>
            </w:pPr>
          </w:p>
        </w:tc>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Print Name:</w:t>
            </w:r>
          </w:p>
        </w:tc>
        <w:tc>
          <w:tcPr>
            <w:tcW w:w="4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Borders>
              <w:bottom w:val="single" w:sz="8" w:color="auto"/>
            </w:tcBorders>
          </w:tcPr>
          <w:p>
            <w:pPr>
              <w:spacing w:after="0"/>
              <w:rPr>
                <w:sz w:val="19"/>
                <w:szCs w:val="19"/>
                <w:color w:val="auto"/>
              </w:rPr>
            </w:pPr>
          </w:p>
        </w:tc>
        <w:tc>
          <w:tcPr>
            <w:tcW w:w="6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RESTRICTED STOCK UNIT GRANT NOTICE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Pursuant to the Grant Notice to which this Agreement is attached, the Company has granted to Participant the number of RSUs set forth in the Grant Notice.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not specifically defined herein shall have the meanings specified in the Plan or the Grant Notice.</w:t>
      </w:r>
    </w:p>
    <w:p>
      <w:pPr>
        <w:spacing w:after="0" w:line="225"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RSUs and the shares of Common Stock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issued to Participant hereunder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AWARD OF RESTRICTED STOCK UNITS AND DIVIDEND EQUIVALENTS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Award of RSUs and Dividend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21"/>
        <w:spacing w:after="0" w:line="255" w:lineRule="auto"/>
        <w:tabs>
          <w:tab w:leader="none" w:pos="115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Participant’s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the Company has granted to Participant the number of RSUs set forth in the Grant Notice, upon the terms and conditions set forth in the Grant Notice, the Plan and this Agreement, subject to adjustments as provided in Section 12.2 of the 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89" w:lineRule="exact"/>
        <w:rPr>
          <w:rFonts w:ascii="Times New Roman" w:cs="Times New Roman" w:eastAsia="Times New Roman" w:hAnsi="Times New Roman"/>
          <w:sz w:val="18"/>
          <w:szCs w:val="18"/>
          <w:color w:val="auto"/>
        </w:rPr>
      </w:pPr>
    </w:p>
    <w:p>
      <w:pPr>
        <w:ind w:right="20" w:firstLine="921"/>
        <w:spacing w:after="0" w:line="255" w:lineRule="auto"/>
        <w:tabs>
          <w:tab w:leader="none" w:pos="11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Participant an Award of Dividend Equivalents with respect to each RSU granted pursuant to the Grant Notice for all ordinary cash dividends which are paid to all or substantially all holders of the outstanding shares of Stock between the Grant Date and the date when the applicable RSU is distributed or paid to Participant or is forfeited or expires. The Dividend Equivalents for each RSU shall be equal to the amount of cash which is paid as a dividend on one share of Stock. All such Dividend Equivalents shall be credited to Participant and be deemed to be reinvested in additional RSUs as of the date of payment of any such dividend based on the Fair Market Value of a share of Stock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380"/>
          </w:cols>
          <w:pgMar w:left="240" w:top="266" w:right="279"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Vesting of RSUs and Dividend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921"/>
        <w:spacing w:after="0" w:line="261" w:lineRule="auto"/>
        <w:tabs>
          <w:tab w:leader="none" w:pos="115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Participant’s continued employment with or service to the Company or a Subsidiary on each applicable vesting date and subject to the terms of this Agreement, including Section 2.2(c) below,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180" w:lineRule="exact"/>
        <w:rPr>
          <w:rFonts w:ascii="Times New Roman" w:cs="Times New Roman" w:eastAsia="Times New Roman" w:hAnsi="Times New Roman"/>
          <w:sz w:val="18"/>
          <w:szCs w:val="18"/>
          <w:color w:val="auto"/>
        </w:rPr>
      </w:pPr>
    </w:p>
    <w:p>
      <w:pPr>
        <w:jc w:val="both"/>
        <w:ind w:firstLine="921"/>
        <w:spacing w:after="0" w:line="261" w:lineRule="auto"/>
        <w:tabs>
          <w:tab w:leader="none" w:pos="11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2.2(c) below, in the event Participant incurs a Termination of Service, except as may be otherwise provided by the Administrator or as set forth in a written agreement between Participant and the Company, Participant shall immediately forfeit any and all RSUs and Dividend Equivalents granted under this Agreement which have not vested or do not vest on or prior to the date on which such Termination of Service occurs, and Participant’s rights in any such RSUs and Dividend Equivalents which are not so vested shall lapse and expire.</w:t>
      </w:r>
    </w:p>
    <w:p>
      <w:pPr>
        <w:spacing w:after="0" w:line="180" w:lineRule="exact"/>
        <w:rPr>
          <w:rFonts w:ascii="Times New Roman" w:cs="Times New Roman" w:eastAsia="Times New Roman" w:hAnsi="Times New Roman"/>
          <w:sz w:val="18"/>
          <w:szCs w:val="18"/>
          <w:color w:val="auto"/>
        </w:rPr>
      </w:pPr>
    </w:p>
    <w:p>
      <w:pPr>
        <w:ind w:right="100" w:firstLine="921"/>
        <w:spacing w:after="0" w:line="258" w:lineRule="auto"/>
        <w:tabs>
          <w:tab w:leader="none" w:pos="115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contrary provision of this Agreement, in the event of Participant’s Termination of Service by the Company without Cause or due to Participant’s death or Disability, in each case, within twenty-four (24) months following a Change in Control, all unvested RSUs will vest in full; provided, however, that if Participant is a party to a written employment or change in control severance agreement with the Company (or its Subsidiary) that provides more favorable treatment for unvested RSUs in connection with a Change in Control, then the RSUs shall be treated as provided in the applicable written employment or change in control severance agreement.</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 the Board’s determination that Participant failed to substantially perform his or her duties (other than any such failure resulting from Participant’s Disability); (b) the Board’s determination that Participant failed to carry out, or comply with any lawful and reasonable directive of the Board or Participant’s immediate supervisor; (c) Participant’s conviction, plea of no contest, plea of nolo contendere,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 (e) Participant’s commission of an act of fraud, embezzlement, misappropriation, misconduct, or breach of fiduciary duty against the Company or any of its Subsidiaries. Notwithstanding the foregoing, if Participant is a party to a written employment or change in control severance agreement with the Company (or its Subsidiary) that contains a definition of Cause, then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be as such term is defined in the applicable written employment or change in control severance agreement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Distribution or Payment of RSUs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21"/>
        <w:spacing w:after="0" w:line="255" w:lineRule="auto"/>
        <w:tabs>
          <w:tab w:leader="none" w:pos="11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Participant’s RSUs shall be distributed in Shares (either in book-entry form or otherwise) or, at the option of the Company, paid in an amount of cash as set forth in Section 2.3(b), in either case, as soon as administratively practicable following the vesting of the applicable RSU pursuant to Section 2.2, and, in any event, within sixty (60) days following such vesting. Notwithstanding the foregoing, the Company may delay a distribution or payment in settlement of RSUs if it reasonably determines that such payment or distribution will violate Federal securities laws or any other Applicable Law,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distribution or payment shall be made at the earliest date at which the Company reasonably determines that the making of such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payment will not cause such violation, as required by Treasury Regulation Section 1.409A-2(b)(7)(ii),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payment or distribution shall be delayed under this Section 2.3(a) if such delay will result in a violation of Section 409A of the Code.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00"/>
          </w:cols>
          <w:pgMar w:left="240" w:top="270" w:right="259" w:bottom="1440" w:gutter="0" w:footer="0" w:header="0"/>
        </w:sectPr>
      </w:pPr>
    </w:p>
    <w:bookmarkStart w:id="109" w:name="page110"/>
    <w:bookmarkEnd w:id="109"/>
    <w:p>
      <w:pPr>
        <w:ind w:firstLine="921"/>
        <w:spacing w:after="0" w:line="281" w:lineRule="auto"/>
        <w:tabs>
          <w:tab w:leader="none" w:pos="116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Company elects to make 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65"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Conditions to Issuance of Certificates</w:t>
      </w:r>
      <w:r>
        <w:rPr>
          <w:rFonts w:ascii="Times New Roman" w:cs="Times New Roman" w:eastAsia="Times New Roman" w:hAnsi="Times New Roman"/>
          <w:sz w:val="18"/>
          <w:szCs w:val="18"/>
          <w:color w:val="auto"/>
        </w:rPr>
        <w:t>. The Company shall not be required to issue or deliver any certificate or certificates for any Shares prior to the fulfillment of all of the following conditions: (A) the admission of the Shares to listing on all stock exchanges on which such Shares are then listed,</w:t>
      </w:r>
    </w:p>
    <w:p>
      <w:pPr>
        <w:ind w:right="180" w:firstLine="8"/>
        <w:spacing w:after="0" w:line="250" w:lineRule="auto"/>
        <w:tabs>
          <w:tab w:leader="none" w:pos="2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w:t>
      </w:r>
    </w:p>
    <w:p>
      <w:pPr>
        <w:ind w:right="340" w:firstLine="8"/>
        <w:spacing w:after="0" w:line="261" w:lineRule="auto"/>
        <w:tabs>
          <w:tab w:leader="none" w:pos="2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approval or other clearance from any state or federal governmental agency that the Administrator shall, in its absolute discretion, determine to be necessary or advisable.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Notwithstanding any other provision of this Agreement:</w:t>
      </w:r>
    </w:p>
    <w:p>
      <w:pPr>
        <w:spacing w:after="0" w:line="225" w:lineRule="exact"/>
        <w:rPr>
          <w:sz w:val="20"/>
          <w:szCs w:val="20"/>
          <w:color w:val="auto"/>
        </w:rPr>
      </w:pPr>
    </w:p>
    <w:p>
      <w:pPr>
        <w:jc w:val="both"/>
        <w:ind w:firstLine="921"/>
        <w:spacing w:after="0" w:line="261" w:lineRule="auto"/>
        <w:tabs>
          <w:tab w:leader="none" w:pos="11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180" w:lineRule="exact"/>
        <w:rPr>
          <w:rFonts w:ascii="Times New Roman" w:cs="Times New Roman" w:eastAsia="Times New Roman" w:hAnsi="Times New Roman"/>
          <w:sz w:val="18"/>
          <w:szCs w:val="18"/>
          <w:color w:val="auto"/>
        </w:rPr>
      </w:pPr>
    </w:p>
    <w:p>
      <w:pPr>
        <w:ind w:left="1700" w:hanging="208"/>
        <w:spacing w:after="0"/>
        <w:tabs>
          <w:tab w:leader="none" w:pos="1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 made payable to the Company or the Subsidiary with respect to which the withholding obligation arises;</w:t>
      </w:r>
    </w:p>
    <w:p>
      <w:pPr>
        <w:spacing w:after="0" w:line="225" w:lineRule="exact"/>
        <w:rPr>
          <w:rFonts w:ascii="Times New Roman" w:cs="Times New Roman" w:eastAsia="Times New Roman" w:hAnsi="Times New Roman"/>
          <w:sz w:val="18"/>
          <w:szCs w:val="18"/>
          <w:color w:val="auto"/>
        </w:rPr>
      </w:pPr>
    </w:p>
    <w:p>
      <w:pPr>
        <w:ind w:left="1760" w:hanging="268"/>
        <w:spacing w:after="0"/>
        <w:tabs>
          <w:tab w:leader="none" w:pos="17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deduction of such amount from other compensation payable to Participant;</w:t>
      </w:r>
    </w:p>
    <w:p>
      <w:pPr>
        <w:spacing w:after="0" w:line="225" w:lineRule="exact"/>
        <w:rPr>
          <w:rFonts w:ascii="Times New Roman" w:cs="Times New Roman" w:eastAsia="Times New Roman" w:hAnsi="Times New Roman"/>
          <w:sz w:val="18"/>
          <w:szCs w:val="18"/>
          <w:color w:val="auto"/>
        </w:rPr>
      </w:pPr>
    </w:p>
    <w:p>
      <w:pPr>
        <w:ind w:right="100" w:firstLine="1492"/>
        <w:spacing w:after="0" w:line="261" w:lineRule="auto"/>
        <w:tabs>
          <w:tab w:leader="none" w:pos="179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distribution of the RSUs, with the consent of the Administrator, by requesting that the Company and its Subsidiaries withhold a net number of vested shares of Stock otherwise issuable pursuant to the RSUs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80" w:lineRule="exact"/>
        <w:rPr>
          <w:rFonts w:ascii="Times New Roman" w:cs="Times New Roman" w:eastAsia="Times New Roman" w:hAnsi="Times New Roman"/>
          <w:sz w:val="18"/>
          <w:szCs w:val="18"/>
          <w:color w:val="auto"/>
        </w:rPr>
      </w:pPr>
    </w:p>
    <w:p>
      <w:pPr>
        <w:ind w:right="100" w:firstLine="1492"/>
        <w:spacing w:after="0" w:line="261" w:lineRule="auto"/>
        <w:tabs>
          <w:tab w:leader="none" w:pos="178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distribution of the RSUs, with the consent of the Administrator, by tendering to the Company vested shares of Stock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80" w:lineRule="exact"/>
        <w:rPr>
          <w:rFonts w:ascii="Times New Roman" w:cs="Times New Roman" w:eastAsia="Times New Roman" w:hAnsi="Times New Roman"/>
          <w:sz w:val="18"/>
          <w:szCs w:val="18"/>
          <w:color w:val="auto"/>
        </w:rPr>
      </w:pPr>
    </w:p>
    <w:p>
      <w:pPr>
        <w:ind w:right="60" w:firstLine="1492"/>
        <w:spacing w:after="0" w:line="261" w:lineRule="auto"/>
        <w:tabs>
          <w:tab w:leader="none" w:pos="173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distribution of the RSUs, through the delivery of a notice that Participant has placed a market sell order with a broker acceptable to the Company with respect to shares of Stock then issuable to Participant pursuant to the RSUs, and that the broker has been directed to pay a sufficient portion of the net proceeds of the sale to the Company or the Subsidiary with respect to which the withholding obligation arises in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00"/>
          </w:cols>
          <w:pgMar w:left="240" w:top="270" w:right="259" w:bottom="1440" w:gutter="0" w:footer="0" w:header="0"/>
        </w:sectPr>
      </w:pPr>
    </w:p>
    <w:bookmarkStart w:id="110" w:name="page111"/>
    <w:bookmarkEnd w:id="110"/>
    <w:p>
      <w:pPr>
        <w:ind w:right="6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satisfaction of such withholding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60" w:lineRule="exact"/>
        <w:rPr>
          <w:sz w:val="20"/>
          <w:szCs w:val="20"/>
          <w:color w:val="auto"/>
        </w:rPr>
      </w:pPr>
    </w:p>
    <w:p>
      <w:pPr>
        <w:ind w:left="1800" w:hanging="308"/>
        <w:spacing w:after="0"/>
        <w:tabs>
          <w:tab w:leader="none" w:pos="18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combination of the foregoing.</w:t>
      </w:r>
    </w:p>
    <w:p>
      <w:pPr>
        <w:spacing w:after="0" w:line="225" w:lineRule="exact"/>
        <w:rPr>
          <w:rFonts w:ascii="Times New Roman" w:cs="Times New Roman" w:eastAsia="Times New Roman" w:hAnsi="Times New Roman"/>
          <w:sz w:val="18"/>
          <w:szCs w:val="18"/>
          <w:color w:val="auto"/>
        </w:rPr>
      </w:pPr>
    </w:p>
    <w:p>
      <w:pPr>
        <w:ind w:right="20" w:firstLine="921"/>
        <w:spacing w:after="0" w:line="255" w:lineRule="auto"/>
        <w:tabs>
          <w:tab w:leader="none" w:pos="11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RSUs,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of Stock issuable with respect to the RSUs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89" w:lineRule="exact"/>
        <w:rPr>
          <w:rFonts w:ascii="Times New Roman" w:cs="Times New Roman" w:eastAsia="Times New Roman" w:hAnsi="Times New Roman"/>
          <w:sz w:val="18"/>
          <w:szCs w:val="18"/>
          <w:color w:val="auto"/>
        </w:rPr>
      </w:pPr>
    </w:p>
    <w:p>
      <w:pPr>
        <w:ind w:firstLine="921"/>
        <w:spacing w:after="0" w:line="255" w:lineRule="auto"/>
        <w:tabs>
          <w:tab w:leader="none" w:pos="11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tax withholding obligation arising in connection with the RSUs will be satisfied under Section 2.5(a)(iii), then the Company may elect to instruct any brokerage firm determined acceptable to the Company for such purpose to sell on Participant’s behalf a whole number of shares from those shares of Stock then issuable to Participant pursuant to the RSUs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of Stock in settlement of the RSUs to Participant until the foregoing tax withholding obligations are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payment shall be delayed under this Section 2.5(c) if such delay will result in a violation of Section 409A of the Code.</w:t>
      </w:r>
    </w:p>
    <w:p>
      <w:pPr>
        <w:spacing w:after="0" w:line="185" w:lineRule="exact"/>
        <w:rPr>
          <w:rFonts w:ascii="Times New Roman" w:cs="Times New Roman" w:eastAsia="Times New Roman" w:hAnsi="Times New Roman"/>
          <w:sz w:val="18"/>
          <w:szCs w:val="18"/>
          <w:color w:val="auto"/>
        </w:rPr>
      </w:pPr>
    </w:p>
    <w:p>
      <w:pPr>
        <w:jc w:val="both"/>
        <w:ind w:right="120" w:firstLine="921"/>
        <w:spacing w:after="0" w:line="258" w:lineRule="auto"/>
        <w:tabs>
          <w:tab w:leader="none" w:pos="11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Participant’s tax liability.</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420"/>
          </w:cols>
          <w:pgMar w:left="240" w:top="268" w:right="239" w:bottom="1440" w:gutter="0" w:footer="0" w:header="0"/>
        </w:sectPr>
      </w:pPr>
    </w:p>
    <w:bookmarkStart w:id="111" w:name="page112"/>
    <w:bookmarkEnd w:id="11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8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RSUs Not Transferable</w:t>
      </w:r>
      <w:r>
        <w:rPr>
          <w:rFonts w:ascii="Times New Roman" w:cs="Times New Roman" w:eastAsia="Times New Roman" w:hAnsi="Times New Roman"/>
          <w:sz w:val="18"/>
          <w:szCs w:val="18"/>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88"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Section 12.2 of the Plan.</w:t>
      </w:r>
    </w:p>
    <w:p>
      <w:pPr>
        <w:spacing w:after="0" w:line="17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Applicable Law.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320"/>
          </w:cols>
          <w:pgMar w:left="240" w:top="266" w:right="339" w:bottom="1440" w:gutter="0" w:footer="0" w:header="0"/>
        </w:sectPr>
      </w:pPr>
    </w:p>
    <w:bookmarkStart w:id="112" w:name="page113"/>
    <w:bookmarkEnd w:id="112"/>
    <w:p>
      <w:pPr>
        <w:ind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3.8 </w:t>
      </w:r>
      <w:r>
        <w:rPr>
          <w:rFonts w:ascii="Times New Roman" w:cs="Times New Roman" w:eastAsia="Times New Roman" w:hAnsi="Times New Roman"/>
          <w:sz w:val="18"/>
          <w:szCs w:val="18"/>
          <w:u w:val="single" w:color="auto"/>
          <w:color w:val="auto"/>
        </w:rPr>
        <w:t>Amendment, Suspension and Termination</w:t>
      </w:r>
      <w:r>
        <w:rPr>
          <w:rFonts w:ascii="Times New Roman" w:cs="Times New Roman" w:eastAsia="Times New Roman" w:hAnsi="Times New Roman"/>
          <w:sz w:val="18"/>
          <w:szCs w:val="18"/>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80"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RSUs (including RSUs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8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360"/>
          </w:cols>
          <w:pgMar w:left="240" w:top="270" w:right="299" w:bottom="1440" w:gutter="0" w:footer="0" w:header="0"/>
        </w:sectPr>
      </w:pPr>
    </w:p>
    <w:bookmarkStart w:id="113" w:name="page114"/>
    <w:bookmarkEnd w:id="113"/>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3.15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 and Dividend Equivalents.</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any broker-assisted sale of shares of Stock in connection with the payment of withholding taxes as provided in Section 2.5(a)(iii) or Section 2.5(a)(v):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93" w:lineRule="exact"/>
        <w:rPr>
          <w:sz w:val="20"/>
          <w:szCs w:val="20"/>
          <w:color w:val="auto"/>
        </w:rPr>
      </w:pPr>
    </w:p>
    <w:p>
      <w:pPr>
        <w:ind w:left="5220"/>
        <w:spacing w:after="0"/>
        <w:tabs>
          <w:tab w:leader="none" w:pos="564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360"/>
          </w:cols>
          <w:pgMar w:left="240" w:top="270" w:right="2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EQUITY INCENTIVE AWARD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Allison Transmission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its 2015 Equity Incentive Award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holder listed below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 option to purchase the number of shares of Common Stock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set forth below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The Option is subject to the terms and conditions set forth in this Stock Option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xml:space="preserve">”) and the Stock Option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Plan, which are incorporated herein by reference. Unless otherwise defined herein, the terms defined in the Plan shall have the same defined meanings in the Grant Notice and the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ectPr>
          <w:pgSz w:w="11900" w:h="16838" w:orient="portrait"/>
          <w:cols w:equalWidth="0" w:num="1">
            <w:col w:w="11420"/>
          </w:cols>
          <w:pgMar w:left="240" w:top="117" w:right="23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sectPr>
          <w:pgSz w:w="11900" w:h="16838" w:orient="portrait"/>
          <w:cols w:equalWidth="0" w:num="2">
            <w:col w:w="2020" w:space="720"/>
            <w:col w:w="8680"/>
          </w:cols>
          <w:pgMar w:left="240" w:top="11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sectPr>
          <w:pgSz w:w="11900" w:h="16838" w:orient="portrait"/>
          <w:cols w:equalWidth="0" w:num="2">
            <w:col w:w="2020" w:space="720"/>
            <w:col w:w="8680"/>
          </w:cols>
          <w:pgMar w:left="240" w:top="11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Total Number of Shares 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7" w:lineRule="exact"/>
        <w:rPr>
          <w:sz w:val="20"/>
          <w:szCs w:val="20"/>
          <w:color w:val="auto"/>
        </w:rPr>
      </w:pPr>
    </w:p>
    <w:p>
      <w:pPr>
        <w:sectPr>
          <w:pgSz w:w="11900" w:h="16838" w:orient="portrait"/>
          <w:cols w:equalWidth="0" w:num="2">
            <w:col w:w="2740" w:space="720"/>
            <w:col w:w="7960"/>
          </w:cols>
          <w:pgMar w:left="240" w:top="11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to the Option: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Date:</w:t>
      </w:r>
    </w:p>
    <w:p>
      <w:pPr>
        <w:sectPr>
          <w:pgSz w:w="11900" w:h="16838" w:orient="portrait"/>
          <w:cols w:equalWidth="0" w:num="1">
            <w:col w:w="11420"/>
          </w:cols>
          <w:pgMar w:left="240" w:top="117" w:right="2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specified in individual agreements]</w:t>
      </w:r>
    </w:p>
    <w:p>
      <w:pPr>
        <w:spacing w:after="0" w:line="113" w:lineRule="exact"/>
        <w:rPr>
          <w:sz w:val="20"/>
          <w:szCs w:val="20"/>
          <w:color w:val="auto"/>
        </w:rPr>
      </w:pPr>
    </w:p>
    <w:p>
      <w:pPr>
        <w:sectPr>
          <w:pgSz w:w="11900" w:h="16838" w:orient="portrait"/>
          <w:cols w:equalWidth="0" w:num="2">
            <w:col w:w="2020" w:space="720"/>
            <w:col w:w="8680"/>
          </w:cols>
          <w:pgMar w:left="240" w:top="11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Non-Qualified Stock Option</w:t>
      </w:r>
    </w:p>
    <w:p>
      <w:pPr>
        <w:spacing w:after="0" w:line="200" w:lineRule="exact"/>
        <w:rPr>
          <w:sz w:val="20"/>
          <w:szCs w:val="20"/>
          <w:color w:val="auto"/>
        </w:rPr>
      </w:pPr>
    </w:p>
    <w:p>
      <w:pPr>
        <w:sectPr>
          <w:pgSz w:w="11900" w:h="16838" w:orient="portrait"/>
          <w:cols w:equalWidth="0" w:num="2">
            <w:col w:w="2020" w:space="720"/>
            <w:col w:w="8680"/>
          </w:cols>
          <w:pgMar w:left="240" w:top="117" w:right="239" w:bottom="1440" w:gutter="0" w:footer="0" w:header="0"/>
          <w:type w:val="continuous"/>
        </w:sectPr>
      </w:pPr>
    </w:p>
    <w:p>
      <w:pPr>
        <w:spacing w:after="0" w:line="2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tc>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4220" w:type="dxa"/>
            <w:vAlign w:val="bottom"/>
            <w:tcBorders>
              <w:top w:val="single" w:sz="8" w:color="auto"/>
              <w:bottom w:val="single" w:sz="8" w:color="auto"/>
            </w:tcBorders>
          </w:tcPr>
          <w:p>
            <w:pPr>
              <w:spacing w:after="0"/>
              <w:rPr>
                <w:sz w:val="19"/>
                <w:szCs w:val="19"/>
                <w:color w:val="auto"/>
              </w:rPr>
            </w:pPr>
          </w:p>
        </w:tc>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Print Name:</w:t>
            </w:r>
          </w:p>
        </w:tc>
        <w:tc>
          <w:tcPr>
            <w:tcW w:w="4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Borders>
              <w:bottom w:val="single" w:sz="8" w:color="auto"/>
            </w:tcBorders>
          </w:tcPr>
          <w:p>
            <w:pPr>
              <w:spacing w:after="0"/>
              <w:rPr>
                <w:sz w:val="19"/>
                <w:szCs w:val="19"/>
                <w:color w:val="auto"/>
              </w:rPr>
            </w:pPr>
          </w:p>
        </w:tc>
        <w:tc>
          <w:tcPr>
            <w:tcW w:w="6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type w:val="continuous"/>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STOCK OPTION GRANT NOTICE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9"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Pursuant to the Grant Notice to which this Agreement is attached, the Company has granted to Participant an Option under the Plan to purchase the number of shares of Stock set forth in the Grant Notice.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not specifically defined herein shall have the meanings specified in the Plan or the Grant Notice.</w:t>
      </w:r>
    </w:p>
    <w:p>
      <w:pPr>
        <w:spacing w:after="0" w:line="225"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Option is subject to the terms and conditions set forth in this Agreement and the Plan, which is incorporated herein by reference. In the event of any inconsistency between the Plan and this Agreement, the terms of the Plan shall control.</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 OF OPTION</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In consideration of Participant’s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the Company has granted to Participant the Option to purchase any part or all of an aggregate of the number of shares of Stock set forth in the Grant Notice, upon the terms and conditions set forth in the Grant Notice, the Plan and this Agreement, subject to adjustments as provided in Section 12.2 of the Plan.</w:t>
      </w:r>
    </w:p>
    <w:p>
      <w:pPr>
        <w:spacing w:after="0" w:line="180"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the shares of Stock subject to the Option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shall be as set forth in the Grant Notice.</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Consideration to the Company</w:t>
      </w:r>
      <w:r>
        <w:rPr>
          <w:rFonts w:ascii="Times New Roman" w:cs="Times New Roman" w:eastAsia="Times New Roman" w:hAnsi="Times New Roman"/>
          <w:sz w:val="18"/>
          <w:szCs w:val="18"/>
          <w:color w:val="auto"/>
        </w:rPr>
        <w:t>. In consideration of the grant of the Option by the Company, Participant agrees to render faithful and efficient services to the Company or any Subsidiary. Nothing in the Plan, the Grant Notice or this Agreement shall confer upon Participant any right to continue in the employ or service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PERIOD OF EXERCISABILITY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Commencement of Exercisability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80" w:firstLine="443"/>
        <w:spacing w:after="0" w:line="282" w:lineRule="auto"/>
        <w:tabs>
          <w:tab w:leader="none" w:pos="11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3.1(c), 3.2, 3.3, 5.9 and 5.14 hereof, the Option shall become vested and exercisable in such amounts and at such times as are set forth in the Grant Notice.</w:t>
      </w:r>
    </w:p>
    <w:p>
      <w:pPr>
        <w:sectPr>
          <w:pgSz w:w="11900" w:h="16838" w:orient="portrait"/>
          <w:cols w:equalWidth="0" w:num="1">
            <w:col w:w="11400"/>
          </w:cols>
          <w:pgMar w:left="240" w:top="266" w:right="259" w:bottom="1440" w:gutter="0" w:footer="0" w:header="0"/>
        </w:sectPr>
      </w:pPr>
    </w:p>
    <w:bookmarkStart w:id="116" w:name="page117"/>
    <w:bookmarkEnd w:id="116"/>
    <w:p>
      <w:pPr>
        <w:ind w:left="460" w:firstLine="443"/>
        <w:spacing w:after="0" w:line="266" w:lineRule="auto"/>
        <w:tabs>
          <w:tab w:leader="none" w:pos="115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3.1(c) below, 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and Participant.</w:t>
      </w:r>
    </w:p>
    <w:p>
      <w:pPr>
        <w:spacing w:after="0" w:line="68" w:lineRule="exact"/>
        <w:rPr>
          <w:rFonts w:ascii="Times New Roman" w:cs="Times New Roman" w:eastAsia="Times New Roman" w:hAnsi="Times New Roman"/>
          <w:sz w:val="18"/>
          <w:szCs w:val="18"/>
          <w:color w:val="auto"/>
        </w:rPr>
      </w:pPr>
    </w:p>
    <w:p>
      <w:pPr>
        <w:ind w:left="460" w:right="240" w:firstLine="443"/>
        <w:spacing w:after="0" w:line="258" w:lineRule="auto"/>
        <w:tabs>
          <w:tab w:leader="none" w:pos="11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contrary provision of this Agreement, in the event of Participant’s Termination of Service by the Company without Cause (as defined below) or due to Participant’s death or Disability, in each case, within twenty-four (24) months following a Change in Control, all unvested Options will vest in full; provided, however, that if Participant is a party to a written employment or change in control severance agreement with the Company (or its Subsidiary) that provides more favorable treatment for unvested Options in connection with a Change in Control, then the Options shall be treated as provided in the applicable written employment or change in control severance agreement.</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The Option may not be exercised to any extent by anyone after the first to occur of the following events:</w:t>
      </w:r>
    </w:p>
    <w:p>
      <w:pPr>
        <w:spacing w:after="0" w:line="117" w:lineRule="exact"/>
        <w:rPr>
          <w:sz w:val="20"/>
          <w:szCs w:val="20"/>
          <w:color w:val="auto"/>
        </w:rPr>
      </w:pPr>
    </w:p>
    <w:p>
      <w:pPr>
        <w:ind w:left="1140" w:hanging="237"/>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set forth in the Grant Notice;</w:t>
      </w:r>
    </w:p>
    <w:p>
      <w:pPr>
        <w:spacing w:after="0" w:line="117" w:lineRule="exact"/>
        <w:rPr>
          <w:rFonts w:ascii="Times New Roman" w:cs="Times New Roman" w:eastAsia="Times New Roman" w:hAnsi="Times New Roman"/>
          <w:sz w:val="18"/>
          <w:szCs w:val="18"/>
          <w:color w:val="auto"/>
        </w:rPr>
      </w:pPr>
    </w:p>
    <w:p>
      <w:pPr>
        <w:ind w:left="460" w:right="120" w:firstLine="443"/>
        <w:spacing w:after="0" w:line="282" w:lineRule="auto"/>
        <w:tabs>
          <w:tab w:leader="none" w:pos="11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in the event of Participant’s Termination of Service other than for Cause or by reason of Participant’s death or Disability, the expiration of three (3) months from the date of Participant’s Termination of Service;</w:t>
      </w:r>
    </w:p>
    <w:p>
      <w:pPr>
        <w:spacing w:after="0" w:line="53" w:lineRule="exact"/>
        <w:rPr>
          <w:rFonts w:ascii="Times New Roman" w:cs="Times New Roman" w:eastAsia="Times New Roman" w:hAnsi="Times New Roman"/>
          <w:sz w:val="18"/>
          <w:szCs w:val="18"/>
          <w:color w:val="auto"/>
        </w:rPr>
      </w:pPr>
    </w:p>
    <w:p>
      <w:pPr>
        <w:ind w:left="460" w:right="280" w:firstLine="443"/>
        <w:spacing w:after="0" w:line="282" w:lineRule="auto"/>
        <w:tabs>
          <w:tab w:leader="none" w:pos="11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one (1) year from the date of Participant’s Termination of Service by reason of Participant’s death or Disability; or</w:t>
      </w:r>
    </w:p>
    <w:p>
      <w:pPr>
        <w:spacing w:after="0" w:line="53"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upon Participant’s Termination of Service for Cause.</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mean (a) the Board’s determination that Participant failed to substantially perform his or her duties (other than any such failure resulting from Participant’s Disability); (b) the Board’s determination that Participant failed to carry out, or comply with any lawful and reasonable directive of the Board or Participant’s immediate supervisor; (c) Participant’s conviction, plea of no contest,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 (e) Participant’s commission of an act of fraud, embezzlement, misappropriation, misconduct, or breach of fiduciary duty against the Company of any of its Subsidiaries. Notwithstanding the foregoing, if Participant is a party to a written employment or change in control severance agreement with the Company (or its Subsidiary) that contains a definition of Cause, then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be as such term is defined in the applicable written employment or change in control severance agreement.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20"/>
          </w:cols>
          <w:pgMar w:left="240" w:top="270" w:right="239" w:bottom="1440" w:gutter="0" w:footer="0" w:header="0"/>
        </w:sectPr>
      </w:pPr>
    </w:p>
    <w:bookmarkStart w:id="117" w:name="page118"/>
    <w:bookmarkEnd w:id="1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Notwithstanding any other provision of this Agreement:</w:t>
      </w:r>
    </w:p>
    <w:p>
      <w:pPr>
        <w:spacing w:after="0" w:line="117" w:lineRule="exact"/>
        <w:rPr>
          <w:sz w:val="20"/>
          <w:szCs w:val="20"/>
          <w:color w:val="auto"/>
        </w:rPr>
      </w:pPr>
    </w:p>
    <w:p>
      <w:pPr>
        <w:ind w:left="440" w:right="20" w:firstLine="443"/>
        <w:spacing w:after="0" w:line="261" w:lineRule="auto"/>
        <w:tabs>
          <w:tab w:leader="none" w:pos="11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180" w:lineRule="exact"/>
        <w:rPr>
          <w:rFonts w:ascii="Times New Roman" w:cs="Times New Roman" w:eastAsia="Times New Roman" w:hAnsi="Times New Roman"/>
          <w:sz w:val="18"/>
          <w:szCs w:val="18"/>
          <w:color w:val="auto"/>
        </w:rPr>
      </w:pPr>
    </w:p>
    <w:p>
      <w:pPr>
        <w:ind w:left="1680" w:hanging="208"/>
        <w:spacing w:after="0"/>
        <w:tabs>
          <w:tab w:leader="none" w:pos="16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 made payable to the Company or the Subsidiary with respect to which the withholding obligation arises;</w:t>
      </w:r>
    </w:p>
    <w:p>
      <w:pPr>
        <w:spacing w:after="0" w:line="225" w:lineRule="exact"/>
        <w:rPr>
          <w:rFonts w:ascii="Times New Roman" w:cs="Times New Roman" w:eastAsia="Times New Roman" w:hAnsi="Times New Roman"/>
          <w:sz w:val="18"/>
          <w:szCs w:val="18"/>
          <w:color w:val="auto"/>
        </w:rPr>
      </w:pPr>
    </w:p>
    <w:p>
      <w:pPr>
        <w:ind w:left="1740" w:hanging="268"/>
        <w:spacing w:after="0"/>
        <w:tabs>
          <w:tab w:leader="none" w:pos="17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deduction of such amount from other compensation payable to Participant;</w:t>
      </w:r>
    </w:p>
    <w:p>
      <w:pPr>
        <w:spacing w:after="0" w:line="225" w:lineRule="exact"/>
        <w:rPr>
          <w:rFonts w:ascii="Times New Roman" w:cs="Times New Roman" w:eastAsia="Times New Roman" w:hAnsi="Times New Roman"/>
          <w:sz w:val="18"/>
          <w:szCs w:val="18"/>
          <w:color w:val="auto"/>
        </w:rPr>
      </w:pPr>
    </w:p>
    <w:p>
      <w:pPr>
        <w:ind w:left="-20" w:right="40" w:firstLine="1492"/>
        <w:spacing w:after="0" w:line="261" w:lineRule="auto"/>
        <w:tabs>
          <w:tab w:leader="none" w:pos="177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exercise of the Option, with the consent of the Administrator, by requesting that the Company withhold a net number of shares of Stock issuable upon the exercise of the Option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80" w:lineRule="exact"/>
        <w:rPr>
          <w:rFonts w:ascii="Times New Roman" w:cs="Times New Roman" w:eastAsia="Times New Roman" w:hAnsi="Times New Roman"/>
          <w:sz w:val="18"/>
          <w:szCs w:val="18"/>
          <w:color w:val="auto"/>
        </w:rPr>
      </w:pPr>
    </w:p>
    <w:p>
      <w:pPr>
        <w:ind w:left="-20" w:right="60" w:firstLine="1492"/>
        <w:spacing w:after="0" w:line="261" w:lineRule="auto"/>
        <w:tabs>
          <w:tab w:leader="none" w:pos="17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exercise of the Option, with the consent of the Administrator, by tendering to the Company shares of Stock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80" w:lineRule="exact"/>
        <w:rPr>
          <w:rFonts w:ascii="Times New Roman" w:cs="Times New Roman" w:eastAsia="Times New Roman" w:hAnsi="Times New Roman"/>
          <w:sz w:val="18"/>
          <w:szCs w:val="18"/>
          <w:color w:val="auto"/>
        </w:rPr>
      </w:pPr>
    </w:p>
    <w:p>
      <w:pPr>
        <w:ind w:left="-20" w:firstLine="1492"/>
        <w:spacing w:after="0" w:line="258" w:lineRule="auto"/>
        <w:tabs>
          <w:tab w:leader="none" w:pos="17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withholding taxes arising in connection with the exercise of the Option, through the delivery of a notice that Participant has placed a market sell order with a broker acceptable to the Company with respect to shares of Stock then issuable upon exercise of the Option, and 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83" w:lineRule="exact"/>
        <w:rPr>
          <w:rFonts w:ascii="Times New Roman" w:cs="Times New Roman" w:eastAsia="Times New Roman" w:hAnsi="Times New Roman"/>
          <w:sz w:val="18"/>
          <w:szCs w:val="18"/>
          <w:color w:val="auto"/>
        </w:rPr>
      </w:pPr>
    </w:p>
    <w:p>
      <w:pPr>
        <w:ind w:left="1780" w:hanging="308"/>
        <w:spacing w:after="0"/>
        <w:tabs>
          <w:tab w:leader="none" w:pos="17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combination of the foregoing.</w:t>
      </w:r>
    </w:p>
    <w:p>
      <w:pPr>
        <w:spacing w:after="0" w:line="117" w:lineRule="exact"/>
        <w:rPr>
          <w:rFonts w:ascii="Times New Roman" w:cs="Times New Roman" w:eastAsia="Times New Roman" w:hAnsi="Times New Roman"/>
          <w:sz w:val="18"/>
          <w:szCs w:val="18"/>
          <w:color w:val="auto"/>
        </w:rPr>
      </w:pPr>
    </w:p>
    <w:p>
      <w:pPr>
        <w:ind w:left="440" w:right="220" w:firstLine="443"/>
        <w:spacing w:after="0" w:line="255" w:lineRule="auto"/>
        <w:tabs>
          <w:tab w:leader="none" w:pos="11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Option, in the event Participant fails to provide timely payment of all sums required pursuant to Section 3.4(a), the Company shall have the right and option, but not the obligation, to treat such failure as an election by Participant to satisfy all or any portion of Participant’s required payment obligation pursuant to Section 3.4(a)(ii) or Section 3.4(a)(iii) above, or any combination of the foregoing as the Company may determine to be appropriate. The Company shall not be obligated to deliver any certificate representing shares of Stock issuable with respect to the exercise of the Option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Option or any other taxable event related to the Option.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00"/>
          </w:cols>
          <w:pgMar w:left="260" w:top="270" w:right="239" w:bottom="1440" w:gutter="0" w:footer="0" w:header="0"/>
        </w:sectPr>
      </w:pPr>
    </w:p>
    <w:bookmarkStart w:id="118" w:name="page119"/>
    <w:bookmarkEnd w:id="118"/>
    <w:p>
      <w:pPr>
        <w:ind w:left="460" w:firstLine="443"/>
        <w:spacing w:after="0" w:line="273" w:lineRule="auto"/>
        <w:tabs>
          <w:tab w:leader="none" w:pos="114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any tax withholding obligation arising in connection with the Option will be satisfied under Section 3.4(a)(iii) above, then the Company may elect to instruct any brokerage firm determined acceptable to the Company for such purpose to sell on Participant’s behalf a whole number of shares from those shares of Stock that are issuable upon exercise of the Option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3.4(c), including the transactions described in the previous sentence, as applicable. The Company may refuse to issue any shares of Stock to Participant until the foregoing tax withholding obligations are satisfied.</w:t>
      </w:r>
    </w:p>
    <w:p>
      <w:pPr>
        <w:spacing w:after="0" w:line="64" w:lineRule="exact"/>
        <w:rPr>
          <w:rFonts w:ascii="Times New Roman" w:cs="Times New Roman" w:eastAsia="Times New Roman" w:hAnsi="Times New Roman"/>
          <w:sz w:val="17"/>
          <w:szCs w:val="17"/>
          <w:color w:val="auto"/>
        </w:rPr>
      </w:pPr>
    </w:p>
    <w:p>
      <w:pPr>
        <w:ind w:left="460" w:right="60" w:firstLine="443"/>
        <w:spacing w:after="0" w:line="258" w:lineRule="auto"/>
        <w:tabs>
          <w:tab w:leader="none" w:pos="11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Stock. The Company and the Subsidiaries do not commit and are under no obligation to structure the Option to reduce or eliminate Participant’s tax liability.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22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Person Eligible to Exercise</w:t>
      </w:r>
      <w:r>
        <w:rPr>
          <w:rFonts w:ascii="Times New Roman" w:cs="Times New Roman" w:eastAsia="Times New Roman" w:hAnsi="Times New Roman"/>
          <w:sz w:val="18"/>
          <w:szCs w:val="18"/>
          <w:color w:val="auto"/>
        </w:rPr>
        <w:t>. During the lifetime of Participant, only Participant may exercise the Option or any portion thereof. After the death of Participant, any exercisable portion of the Option may, prior to the time when the Option becomes unexercisable under Section 3.3 hereof, be exercised by Participant’s personal representative or by any person empowered to do so under the deceased Participant’s will or under the then applicable laws of descent and distribution.</w:t>
      </w:r>
    </w:p>
    <w:p>
      <w:pPr>
        <w:spacing w:after="0" w:line="18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Subject to Section 5.2, any exercisable portion of the Option or the entire Option, if then wholly exercisable, may be exercised in whole or in part at any time prior to the time when the Option or portion thereof becomes unexercisable under Section 3.3 hereof.</w:t>
      </w:r>
    </w:p>
    <w:p>
      <w:pPr>
        <w:spacing w:after="0" w:line="162"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Subject to Section 5.8 of the Plan, the Option, or any exercisable portion thereof, may be exercised solely by delivery to the Secretary of the Company (or any third party administrator or other person or entity designated by the Company), during regular business hours, of all of the following prior to the time when the Option or such portion thereof becomes unexercisable under Section 3.3 hereof:</w:t>
      </w:r>
    </w:p>
    <w:p>
      <w:pPr>
        <w:spacing w:after="0" w:line="68" w:lineRule="exact"/>
        <w:rPr>
          <w:sz w:val="20"/>
          <w:szCs w:val="20"/>
          <w:color w:val="auto"/>
        </w:rPr>
      </w:pPr>
    </w:p>
    <w:p>
      <w:pPr>
        <w:ind w:left="460" w:right="620" w:firstLine="443"/>
        <w:spacing w:after="0" w:line="282" w:lineRule="auto"/>
        <w:tabs>
          <w:tab w:leader="none" w:pos="11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exercise notice in a form specified by the Administrator, stating that the Option or portion thereof is thereby exercised, such notice complying with all applicable rules established by the Administrator;</w:t>
      </w:r>
    </w:p>
    <w:p>
      <w:pPr>
        <w:spacing w:after="0" w:line="53" w:lineRule="exact"/>
        <w:rPr>
          <w:rFonts w:ascii="Times New Roman" w:cs="Times New Roman" w:eastAsia="Times New Roman" w:hAnsi="Times New Roman"/>
          <w:sz w:val="18"/>
          <w:szCs w:val="18"/>
          <w:color w:val="auto"/>
        </w:rPr>
      </w:pPr>
    </w:p>
    <w:p>
      <w:pPr>
        <w:ind w:left="460" w:right="180" w:firstLine="443"/>
        <w:spacing w:after="0" w:line="282" w:lineRule="auto"/>
        <w:tabs>
          <w:tab w:leader="none" w:pos="11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full payment for the shares of Stock with respect to which the Option or portion thereof is exercised, in such form of consideration permitted under Section 4.4 hereof that is acceptable to the Administrator;</w:t>
      </w:r>
    </w:p>
    <w:p>
      <w:pPr>
        <w:spacing w:after="0" w:line="53"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applicable withholding tax in accordance with Section 3.4;</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420"/>
          </w:cols>
          <w:pgMar w:left="240" w:top="270" w:right="239" w:bottom="1440" w:gutter="0" w:footer="0" w:header="0"/>
        </w:sectPr>
      </w:pPr>
    </w:p>
    <w:bookmarkStart w:id="119" w:name="page120"/>
    <w:bookmarkEnd w:id="119"/>
    <w:p>
      <w:pPr>
        <w:ind w:left="460" w:right="840" w:firstLine="443"/>
        <w:spacing w:after="0" w:line="282" w:lineRule="auto"/>
        <w:tabs>
          <w:tab w:leader="none" w:pos="115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written representations or documents as may be required in the Administrator’s sole discretion to effect compliance with Applicable Law; and</w:t>
      </w:r>
    </w:p>
    <w:p>
      <w:pPr>
        <w:spacing w:after="0" w:line="53" w:lineRule="exact"/>
        <w:rPr>
          <w:rFonts w:ascii="Times New Roman" w:cs="Times New Roman" w:eastAsia="Times New Roman" w:hAnsi="Times New Roman"/>
          <w:sz w:val="18"/>
          <w:szCs w:val="18"/>
          <w:color w:val="auto"/>
        </w:rPr>
      </w:pPr>
    </w:p>
    <w:p>
      <w:pPr>
        <w:ind w:left="460" w:right="280" w:firstLine="443"/>
        <w:spacing w:after="0" w:line="282" w:lineRule="auto"/>
        <w:tabs>
          <w:tab w:leader="none" w:pos="11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Option or portion thereof shall be exercised pursuant to Section 4.1 hereof by any person or persons other than Participant, appropriate proof of the right of such person or persons to exercise the Option.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exercise price shall be by any of the following, or a combination thereof, at the election of Participant:</w:t>
      </w:r>
    </w:p>
    <w:p>
      <w:pPr>
        <w:spacing w:after="0" w:line="117" w:lineRule="exact"/>
        <w:rPr>
          <w:sz w:val="20"/>
          <w:szCs w:val="20"/>
          <w:color w:val="auto"/>
        </w:rPr>
      </w:pPr>
    </w:p>
    <w:p>
      <w:pPr>
        <w:ind w:left="1140" w:hanging="237"/>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check;</w:t>
      </w:r>
    </w:p>
    <w:p>
      <w:pPr>
        <w:spacing w:after="0" w:line="117" w:lineRule="exact"/>
        <w:rPr>
          <w:rFonts w:ascii="Times New Roman" w:cs="Times New Roman" w:eastAsia="Times New Roman" w:hAnsi="Times New Roman"/>
          <w:sz w:val="18"/>
          <w:szCs w:val="18"/>
          <w:color w:val="auto"/>
        </w:rPr>
      </w:pPr>
    </w:p>
    <w:p>
      <w:pPr>
        <w:ind w:left="460" w:right="220" w:firstLine="443"/>
        <w:spacing w:after="0" w:line="289" w:lineRule="auto"/>
        <w:tabs>
          <w:tab w:leader="none" w:pos="115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determined by the Administrator, surrender of shares of Stock (including, without limitation, shares of Stock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w:t>
      </w:r>
    </w:p>
    <w:p>
      <w:pPr>
        <w:spacing w:after="0" w:line="50" w:lineRule="exact"/>
        <w:rPr>
          <w:rFonts w:ascii="Times New Roman" w:cs="Times New Roman" w:eastAsia="Times New Roman" w:hAnsi="Times New Roman"/>
          <w:sz w:val="17"/>
          <w:szCs w:val="17"/>
          <w:color w:val="auto"/>
        </w:rPr>
      </w:pPr>
    </w:p>
    <w:p>
      <w:pPr>
        <w:jc w:val="both"/>
        <w:ind w:left="460" w:right="20" w:firstLine="443"/>
        <w:spacing w:after="0" w:line="261" w:lineRule="auto"/>
        <w:tabs>
          <w:tab w:leader="none" w:pos="11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of a notice that Participant has placed a market sell order with a broker acceptable to the Company with respect to shares of Stock then issuable upon exercise of the Option, and that the broker has been directed to pay a sufficient portion of the net proceeds of the sale to the Company in satisfaction of the Option exercise price; provided that payment of such proceeds is then made to the Company at such time as may be required by the Administrator, but in any event not later than the settlement of such sale; or</w:t>
      </w:r>
    </w:p>
    <w:p>
      <w:pPr>
        <w:spacing w:after="0" w:line="7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of legal consideration acceptable to the Administrator.</w:t>
      </w:r>
    </w:p>
    <w:p>
      <w:pPr>
        <w:spacing w:after="0" w:line="225"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Conditions to Issuance of Stock</w:t>
      </w:r>
      <w:r>
        <w:rPr>
          <w:rFonts w:ascii="Times New Roman" w:cs="Times New Roman" w:eastAsia="Times New Roman" w:hAnsi="Times New Roman"/>
          <w:sz w:val="18"/>
          <w:szCs w:val="18"/>
          <w:color w:val="auto"/>
        </w:rPr>
        <w:t>. The Company shall not be required to issue or deliver any shares of Stock purchased upon the exercise of the Option or portion thereof prior to fulfillment of all of the following conditions: (A) the admission of such shares of Stock to listing on all stock exchanges on which such Stock is then listed, (B) the completion of any registration or other qualification of such shares of Stock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which the Administrator shall, in its absolute discretion, determine to be necessary or advisable, (D) the receipt by the Company of full payment for such shares of Stock, which may be in one or more of the forms of consideration permitted under Section 4.4 hereof, and (E) the receipt of full payment of any applicable withholding tax in accordance with Section 3.4 by the Company or its Subsidiary with respect to which the applicable withholding obligation arises.</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of Stock purchasable upon the exercise of any part of the Option unless and until certificates representing such shares of Stock (which may be in book-entry form) will have been issued and recorded on the records of the Company or its transfer agents or registrars and delivered to Participant (including through electronic delivery to a brokerage account). No adjustment will be made for a dividend or other right for which the record date is prior to the date of such issuance, recordation and delivery, except as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420"/>
          </w:cols>
          <w:pgMar w:left="240" w:top="270" w:right="239" w:bottom="1440" w:gutter="0" w:footer="0" w:header="0"/>
        </w:sectPr>
      </w:pPr>
    </w:p>
    <w:bookmarkStart w:id="120" w:name="page121"/>
    <w:bookmarkEnd w:id="120"/>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in Section 12.2 of the Plan. Except as otherwise provided herein, after such issuance, recordation and delivery, Participant will have all the rights of a stockholder of the Company with respect to such shares of Stock, including, without limitation, the right to receipt of dividends and distributions on such shares.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Whole Shares</w:t>
      </w:r>
      <w:r>
        <w:rPr>
          <w:rFonts w:ascii="Times New Roman" w:cs="Times New Roman" w:eastAsia="Times New Roman" w:hAnsi="Times New Roman"/>
          <w:sz w:val="18"/>
          <w:szCs w:val="18"/>
          <w:color w:val="auto"/>
        </w:rPr>
        <w:t>. The Option may only be exercised for whole shares of Stock.</w:t>
      </w:r>
    </w:p>
    <w:p>
      <w:pPr>
        <w:spacing w:after="0" w:line="22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Option Not Transferable</w:t>
      </w:r>
      <w:r>
        <w:rPr>
          <w:rFonts w:ascii="Times New Roman" w:cs="Times New Roman" w:eastAsia="Times New Roman" w:hAnsi="Times New Roman"/>
          <w:sz w:val="18"/>
          <w:szCs w:val="18"/>
          <w:color w:val="auto"/>
        </w:rPr>
        <w:t>. Subject to Section 4.1 hereof, the Option may not be sold, pledged, assigned or transferred in any manner other than by will or the laws of descent and distribution, unless and until the shares of Stock underlying the Option have been issued, and all restrictions applicable to such shares of Stock have lapsed. Neither the Option nor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Administrator may accelerate the vesting of all or a portion of the Option in such circumstances as it, in its sole discretion, may determine. In addition, upon the occurrence of certain events relating to the Stock contemplated by Section 12.2 of the Plan (including, without limitation, an extraordinary cash dividend on such Stock), the Administrator shall make such adjustments as the Administrator deems appropriate in the number of shares of Stock subject to the Option, the exercise price of the Option and the kind of securities that may be issued upon exercise of the Option. Participant acknowledges that the Option is subject to adjustment, modification and termination in certain events as provided in this Agreement and Section 12.2 of the Plan.</w:t>
      </w:r>
    </w:p>
    <w:p>
      <w:pPr>
        <w:spacing w:after="0" w:line="188"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5.5, either party may hereafter designate a different address for notices to be given to that party. Any notice which is required to be given to Participant shall, if Participant is then deceased, be given to the person entitled to exercise the Option pursuant to Section 4.1 hereof by written notice under this Section 5.5.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420"/>
          </w:cols>
          <w:pgMar w:left="240" w:top="270" w:right="239"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5.6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6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Option is granted and may be exercised, only in such a manner as to conform to Applicable Law. To the extent permitted by Applicable Law, the Plan and this Agreement shall be deemed amended to the extent necessary to conform to Applicable Law.</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Amendment, Suspension and Termination</w:t>
      </w:r>
      <w:r>
        <w:rPr>
          <w:rFonts w:ascii="Times New Roman" w:cs="Times New Roman" w:eastAsia="Times New Roman" w:hAnsi="Times New Roman"/>
          <w:sz w:val="18"/>
          <w:szCs w:val="18"/>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may otherwise be provided by the Plan, no amendment, modification, suspension or termination of this Agreement shall adversely affect the Option in any material way without the prior written consent of Participant.</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shall inure to the benefit of the successors and assigns of the Company. Subject to the restrictions on transfer set forth in Section 5.3 and the Plan, this Agreement shall be binding upon and inure to the benefit of the heirs, legatees, legal representatives, successors and assigns of the parties hereto.</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Option,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4"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However,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380"/>
          </w:cols>
          <w:pgMar w:left="240" w:top="270" w:right="279" w:bottom="1440" w:gutter="0" w:footer="0" w:header="0"/>
        </w:sectPr>
      </w:pPr>
    </w:p>
    <w:bookmarkStart w:id="122" w:name="page123"/>
    <w:bookmarkEnd w:id="122"/>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84"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76"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Option, and rights no greater than the right to receive the Stock as a general unsecured creditor with respect to options, as and when exercised pursuant to the terms hereof.</w:t>
      </w:r>
    </w:p>
    <w:p>
      <w:pPr>
        <w:spacing w:after="0" w:line="184"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any broker-assisted sale of shares of Stock in connection with the payment of withholding taxes as provided in Section 3.4(a)(v) or Section 3.4(c) or the payment of the exercise price as provided in Section 4.4(c): (A) any shares of Stock to be sold through a broker-assisted sale will be sold on the day the tax withholding obligation or exercise of the Option, as applicable, occurs or arises, or as soon thereafter as practicable; (B) such shares of Stock may be sold as part of a block trade with other participants in the Plan in which all participants receive an average price;</w:t>
      </w:r>
    </w:p>
    <w:p>
      <w:pPr>
        <w:spacing w:after="0" w:line="3" w:lineRule="exact"/>
        <w:rPr>
          <w:sz w:val="20"/>
          <w:szCs w:val="20"/>
          <w:color w:val="auto"/>
        </w:rPr>
      </w:pPr>
    </w:p>
    <w:p>
      <w:pPr>
        <w:ind w:right="40" w:firstLine="8"/>
        <w:spacing w:after="0" w:line="252" w:lineRule="auto"/>
        <w:tabs>
          <w:tab w:leader="none" w:pos="2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or exercise price,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Participant agrees to pay immediately upon demand to the Company or its Subsidiary with respect to which the withholding obligation arises, an amount sufficient to satisfy any remaining portion of the Company’s or the applicable Subsidiary’s withholding obligation.</w:t>
      </w:r>
    </w:p>
    <w:p>
      <w:pPr>
        <w:spacing w:after="0" w:line="189" w:lineRule="exact"/>
        <w:rPr>
          <w:sz w:val="20"/>
          <w:szCs w:val="20"/>
          <w:color w:val="auto"/>
        </w:rPr>
      </w:pPr>
    </w:p>
    <w:p>
      <w:pPr>
        <w:ind w:left="5220"/>
        <w:spacing w:after="0"/>
        <w:tabs>
          <w:tab w:leader="none" w:pos="564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360"/>
          </w:cols>
          <w:pgMar w:left="240" w:top="270" w:right="29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07" w:lineRule="exact"/>
        <w:rPr>
          <w:sz w:val="20"/>
          <w:szCs w:val="20"/>
          <w:color w:val="auto"/>
        </w:rPr>
      </w:pPr>
    </w:p>
    <w:p>
      <w:pPr>
        <w:ind w:right="60" w:firstLine="464"/>
        <w:spacing w:after="0" w:line="258" w:lineRule="auto"/>
        <w:tabs>
          <w:tab w:leader="none" w:pos="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This Second Amended and Restated Non-Employee Director Compensation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as set forth herein, amends and restates that certain Amended and Restated Non-Employee Director Compensation Policy, previously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Allison Transmission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shall be effective as of the date the Allison Transmission Holdings, Inc. 2015 Equity Incentive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approved by the Company’s shareholders in 2015. Capitalized but undefined terms used herein shall have the meanings provided for in the Plan.</w:t>
      </w:r>
    </w:p>
    <w:p>
      <w:pPr>
        <w:spacing w:after="0" w:line="183" w:lineRule="exact"/>
        <w:rPr>
          <w:rFonts w:ascii="Times New Roman" w:cs="Times New Roman" w:eastAsia="Times New Roman" w:hAnsi="Times New Roman"/>
          <w:sz w:val="18"/>
          <w:szCs w:val="18"/>
          <w:color w:val="auto"/>
        </w:rPr>
      </w:pPr>
    </w:p>
    <w:p>
      <w:pPr>
        <w:ind w:right="20" w:firstLine="464"/>
        <w:spacing w:after="0" w:line="282" w:lineRule="auto"/>
        <w:tabs>
          <w:tab w:leader="none" w:pos="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Retainer and Other Fees</w:t>
      </w:r>
      <w:r>
        <w:rPr>
          <w:rFonts w:ascii="Times New Roman" w:cs="Times New Roman" w:eastAsia="Times New Roman" w:hAnsi="Times New Roman"/>
          <w:sz w:val="18"/>
          <w:szCs w:val="18"/>
          <w:color w:val="auto"/>
        </w:rPr>
        <w:t>. Each member of the Board who is not or has not been employed by the Company or one of its subsidiaries (a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shall be entitled to an annual retainer and other fee(s) as follows:</w:t>
      </w:r>
    </w:p>
    <w:p>
      <w:pPr>
        <w:spacing w:after="0" w:line="161" w:lineRule="exact"/>
        <w:rPr>
          <w:rFonts w:ascii="Times New Roman" w:cs="Times New Roman" w:eastAsia="Times New Roman" w:hAnsi="Times New Roman"/>
          <w:sz w:val="18"/>
          <w:szCs w:val="18"/>
          <w:color w:val="auto"/>
        </w:rPr>
      </w:pPr>
    </w:p>
    <w:p>
      <w:pPr>
        <w:jc w:val="both"/>
        <w:ind w:right="140" w:firstLine="921"/>
        <w:spacing w:after="0" w:line="261" w:lineRule="auto"/>
        <w:tabs>
          <w:tab w:leader="none" w:pos="108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retainer fee for service on the Board shall be $75,000 (such amount shall also be referred to as, the “</w:t>
      </w:r>
      <w:r>
        <w:rPr>
          <w:rFonts w:ascii="Times New Roman" w:cs="Times New Roman" w:eastAsia="Times New Roman" w:hAnsi="Times New Roman"/>
          <w:sz w:val="18"/>
          <w:szCs w:val="18"/>
          <w:u w:val="single" w:color="auto"/>
          <w:color w:val="auto"/>
        </w:rPr>
        <w:t>Annual Retainer</w:t>
      </w:r>
      <w:r>
        <w:rPr>
          <w:rFonts w:ascii="Times New Roman" w:cs="Times New Roman" w:eastAsia="Times New Roman" w:hAnsi="Times New Roman"/>
          <w:sz w:val="18"/>
          <w:szCs w:val="18"/>
          <w:color w:val="auto"/>
        </w:rPr>
        <w:t xml:space="preserve">”), with the Annual Retainer payable at the Non-Employee Director’s election </w:t>
      </w:r>
      <w:r>
        <w:rPr>
          <w:rFonts w:ascii="Times New Roman" w:cs="Times New Roman" w:eastAsia="Times New Roman" w:hAnsi="Times New Roman"/>
          <w:sz w:val="18"/>
          <w:szCs w:val="18"/>
          <w:i w:val="1"/>
          <w:iCs w:val="1"/>
          <w:color w:val="auto"/>
        </w:rPr>
        <w:t>either</w:t>
      </w:r>
      <w:r>
        <w:rPr>
          <w:rFonts w:ascii="Times New Roman" w:cs="Times New Roman" w:eastAsia="Times New Roman" w:hAnsi="Times New Roman"/>
          <w:sz w:val="18"/>
          <w:szCs w:val="18"/>
          <w:color w:val="auto"/>
        </w:rPr>
        <w:t xml:space="preserve"> 100% in fully vested Common Stock granted under the Plan (valued based on the Fair Market Value of the Common Stock on the date of grant), 100% in cash,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50% in fully vested Common Stock granted under the Plan and 50% in cash (if no election is made, the Annual Retainer will be paid 100% in cash);</w:t>
      </w:r>
    </w:p>
    <w:p>
      <w:pPr>
        <w:spacing w:after="0" w:line="180"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retainer fee for service as Chair of the Audit Committee shall be an additional $20,000, payable in cash (the “</w:t>
      </w:r>
      <w:r>
        <w:rPr>
          <w:rFonts w:ascii="Times New Roman" w:cs="Times New Roman" w:eastAsia="Times New Roman" w:hAnsi="Times New Roman"/>
          <w:sz w:val="18"/>
          <w:szCs w:val="18"/>
          <w:u w:val="single" w:color="auto"/>
          <w:color w:val="auto"/>
        </w:rPr>
        <w:t>Audit Chair Fee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20" w:firstLine="921"/>
        <w:spacing w:after="0" w:line="282" w:lineRule="auto"/>
        <w:tabs>
          <w:tab w:leader="none" w:pos="108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retainer fee for service as a Chair of a committee of the Board (other than the Audit Committee) shall be an additional $10,000, payable in cash (the “</w:t>
      </w:r>
      <w:r>
        <w:rPr>
          <w:rFonts w:ascii="Times New Roman" w:cs="Times New Roman" w:eastAsia="Times New Roman" w:hAnsi="Times New Roman"/>
          <w:sz w:val="18"/>
          <w:szCs w:val="18"/>
          <w:u w:val="single" w:color="auto"/>
          <w:color w:val="auto"/>
        </w:rPr>
        <w:t>Other Chair Fee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40" w:firstLine="921"/>
        <w:spacing w:after="0" w:line="282" w:lineRule="auto"/>
        <w:tabs>
          <w:tab w:leader="none" w:pos="109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retainer fee for service as a Non-Employee Director on the Audit Committee or the Government Security Committee shall be an additional $10,000, payable in cash (the “Audit and </w:t>
      </w:r>
      <w:r>
        <w:rPr>
          <w:rFonts w:ascii="Times New Roman" w:cs="Times New Roman" w:eastAsia="Times New Roman" w:hAnsi="Times New Roman"/>
          <w:sz w:val="18"/>
          <w:szCs w:val="18"/>
          <w:u w:val="single" w:color="auto"/>
          <w:color w:val="auto"/>
        </w:rPr>
        <w:t>Government Security Committee Service Fee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60" w:firstLine="921"/>
        <w:spacing w:after="0" w:line="282" w:lineRule="auto"/>
        <w:tabs>
          <w:tab w:leader="none" w:pos="108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retainer fee for service on a committee of the Board other than the Audit or Government Security Committee shall be an additional $5,000, payable in cash (the “</w:t>
      </w:r>
      <w:r>
        <w:rPr>
          <w:rFonts w:ascii="Times New Roman" w:cs="Times New Roman" w:eastAsia="Times New Roman" w:hAnsi="Times New Roman"/>
          <w:sz w:val="18"/>
          <w:szCs w:val="18"/>
          <w:u w:val="single" w:color="auto"/>
          <w:color w:val="auto"/>
        </w:rPr>
        <w:t>Other Committee Service Fee</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right="200" w:firstLine="921"/>
        <w:spacing w:after="0" w:line="282" w:lineRule="auto"/>
        <w:tabs>
          <w:tab w:leader="none" w:pos="106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leadership fee for service as the Non-Executive Chairman of the Board shall be an additional $75,000, payable in cash (the “Non-Executive Chairman Fee”); and</w:t>
      </w:r>
    </w:p>
    <w:p>
      <w:pPr>
        <w:spacing w:after="0" w:line="161" w:lineRule="exact"/>
        <w:rPr>
          <w:rFonts w:ascii="Times New Roman" w:cs="Times New Roman" w:eastAsia="Times New Roman" w:hAnsi="Times New Roman"/>
          <w:sz w:val="18"/>
          <w:szCs w:val="18"/>
          <w:color w:val="auto"/>
        </w:rPr>
      </w:pPr>
    </w:p>
    <w:p>
      <w:pPr>
        <w:ind w:right="200" w:firstLine="921"/>
        <w:spacing w:after="0" w:line="282" w:lineRule="auto"/>
        <w:tabs>
          <w:tab w:leader="none" w:pos="109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leadership fee for service as the Lead Director of the Board shall be an additional $25,000 (the “Lead Director Fee,” and together with the fees in clauses (b) through (f), the “</w:t>
      </w: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7" w:right="239" w:bottom="1440" w:gutter="0" w:footer="0" w:header="0"/>
        </w:sectPr>
      </w:pPr>
    </w:p>
    <w:bookmarkStart w:id="124" w:name="page125"/>
    <w:bookmarkEnd w:id="124"/>
    <w:p>
      <w:pPr>
        <w:ind w:right="600"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event shall a Non-Employee Director receive a fee pursuant to clause (d) or (e) with respect to a committee that the Non-Employee Director serves as its Chair for the applicable year.</w:t>
      </w:r>
    </w:p>
    <w:p>
      <w:pPr>
        <w:spacing w:after="0" w:line="162" w:lineRule="exact"/>
        <w:rPr>
          <w:sz w:val="20"/>
          <w:szCs w:val="20"/>
          <w:color w:val="auto"/>
        </w:rPr>
      </w:pPr>
    </w:p>
    <w:p>
      <w:pPr>
        <w:jc w:val="both"/>
        <w:ind w:right="20" w:firstLine="464"/>
        <w:spacing w:after="0" w:line="258" w:lineRule="auto"/>
        <w:tabs>
          <w:tab w:leader="none" w:pos="6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Payment of Annual Retainer and Other Fees</w:t>
      </w:r>
      <w:r>
        <w:rPr>
          <w:rFonts w:ascii="Times New Roman" w:cs="Times New Roman" w:eastAsia="Times New Roman" w:hAnsi="Times New Roman"/>
          <w:sz w:val="18"/>
          <w:szCs w:val="18"/>
          <w:color w:val="auto"/>
        </w:rPr>
        <w:t>. The Annual Retainer and Other Fees payable hereunder are intended to cover service from one regular annual shareholders meeting to the next and, unless a deferral election is made as provided below, the Annual Retainer and Other Fees shall be paid quarterly in arrears in equal installments following the date of the Company’s annual shareholders meeting, without any requirement of additional Board action in connection therewith. The Annual Retainer and Other Fees shall be subject to the Non-Employee Director’s continued service on the Board on each applicable payment date.</w:t>
      </w:r>
    </w:p>
    <w:p>
      <w:pPr>
        <w:spacing w:after="0" w:line="183" w:lineRule="exact"/>
        <w:rPr>
          <w:rFonts w:ascii="Times New Roman" w:cs="Times New Roman" w:eastAsia="Times New Roman" w:hAnsi="Times New Roman"/>
          <w:sz w:val="18"/>
          <w:szCs w:val="18"/>
          <w:color w:val="auto"/>
        </w:rPr>
      </w:pPr>
    </w:p>
    <w:p>
      <w:pPr>
        <w:ind w:right="60" w:firstLine="464"/>
        <w:spacing w:after="0" w:line="254" w:lineRule="auto"/>
        <w:tabs>
          <w:tab w:leader="none" w:pos="6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Equity Award</w:t>
      </w:r>
      <w:r>
        <w:rPr>
          <w:rFonts w:ascii="Times New Roman" w:cs="Times New Roman" w:eastAsia="Times New Roman" w:hAnsi="Times New Roman"/>
          <w:sz w:val="18"/>
          <w:szCs w:val="18"/>
          <w:color w:val="auto"/>
        </w:rPr>
        <w:t>. Each Non-Employee Director shall be entitled to an annual grant of Restricted Stock Units under the Plan covering shares of Common Stock with a grant date Fair Market Value of $100,000 (the “</w:t>
      </w:r>
      <w:r>
        <w:rPr>
          <w:rFonts w:ascii="Times New Roman" w:cs="Times New Roman" w:eastAsia="Times New Roman" w:hAnsi="Times New Roman"/>
          <w:sz w:val="18"/>
          <w:szCs w:val="18"/>
          <w:u w:val="single" w:color="auto"/>
          <w:color w:val="auto"/>
        </w:rPr>
        <w:t>Annual Equity Award</w:t>
      </w:r>
      <w:r>
        <w:rPr>
          <w:rFonts w:ascii="Times New Roman" w:cs="Times New Roman" w:eastAsia="Times New Roman" w:hAnsi="Times New Roman"/>
          <w:sz w:val="18"/>
          <w:szCs w:val="18"/>
          <w:color w:val="auto"/>
        </w:rPr>
        <w:t>”). The Annual Equity Award shall be granted as of the next business day after the date of the Company’s annual shareholders meeting, without any requirement of additional Board action in connection therewith, and will vest on the first to occur of (A) date of the Company’s next regular annual shareholders meeting in the year following the year of grant, (B) the date of the Non-Employee Director’s Separation from Service due to death or Disability, or (C) the date of a Change in Control, subject to continued service as a Non-Employee Director through the applicable vesting date. Any Annual Equity Award that does not vest on or prior to the date of the Non-Employee Director’s Separation from Service shall be immediately forfeited. The Restricted Stock Units shall be granted pursuant and subject to the terms set forth in the written agreement previously approved by the Board and duly executed by an executive officer of the Company. Unless a deferral election is made as provided below, the Restricted Stock Units will be distributed in actual shares of Common Stock, or, at the Company’s election, cash, in either case promptly (within 30 days) upon vesting.</w:t>
      </w:r>
    </w:p>
    <w:p>
      <w:pPr>
        <w:spacing w:after="0" w:line="186" w:lineRule="exact"/>
        <w:rPr>
          <w:rFonts w:ascii="Times New Roman" w:cs="Times New Roman" w:eastAsia="Times New Roman" w:hAnsi="Times New Roman"/>
          <w:sz w:val="18"/>
          <w:szCs w:val="18"/>
          <w:color w:val="auto"/>
        </w:rPr>
      </w:pPr>
    </w:p>
    <w:p>
      <w:pPr>
        <w:ind w:firstLine="464"/>
        <w:spacing w:after="0" w:line="253" w:lineRule="auto"/>
        <w:tabs>
          <w:tab w:leader="none" w:pos="6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Elections</w:t>
      </w:r>
      <w:r>
        <w:rPr>
          <w:rFonts w:ascii="Times New Roman" w:cs="Times New Roman" w:eastAsia="Times New Roman" w:hAnsi="Times New Roman"/>
          <w:sz w:val="18"/>
          <w:szCs w:val="18"/>
          <w:color w:val="auto"/>
        </w:rPr>
        <w:t>. A Non-Employee Director may elect to receive deferred stock units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in lieu of (a) some or all of the fully vested stock awards constituting his or her Annual Retainer, (b) all of the cash constituting his or her Other Fees and (iii) some or all of the Restricted Stock Units constituting his or her Annual Equity Award. Any such Deferred Stock that relates to an Annual Equity Award shall be subject to the same vesting provisions as described in Section 4 above and will be immediately forfeited to the extent the Deferred Stock does not vest in accordance with such provisions. If the Non-Employee Director elects to receive Deferred Stock, the units will be credited to a bookkeeping account under the Company’s Non-Employee Director Deferred Compensation Plan, where each unit will be equivalent in value to one share of Common Stock, and the units will be distributed in actual shares of Common Stock, or at the Company’s election, cash, at the earlier of the Non-Employee Director’s Separation from Service on the Board or a Change in Control, as described more fully in and in each case subject to the terms and conditions of the Company’s Non-Employee Director Deferred Compensation Plan (the “</w:t>
      </w:r>
      <w:r>
        <w:rPr>
          <w:rFonts w:ascii="Times New Roman" w:cs="Times New Roman" w:eastAsia="Times New Roman" w:hAnsi="Times New Roman"/>
          <w:sz w:val="18"/>
          <w:szCs w:val="18"/>
          <w:u w:val="single" w:color="auto"/>
          <w:color w:val="auto"/>
        </w:rPr>
        <w:t>Director Deferred Compensation Plan</w:t>
      </w:r>
      <w:r>
        <w:rPr>
          <w:rFonts w:ascii="Times New Roman" w:cs="Times New Roman" w:eastAsia="Times New Roman" w:hAnsi="Times New Roman"/>
          <w:sz w:val="18"/>
          <w:szCs w:val="18"/>
          <w:color w:val="auto"/>
        </w:rPr>
        <w:t>”). All deferral elections must be made in accordance with and are subject to the terms and conditions of the Director Deferred Compensation Plan. As used in this paragraph and in paragraph 5(i), the terms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have meanings assigned to them in the Director Deferred Compensation Plan.</w:t>
      </w:r>
    </w:p>
    <w:p>
      <w:pPr>
        <w:sectPr>
          <w:pgSz w:w="11900" w:h="16838" w:orient="portrait"/>
          <w:cols w:equalWidth="0" w:num="1">
            <w:col w:w="11380"/>
          </w:cols>
          <w:pgMar w:left="240" w:top="270" w:right="279" w:bottom="1440" w:gutter="0" w:footer="0" w:header="0"/>
        </w:sectPr>
      </w:pPr>
    </w:p>
    <w:bookmarkStart w:id="125" w:name="page126"/>
    <w:bookmarkEnd w:id="125"/>
    <w:p>
      <w:pPr>
        <w:ind w:left="-464" w:firstLine="464"/>
        <w:spacing w:after="0" w:line="256" w:lineRule="auto"/>
        <w:tabs>
          <w:tab w:leader="none" w:pos="1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Commencing Service After the Annual Shareholders Meeting; Partial Year Roles</w:t>
      </w:r>
      <w:r>
        <w:rPr>
          <w:rFonts w:ascii="Times New Roman" w:cs="Times New Roman" w:eastAsia="Times New Roman" w:hAnsi="Times New Roman"/>
          <w:sz w:val="18"/>
          <w:szCs w:val="18"/>
          <w:color w:val="auto"/>
        </w:rPr>
        <w:t>. If a Non-Employee Director commences service on the Board after the date of the Company’s regular annual shareholders meeting, the Non-Employee Director will receive a prorated portion the Annual Retainer, Other Fees, as applicable, and the Annual Equity Grant (based on the numbers of whole months elapsed since the most recent regular annual shareholders meeting). If a Non-Employee Director commences service on a committee of the Board, as the Non-Executive Chairman or as the Lead Director the Board in the middle of a service period, the Board may pro-rate any Other Fees otherwise payable with respect to such service and the payment date shall be within thirty days of such appointment, subject to any deferral elections.</w:t>
      </w:r>
    </w:p>
    <w:p>
      <w:pPr>
        <w:spacing w:after="0" w:line="187" w:lineRule="exact"/>
        <w:rPr>
          <w:rFonts w:ascii="Times New Roman" w:cs="Times New Roman" w:eastAsia="Times New Roman" w:hAnsi="Times New Roman"/>
          <w:sz w:val="18"/>
          <w:szCs w:val="18"/>
          <w:color w:val="auto"/>
        </w:rPr>
      </w:pPr>
    </w:p>
    <w:p>
      <w:pPr>
        <w:ind w:left="-464" w:right="180" w:firstLine="464"/>
        <w:spacing w:after="0" w:line="282" w:lineRule="auto"/>
        <w:tabs>
          <w:tab w:leader="none" w:pos="1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Other Plan Provisions</w:t>
      </w:r>
      <w:r>
        <w:rPr>
          <w:rFonts w:ascii="Times New Roman" w:cs="Times New Roman" w:eastAsia="Times New Roman" w:hAnsi="Times New Roman"/>
          <w:sz w:val="18"/>
          <w:szCs w:val="18"/>
          <w:color w:val="auto"/>
        </w:rPr>
        <w:t>. All of the provisions of the Plan shall apply to the Awards granted automatically pursuant to this Policy, except to the extent such provisions are inconsistent with this Policy.</w:t>
      </w:r>
    </w:p>
    <w:p>
      <w:pPr>
        <w:spacing w:after="0" w:line="161" w:lineRule="exact"/>
        <w:rPr>
          <w:rFonts w:ascii="Times New Roman" w:cs="Times New Roman" w:eastAsia="Times New Roman" w:hAnsi="Times New Roman"/>
          <w:sz w:val="18"/>
          <w:szCs w:val="18"/>
          <w:color w:val="auto"/>
        </w:rPr>
      </w:pPr>
    </w:p>
    <w:p>
      <w:pPr>
        <w:jc w:val="both"/>
        <w:ind w:left="-464" w:right="20" w:firstLine="464"/>
        <w:spacing w:after="0" w:line="266" w:lineRule="auto"/>
        <w:tabs>
          <w:tab w:leader="none" w:pos="1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Policy Subject to Amendment, Modification and Termination</w:t>
      </w:r>
      <w:r>
        <w:rPr>
          <w:rFonts w:ascii="Times New Roman" w:cs="Times New Roman" w:eastAsia="Times New Roman" w:hAnsi="Times New Roman"/>
          <w:sz w:val="18"/>
          <w:szCs w:val="18"/>
          <w:color w:val="auto"/>
        </w:rPr>
        <w:t>. This Policy may be amended, modified or terminated by the Board in the future at its sole discretion. Without limiting the generality of the foregoing, the Board hereby expressly reserves the authority to terminate this Policy during any year up and until the election of directors at a given annual meeting of stockholders.</w:t>
      </w:r>
    </w:p>
    <w:p>
      <w:pPr>
        <w:spacing w:after="0" w:line="176" w:lineRule="exact"/>
        <w:rPr>
          <w:rFonts w:ascii="Times New Roman" w:cs="Times New Roman" w:eastAsia="Times New Roman" w:hAnsi="Times New Roman"/>
          <w:sz w:val="18"/>
          <w:szCs w:val="18"/>
          <w:color w:val="auto"/>
        </w:rPr>
      </w:pPr>
    </w:p>
    <w:p>
      <w:pPr>
        <w:ind w:left="465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ectPr>
          <w:pgSz w:w="11900" w:h="16838" w:orient="portrait"/>
          <w:cols w:equalWidth="0" w:num="1">
            <w:col w:w="10896"/>
          </w:cols>
          <w:pgMar w:left="704" w:top="270" w:right="29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98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0" w:type="dxa"/>
            <w:vAlign w:val="bottom"/>
          </w:tcPr>
          <w:p>
            <w:pPr>
              <w:spacing w:after="0"/>
              <w:rPr>
                <w:sz w:val="1"/>
                <w:szCs w:val="1"/>
                <w:color w:val="auto"/>
              </w:rPr>
            </w:pPr>
          </w:p>
        </w:tc>
      </w:tr>
      <w:tr>
        <w:trPr>
          <w:trHeight w:val="367"/>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7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Country of</w:t>
            </w:r>
          </w:p>
        </w:tc>
        <w:tc>
          <w:tcPr>
            <w:tcW w:w="0" w:type="dxa"/>
            <w:vAlign w:val="bottom"/>
          </w:tcPr>
          <w:p>
            <w:pPr>
              <w:spacing w:after="0"/>
              <w:rPr>
                <w:sz w:val="1"/>
                <w:szCs w:val="1"/>
                <w:color w:val="auto"/>
              </w:rPr>
            </w:pPr>
          </w:p>
        </w:tc>
      </w:tr>
      <w:tr>
        <w:trPr>
          <w:trHeight w:val="167"/>
        </w:trPr>
        <w:tc>
          <w:tcPr>
            <w:tcW w:w="3440" w:type="dxa"/>
            <w:vAlign w:val="bottom"/>
            <w:tcBorders>
              <w:bottom w:val="single" w:sz="8" w:color="auto"/>
            </w:tcBorders>
            <w:gridSpan w:val="2"/>
            <w:vMerge w:val="continue"/>
          </w:tcPr>
          <w:p>
            <w:pPr>
              <w:spacing w:after="0"/>
              <w:rPr>
                <w:sz w:val="14"/>
                <w:szCs w:val="14"/>
                <w:color w:val="auto"/>
              </w:rPr>
            </w:pPr>
          </w:p>
        </w:tc>
        <w:tc>
          <w:tcPr>
            <w:tcW w:w="6780" w:type="dxa"/>
            <w:vAlign w:val="bottom"/>
          </w:tcPr>
          <w:p>
            <w:pPr>
              <w:spacing w:after="0"/>
              <w:rPr>
                <w:sz w:val="14"/>
                <w:szCs w:val="14"/>
                <w:color w:val="auto"/>
              </w:rPr>
            </w:pPr>
          </w:p>
        </w:tc>
        <w:tc>
          <w:tcPr>
            <w:tcW w:w="12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311"/>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Allison Transmission, Inc.</w:t>
            </w:r>
          </w:p>
        </w:tc>
        <w:tc>
          <w:tcPr>
            <w:tcW w:w="67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333-180285 and 333-204224) and on Form S-3 (No. 333-187903) of Allison Transmission Holdings, Inc. of our report dated February 19, 2016 relating to the financial statements, financial statement schedule and the effectiveness of internal control over financial reporting, which appears in this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2016</w:t>
      </w:r>
    </w:p>
    <w:p>
      <w:pPr>
        <w:sectPr>
          <w:pgSz w:w="11900" w:h="16838" w:orient="portrait"/>
          <w:cols w:equalWidth="0" w:num="1">
            <w:col w:w="11420"/>
          </w:cols>
          <w:pgMar w:left="240" w:top="123"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26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E. Dewey, certify that:</w:t>
      </w:r>
    </w:p>
    <w:p>
      <w:pPr>
        <w:spacing w:after="0" w:line="131"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Allison Transmission Holdings,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jc w:val="both"/>
        <w:ind w:left="900" w:right="340" w:hanging="446"/>
        <w:spacing w:after="0" w:line="266"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19,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Dewey</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7980"/>
        <w:spacing w:after="0"/>
        <w:tabs>
          <w:tab w:leader="none" w:pos="24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9" w:lineRule="exact"/>
        <w:rPr>
          <w:sz w:val="20"/>
          <w:szCs w:val="20"/>
          <w:color w:val="auto"/>
        </w:rPr>
      </w:pPr>
    </w:p>
    <w:p>
      <w:pPr>
        <w:jc w:val="center"/>
        <w:ind w:right="80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26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131"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Allison Transmission Holdings,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jc w:val="both"/>
        <w:ind w:left="900" w:right="340" w:hanging="446"/>
        <w:spacing w:after="0" w:line="266" w:lineRule="auto"/>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19,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both"/>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President, Chief Financial Officer and</w:t>
      </w:r>
    </w:p>
    <w:p>
      <w:pPr>
        <w:spacing w:after="0" w:line="9" w:lineRule="exact"/>
        <w:rPr>
          <w:sz w:val="20"/>
          <w:szCs w:val="20"/>
          <w:color w:val="auto"/>
        </w:rPr>
      </w:pPr>
    </w:p>
    <w:p>
      <w:pPr>
        <w:jc w:val="right"/>
        <w:ind w:right="7980"/>
        <w:spacing w:after="0"/>
        <w:rPr>
          <w:sz w:val="20"/>
          <w:szCs w:val="20"/>
          <w:color w:val="auto"/>
        </w:rPr>
      </w:pPr>
      <w:r>
        <w:rPr>
          <w:rFonts w:ascii="Times New Roman" w:cs="Times New Roman" w:eastAsia="Times New Roman" w:hAnsi="Times New Roman"/>
          <w:sz w:val="18"/>
          <w:szCs w:val="18"/>
          <w:color w:val="auto"/>
        </w:rPr>
        <w:t>Treasurer (Principal Financial Officer)</w:t>
      </w:r>
    </w:p>
    <w:p>
      <w:pPr>
        <w:sectPr>
          <w:pgSz w:w="11900" w:h="16838" w:orient="portrait"/>
          <w:cols w:equalWidth="0" w:num="1">
            <w:col w:w="11420"/>
          </w:cols>
          <w:pgMar w:left="240" w:top="117" w:right="2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Allison Transmission Holdings, Inc. (the “Company”) on Form 10-K for the fiscal year ended December 31, 2015 as filed with the Securities and Exchange Commission on the date hereof (the “Report”), we, Lawrence E. Dewey, Chairman and Chief Executive Officer of the Company, and David S. Graziosi, President, Chief Financial Officer and Treasurer of the Company, certify, pursuant to 18 U.S.C. §1350 as adopted pursuant to §906 of the Sarbanes-Oxley Act of 2002, that:</w:t>
      </w:r>
    </w:p>
    <w:p>
      <w:pPr>
        <w:spacing w:after="0" w:line="86"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19, 2016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Dewey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19, 2016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7"/>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lowerRoman"/>
      <w:start w:val="1"/>
    </w:lvl>
  </w:abstractNum>
  <w:abstractNum w:abstractNumId="14">
    <w:nsid w:val="836C40E"/>
    <w:multiLevelType w:val="hybridMultilevel"/>
    <w:lvl w:ilvl="0">
      <w:lvlJc w:val="left"/>
      <w:lvlText w:val="1"/>
      <w:numFmt w:val="bullet"/>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1"/>
    </w:lvl>
    <w:lvl w:ilvl="1">
      <w:lvlJc w:val="left"/>
      <w:lvlText w:val="(%2)"/>
      <w:numFmt w:val="lowerRoman"/>
      <w:start w:val="1"/>
    </w:lvl>
  </w:abstractNum>
  <w:abstractNum w:abstractNumId="18">
    <w:nsid w:val="1E7FF521"/>
    <w:multiLevelType w:val="hybridMultilevel"/>
    <w:lvl w:ilvl="0">
      <w:lvlJc w:val="left"/>
      <w:lvlText w:val="(%1)"/>
      <w:numFmt w:val="upperLetter"/>
      <w:start w:val="3"/>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2"/>
    </w:lvl>
  </w:abstractNum>
  <w:abstractNum w:abstractNumId="23">
    <w:nsid w:val="4516DDE9"/>
    <w:multiLevelType w:val="hybridMultilevel"/>
    <w:lvl w:ilvl="0">
      <w:lvlJc w:val="left"/>
      <w:lvlText w:val="(%1)"/>
      <w:numFmt w:val="upperLetter"/>
      <w:start w:val="2"/>
    </w:lvl>
  </w:abstractNum>
  <w:abstractNum w:abstractNumId="24">
    <w:nsid w:val="3006C83E"/>
    <w:multiLevelType w:val="hybridMultilevel"/>
    <w:lvl w:ilvl="0">
      <w:lvlJc w:val="left"/>
      <w:lvlText w:val="(%1)"/>
      <w:numFmt w:val="lowerLetter"/>
      <w:start w:val="1"/>
    </w:lvl>
    <w:lvl w:ilvl="1">
      <w:lvlJc w:val="left"/>
      <w:lvlText w:val="(%2)"/>
      <w:numFmt w:val="lowerRoman"/>
      <w:start w:val="1"/>
    </w:lvl>
  </w:abstractNum>
  <w:abstractNum w:abstractNumId="25">
    <w:nsid w:val="614FD4A1"/>
    <w:multiLevelType w:val="hybridMultilevel"/>
    <w:lvl w:ilvl="0">
      <w:lvlJc w:val="left"/>
      <w:lvlText w:val="%1"/>
      <w:numFmt w:val="lowerLetter"/>
      <w:start w:val="1"/>
    </w:lvl>
    <w:lvl w:ilvl="1">
      <w:lvlJc w:val="left"/>
      <w:lvlText w:val="(%2)"/>
      <w:numFmt w:val="lowerRoman"/>
      <w:start w:val="6"/>
    </w:lvl>
  </w:abstractNum>
  <w:abstractNum w:abstractNumId="26">
    <w:nsid w:val="419AC241"/>
    <w:multiLevelType w:val="hybridMultilevel"/>
    <w:lvl w:ilvl="0">
      <w:lvlJc w:val="left"/>
      <w:lvlText w:val="(%1)"/>
      <w:numFmt w:val="lowerLetter"/>
      <w:start w:val="2"/>
    </w:lvl>
    <w:lvl w:ilvl="1">
      <w:lvlJc w:val="left"/>
      <w:lvlText w:val="%2"/>
      <w:numFmt w:val="lowerRoman"/>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2"/>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lowerLetter"/>
      <w:start w:val="1"/>
    </w:lvl>
    <w:lvl w:ilvl="1">
      <w:lvlJc w:val="left"/>
      <w:lvlText w:val="(%2)"/>
      <w:numFmt w:val="lowerRoman"/>
      <w:start w:val="1"/>
    </w:lvl>
  </w:abstractNum>
  <w:abstractNum w:abstractNumId="31">
    <w:nsid w:val="77465F01"/>
    <w:multiLevelType w:val="hybridMultilevel"/>
    <w:lvl w:ilvl="0">
      <w:lvlJc w:val="left"/>
      <w:lvlText w:val="(%1)"/>
      <w:numFmt w:val="lowerLetter"/>
      <w:start w:val="3"/>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4"/>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upperLetter"/>
      <w:start w:val="3"/>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3"/>
    </w:lvl>
  </w:abstractNum>
  <w:abstractNum w:abstractNumId="38">
    <w:nsid w:val="580BD78F"/>
    <w:multiLevelType w:val="hybridMultilevel"/>
    <w:lvl w:ilvl="0">
      <w:lvlJc w:val="left"/>
      <w:lvlText w:val="%1."/>
      <w:numFmt w:val="decimal"/>
      <w:start w:val="6"/>
    </w:lvl>
    <w:lvl w:ilvl="1">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2019-12-29T13:02:17Z</dcterms:created>
  <dcterms:modified xsi:type="dcterms:W3CDTF">2019-12-29T13:02:17Z</dcterms:modified>
</cp:coreProperties>
</file>