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UNITED STATES</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3"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38"/>
          <w:szCs w:val="38"/>
          <w:b w:val="1"/>
          <w:bCs w:val="1"/>
          <w:color w:val="auto"/>
        </w:rPr>
        <w:t>ALLISON TRANSMISSION HOLDINGS, INC.</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45720</wp:posOffset>
            </wp:positionV>
            <wp:extent cx="147637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6375"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426" w:type="dxa"/>
        <w:tblCellMar>
          <w:top w:w="0" w:type="dxa"/>
          <w:left w:w="0" w:type="dxa"/>
          <w:bottom w:w="0" w:type="dxa"/>
          <w:right w:w="0" w:type="dxa"/>
        </w:tblCellMar>
      </w:tblPr>
      <w:tr>
        <w:trPr>
          <w:trHeight w:val="208"/>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9"/>
              </w:rPr>
              <w:t>Delaware</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(State or Other Jurisdiction of Incorporation or</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6"/>
              </w:rPr>
              <w:t>(I.R.S. Employer</w:t>
            </w:r>
          </w:p>
        </w:tc>
      </w:tr>
      <w:tr>
        <w:trPr>
          <w:trHeight w:val="177"/>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7"/>
              </w:rPr>
              <w:t>Organization)</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5"/>
              </w:rPr>
              <w:t>Identification Number)</w:t>
            </w:r>
          </w:p>
        </w:tc>
      </w:tr>
      <w:tr>
        <w:trPr>
          <w:trHeight w:val="245"/>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6"/>
              </w:rPr>
              <w:t>One Allison Way</w:t>
            </w:r>
          </w:p>
        </w:tc>
        <w:tc>
          <w:tcPr>
            <w:tcW w:w="1580" w:type="dxa"/>
            <w:vAlign w:val="bottom"/>
          </w:tcPr>
          <w:p>
            <w:pPr>
              <w:spacing w:after="0"/>
              <w:rPr>
                <w:sz w:val="21"/>
                <w:szCs w:val="21"/>
                <w:color w:val="auto"/>
              </w:rPr>
            </w:pPr>
          </w:p>
        </w:tc>
      </w:tr>
      <w:tr>
        <w:trPr>
          <w:trHeight w:val="376"/>
        </w:trPr>
        <w:tc>
          <w:tcPr>
            <w:tcW w:w="6100" w:type="dxa"/>
            <w:vAlign w:val="bottom"/>
          </w:tcPr>
          <w:p>
            <w:pPr>
              <w:ind w:left="800"/>
              <w:spacing w:after="0"/>
              <w:rPr>
                <w:sz w:val="20"/>
                <w:szCs w:val="20"/>
                <w:color w:val="auto"/>
              </w:rPr>
            </w:pPr>
            <w:r>
              <w:rPr>
                <w:rFonts w:ascii="Arial" w:cs="Arial" w:eastAsia="Arial" w:hAnsi="Arial"/>
                <w:sz w:val="16"/>
                <w:szCs w:val="16"/>
                <w:b w:val="1"/>
                <w:bCs w:val="1"/>
                <w:color w:val="auto"/>
              </w:rPr>
              <w:t>Indianapolis, IN</w:t>
            </w: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5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7"/>
        </w:trPr>
        <w:tc>
          <w:tcPr>
            <w:tcW w:w="6100" w:type="dxa"/>
            <w:vAlign w:val="bottom"/>
          </w:tcPr>
          <w:p>
            <w:pPr>
              <w:jc w:val="right"/>
              <w:ind w:right="1290"/>
              <w:spacing w:after="0"/>
              <w:rPr>
                <w:sz w:val="20"/>
                <w:szCs w:val="20"/>
                <w:color w:val="auto"/>
              </w:rPr>
            </w:pPr>
            <w:r>
              <w:rPr>
                <w:rFonts w:ascii="Arial" w:cs="Arial" w:eastAsia="Arial" w:hAnsi="Arial"/>
                <w:sz w:val="16"/>
                <w:szCs w:val="16"/>
                <w:b w:val="1"/>
                <w:bCs w:val="1"/>
                <w:color w:val="auto"/>
              </w:rPr>
              <w:t>(317) 242-5000</w:t>
            </w:r>
          </w:p>
        </w:tc>
        <w:tc>
          <w:tcPr>
            <w:tcW w:w="1580" w:type="dxa"/>
            <w:vAlign w:val="bottom"/>
          </w:tcPr>
          <w:p>
            <w:pPr>
              <w:spacing w:after="0"/>
              <w:rPr>
                <w:sz w:val="22"/>
                <w:szCs w:val="22"/>
                <w:color w:val="auto"/>
              </w:rPr>
            </w:pPr>
          </w:p>
        </w:tc>
      </w:tr>
      <w:tr>
        <w:trPr>
          <w:trHeight w:val="178"/>
        </w:trPr>
        <w:tc>
          <w:tcPr>
            <w:tcW w:w="6100" w:type="dxa"/>
            <w:vAlign w:val="bottom"/>
          </w:tcPr>
          <w:p>
            <w:pPr>
              <w:jc w:val="center"/>
              <w:ind w:left="223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580" w:type="dxa"/>
            <w:vAlign w:val="bottom"/>
          </w:tcPr>
          <w:p>
            <w:pPr>
              <w:spacing w:after="0"/>
              <w:rPr>
                <w:sz w:val="15"/>
                <w:szCs w:val="15"/>
                <w:color w:val="auto"/>
              </w:rPr>
            </w:pPr>
          </w:p>
        </w:tc>
      </w:tr>
    </w:tbl>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19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37"/>
        </w:trPr>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Title of Each Class</w:t>
            </w:r>
          </w:p>
        </w:tc>
        <w:tc>
          <w:tcPr>
            <w:tcW w:w="80" w:type="dxa"/>
            <w:vAlign w:val="bottom"/>
          </w:tcPr>
          <w:p>
            <w:pPr>
              <w:spacing w:after="0"/>
              <w:rPr>
                <w:sz w:val="11"/>
                <w:szCs w:val="11"/>
                <w:color w:val="auto"/>
              </w:rPr>
            </w:pPr>
          </w:p>
        </w:tc>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Trading Symbol(s)</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on which Registered</w:t>
            </w:r>
          </w:p>
        </w:tc>
      </w:tr>
      <w:tr>
        <w:trPr>
          <w:trHeight w:val="226"/>
        </w:trPr>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New York Stock Exchange</w:t>
            </w:r>
          </w:p>
        </w:tc>
      </w:tr>
    </w:tbl>
    <w:p>
      <w:pPr>
        <w:spacing w:after="0" w:line="35" w:lineRule="exact"/>
        <w:rPr>
          <w:sz w:val="24"/>
          <w:szCs w:val="24"/>
          <w:color w:val="auto"/>
        </w:rPr>
      </w:pPr>
    </w:p>
    <w:p>
      <w:pPr>
        <w:ind w:left="6" w:right="320" w:firstLine="50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6" w:right="380" w:firstLine="500"/>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300" w:firstLine="5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6" w:right="40" w:firstLine="50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06" w:right="164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15, 2021, there were 109,544,816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398780</wp:posOffset>
            </wp:positionV>
            <wp:extent cx="717550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6"/>
          </w:cols>
          <w:pgMar w:left="314" w:top="233"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6"/>
                <w:szCs w:val="16"/>
                <w:b w:val="1"/>
                <w:bCs w:val="1"/>
                <w:color w:val="auto"/>
              </w:rPr>
              <w:t>INDEX</w:t>
            </w:r>
          </w:p>
        </w:tc>
      </w:tr>
      <w:tr>
        <w:trPr>
          <w:trHeight w:val="682"/>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Borders>
              <w:bottom w:val="single" w:sz="8" w:color="0000EE"/>
            </w:tcBorders>
            <w:gridSpan w:val="9"/>
          </w:tcPr>
          <w:p>
            <w:pPr>
              <w:jc w:val="center"/>
              <w:spacing w:after="0"/>
              <w:rPr>
                <w:rFonts w:ascii="Arial" w:cs="Arial" w:eastAsia="Arial" w:hAnsi="Arial"/>
                <w:sz w:val="16"/>
                <w:szCs w:val="16"/>
                <w:b w:val="1"/>
                <w:bCs w:val="1"/>
                <w:color w:val="0000EE"/>
                <w:w w:val="97"/>
              </w:rPr>
            </w:pPr>
            <w:hyperlink w:anchor="page3">
              <w:r>
                <w:rPr>
                  <w:rFonts w:ascii="Arial" w:cs="Arial" w:eastAsia="Arial" w:hAnsi="Arial"/>
                  <w:sz w:val="16"/>
                  <w:szCs w:val="16"/>
                  <w:b w:val="1"/>
                  <w:bCs w:val="1"/>
                  <w:color w:val="0000EE"/>
                  <w:w w:val="97"/>
                </w:rPr>
                <w:t>PART I. FINANCIAL INFORMATION</w:t>
              </w:r>
            </w:hyperlink>
          </w:p>
        </w:tc>
        <w:tc>
          <w:tcPr>
            <w:tcW w:w="200" w:type="dxa"/>
            <w:vAlign w:val="bottom"/>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616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6"/>
                <w:szCs w:val="16"/>
                <w:color w:val="0000EE"/>
                <w:w w:val="97"/>
              </w:rPr>
            </w:pPr>
            <w:hyperlink w:anchor="page3">
              <w:r>
                <w:rPr>
                  <w:rFonts w:ascii="Arial" w:cs="Arial" w:eastAsia="Arial" w:hAnsi="Arial"/>
                  <w:sz w:val="16"/>
                  <w:szCs w:val="16"/>
                  <w:color w:val="0000EE"/>
                  <w:w w:val="97"/>
                </w:rPr>
                <w:t>Condensed Consolidated Balance Sheets</w:t>
              </w:r>
            </w:hyperlink>
          </w:p>
        </w:tc>
        <w:tc>
          <w:tcPr>
            <w:tcW w:w="3260" w:type="dxa"/>
            <w:vAlign w:val="bottom"/>
            <w:gridSpan w:val="11"/>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w:t>
              </w:r>
            </w:hyperlink>
          </w:p>
        </w:tc>
      </w:tr>
      <w:tr>
        <w:trPr>
          <w:trHeight w:val="403"/>
        </w:trPr>
        <w:tc>
          <w:tcPr>
            <w:tcW w:w="920" w:type="dxa"/>
            <w:vAlign w:val="bottom"/>
          </w:tcPr>
          <w:p>
            <w:pPr>
              <w:spacing w:after="0"/>
              <w:rPr>
                <w:sz w:val="24"/>
                <w:szCs w:val="24"/>
                <w:color w:val="auto"/>
              </w:rPr>
            </w:pPr>
          </w:p>
        </w:tc>
        <w:tc>
          <w:tcPr>
            <w:tcW w:w="4460" w:type="dxa"/>
            <w:vAlign w:val="bottom"/>
            <w:tcBorders>
              <w:top w:val="single" w:sz="8" w:color="0000EE"/>
            </w:tcBorders>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1700" w:type="dxa"/>
            <w:vAlign w:val="bottom"/>
            <w:gridSpan w:val="3"/>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38"/>
        </w:trPr>
        <w:tc>
          <w:tcPr>
            <w:tcW w:w="92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Condensed Consolidated Statements of Stockholders’ Equity</w:t>
              </w:r>
            </w:hyperlink>
          </w:p>
        </w:tc>
        <w:tc>
          <w:tcPr>
            <w:tcW w:w="1920" w:type="dxa"/>
            <w:vAlign w:val="bottom"/>
            <w:gridSpan w:val="4"/>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6"/>
                <w:szCs w:val="16"/>
                <w:color w:val="0000EE"/>
                <w:w w:val="97"/>
              </w:rPr>
            </w:pPr>
            <w:hyperlink w:anchor="page7">
              <w:r>
                <w:rPr>
                  <w:rFonts w:ascii="Arial" w:cs="Arial" w:eastAsia="Arial" w:hAnsi="Arial"/>
                  <w:sz w:val="16"/>
                  <w:szCs w:val="16"/>
                  <w:color w:val="0000EE"/>
                  <w:w w:val="97"/>
                </w:rPr>
                <w:t>Notes to Condensed Consolidated Financial Statements</w:t>
              </w:r>
            </w:hyperlink>
          </w:p>
        </w:tc>
        <w:tc>
          <w:tcPr>
            <w:tcW w:w="2260" w:type="dxa"/>
            <w:vAlign w:val="bottom"/>
            <w:gridSpan w:val="7"/>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tcBorders>
              <w:bottom w:val="single" w:sz="8" w:color="0000EE"/>
            </w:tcBorders>
            <w:gridSpan w:val="18"/>
          </w:tcPr>
          <w:p>
            <w:pPr>
              <w:spacing w:after="0"/>
              <w:rPr>
                <w:rFonts w:ascii="Arial" w:cs="Arial" w:eastAsia="Arial" w:hAnsi="Arial"/>
                <w:sz w:val="16"/>
                <w:szCs w:val="16"/>
                <w:color w:val="0000EE"/>
                <w:w w:val="97"/>
              </w:rPr>
            </w:pPr>
            <w:hyperlink w:anchor="page22">
              <w:r>
                <w:rPr>
                  <w:rFonts w:ascii="Arial" w:cs="Arial" w:eastAsia="Arial" w:hAnsi="Arial"/>
                  <w:sz w:val="16"/>
                  <w:szCs w:val="16"/>
                  <w:color w:val="0000EE"/>
                  <w:w w:val="97"/>
                </w:rPr>
                <w:t>Management’s Discussion and Analysis of Financial Condition and Results of Operations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4100" w:type="dxa"/>
            <w:vAlign w:val="bottom"/>
            <w:tcBorders>
              <w:bottom w:val="single" w:sz="8" w:color="0000EE"/>
            </w:tcBorders>
            <w:gridSpan w:val="12"/>
          </w:tcPr>
          <w:p>
            <w:pPr>
              <w:spacing w:after="0"/>
              <w:rPr>
                <w:rFonts w:ascii="Arial" w:cs="Arial" w:eastAsia="Arial" w:hAnsi="Arial"/>
                <w:sz w:val="16"/>
                <w:szCs w:val="16"/>
                <w:color w:val="0000EE"/>
                <w:w w:val="97"/>
              </w:rPr>
            </w:pPr>
            <w:hyperlink w:anchor="page33">
              <w:r>
                <w:rPr>
                  <w:rFonts w:ascii="Arial" w:cs="Arial" w:eastAsia="Arial" w:hAnsi="Arial"/>
                  <w:sz w:val="16"/>
                  <w:szCs w:val="16"/>
                  <w:color w:val="0000EE"/>
                  <w:w w:val="97"/>
                </w:rPr>
                <w:t>Quantitative and Qualitative Disclosures About Market Risk</w:t>
              </w:r>
            </w:hyperlink>
          </w:p>
        </w:tc>
        <w:tc>
          <w:tcPr>
            <w:tcW w:w="2060" w:type="dxa"/>
            <w:vAlign w:val="bottom"/>
            <w:gridSpan w:val="6"/>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6160" w:type="dxa"/>
            <w:vAlign w:val="bottom"/>
            <w:gridSpan w:val="1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Controls and Procedures</w:t>
              </w:r>
            </w:hyperlink>
          </w:p>
        </w:tc>
      </w:tr>
      <w:tr>
        <w:trPr>
          <w:trHeight w:val="367"/>
        </w:trPr>
        <w:tc>
          <w:tcPr>
            <w:tcW w:w="9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9"/>
          </w:tcPr>
          <w:p>
            <w:pPr>
              <w:jc w:val="center"/>
              <w:ind w:right="340"/>
              <w:spacing w:after="0"/>
              <w:rPr>
                <w:rFonts w:ascii="Arial" w:cs="Arial" w:eastAsia="Arial" w:hAnsi="Arial"/>
                <w:sz w:val="16"/>
                <w:szCs w:val="16"/>
                <w:b w:val="1"/>
                <w:bCs w:val="1"/>
                <w:color w:val="0000EE"/>
                <w:w w:val="96"/>
              </w:rPr>
            </w:pPr>
            <w:hyperlink w:anchor="page35">
              <w:r>
                <w:rPr>
                  <w:rFonts w:ascii="Arial" w:cs="Arial" w:eastAsia="Arial" w:hAnsi="Arial"/>
                  <w:sz w:val="16"/>
                  <w:szCs w:val="16"/>
                  <w:b w:val="1"/>
                  <w:bCs w:val="1"/>
                  <w:color w:val="0000EE"/>
                  <w:w w:val="96"/>
                </w:rPr>
                <w:t>PART II. OTHER INFORMATION</w:t>
              </w:r>
            </w:hyperlink>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35">
              <w:r>
                <w:rPr>
                  <w:rFonts w:ascii="Arial" w:cs="Arial" w:eastAsia="Arial" w:hAnsi="Arial"/>
                  <w:sz w:val="16"/>
                  <w:szCs w:val="16"/>
                  <w:color w:val="0000EE"/>
                  <w:w w:val="96"/>
                </w:rPr>
                <w:t>Legal Proceedings</w:t>
              </w:r>
            </w:hyperlink>
          </w:p>
        </w:tc>
        <w:tc>
          <w:tcPr>
            <w:tcW w:w="2220" w:type="dxa"/>
            <w:vAlign w:val="bottom"/>
            <w:gridSpan w:val="5"/>
          </w:tcPr>
          <w:p>
            <w:pPr>
              <w:spacing w:after="0"/>
              <w:rPr>
                <w:sz w:val="24"/>
                <w:szCs w:val="24"/>
                <w:color w:val="auto"/>
              </w:rPr>
            </w:pPr>
          </w:p>
        </w:tc>
        <w:tc>
          <w:tcPr>
            <w:tcW w:w="2300" w:type="dxa"/>
            <w:vAlign w:val="bottom"/>
            <w:tcBorders>
              <w:top w:val="single" w:sz="8" w:color="0000EE"/>
            </w:tcBorders>
            <w:gridSpan w:val="7"/>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35">
              <w:r>
                <w:rPr>
                  <w:rFonts w:ascii="Arial" w:cs="Arial" w:eastAsia="Arial" w:hAnsi="Arial"/>
                  <w:sz w:val="16"/>
                  <w:szCs w:val="16"/>
                  <w:color w:val="0000EE"/>
                  <w:w w:val="96"/>
                </w:rPr>
                <w:t>Risk Factors</w:t>
              </w:r>
            </w:hyperlink>
          </w:p>
        </w:tc>
        <w:tc>
          <w:tcPr>
            <w:tcW w:w="5280" w:type="dxa"/>
            <w:vAlign w:val="bottom"/>
            <w:gridSpan w:val="15"/>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gridSpan w:val="1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Unregistered Sales of Equity Securities and Use of Proceeds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4220" w:type="dxa"/>
            <w:vAlign w:val="bottom"/>
            <w:tcBorders>
              <w:top w:val="single" w:sz="8" w:color="0000EE"/>
            </w:tcBorders>
            <w:gridSpan w:val="13"/>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Exhibits</w:t>
              </w:r>
            </w:hyperlink>
          </w:p>
        </w:tc>
        <w:tc>
          <w:tcPr>
            <w:tcW w:w="1940" w:type="dxa"/>
            <w:vAlign w:val="bottom"/>
            <w:gridSpan w:val="5"/>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Signatures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-3810</wp:posOffset>
            </wp:positionV>
            <wp:extent cx="6038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6</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6</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7 – 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 – 32</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ectPr>
          <w:pgSz w:w="11900" w:h="16838" w:orient="portrait"/>
          <w:cols w:equalWidth="0" w:num="2">
            <w:col w:w="9800" w:space="720"/>
            <w:col w:w="520"/>
          </w:cols>
          <w:pgMar w:left="320" w:top="14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382905</wp:posOffset>
            </wp:positionV>
            <wp:extent cx="67773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73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97790</wp:posOffset>
            </wp:positionV>
            <wp:extent cx="6777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7355"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180" w:type="dxa"/>
            <w:vAlign w:val="bottom"/>
            <w:shd w:val="clear" w:color="auto" w:fill="CFF0FC"/>
          </w:tcPr>
          <w:p>
            <w:pPr>
              <w:jc w:val="right"/>
              <w:ind w:right="1037"/>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295</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Accounts receivable – net of allowances for doubtful accounts of $1</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292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Inventories</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193</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Other current assets</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40</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Current Assets</w:t>
            </w:r>
          </w:p>
        </w:tc>
        <w:tc>
          <w:tcPr>
            <w:tcW w:w="118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820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644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951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2,064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assets</w:t>
            </w:r>
          </w:p>
        </w:tc>
        <w:tc>
          <w:tcPr>
            <w:tcW w:w="11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55</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4"/>
        </w:trPr>
        <w:tc>
          <w:tcPr>
            <w:tcW w:w="77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color w:val="auto"/>
              </w:rPr>
              <w:t>TOTAL ASSETS</w:t>
            </w:r>
          </w:p>
        </w:tc>
        <w:tc>
          <w:tcPr>
            <w:tcW w:w="1180" w:type="dxa"/>
            <w:vAlign w:val="bottom"/>
            <w:tcBorders>
              <w:bottom w:val="single" w:sz="8" w:color="auto"/>
            </w:tcBorders>
          </w:tcPr>
          <w:p>
            <w:pPr>
              <w:jc w:val="right"/>
              <w:ind w:right="1037"/>
              <w:spacing w:after="0" w:line="144"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4,534</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128"/>
        </w:trPr>
        <w:tc>
          <w:tcPr>
            <w:tcW w:w="770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LIABILITIES</w:t>
            </w:r>
          </w:p>
        </w:tc>
        <w:tc>
          <w:tcPr>
            <w:tcW w:w="11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180" w:type="dxa"/>
            <w:vAlign w:val="bottom"/>
            <w:shd w:val="clear" w:color="auto" w:fill="CFF0FC"/>
          </w:tcPr>
          <w:p>
            <w:pPr>
              <w:jc w:val="right"/>
              <w:ind w:right="1037"/>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167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Product warranty liability</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32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Current portion of long-term debt</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liabilities</w:t>
            </w:r>
          </w:p>
        </w:tc>
        <w:tc>
          <w:tcPr>
            <w:tcW w:w="11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178</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1180" w:type="dxa"/>
            <w:vAlign w:val="bottom"/>
          </w:tcPr>
          <w:p>
            <w:pPr>
              <w:spacing w:after="0"/>
              <w:rPr>
                <w:sz w:val="12"/>
                <w:szCs w:val="12"/>
                <w:color w:val="auto"/>
              </w:rPr>
            </w:pPr>
          </w:p>
        </w:tc>
        <w:tc>
          <w:tcPr>
            <w:tcW w:w="52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418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Product warranty liability</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30</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revenue</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107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2,506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2,507</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459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11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250</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w:t>
            </w:r>
          </w:p>
        </w:tc>
        <w:tc>
          <w:tcPr>
            <w:tcW w:w="1180" w:type="dxa"/>
            <w:vAlign w:val="bottom"/>
          </w:tcPr>
          <w:p>
            <w:pPr>
              <w:spacing w:after="0"/>
              <w:rPr>
                <w:sz w:val="12"/>
                <w:szCs w:val="12"/>
                <w:color w:val="auto"/>
              </w:rPr>
            </w:pPr>
          </w:p>
        </w:tc>
        <w:tc>
          <w:tcPr>
            <w:tcW w:w="52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3,770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(see NOTE P)</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$0.01 par value, 1,880,000,000 shares authorized, 110,164,720 shares issued and outstanding and 112,033,477</w:t>
            </w:r>
          </w:p>
        </w:tc>
        <w:tc>
          <w:tcPr>
            <w:tcW w:w="1180" w:type="dxa"/>
            <w:vAlign w:val="bottom"/>
            <w:shd w:val="clear" w:color="auto" w:fill="CFF0FC"/>
          </w:tcPr>
          <w:p>
            <w:pPr>
              <w:spacing w:after="0"/>
              <w:rPr>
                <w:sz w:val="13"/>
                <w:szCs w:val="13"/>
                <w:color w:val="auto"/>
              </w:rPr>
            </w:pPr>
          </w:p>
        </w:tc>
        <w:tc>
          <w:tcPr>
            <w:tcW w:w="52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700" w:type="dxa"/>
            <w:vAlign w:val="bottom"/>
            <w:shd w:val="clear" w:color="auto" w:fill="CFF0FC"/>
          </w:tcPr>
          <w:p>
            <w:pPr>
              <w:ind w:left="200"/>
              <w:spacing w:after="0" w:line="137" w:lineRule="exact"/>
              <w:rPr>
                <w:sz w:val="20"/>
                <w:szCs w:val="20"/>
                <w:color w:val="auto"/>
              </w:rPr>
            </w:pPr>
            <w:r>
              <w:rPr>
                <w:rFonts w:ascii="Arial" w:cs="Arial" w:eastAsia="Arial" w:hAnsi="Arial"/>
                <w:sz w:val="13"/>
                <w:szCs w:val="13"/>
                <w:color w:val="auto"/>
              </w:rPr>
              <w:t>shares issued and outstanding, respectively</w:t>
            </w:r>
          </w:p>
        </w:tc>
        <w:tc>
          <w:tcPr>
            <w:tcW w:w="1180" w:type="dxa"/>
            <w:vAlign w:val="bottom"/>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ind w:right="57"/>
              <w:spacing w:after="0" w:line="13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Non-voting common stock, $0.01 par value, 20,000,000 shares authorized, none issued and outstanding</w:t>
            </w:r>
          </w:p>
        </w:tc>
        <w:tc>
          <w:tcPr>
            <w:tcW w:w="11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$0.01 par value, 100,000,000 shares authorized, none issued and outstanding</w:t>
            </w:r>
          </w:p>
        </w:tc>
        <w:tc>
          <w:tcPr>
            <w:tcW w:w="11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Paid in capital</w:t>
            </w:r>
          </w:p>
        </w:tc>
        <w:tc>
          <w:tcPr>
            <w:tcW w:w="11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rPr>
              <w:t>1,820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deficit</w:t>
            </w:r>
          </w:p>
        </w:tc>
        <w:tc>
          <w:tcPr>
            <w:tcW w:w="11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(971)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Accumulated other comprehensive loss, net of tax</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STOCKHOLDERS’ EQUITY</w:t>
            </w:r>
          </w:p>
        </w:tc>
        <w:tc>
          <w:tcPr>
            <w:tcW w:w="11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764</w:t>
            </w:r>
          </w:p>
        </w:tc>
        <w:tc>
          <w:tcPr>
            <w:tcW w:w="1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 &amp; STOCKHOLDERS’ EQUITY</w:t>
            </w:r>
          </w:p>
        </w:tc>
        <w:tc>
          <w:tcPr>
            <w:tcW w:w="1180" w:type="dxa"/>
            <w:vAlign w:val="bottom"/>
            <w:tcBorders>
              <w:bottom w:val="single" w:sz="8" w:color="auto"/>
            </w:tcBorders>
          </w:tcPr>
          <w:p>
            <w:pPr>
              <w:jc w:val="right"/>
              <w:ind w:right="1037"/>
              <w:spacing w:after="0" w:line="144"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4,534</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92"/>
              <w:spacing w:after="0" w:line="144"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111"/>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588</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297</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291</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38</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8"/>
        </w:trPr>
        <w:tc>
          <w:tcPr>
            <w:tcW w:w="774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10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180</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(expense), net</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154</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8"/>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120</w:t>
            </w:r>
          </w:p>
        </w:tc>
        <w:tc>
          <w:tcPr>
            <w:tcW w:w="1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40" w:type="dxa"/>
            <w:vAlign w:val="bottom"/>
            <w:tcBorders>
              <w:bottom w:val="single" w:sz="8" w:color="CFF0FC"/>
            </w:tcBorders>
            <w:vMerge w:val="continue"/>
          </w:tcPr>
          <w:p>
            <w:pPr>
              <w:spacing w:after="0"/>
              <w:rPr>
                <w:sz w:val="16"/>
                <w:szCs w:val="16"/>
                <w:color w:val="auto"/>
              </w:rPr>
            </w:pPr>
          </w:p>
        </w:tc>
        <w:tc>
          <w:tcPr>
            <w:tcW w:w="1080" w:type="dxa"/>
            <w:vAlign w:val="bottom"/>
            <w:tcBorders>
              <w:bottom w:val="single" w:sz="8" w:color="auto"/>
            </w:tcBorders>
          </w:tcPr>
          <w:p>
            <w:pPr>
              <w:jc w:val="right"/>
              <w:ind w:right="932"/>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1.08</w:t>
            </w:r>
          </w:p>
        </w:tc>
        <w:tc>
          <w:tcPr>
            <w:tcW w:w="18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ind w:right="931"/>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1"/>
        </w:trPr>
        <w:tc>
          <w:tcPr>
            <w:tcW w:w="774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1080" w:type="dxa"/>
            <w:vAlign w:val="bottom"/>
            <w:tcBorders>
              <w:bottom w:val="single" w:sz="8" w:color="auto"/>
            </w:tcBorders>
            <w:shd w:val="clear" w:color="auto" w:fill="CFF0FC"/>
          </w:tcPr>
          <w:p>
            <w:pPr>
              <w:jc w:val="right"/>
              <w:ind w:right="932"/>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1.07</w:t>
            </w:r>
          </w:p>
        </w:tc>
        <w:tc>
          <w:tcPr>
            <w:tcW w:w="18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931"/>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Borders>
              <w:bottom w:val="single" w:sz="8" w:color="auto"/>
            </w:tcBorders>
          </w:tcPr>
          <w:p>
            <w:pPr>
              <w:jc w:val="right"/>
              <w:ind w:right="932"/>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123</w:t>
            </w: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right"/>
              <w:ind w:right="931"/>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Pr>
          <w:p>
            <w:pPr>
              <w:spacing w:after="0"/>
              <w:rPr>
                <w:sz w:val="12"/>
                <w:szCs w:val="12"/>
                <w:color w:val="auto"/>
              </w:rPr>
            </w:pPr>
          </w:p>
        </w:tc>
        <w:tc>
          <w:tcPr>
            <w:tcW w:w="1080" w:type="dxa"/>
            <w:vAlign w:val="bottom"/>
          </w:tcPr>
          <w:p>
            <w:pPr>
              <w:jc w:val="right"/>
              <w:ind w:right="92"/>
              <w:spacing w:after="0" w:line="144"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2"/>
                <w:szCs w:val="12"/>
                <w:color w:val="auto"/>
              </w:rPr>
            </w:pPr>
          </w:p>
        </w:tc>
        <w:tc>
          <w:tcPr>
            <w:tcW w:w="126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120</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14</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34</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128</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(121)</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decrease in cash and cash equivalents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310</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295</w:t>
            </w:r>
          </w:p>
        </w:tc>
        <w:tc>
          <w:tcPr>
            <w:tcW w:w="1260" w:type="dxa"/>
            <w:vAlign w:val="bottom"/>
            <w:gridSpan w:val="2"/>
            <w:shd w:val="clear" w:color="auto" w:fill="CFF0FC"/>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Supplemental disclosures: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w:t>
            </w:r>
          </w:p>
        </w:tc>
        <w:tc>
          <w:tcPr>
            <w:tcW w:w="1260" w:type="dxa"/>
            <w:vAlign w:val="bottom"/>
            <w:gridSpan w:val="2"/>
            <w:shd w:val="clear" w:color="auto" w:fill="CFF0FC"/>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8"/>
        </w:trPr>
        <w:tc>
          <w:tcPr>
            <w:tcW w:w="7740" w:type="dxa"/>
            <w:vAlign w:val="bottom"/>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1"/>
        </w:trPr>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Non-voting</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2"/>
                <w:szCs w:val="12"/>
                <w:color w:val="auto"/>
              </w:rPr>
            </w:pPr>
          </w:p>
        </w:tc>
        <w:tc>
          <w:tcPr>
            <w:tcW w:w="98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(Deficit)</w:t>
            </w:r>
          </w:p>
        </w:tc>
        <w:tc>
          <w:tcPr>
            <w:tcW w:w="120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(Loss) Income,</w:t>
            </w:r>
          </w:p>
        </w:tc>
        <w:tc>
          <w:tcPr>
            <w:tcW w:w="980" w:type="dxa"/>
            <w:vAlign w:val="bottom"/>
            <w:gridSpan w:val="2"/>
          </w:tcPr>
          <w:p>
            <w:pPr>
              <w:jc w:val="right"/>
              <w:ind w:right="90"/>
              <w:spacing w:after="0" w:line="141" w:lineRule="exact"/>
              <w:rPr>
                <w:sz w:val="20"/>
                <w:szCs w:val="20"/>
                <w:color w:val="auto"/>
              </w:rPr>
            </w:pPr>
            <w:r>
              <w:rPr>
                <w:rFonts w:ascii="Arial" w:cs="Arial" w:eastAsia="Arial" w:hAnsi="Arial"/>
                <w:sz w:val="13"/>
                <w:szCs w:val="13"/>
                <w:b w:val="1"/>
                <w:bCs w:val="1"/>
                <w:color w:val="auto"/>
                <w:w w:val="93"/>
              </w:rPr>
              <w:t>Stockholders'</w:t>
            </w:r>
          </w:p>
        </w:tc>
      </w:tr>
      <w:tr>
        <w:trPr>
          <w:trHeight w:val="153"/>
        </w:trPr>
        <w:tc>
          <w:tcPr>
            <w:tcW w:w="318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6"/>
              </w:rPr>
              <w:t>net of tax</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1180" w:type="dxa"/>
            <w:vAlign w:val="bottom"/>
            <w:gridSpan w:val="2"/>
            <w:shd w:val="clear" w:color="auto" w:fill="CFF0FC"/>
          </w:tcPr>
          <w:p>
            <w:pPr>
              <w:jc w:val="right"/>
              <w:ind w:right="55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781</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3</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139</w:t>
            </w:r>
          </w:p>
        </w:tc>
      </w:tr>
      <w:tr>
        <w:trPr>
          <w:trHeight w:val="188"/>
        </w:trPr>
        <w:tc>
          <w:tcPr>
            <w:tcW w:w="318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1180" w:type="dxa"/>
            <w:vAlign w:val="bottom"/>
            <w:gridSpan w:val="2"/>
          </w:tcPr>
          <w:p>
            <w:pPr>
              <w:jc w:val="right"/>
              <w:ind w:right="555"/>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1,804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6"/>
                <w:szCs w:val="16"/>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693</w:t>
            </w: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r>
        <w:trPr>
          <w:trHeight w:val="151"/>
        </w:trPr>
        <w:tc>
          <w:tcPr>
            <w:tcW w:w="31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December 31, 2020</w:t>
            </w:r>
          </w:p>
        </w:tc>
        <w:tc>
          <w:tcPr>
            <w:tcW w:w="1180" w:type="dxa"/>
            <w:vAlign w:val="bottom"/>
            <w:gridSpan w:val="2"/>
            <w:shd w:val="clear" w:color="auto" w:fill="CFF0FC"/>
          </w:tcPr>
          <w:p>
            <w:pPr>
              <w:jc w:val="right"/>
              <w:ind w:right="555"/>
              <w:spacing w:after="0" w:line="151"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ind w:left="62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00"/>
              <w:spacing w:after="0" w:line="151"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1,818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(89)</w:t>
            </w:r>
          </w:p>
        </w:tc>
        <w:tc>
          <w:tcPr>
            <w:tcW w:w="1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756</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11</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(96)</w:t>
            </w:r>
          </w:p>
        </w:tc>
      </w:tr>
      <w:tr>
        <w:trPr>
          <w:trHeight w:val="176"/>
        </w:trPr>
        <w:tc>
          <w:tcPr>
            <w:tcW w:w="318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176"/>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85"/>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120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120</w:t>
            </w:r>
          </w:p>
        </w:tc>
      </w:tr>
      <w:tr>
        <w:trPr>
          <w:trHeight w:val="168"/>
        </w:trPr>
        <w:tc>
          <w:tcPr>
            <w:tcW w:w="3180" w:type="dxa"/>
            <w:vAlign w:val="bottom"/>
          </w:tcPr>
          <w:p>
            <w:pPr>
              <w:spacing w:after="0"/>
              <w:rPr>
                <w:sz w:val="20"/>
                <w:szCs w:val="20"/>
                <w:color w:val="auto"/>
              </w:rPr>
            </w:pPr>
            <w:r>
              <w:rPr>
                <w:rFonts w:ascii="Arial" w:cs="Arial" w:eastAsia="Arial" w:hAnsi="Arial"/>
                <w:sz w:val="14"/>
                <w:szCs w:val="14"/>
                <w:color w:val="auto"/>
              </w:rPr>
              <w:t>Balance at March 31, 2021</w:t>
            </w:r>
          </w:p>
        </w:tc>
        <w:tc>
          <w:tcPr>
            <w:tcW w:w="4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1,820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764</w:t>
            </w:r>
          </w:p>
        </w:tc>
      </w:tr>
      <w:tr>
        <w:trPr>
          <w:trHeight w:val="20"/>
        </w:trPr>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220" w:firstLine="500"/>
        <w:spacing w:after="0" w:line="252"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20" w:firstLine="500"/>
        <w:spacing w:after="0" w:line="234" w:lineRule="auto"/>
        <w:rPr>
          <w:sz w:val="20"/>
          <w:szCs w:val="20"/>
          <w:color w:val="auto"/>
        </w:rPr>
      </w:pPr>
      <w:r>
        <w:rPr>
          <w:rFonts w:ascii="Arial" w:cs="Arial" w:eastAsia="Arial" w:hAnsi="Arial"/>
          <w:sz w:val="16"/>
          <w:szCs w:val="16"/>
          <w:color w:val="auto"/>
        </w:rPr>
        <w:t>Although approximately 79% of revenues were generated in North America in 2020, the Company has a global presence by serving customers in Europe, Asia, South America and Africa. The Company serves customers through an independent network of approximately 1,400 independent distributor and dealer locations worldwide.</w:t>
      </w:r>
    </w:p>
    <w:p>
      <w:pPr>
        <w:spacing w:after="0" w:line="84" w:lineRule="exact"/>
        <w:rPr>
          <w:sz w:val="20"/>
          <w:szCs w:val="20"/>
          <w:color w:val="auto"/>
        </w:rPr>
      </w:pPr>
    </w:p>
    <w:p>
      <w:pPr>
        <w:ind w:right="200" w:firstLine="500"/>
        <w:spacing w:after="0" w:line="237"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first quarter of 2021, the COVID-19 pandemic continued to create volatility in the Company’s business performance and impact global markets and supply chains.</w:t>
      </w:r>
    </w:p>
    <w:p>
      <w:pPr>
        <w:spacing w:after="0" w:line="83" w:lineRule="exact"/>
        <w:rPr>
          <w:sz w:val="20"/>
          <w:szCs w:val="20"/>
          <w:color w:val="auto"/>
        </w:rPr>
      </w:pPr>
    </w:p>
    <w:p>
      <w:pPr>
        <w:ind w:firstLine="500"/>
        <w:spacing w:after="0" w:line="232"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of vaccinations, travel bans and restrictions, quarantines, curfews, stay-at-home orders, social distancing guidelines and business shutdowns and closures. The Company is also continuing to take a variety of measures to promote the safety and security of its employees and to maintain operations with as minimal impact as possible to its stakeholders, including increased frequency of cleaning and disinfecting of facilities, social distancing, occupancy limits, mask wearing requirements, onsite testing, remote working, travel restrictions, limitations on visitor access to facilities and, most recently, administration of vaccinations at the Company’s corporate headquarters. As a result, the Company has been able to continue its manufacturing operations and deliver its products to customers with minimal disruptions.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right="40" w:firstLine="500"/>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the Company’s Form 10-K for the year ended December 31, 2020 as filed with the Securities and Exchange Commission on February 18, 2021. The interim period financial results for the three-month periods presented are not necessarily indicative of results to be expected for any other interim period or for the entire year.</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rate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other post-retirement benefit expense and income taxes. Changes in estimates are recorded in results of operations in the period that the events or circumstances giving rise to such changes occur.</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ind w:right="60" w:firstLine="528"/>
        <w:spacing w:after="0" w:line="249" w:lineRule="auto"/>
        <w:rPr>
          <w:sz w:val="20"/>
          <w:szCs w:val="20"/>
          <w:color w:val="auto"/>
        </w:rPr>
      </w:pPr>
      <w:r>
        <w:rPr>
          <w:rFonts w:ascii="Arial" w:cs="Arial" w:eastAsia="Arial" w:hAnsi="Arial"/>
          <w:sz w:val="15"/>
          <w:szCs w:val="15"/>
          <w:color w:val="auto"/>
        </w:rPr>
        <w:t>In March 2020, the Financial Accounting Standards Board (“FASB”) issued authoritative accounting guidance regarding highly effective cash flow hedges affected by reference rate reform, which guidance was subsequently amended. The guidance allows the Company to continue to classify its interest rate hedges as highly effective subsequent to reference rate reform under certain circumstances. The Company adopted this guidance effective January 1, 2021 and will apply the guidance prospectively on all applicable transactions through December 31, 2022. Management expects to be able to elect the optional expedient within this guidance upon the Company’s transition from the London Interbank Offered Rate (“LIBOR”) to an alternative reference rate. The election of the optional expedient is expected to allow for the continuation of the existing contract with no impact on the Company’s condensed consolidated financial statements.</w:t>
      </w:r>
    </w:p>
    <w:p>
      <w:pPr>
        <w:spacing w:after="0" w:line="12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Company adopted this guidance effective January 1, 2021. The adoption of this guidance did not have a material impact on the Company's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jc w:val="both"/>
        <w:ind w:right="220" w:firstLine="522"/>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 Company may also use volume-based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the three months ended March 31, 2021 and 2020.</w:t>
      </w:r>
    </w:p>
    <w:p>
      <w:pPr>
        <w:spacing w:after="0" w:line="85" w:lineRule="exact"/>
        <w:rPr>
          <w:sz w:val="20"/>
          <w:szCs w:val="20"/>
          <w:color w:val="auto"/>
        </w:rPr>
      </w:pPr>
    </w:p>
    <w:p>
      <w:pPr>
        <w:ind w:right="200" w:firstLine="522"/>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2021 and December 31, 2020. See Note J, “Deferred Revenue” for more information, including the amount of revenue earned during the three months ended March 31, 2021 and 2020 that had been previously deferred. The Company had no material contract assets as of March 31, 2021 and December 31, 2020.</w:t>
      </w:r>
    </w:p>
    <w:p>
      <w:pPr>
        <w:spacing w:after="0" w:line="85" w:lineRule="exact"/>
        <w:rPr>
          <w:sz w:val="20"/>
          <w:szCs w:val="20"/>
          <w:color w:val="auto"/>
        </w:rPr>
      </w:pPr>
    </w:p>
    <w:p>
      <w:pPr>
        <w:ind w:right="200" w:firstLine="522"/>
        <w:spacing w:after="0" w:line="234" w:lineRule="auto"/>
        <w:rPr>
          <w:sz w:val="20"/>
          <w:szCs w:val="20"/>
          <w:color w:val="auto"/>
        </w:rPr>
      </w:pPr>
      <w:r>
        <w:rPr>
          <w:rFonts w:ascii="Arial" w:cs="Arial" w:eastAsia="Arial" w:hAnsi="Arial"/>
          <w:sz w:val="16"/>
          <w:szCs w:val="16"/>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tcBorders>
              <w:bottom w:val="single" w:sz="8" w:color="CFF0FC"/>
            </w:tcBorders>
          </w:tcPr>
          <w:p>
            <w:pPr>
              <w:spacing w:after="0"/>
              <w:rPr>
                <w:sz w:val="12"/>
                <w:szCs w:val="12"/>
                <w:color w:val="auto"/>
              </w:rPr>
            </w:pPr>
          </w:p>
        </w:tc>
        <w:tc>
          <w:tcPr>
            <w:tcW w:w="340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ind w:right="110"/>
              <w:spacing w:after="0" w:line="144"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ind w:right="137"/>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34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30"/>
              <w:spacing w:after="0" w:line="180" w:lineRule="exact"/>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319</w:t>
            </w:r>
          </w:p>
        </w:tc>
        <w:tc>
          <w:tcPr>
            <w:tcW w:w="1280" w:type="dxa"/>
            <w:vAlign w:val="bottom"/>
            <w:gridSpan w:val="2"/>
            <w:shd w:val="clear" w:color="auto" w:fill="CFF0FC"/>
          </w:tcPr>
          <w:p>
            <w:pPr>
              <w:jc w:val="right"/>
              <w:ind w:right="957"/>
              <w:spacing w:after="0" w:line="180"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3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34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45</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3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84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34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16</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340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122</w:t>
            </w:r>
          </w:p>
        </w:tc>
        <w:tc>
          <w:tcPr>
            <w:tcW w:w="18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34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30"/>
              <w:spacing w:after="0" w:line="180" w:lineRule="exact"/>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588</w:t>
            </w:r>
          </w:p>
        </w:tc>
        <w:tc>
          <w:tcPr>
            <w:tcW w:w="1280" w:type="dxa"/>
            <w:vAlign w:val="bottom"/>
            <w:gridSpan w:val="2"/>
            <w:shd w:val="clear" w:color="auto" w:fill="CFF0FC"/>
          </w:tcPr>
          <w:p>
            <w:pPr>
              <w:jc w:val="right"/>
              <w:ind w:right="957"/>
              <w:spacing w:after="0" w:line="180"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3400" w:type="dxa"/>
            <w:vAlign w:val="bottom"/>
            <w:tcBorders>
              <w:top w:val="single" w:sz="8" w:color="CFF0FC"/>
              <w:bottom w:val="single" w:sz="8" w:color="CFF0FC"/>
            </w:tcBorders>
            <w:vMerge w:val="restart"/>
          </w:tcPr>
          <w:p>
            <w:pPr>
              <w:jc w:val="right"/>
              <w:ind w:right="2002"/>
              <w:spacing w:after="0"/>
              <w:rPr>
                <w:sz w:val="20"/>
                <w:szCs w:val="20"/>
                <w:color w:val="auto"/>
              </w:rPr>
            </w:pPr>
            <w:r>
              <w:rPr>
                <w:rFonts w:ascii="Arial" w:cs="Arial" w:eastAsia="Arial" w:hAnsi="Arial"/>
                <w:sz w:val="16"/>
                <w:szCs w:val="16"/>
                <w:color w:val="auto"/>
              </w:rPr>
              <w:t>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180" w:type="dxa"/>
            <w:vAlign w:val="bottom"/>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180" w:type="dxa"/>
            <w:vAlign w:val="bottom"/>
            <w:shd w:val="clear" w:color="auto" w:fill="CFF0FC"/>
          </w:tcPr>
          <w:p>
            <w:pPr>
              <w:jc w:val="right"/>
              <w:ind w:right="10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91</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88</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1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15</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1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43</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35</w:t>
            </w: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180" w:type="dxa"/>
            <w:vAlign w:val="bottom"/>
            <w:shd w:val="clear" w:color="auto" w:fill="CFF0FC"/>
          </w:tcPr>
          <w:p>
            <w:pPr>
              <w:jc w:val="right"/>
              <w:ind w:right="10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193</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181</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2021 and December 31, 2020, the carrying value of the Company’s Goodwill was $2,064 million.</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2020</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ind w:right="228"/>
              <w:spacing w:after="0" w:line="102" w:lineRule="exact"/>
              <w:rPr>
                <w:sz w:val="20"/>
                <w:szCs w:val="20"/>
                <w:color w:val="auto"/>
              </w:rPr>
            </w:pPr>
            <w:r>
              <w:rPr>
                <w:rFonts w:ascii="Arial" w:cs="Arial" w:eastAsia="Arial" w:hAnsi="Arial"/>
                <w:sz w:val="11"/>
                <w:szCs w:val="11"/>
                <w:b w:val="1"/>
                <w:bCs w:val="1"/>
                <w:color w:val="auto"/>
              </w:rPr>
              <w:t>Intangible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ind w:right="148"/>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48"/>
              <w:spacing w:after="0"/>
              <w:rPr>
                <w:sz w:val="20"/>
                <w:szCs w:val="20"/>
                <w:color w:val="auto"/>
              </w:rPr>
            </w:pPr>
            <w:r>
              <w:rPr>
                <w:rFonts w:ascii="Arial" w:cs="Arial" w:eastAsia="Arial" w:hAnsi="Arial"/>
                <w:sz w:val="11"/>
                <w:szCs w:val="11"/>
                <w:b w:val="1"/>
                <w:bCs w:val="1"/>
                <w:color w:val="auto"/>
                <w:w w:val="96"/>
              </w:rPr>
              <w:t>assets, 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68"/>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25</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839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131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478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15</w:t>
            </w:r>
          </w:p>
        </w:tc>
      </w:tr>
      <w:tr>
        <w:trPr>
          <w:trHeight w:val="180"/>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2,195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(1,244)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951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2,195</w:t>
            </w:r>
          </w:p>
        </w:tc>
        <w:tc>
          <w:tcPr>
            <w:tcW w:w="2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963</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522"/>
        <w:spacing w:after="0" w:line="237" w:lineRule="auto"/>
        <w:rPr>
          <w:sz w:val="20"/>
          <w:szCs w:val="20"/>
          <w:color w:val="auto"/>
        </w:rPr>
      </w:pPr>
      <w:r>
        <w:rPr>
          <w:rFonts w:ascii="Arial" w:cs="Arial" w:eastAsia="Arial" w:hAnsi="Arial"/>
          <w:sz w:val="16"/>
          <w:szCs w:val="16"/>
          <w:color w:val="auto"/>
        </w:rPr>
        <w:t>As of March 31, 2021 and December 31, 2020, the carrying value of the Company’s Goodwill and Intangible assets, net was $3,015 million and $3,027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2026</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8</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1</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5" w:lineRule="exact"/>
        <w:rPr>
          <w:sz w:val="20"/>
          <w:szCs w:val="20"/>
          <w:color w:val="auto"/>
        </w:rPr>
      </w:pPr>
    </w:p>
    <w:p>
      <w:pPr>
        <w:ind w:right="420" w:firstLine="522"/>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4" w:lineRule="exact"/>
        <w:rPr>
          <w:sz w:val="20"/>
          <w:szCs w:val="20"/>
          <w:color w:val="auto"/>
        </w:rPr>
      </w:pPr>
    </w:p>
    <w:p>
      <w:pPr>
        <w:ind w:right="140" w:firstLine="522"/>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2021 and December 31, 2020, the Company did not have any Level 3 financial assets or liabilities.</w:t>
      </w:r>
    </w:p>
    <w:p>
      <w:pPr>
        <w:spacing w:after="0" w:line="84" w:lineRule="exact"/>
        <w:rPr>
          <w:sz w:val="20"/>
          <w:szCs w:val="20"/>
          <w:color w:val="auto"/>
        </w:rPr>
      </w:pPr>
    </w:p>
    <w:p>
      <w:pPr>
        <w:ind w:right="280" w:firstLine="522"/>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4"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4" w:lineRule="exact"/>
        <w:rPr>
          <w:sz w:val="20"/>
          <w:szCs w:val="20"/>
          <w:color w:val="auto"/>
        </w:rPr>
      </w:pPr>
    </w:p>
    <w:p>
      <w:pPr>
        <w:jc w:val="both"/>
        <w:ind w:firstLine="522"/>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LIBOR, which is observable at commonly quoted intervals. The fair values are included in other current and non-current assets and liabilities in the Condensed Consolidated Balance Sheets.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40" w:firstLine="522"/>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March 31, 2021 and December 31, 2020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3"/>
                <w:szCs w:val="13"/>
                <w:b w:val="1"/>
                <w:bCs w:val="1"/>
                <w:color w:val="auto"/>
                <w:w w:val="95"/>
              </w:rPr>
              <w:t>Fair Value Measurements Using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4"/>
          </w:tcPr>
          <w:p>
            <w:pPr>
              <w:jc w:val="center"/>
              <w:ind w:right="24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4"/>
          </w:tcPr>
          <w:p>
            <w:pPr>
              <w:jc w:val="center"/>
              <w:ind w:left="10"/>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4"/>
          </w:tcPr>
          <w:p>
            <w:pPr>
              <w:jc w:val="center"/>
              <w:ind w:right="22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4"/>
          </w:tcPr>
          <w:p>
            <w:pPr>
              <w:jc w:val="center"/>
              <w:ind w:left="10"/>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center"/>
              <w:ind w:right="24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3"/>
                <w:szCs w:val="13"/>
                <w:b w:val="1"/>
                <w:bCs w:val="1"/>
                <w:color w:val="auto"/>
                <w:w w:val="98"/>
              </w:rPr>
              <w:t>(Level 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3" w:lineRule="exact"/>
              <w:rPr>
                <w:sz w:val="20"/>
                <w:szCs w:val="20"/>
                <w:color w:val="auto"/>
              </w:rPr>
            </w:pPr>
            <w:r>
              <w:rPr>
                <w:rFonts w:ascii="Arial" w:cs="Arial" w:eastAsia="Arial" w:hAnsi="Arial"/>
                <w:sz w:val="13"/>
                <w:szCs w:val="13"/>
                <w:b w:val="1"/>
                <w:bCs w:val="1"/>
                <w:color w:val="auto"/>
              </w:rPr>
              <w:t>March 31,</w:t>
            </w:r>
          </w:p>
        </w:tc>
        <w:tc>
          <w:tcPr>
            <w:tcW w:w="1260" w:type="dxa"/>
            <w:vAlign w:val="bottom"/>
            <w:gridSpan w:val="3"/>
          </w:tcPr>
          <w:p>
            <w:pPr>
              <w:jc w:val="center"/>
              <w:ind w:right="4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920" w:type="dxa"/>
            <w:vAlign w:val="bottom"/>
            <w:gridSpan w:val="2"/>
          </w:tcPr>
          <w:p>
            <w:pPr>
              <w:ind w:left="320"/>
              <w:spacing w:after="0" w:line="133" w:lineRule="exact"/>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185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185</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160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 net</w:t>
            </w:r>
          </w:p>
        </w:tc>
        <w:tc>
          <w:tcPr>
            <w:tcW w:w="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185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(46)</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139</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4"/>
          </w:tcPr>
          <w:p>
            <w:pPr>
              <w:ind w:left="16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00" w:type="dxa"/>
            <w:vAlign w:val="bottom"/>
            <w:gridSpan w:val="5"/>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left="230"/>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636</w:t>
            </w:r>
          </w:p>
        </w:tc>
        <w:tc>
          <w:tcPr>
            <w:tcW w:w="80" w:type="dxa"/>
            <w:vAlign w:val="bottom"/>
          </w:tcPr>
          <w:p>
            <w:pPr>
              <w:spacing w:after="0"/>
              <w:rPr>
                <w:sz w:val="16"/>
                <w:szCs w:val="16"/>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3.75%, due 2031</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1,000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2,536</w:t>
            </w:r>
          </w:p>
        </w:tc>
        <w:tc>
          <w:tcPr>
            <w:tcW w:w="80" w:type="dxa"/>
            <w:vAlign w:val="bottom"/>
          </w:tcPr>
          <w:p>
            <w:pPr>
              <w:spacing w:after="0"/>
              <w:rPr>
                <w:sz w:val="15"/>
                <w:szCs w:val="15"/>
                <w:color w:val="auto"/>
              </w:rPr>
            </w:pPr>
          </w:p>
        </w:tc>
        <w:tc>
          <w:tcPr>
            <w:tcW w:w="400" w:type="dxa"/>
            <w:vAlign w:val="bottom"/>
            <w:gridSpan w:val="2"/>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5"/>
              <w:spacing w:after="0" w:line="180" w:lineRule="exact"/>
              <w:rPr>
                <w:sz w:val="20"/>
                <w:szCs w:val="20"/>
                <w:color w:val="auto"/>
              </w:rPr>
            </w:pPr>
            <w:r>
              <w:rPr>
                <w:rFonts w:ascii="Arial" w:cs="Arial" w:eastAsia="Arial" w:hAnsi="Arial"/>
                <w:sz w:val="16"/>
                <w:szCs w:val="16"/>
                <w:color w:val="auto"/>
              </w:rPr>
              <w:t>2,538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24</w:t>
            </w:r>
          </w:p>
        </w:tc>
        <w:tc>
          <w:tcPr>
            <w:tcW w:w="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2,506</w:t>
            </w:r>
          </w:p>
        </w:tc>
        <w:tc>
          <w:tcPr>
            <w:tcW w:w="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2,507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As of March 31, 2021, the Company had $2,536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new term loan facility in the amount of $636 million due March 2026 (“New Term Loan”) and ATI’s new revolving credit facility with commitments in the amount of $650 million due September 2025 (“New Revolving Credit Facility” and, together with the New Term Loan, the “New Senior Secured Credit Facility”).</w:t>
      </w:r>
    </w:p>
    <w:p>
      <w:pPr>
        <w:spacing w:after="0" w:line="84" w:lineRule="exact"/>
        <w:rPr>
          <w:sz w:val="20"/>
          <w:szCs w:val="20"/>
          <w:color w:val="auto"/>
        </w:rPr>
      </w:pPr>
    </w:p>
    <w:p>
      <w:pPr>
        <w:jc w:val="both"/>
        <w:ind w:right="380" w:firstLine="522"/>
        <w:spacing w:after="0" w:line="234" w:lineRule="auto"/>
        <w:rPr>
          <w:sz w:val="20"/>
          <w:szCs w:val="20"/>
          <w:color w:val="auto"/>
        </w:rPr>
      </w:pPr>
      <w:r>
        <w:rPr>
          <w:rFonts w:ascii="Arial" w:cs="Arial" w:eastAsia="Arial" w:hAnsi="Arial"/>
          <w:sz w:val="16"/>
          <w:szCs w:val="16"/>
          <w:color w:val="auto"/>
        </w:rPr>
        <w:t>The fair value of the Company’s long-term debt obligations as of March 31, 2021 was $ 2,580 million. The fair value is based on quoted Level 2 market prices of the Company’s debt as of March 31, 2021.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04" w:lineRule="exact"/>
        <w:rPr>
          <w:sz w:val="20"/>
          <w:szCs w:val="20"/>
          <w:color w:val="auto"/>
        </w:rPr>
      </w:pPr>
    </w:p>
    <w:p>
      <w:pPr>
        <w:ind w:right="360" w:firstLine="522"/>
        <w:spacing w:after="0" w:line="234" w:lineRule="auto"/>
        <w:rPr>
          <w:sz w:val="20"/>
          <w:szCs w:val="20"/>
          <w:color w:val="auto"/>
        </w:rPr>
      </w:pPr>
      <w:r>
        <w:rPr>
          <w:rFonts w:ascii="Arial" w:cs="Arial" w:eastAsia="Arial" w:hAnsi="Arial"/>
          <w:sz w:val="16"/>
          <w:szCs w:val="16"/>
          <w:color w:val="auto"/>
        </w:rPr>
        <w:t>In November 2020, the Company and ATI entered into an amendment to the Credit Agreement to increase the commitments under the New Revolving Credit Facility by $50 million to $650 million. The amendment also extended the New Revolving Credit Facility termination date from September 2024 to September 2025.</w:t>
      </w:r>
    </w:p>
    <w:p>
      <w:pPr>
        <w:spacing w:after="0" w:line="84" w:lineRule="exact"/>
        <w:rPr>
          <w:sz w:val="20"/>
          <w:szCs w:val="20"/>
          <w:color w:val="auto"/>
        </w:rPr>
      </w:pPr>
    </w:p>
    <w:p>
      <w:pPr>
        <w:ind w:right="60" w:firstLine="522"/>
        <w:spacing w:after="0" w:line="234"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equity interest of foreign subsidiaries and other exceptions set forth in the Credit Agreement). Interest on the New Term Loan, as of March 31, 2021,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March 31, 2021, the Company elected to pay the lowest all-in rate of LIBOR plus the applicable margin, or 1.86%, on the New Term Loan. The Credit Agreement requires minimum quarterly principal payments on the New Term Loan,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March 31, 2021, there had been no payments required for certain net cash proceeds of non-ordinary course asset sales and casualty and condemnation events. The remaining principal balance is due upon maturity.</w:t>
      </w:r>
    </w:p>
    <w:p>
      <w:pPr>
        <w:spacing w:after="0" w:line="8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New Senior Secured Credit Facility also provides a New Revolving Credit Facility, net of an allowance for up to $ 75 million in outstanding letters of credit commitments. As of March 31, 2021, the Company had $645 million available under the New Revolving Credit Facility, net of $5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March 31, 2021, the applicable margin for the New Revolving Credit Facility was 1.25%. In addition, there is an annual commitment fee, based on the Company’s first lien net leverage ratio, on the average unused revolving credit borrowings available under the New Revolving Credit Facility. As of March 31, 2021, the commitment fee is 0.25%. Borrowings under the New Revolving Credit Facility are payable at the option of the Company throughout the term of the New Senior Secured Credit Facility with the balance due in September 2025.</w:t>
      </w:r>
    </w:p>
    <w:p>
      <w:pPr>
        <w:spacing w:after="0" w:line="83" w:lineRule="exact"/>
        <w:rPr>
          <w:sz w:val="20"/>
          <w:szCs w:val="20"/>
          <w:color w:val="auto"/>
        </w:rPr>
      </w:pPr>
    </w:p>
    <w:p>
      <w:pPr>
        <w:ind w:right="200" w:firstLine="522"/>
        <w:spacing w:after="0" w:line="232"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March 31, 2021, the Company had no amounts outstanding under the New Revolving Credit Facility; however, the Company would have been in compliance with the maximum first lien net leverage ratio, achieving a 0.49x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85" w:lineRule="exact"/>
        <w:rPr>
          <w:sz w:val="20"/>
          <w:szCs w:val="20"/>
          <w:color w:val="auto"/>
        </w:rPr>
      </w:pPr>
    </w:p>
    <w:p>
      <w:pPr>
        <w:ind w:right="320" w:firstLine="522"/>
        <w:spacing w:after="0" w:line="255"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2021, the Company was in compliance with all covenants under the Credit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2021, the Company was in compliance with all covenants under the indenture governing the 4.75%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right="60" w:firstLine="528"/>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2021, the Company was in compliance with all covenants under the indenture governing the 5.875%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3.75% Senior Notes</w:t>
      </w:r>
    </w:p>
    <w:p>
      <w:pPr>
        <w:spacing w:after="0" w:line="151" w:lineRule="exact"/>
        <w:rPr>
          <w:sz w:val="20"/>
          <w:szCs w:val="20"/>
          <w:color w:val="auto"/>
        </w:rPr>
      </w:pPr>
    </w:p>
    <w:p>
      <w:pPr>
        <w:ind w:right="80" w:firstLine="522"/>
        <w:spacing w:after="0" w:line="233" w:lineRule="auto"/>
        <w:rPr>
          <w:sz w:val="20"/>
          <w:szCs w:val="20"/>
          <w:color w:val="auto"/>
        </w:rPr>
      </w:pPr>
      <w:r>
        <w:rPr>
          <w:rFonts w:ascii="Arial" w:cs="Arial" w:eastAsia="Arial" w:hAnsi="Arial"/>
          <w:sz w:val="16"/>
          <w:szCs w:val="16"/>
          <w:color w:val="auto"/>
        </w:rPr>
        <w:t>In November 2020, ATI completed an offering of $1,000 million of the 3.75% Senior Notes. The 3.75% Senior Notes were offered in a private placement exempt from registration under the Securities Act of 1933, as amended. The net proceeds from the offering, together with cash on hand, were used to redeem all of ATI’s outstanding 5.0% Senior Notes due 2024 plus accrued and unpaid interest and related transaction expenses. As a result of the offering, the Company recorded $10 million as deferred financing fees in the Consolidated Balance Sheet as of December 31, 2020.</w:t>
      </w:r>
    </w:p>
    <w:p>
      <w:pPr>
        <w:spacing w:after="0" w:line="8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3.75%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2021, the Company was in compliance with all covenants under the indenture governing the 3.75% Senior Notes.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100" w:firstLine="522"/>
        <w:spacing w:after="0" w:line="248" w:lineRule="auto"/>
        <w:rPr>
          <w:sz w:val="20"/>
          <w:szCs w:val="20"/>
          <w:color w:val="auto"/>
        </w:rPr>
      </w:pPr>
      <w:r>
        <w:rPr>
          <w:rFonts w:ascii="Arial" w:cs="Arial" w:eastAsia="Arial" w:hAnsi="Arial"/>
          <w:sz w:val="15"/>
          <w:szCs w:val="15"/>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earnings when transactions related to the underlying risk are settled. As of March 31, 2021,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77"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280" w:type="dxa"/>
            <w:vAlign w:val="bottom"/>
            <w:tcBorders>
              <w:bottom w:val="single" w:sz="8" w:color="auto"/>
            </w:tcBorders>
          </w:tcPr>
          <w:p>
            <w:pPr>
              <w:spacing w:after="0"/>
              <w:rPr>
                <w:sz w:val="13"/>
                <w:szCs w:val="13"/>
                <w:color w:val="auto"/>
              </w:rPr>
            </w:pPr>
          </w:p>
        </w:tc>
      </w:tr>
      <w:tr>
        <w:trPr>
          <w:trHeight w:val="133"/>
        </w:trPr>
        <w:tc>
          <w:tcPr>
            <w:tcW w:w="5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32"/>
              <w:spacing w:after="0" w:line="133"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5020" w:type="dxa"/>
            <w:vAlign w:val="bottom"/>
          </w:tcPr>
          <w:p>
            <w:pPr>
              <w:spacing w:after="0"/>
              <w:rPr>
                <w:sz w:val="13"/>
                <w:szCs w:val="13"/>
                <w:color w:val="auto"/>
              </w:rPr>
            </w:pPr>
          </w:p>
        </w:tc>
        <w:tc>
          <w:tcPr>
            <w:tcW w:w="294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240" w:type="dxa"/>
            <w:vAlign w:val="bottom"/>
            <w:gridSpan w:val="2"/>
          </w:tcPr>
          <w:p>
            <w:pPr>
              <w:jc w:val="right"/>
              <w:ind w:right="192"/>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08"/>
              <w:spacing w:after="0"/>
              <w:rPr>
                <w:sz w:val="20"/>
                <w:szCs w:val="20"/>
                <w:color w:val="auto"/>
              </w:rPr>
            </w:pPr>
            <w:r>
              <w:rPr>
                <w:rFonts w:ascii="Arial" w:cs="Arial" w:eastAsia="Arial" w:hAnsi="Arial"/>
                <w:sz w:val="13"/>
                <w:szCs w:val="13"/>
                <w:b w:val="1"/>
                <w:bCs w:val="1"/>
                <w:color w:val="auto"/>
              </w:rPr>
              <w:t>2020</w:t>
            </w:r>
          </w:p>
        </w:tc>
      </w:tr>
      <w:tr>
        <w:trPr>
          <w:trHeight w:val="180"/>
        </w:trPr>
        <w:tc>
          <w:tcPr>
            <w:tcW w:w="5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2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r>
      <w:tr>
        <w:trPr>
          <w:trHeight w:val="188"/>
        </w:trPr>
        <w:tc>
          <w:tcPr>
            <w:tcW w:w="50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9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240" w:type="dxa"/>
            <w:vAlign w:val="bottom"/>
            <w:gridSpan w:val="2"/>
          </w:tcPr>
          <w:p>
            <w:pPr>
              <w:jc w:val="right"/>
              <w:ind w:right="932"/>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ind w:left="120"/>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8"/>
              <w:spacing w:after="0"/>
              <w:rPr>
                <w:sz w:val="20"/>
                <w:szCs w:val="20"/>
                <w:color w:val="auto"/>
              </w:rPr>
            </w:pPr>
            <w:r>
              <w:rPr>
                <w:rFonts w:ascii="Arial" w:cs="Arial" w:eastAsia="Arial" w:hAnsi="Arial"/>
                <w:sz w:val="16"/>
                <w:szCs w:val="16"/>
                <w:color w:val="auto"/>
              </w:rPr>
              <w:t>14</w:t>
            </w:r>
          </w:p>
        </w:tc>
      </w:tr>
      <w:tr>
        <w:trPr>
          <w:trHeight w:val="188"/>
        </w:trPr>
        <w:tc>
          <w:tcPr>
            <w:tcW w:w="502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33</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46</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ind w:left="120"/>
              <w:spacing w:after="0" w:line="180" w:lineRule="exact"/>
              <w:rPr>
                <w:sz w:val="20"/>
                <w:szCs w:val="20"/>
                <w:color w:val="auto"/>
              </w:rPr>
            </w:pPr>
            <w:r>
              <w:rPr>
                <w:rFonts w:ascii="Arial" w:cs="Arial" w:eastAsia="Arial" w:hAnsi="Arial"/>
                <w:sz w:val="16"/>
                <w:szCs w:val="16"/>
                <w:b w:val="1"/>
                <w:bCs w:val="1"/>
                <w:color w:val="auto"/>
              </w:rPr>
              <w:t>46</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60</w:t>
            </w:r>
          </w:p>
        </w:tc>
      </w:tr>
      <w:tr>
        <w:trPr>
          <w:trHeight w:val="20"/>
        </w:trPr>
        <w:tc>
          <w:tcPr>
            <w:tcW w:w="5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4" w:lineRule="auto"/>
        <w:rPr>
          <w:sz w:val="20"/>
          <w:szCs w:val="20"/>
          <w:color w:val="auto"/>
        </w:rPr>
      </w:pPr>
      <w:r>
        <w:rPr>
          <w:rFonts w:ascii="Arial" w:cs="Arial" w:eastAsia="Arial" w:hAnsi="Arial"/>
          <w:sz w:val="16"/>
          <w:szCs w:val="16"/>
          <w:color w:val="auto"/>
        </w:rPr>
        <w:t>The balance of derivative losses recorded in AOCL as of March 31, 2021 was $46 million. See NOTE O, “Accumulated Other Comprehensive Loss” for information regarding activity recorded as a component of AOCL during the three months ended March 31, 2021 and 2020. As of March 31, 2021, the Company had $14 million of derivative losses recorded in AOCL expected to be reclassified to earnings within the next twelve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60" w:firstLine="522"/>
        <w:spacing w:after="0" w:line="237" w:lineRule="auto"/>
        <w:rPr>
          <w:sz w:val="20"/>
          <w:szCs w:val="20"/>
          <w:color w:val="auto"/>
        </w:rPr>
      </w:pPr>
      <w:r>
        <w:rPr>
          <w:rFonts w:ascii="Arial" w:cs="Arial" w:eastAsia="Arial" w:hAnsi="Arial"/>
          <w:sz w:val="16"/>
          <w:szCs w:val="16"/>
          <w:color w:val="auto"/>
        </w:rPr>
        <w:t>As of March 31, 2021, current and non-current product warranty liabilities were $32 million and $30 million, respectively. As of March 31, 2020, current and non-current product warranty liabilities were $25 million and $26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gridSpan w:val="3"/>
          </w:tcPr>
          <w:p>
            <w:pPr>
              <w:jc w:val="right"/>
              <w:ind w:right="2"/>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3120" w:type="dxa"/>
            <w:vAlign w:val="bottom"/>
            <w:gridSpan w:val="2"/>
            <w:vMerge w:val="restart"/>
          </w:tcPr>
          <w:p>
            <w:pPr>
              <w:jc w:val="right"/>
              <w:ind w:right="7"/>
              <w:spacing w:after="0"/>
              <w:rPr>
                <w:sz w:val="20"/>
                <w:szCs w:val="20"/>
                <w:color w:val="auto"/>
              </w:rPr>
            </w:pPr>
            <w:r>
              <w:rPr>
                <w:rFonts w:ascii="Arial" w:cs="Arial" w:eastAsia="Arial" w:hAnsi="Arial"/>
                <w:sz w:val="13"/>
                <w:szCs w:val="13"/>
                <w:b w:val="1"/>
                <w:bCs w:val="1"/>
                <w:color w:val="auto"/>
              </w:rPr>
              <w:t>2021</w:t>
            </w:r>
          </w:p>
        </w:tc>
        <w:tc>
          <w:tcPr>
            <w:tcW w:w="14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68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0"/>
        </w:trPr>
        <w:tc>
          <w:tcPr>
            <w:tcW w:w="562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14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66</w:t>
            </w:r>
          </w:p>
        </w:tc>
        <w:tc>
          <w:tcPr>
            <w:tcW w:w="1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82"/>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Payments</w:t>
            </w:r>
          </w:p>
        </w:tc>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2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Net adjustments to liability</w:t>
            </w:r>
          </w:p>
        </w:tc>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62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2140" w:type="dxa"/>
            <w:vAlign w:val="bottom"/>
            <w:tcBorders>
              <w:top w:val="single" w:sz="8" w:color="CFF0FC"/>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62</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ind w:right="382"/>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300" w:firstLine="522"/>
        <w:spacing w:after="0" w:line="237" w:lineRule="auto"/>
        <w:rPr>
          <w:sz w:val="20"/>
          <w:szCs w:val="20"/>
          <w:color w:val="auto"/>
        </w:rPr>
      </w:pPr>
      <w:r>
        <w:rPr>
          <w:rFonts w:ascii="Arial" w:cs="Arial" w:eastAsia="Arial" w:hAnsi="Arial"/>
          <w:sz w:val="16"/>
          <w:szCs w:val="16"/>
          <w:color w:val="auto"/>
        </w:rPr>
        <w:t>As of March 31, 2021, current and non-current deferred revenue was $35 million and $107 million, respectively. As of March 31, 2020, current and non-current deferred revenue was $34 million and $106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7"/>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4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3"/>
                <w:szCs w:val="13"/>
                <w:b w:val="1"/>
                <w:bCs w:val="1"/>
                <w:color w:val="auto"/>
              </w:rPr>
              <w:t>2021</w:t>
            </w:r>
          </w:p>
        </w:tc>
        <w:tc>
          <w:tcPr>
            <w:tcW w:w="1400" w:type="dxa"/>
            <w:vAlign w:val="bottom"/>
            <w:gridSpan w:val="3"/>
          </w:tcPr>
          <w:p>
            <w:pPr>
              <w:jc w:val="right"/>
              <w:ind w:right="347"/>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70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0"/>
        </w:trPr>
        <w:tc>
          <w:tcPr>
            <w:tcW w:w="77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000" w:type="dxa"/>
            <w:vAlign w:val="bottom"/>
            <w:shd w:val="clear" w:color="auto" w:fill="CFF0FC"/>
          </w:tcPr>
          <w:p>
            <w:pPr>
              <w:jc w:val="right"/>
              <w:ind w:right="827"/>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143</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Increases</w:t>
            </w:r>
          </w:p>
        </w:tc>
        <w:tc>
          <w:tcPr>
            <w:tcW w:w="100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Arial" w:cs="Arial" w:eastAsia="Arial" w:hAnsi="Arial"/>
                <w:sz w:val="16"/>
                <w:szCs w:val="16"/>
                <w:b w:val="1"/>
                <w:bCs w:val="1"/>
                <w:color w:val="auto"/>
              </w:rPr>
              <w:t>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6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0"/>
        </w:trPr>
        <w:tc>
          <w:tcPr>
            <w:tcW w:w="774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1000" w:type="dxa"/>
            <w:vAlign w:val="bottom"/>
            <w:tcBorders>
              <w:bottom w:val="single" w:sz="8" w:color="auto"/>
            </w:tcBorders>
          </w:tcPr>
          <w:p>
            <w:pPr>
              <w:jc w:val="right"/>
              <w:ind w:right="827"/>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142</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65"/>
              <w:spacing w:after="0" w:line="180"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522"/>
        <w:spacing w:after="0" w:line="237" w:lineRule="auto"/>
        <w:rPr>
          <w:sz w:val="20"/>
          <w:szCs w:val="20"/>
          <w:color w:val="auto"/>
        </w:rPr>
      </w:pPr>
      <w:r>
        <w:rPr>
          <w:rFonts w:ascii="Arial" w:cs="Arial" w:eastAsia="Arial" w:hAnsi="Arial"/>
          <w:sz w:val="16"/>
          <w:szCs w:val="16"/>
          <w:color w:val="auto"/>
        </w:rPr>
        <w:t>Deferred revenue recorded in current and non-current liabilities related to ETC as of March 31, 2021 was $29 million and $88 million, respectively. Deferred revenue recorded in current and non-current liabilities related to ETC as of March 31, 2020 was $27 million and $87 million,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106"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March 31, 2021,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4" w:lineRule="exact"/>
        <w:rPr>
          <w:sz w:val="20"/>
          <w:szCs w:val="20"/>
          <w:color w:val="auto"/>
        </w:rPr>
      </w:pPr>
    </w:p>
    <w:p>
      <w:pPr>
        <w:jc w:val="both"/>
        <w:ind w:right="60" w:firstLine="522"/>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8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both March 31, 2021 and December 31, 2020 was 4.37%.</w:t>
      </w:r>
    </w:p>
    <w:p>
      <w:pPr>
        <w:spacing w:after="0" w:line="85" w:lineRule="exact"/>
        <w:rPr>
          <w:sz w:val="20"/>
          <w:szCs w:val="20"/>
          <w:color w:val="auto"/>
        </w:rPr>
      </w:pPr>
    </w:p>
    <w:p>
      <w:pPr>
        <w:ind w:right="520" w:firstLine="522"/>
        <w:spacing w:after="0" w:line="234" w:lineRule="auto"/>
        <w:rPr>
          <w:sz w:val="20"/>
          <w:szCs w:val="20"/>
          <w:color w:val="auto"/>
        </w:rPr>
      </w:pPr>
      <w:r>
        <w:rPr>
          <w:rFonts w:ascii="Arial" w:cs="Arial" w:eastAsia="Arial" w:hAnsi="Arial"/>
          <w:sz w:val="16"/>
          <w:szCs w:val="16"/>
          <w:color w:val="auto"/>
        </w:rPr>
        <w:t>As of March 31, 2021, the Company recorded current and non-current operating lease liabilities of $4 million and $16 million, respectively. As of December 31, 2020, the Company recorded current and non-current operating lease liabilities of $4 million and $17 million, respectively. The following table reconciles total operating lease liabilities as of March 31, 2021 to future undiscounted cash flows for operating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jc w:val="right"/>
              <w:ind w:right="685"/>
              <w:spacing w:after="0"/>
              <w:rPr>
                <w:sz w:val="20"/>
                <w:szCs w:val="20"/>
                <w:color w:val="auto"/>
              </w:rPr>
            </w:pPr>
            <w:r>
              <w:rPr>
                <w:rFonts w:ascii="Arial" w:cs="Arial" w:eastAsia="Arial" w:hAnsi="Arial"/>
                <w:sz w:val="13"/>
                <w:szCs w:val="13"/>
                <w:b w:val="1"/>
                <w:bCs w:val="1"/>
                <w:color w:val="auto"/>
              </w:rPr>
              <w:t>March 31,</w:t>
            </w:r>
          </w:p>
        </w:tc>
      </w:tr>
      <w:tr>
        <w:trPr>
          <w:trHeight w:val="153"/>
        </w:trPr>
        <w:tc>
          <w:tcPr>
            <w:tcW w:w="9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2021</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4</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2022</w:t>
            </w:r>
          </w:p>
        </w:tc>
        <w:tc>
          <w:tcPr>
            <w:tcW w:w="380" w:type="dxa"/>
            <w:vAlign w:val="bottom"/>
          </w:tcPr>
          <w:p>
            <w:pPr>
              <w:spacing w:after="0"/>
              <w:rPr>
                <w:sz w:val="16"/>
                <w:szCs w:val="16"/>
                <w:color w:val="auto"/>
              </w:rPr>
            </w:pPr>
          </w:p>
        </w:tc>
        <w:tc>
          <w:tcPr>
            <w:tcW w:w="1620" w:type="dxa"/>
            <w:vAlign w:val="bottom"/>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16"/>
                <w:szCs w:val="16"/>
                <w:color w:val="auto"/>
              </w:rPr>
            </w:pPr>
          </w:p>
        </w:tc>
        <w:tc>
          <w:tcPr>
            <w:tcW w:w="1620" w:type="dxa"/>
            <w:vAlign w:val="bottom"/>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9</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24</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20</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jc w:val="right"/>
              <w:ind w:right="687"/>
              <w:spacing w:after="0"/>
              <w:rPr>
                <w:sz w:val="20"/>
                <w:szCs w:val="20"/>
                <w:color w:val="auto"/>
              </w:rPr>
            </w:pPr>
            <w:r>
              <w:rPr>
                <w:rFonts w:ascii="Arial" w:cs="Arial" w:eastAsia="Arial" w:hAnsi="Arial"/>
                <w:sz w:val="13"/>
                <w:szCs w:val="13"/>
                <w:b w:val="1"/>
                <w:bCs w:val="1"/>
                <w:color w:val="auto"/>
              </w:rPr>
              <w:t>March 31,</w:t>
            </w:r>
          </w:p>
        </w:tc>
      </w:tr>
      <w:tr>
        <w:trPr>
          <w:trHeight w:val="153"/>
        </w:trPr>
        <w:tc>
          <w:tcPr>
            <w:tcW w:w="9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18</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16"/>
                <w:szCs w:val="16"/>
                <w:color w:val="auto"/>
              </w:rPr>
            </w:pPr>
          </w:p>
        </w:tc>
        <w:tc>
          <w:tcPr>
            <w:tcW w:w="162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right-of-use assets</w:t>
            </w:r>
          </w:p>
        </w:tc>
        <w:tc>
          <w:tcPr>
            <w:tcW w:w="380" w:type="dxa"/>
            <w:vAlign w:val="bottom"/>
            <w:tcBorders>
              <w:bottom w:val="single" w:sz="8" w:color="auto"/>
            </w:tcBorders>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20</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March 31, 2021 and March 31, 2020 was 7.4 years and 7.7 years, respectively.</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jc w:val="both"/>
        <w:ind w:right="140" w:firstLine="522"/>
        <w:spacing w:after="0" w:line="234" w:lineRule="auto"/>
        <w:rPr>
          <w:sz w:val="20"/>
          <w:szCs w:val="20"/>
          <w:color w:val="auto"/>
        </w:rPr>
      </w:pPr>
      <w:r>
        <w:rPr>
          <w:rFonts w:ascii="Arial" w:cs="Arial" w:eastAsia="Arial" w:hAnsi="Arial"/>
          <w:sz w:val="16"/>
          <w:szCs w:val="16"/>
          <w:color w:val="auto"/>
        </w:rPr>
        <w:t>Operating lease expense was $1 million in each of the three months ended March 31, 2021 and 2020, recorded within Selling, general and administrative expense and Engineering - research and development on the Company's Condensed Consolidated Statements of Comprehensive Income. There was no short-term operating lease expense for the three months ended March 31, 2021 and 2020.</w:t>
      </w:r>
    </w:p>
    <w:p>
      <w:pPr>
        <w:spacing w:after="0" w:line="84" w:lineRule="exact"/>
        <w:rPr>
          <w:sz w:val="20"/>
          <w:szCs w:val="20"/>
          <w:color w:val="auto"/>
        </w:rPr>
      </w:pPr>
    </w:p>
    <w:p>
      <w:pPr>
        <w:ind w:right="160" w:firstLine="522"/>
        <w:spacing w:after="0" w:line="234"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March 31, 2021 and December 31, 2020. During the three months ended March 31, 2021 and 2020, the Company recorded zero and $1 million, respectively, of new ROU assets obtained in exchange for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jc w:val="right"/>
              <w:ind w:right="47"/>
              <w:spacing w:after="0"/>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w w:val="96"/>
              </w:rPr>
              <w:t>2021</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center"/>
              <w:ind w:right="446"/>
              <w:spacing w:after="0" w:line="180" w:lineRule="exact"/>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53</w:t>
            </w:r>
          </w:p>
        </w:tc>
        <w:tc>
          <w:tcPr>
            <w:tcW w:w="520" w:type="dxa"/>
            <w:vAlign w:val="bottom"/>
            <w:gridSpan w:val="3"/>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Accrued interest payable</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Taxes payable</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Sales allowances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Vendor buyback obligation</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Derivative liabilities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Non-trade payables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0"/>
        </w:trPr>
        <w:tc>
          <w:tcPr>
            <w:tcW w:w="43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446"/>
              <w:spacing w:after="0" w:line="180"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178</w:t>
            </w:r>
          </w:p>
        </w:tc>
        <w:tc>
          <w:tcPr>
            <w:tcW w:w="520" w:type="dxa"/>
            <w:vAlign w:val="bottom"/>
            <w:gridSpan w:val="3"/>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ind w:right="62"/>
              <w:spacing w:after="0" w:line="180"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NOTE M. EMPLOYEE BENEFIT PLANS</w:t>
            </w: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gridSpan w:val="5"/>
          </w:tcPr>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4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3"/>
                <w:szCs w:val="13"/>
                <w:b w:val="1"/>
                <w:bCs w:val="1"/>
                <w:color w:val="auto"/>
                <w:w w:val="94"/>
              </w:rPr>
              <w:t>Pension Plans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Post-retirement Benefits</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gridSpan w:val="5"/>
          </w:tcPr>
          <w:p>
            <w:pPr>
              <w:jc w:val="center"/>
              <w:ind w:right="186"/>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gridSpan w:val="6"/>
          </w:tcPr>
          <w:p>
            <w:pPr>
              <w:jc w:val="center"/>
              <w:ind w:right="20"/>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09"/>
              <w:spacing w:after="0"/>
              <w:rPr>
                <w:sz w:val="20"/>
                <w:szCs w:val="20"/>
                <w:color w:val="auto"/>
              </w:rPr>
            </w:pPr>
            <w:r>
              <w:rPr>
                <w:rFonts w:ascii="Arial" w:cs="Arial" w:eastAsia="Arial" w:hAnsi="Arial"/>
                <w:sz w:val="13"/>
                <w:szCs w:val="13"/>
                <w:b w:val="1"/>
                <w:bCs w:val="1"/>
                <w:color w:val="auto"/>
                <w:w w:val="96"/>
              </w:rPr>
              <w:t>Ended March 31,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4"/>
              </w:rPr>
              <w:t>Ended March 31,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69"/>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gridSpan w:val="2"/>
          </w:tcPr>
          <w:p>
            <w:pPr>
              <w:jc w:val="center"/>
              <w:ind w:right="346"/>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5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Service cost</w:t>
            </w:r>
          </w:p>
        </w:tc>
        <w:tc>
          <w:tcPr>
            <w:tcW w:w="17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9"/>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560" w:type="dxa"/>
            <w:vAlign w:val="bottom"/>
            <w:gridSpan w:val="3"/>
          </w:tcPr>
          <w:p>
            <w:pPr>
              <w:jc w:val="right"/>
              <w:ind w:right="167"/>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96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5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4340" w:type="dxa"/>
            <w:vAlign w:val="bottom"/>
          </w:tcPr>
          <w:p>
            <w:pPr>
              <w:spacing w:after="0" w:line="179" w:lineRule="exact"/>
              <w:rPr>
                <w:sz w:val="20"/>
                <w:szCs w:val="20"/>
                <w:color w:val="auto"/>
              </w:rPr>
            </w:pPr>
            <w:r>
              <w:rPr>
                <w:rFonts w:ascii="Arial" w:cs="Arial" w:eastAsia="Arial" w:hAnsi="Arial"/>
                <w:sz w:val="16"/>
                <w:szCs w:val="16"/>
                <w:color w:val="auto"/>
              </w:rPr>
              <w:t>Net periodic benefit cost (credit)</w:t>
            </w:r>
          </w:p>
        </w:tc>
        <w:tc>
          <w:tcPr>
            <w:tcW w:w="15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49"/>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spacing w:after="0"/>
              <w:rPr>
                <w:sz w:val="15"/>
                <w:szCs w:val="15"/>
                <w:color w:val="auto"/>
              </w:rPr>
            </w:pPr>
          </w:p>
        </w:tc>
        <w:tc>
          <w:tcPr>
            <w:tcW w:w="520" w:type="dxa"/>
            <w:vAlign w:val="bottom"/>
            <w:gridSpan w:val="3"/>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960" w:type="dxa"/>
            <w:vAlign w:val="bottom"/>
            <w:gridSpan w:val="2"/>
          </w:tcPr>
          <w:p>
            <w:pPr>
              <w:jc w:val="right"/>
              <w:ind w:right="740"/>
              <w:spacing w:after="0" w:line="180"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(expense), net in the Condensed Consolidated Statements of Comprehensive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jc w:val="both"/>
        <w:ind w:right="160" w:firstLine="522"/>
        <w:spacing w:after="0" w:line="234" w:lineRule="auto"/>
        <w:rPr>
          <w:sz w:val="20"/>
          <w:szCs w:val="20"/>
          <w:color w:val="auto"/>
        </w:rPr>
      </w:pPr>
      <w:r>
        <w:rPr>
          <w:rFonts w:ascii="Arial" w:cs="Arial" w:eastAsia="Arial" w:hAnsi="Arial"/>
          <w:sz w:val="16"/>
          <w:szCs w:val="16"/>
          <w:color w:val="auto"/>
        </w:rPr>
        <w:t>For the three months ended March 31, 2021, the Company recorded total income tax expense of $34 million. The effective tax rate for the three months ended March 31, 2021 was 22%. For the three months ended March 31, 2020, the Company recorded total income tax expense of $42 million. The effective tax rate for the three months ended March 31, 2020 was 23%.</w:t>
      </w:r>
    </w:p>
    <w:p>
      <w:pPr>
        <w:spacing w:after="0" w:line="8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March 31, 2021 and December 31, 2020.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jc w:val="center"/>
              <w:ind w:left="152"/>
              <w:spacing w:after="0"/>
              <w:rPr>
                <w:sz w:val="20"/>
                <w:szCs w:val="20"/>
                <w:color w:val="auto"/>
              </w:rPr>
            </w:pPr>
            <w:r>
              <w:rPr>
                <w:rFonts w:ascii="Arial" w:cs="Arial" w:eastAsia="Arial" w:hAnsi="Arial"/>
                <w:sz w:val="13"/>
                <w:szCs w:val="13"/>
                <w:b w:val="1"/>
                <w:bCs w:val="1"/>
                <w:color w:val="auto"/>
                <w:w w:val="94"/>
              </w:rPr>
              <w:t>Pension</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72"/>
              <w:spacing w:after="0" w:line="141" w:lineRule="exact"/>
              <w:rPr>
                <w:sz w:val="20"/>
                <w:szCs w:val="20"/>
                <w:color w:val="auto"/>
              </w:rPr>
            </w:pPr>
            <w:r>
              <w:rPr>
                <w:rFonts w:ascii="Arial" w:cs="Arial" w:eastAsia="Arial" w:hAnsi="Arial"/>
                <w:sz w:val="13"/>
                <w:szCs w:val="13"/>
                <w:b w:val="1"/>
                <w:bCs w:val="1"/>
                <w:color w:val="auto"/>
                <w:w w:val="97"/>
              </w:rPr>
              <w:t>and OPEB</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52"/>
              <w:spacing w:after="0" w:line="141" w:lineRule="exact"/>
              <w:rPr>
                <w:sz w:val="20"/>
                <w:szCs w:val="20"/>
                <w:color w:val="auto"/>
              </w:rPr>
            </w:pPr>
            <w:r>
              <w:rPr>
                <w:rFonts w:ascii="Arial" w:cs="Arial" w:eastAsia="Arial" w:hAnsi="Arial"/>
                <w:sz w:val="13"/>
                <w:szCs w:val="13"/>
                <w:b w:val="1"/>
                <w:bCs w:val="1"/>
                <w:color w:val="auto"/>
                <w:w w:val="98"/>
              </w:rPr>
              <w:t>liability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84"/>
              <w:spacing w:after="0" w:line="141"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48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3"/>
                <w:szCs w:val="13"/>
                <w:b w:val="1"/>
                <w:bCs w:val="1"/>
                <w:color w:val="auto"/>
                <w:w w:val="95"/>
              </w:rPr>
              <w:t>adjustment</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48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2019</w:t>
            </w:r>
          </w:p>
        </w:tc>
        <w:tc>
          <w:tcPr>
            <w:tcW w:w="1880" w:type="dxa"/>
            <w:vAlign w:val="bottom"/>
            <w:gridSpan w:val="2"/>
            <w:shd w:val="clear" w:color="auto" w:fill="CFF0FC"/>
          </w:tcPr>
          <w:p>
            <w:pPr>
              <w:jc w:val="right"/>
              <w:ind w:right="752"/>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(26)</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(52)</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(31)</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(5)</w:t>
            </w:r>
          </w:p>
        </w:tc>
      </w:tr>
      <w:tr>
        <w:trPr>
          <w:trHeight w:val="188"/>
        </w:trPr>
        <w:tc>
          <w:tcPr>
            <w:tcW w:w="48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 benefit</w:t>
            </w:r>
          </w:p>
        </w:tc>
        <w:tc>
          <w:tcPr>
            <w:tcW w:w="98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7</w:t>
            </w:r>
          </w:p>
        </w:tc>
      </w:tr>
      <w:tr>
        <w:trPr>
          <w:trHeight w:val="180"/>
        </w:trPr>
        <w:tc>
          <w:tcPr>
            <w:tcW w:w="48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980" w:type="dxa"/>
            <w:vAlign w:val="bottom"/>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(29)</w:t>
            </w:r>
          </w:p>
        </w:tc>
      </w:tr>
      <w:tr>
        <w:trPr>
          <w:trHeight w:val="22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March 31, 2020</w:t>
            </w:r>
          </w:p>
        </w:tc>
        <w:tc>
          <w:tcPr>
            <w:tcW w:w="9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(81)</w:t>
            </w:r>
          </w:p>
        </w:tc>
      </w:tr>
      <w:tr>
        <w:trPr>
          <w:trHeight w:val="163"/>
        </w:trPr>
        <w:tc>
          <w:tcPr>
            <w:tcW w:w="48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December 31, 2020</w:t>
            </w:r>
          </w:p>
        </w:tc>
        <w:tc>
          <w:tcPr>
            <w:tcW w:w="1880" w:type="dxa"/>
            <w:vAlign w:val="bottom"/>
            <w:gridSpan w:val="2"/>
            <w:shd w:val="clear" w:color="auto" w:fill="CFF0FC"/>
          </w:tcPr>
          <w:p>
            <w:pPr>
              <w:jc w:val="right"/>
              <w:ind w:right="752"/>
              <w:spacing w:after="0" w:line="16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w w:val="98"/>
              </w:rPr>
              <w:t>(19)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7"/>
              <w:spacing w:after="0" w:line="16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(46)</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63" w:lineRule="exact"/>
              <w:rPr>
                <w:sz w:val="20"/>
                <w:szCs w:val="20"/>
                <w:color w:val="auto"/>
              </w:rPr>
            </w:pPr>
            <w:r>
              <w:rPr>
                <w:rFonts w:ascii="Arial" w:cs="Arial" w:eastAsia="Arial" w:hAnsi="Arial"/>
                <w:sz w:val="16"/>
                <w:szCs w:val="16"/>
                <w:color w:val="auto"/>
              </w:rPr>
              <w:t>(89)</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b w:val="1"/>
                <w:bCs w:val="1"/>
                <w:color w:val="auto"/>
              </w:rPr>
              <w:t>8</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(2)</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Income tax benefit</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(3)</w:t>
            </w:r>
          </w:p>
        </w:tc>
      </w:tr>
      <w:tr>
        <w:trPr>
          <w:trHeight w:val="180"/>
        </w:trPr>
        <w:tc>
          <w:tcPr>
            <w:tcW w:w="48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9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11</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b w:val="1"/>
                <w:bCs w:val="1"/>
                <w:color w:val="auto"/>
              </w:rPr>
              <w:t>3</w:t>
            </w:r>
          </w:p>
        </w:tc>
      </w:tr>
      <w:tr>
        <w:trPr>
          <w:trHeight w:val="180"/>
        </w:trPr>
        <w:tc>
          <w:tcPr>
            <w:tcW w:w="4860" w:type="dxa"/>
            <w:vAlign w:val="bottom"/>
          </w:tcPr>
          <w:p>
            <w:pPr>
              <w:spacing w:after="0" w:line="180" w:lineRule="exact"/>
              <w:rPr>
                <w:sz w:val="20"/>
                <w:szCs w:val="20"/>
                <w:color w:val="auto"/>
              </w:rPr>
            </w:pPr>
            <w:r>
              <w:rPr>
                <w:rFonts w:ascii="Arial" w:cs="Arial" w:eastAsia="Arial" w:hAnsi="Arial"/>
                <w:sz w:val="16"/>
                <w:szCs w:val="16"/>
                <w:color w:val="auto"/>
              </w:rPr>
              <w:t>AOCL as of March 31, 2021</w:t>
            </w:r>
          </w:p>
        </w:tc>
        <w:tc>
          <w:tcPr>
            <w:tcW w:w="980" w:type="dxa"/>
            <w:vAlign w:val="bottom"/>
          </w:tcPr>
          <w:p>
            <w:pPr>
              <w:spacing w:after="0"/>
              <w:rPr>
                <w:sz w:val="15"/>
                <w:szCs w:val="15"/>
                <w:color w:val="auto"/>
              </w:rPr>
            </w:pP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8"/>
              </w:rPr>
              <w:t>(21)</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(86)</w:t>
            </w: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70"/>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March 31, 2021</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March 31, 2020</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70"/>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80" w:type="dxa"/>
            <w:vAlign w:val="bottom"/>
            <w:tcBorders>
              <w:bottom w:val="single" w:sz="8" w:color="auto"/>
            </w:tcBorders>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Pr>
          <w:p>
            <w:pPr>
              <w:spacing w:after="0"/>
              <w:rPr>
                <w:sz w:val="16"/>
                <w:szCs w:val="16"/>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3360" w:type="dxa"/>
            <w:vAlign w:val="bottom"/>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580" w:type="dxa"/>
            <w:vAlign w:val="bottom"/>
            <w:tcBorders>
              <w:top w:val="single" w:sz="8" w:color="auto"/>
              <w:bottom w:val="single" w:sz="8" w:color="auto"/>
            </w:tcBorders>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580" w:type="dxa"/>
            <w:vAlign w:val="bottom"/>
            <w:tcBorders>
              <w:top w:val="single" w:sz="8" w:color="auto"/>
              <w:bottom w:val="single" w:sz="8" w:color="auto"/>
            </w:tcBorders>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33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(credit). See NOTE M, “Employee Benefit Plans” for additional details.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ind w:right="220" w:firstLine="522"/>
        <w:spacing w:after="0" w:line="234"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As of March 31, 2021, the Company had a liability recorded in the amount of $3 million.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120" w:firstLine="522"/>
        <w:spacing w:after="0" w:line="252"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140" w:firstLine="522"/>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months ended March 31, 2021, there were 1 million outstanding stock options excluded from the diluted EPS calculation because they were anti-dilutive. For the three months ended March 31, 2020, there were no outstanding stock options excluded from the diluted EPS calculation because they were anti-dilutive.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7"/>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40" w:type="dxa"/>
            <w:vAlign w:val="bottom"/>
          </w:tcPr>
          <w:p>
            <w:pPr>
              <w:spacing w:after="0"/>
              <w:rPr>
                <w:sz w:val="14"/>
                <w:szCs w:val="14"/>
                <w:color w:val="auto"/>
              </w:rPr>
            </w:pPr>
          </w:p>
        </w:tc>
        <w:tc>
          <w:tcPr>
            <w:tcW w:w="100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2021</w:t>
            </w:r>
          </w:p>
        </w:tc>
        <w:tc>
          <w:tcPr>
            <w:tcW w:w="1400" w:type="dxa"/>
            <w:vAlign w:val="bottom"/>
            <w:gridSpan w:val="3"/>
          </w:tcPr>
          <w:p>
            <w:pPr>
              <w:jc w:val="right"/>
              <w:ind w:right="347"/>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70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0"/>
        </w:trPr>
        <w:tc>
          <w:tcPr>
            <w:tcW w:w="77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FF0FC"/>
          </w:tcPr>
          <w:p>
            <w:pPr>
              <w:jc w:val="right"/>
              <w:ind w:right="826"/>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120</w:t>
            </w:r>
          </w:p>
        </w:tc>
        <w:tc>
          <w:tcPr>
            <w:tcW w:w="1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1000" w:type="dxa"/>
            <w:vAlign w:val="bottom"/>
          </w:tcPr>
          <w:p>
            <w:pPr>
              <w:spacing w:after="0"/>
              <w:rPr>
                <w:sz w:val="14"/>
                <w:szCs w:val="14"/>
                <w:color w:val="auto"/>
              </w:rPr>
            </w:pPr>
          </w:p>
        </w:tc>
        <w:tc>
          <w:tcPr>
            <w:tcW w:w="660" w:type="dxa"/>
            <w:vAlign w:val="bottom"/>
          </w:tcPr>
          <w:p>
            <w:pPr>
              <w:jc w:val="right"/>
              <w:ind w:right="46"/>
              <w:spacing w:after="0" w:line="163" w:lineRule="exact"/>
              <w:rPr>
                <w:sz w:val="20"/>
                <w:szCs w:val="20"/>
                <w:color w:val="auto"/>
              </w:rPr>
            </w:pPr>
            <w:r>
              <w:rPr>
                <w:rFonts w:ascii="Arial" w:cs="Arial" w:eastAsia="Arial" w:hAnsi="Arial"/>
                <w:sz w:val="16"/>
                <w:szCs w:val="16"/>
                <w:b w:val="1"/>
                <w:bCs w:val="1"/>
                <w:color w:val="auto"/>
              </w:rPr>
              <w:t>111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64"/>
              <w:spacing w:after="0" w:line="163"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112</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3"/>
        </w:trPr>
        <w:tc>
          <w:tcPr>
            <w:tcW w:w="774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1000" w:type="dxa"/>
            <w:vAlign w:val="bottom"/>
            <w:tcBorders>
              <w:bottom w:val="single" w:sz="8" w:color="auto"/>
            </w:tcBorders>
            <w:shd w:val="clear" w:color="auto" w:fill="CFF0FC"/>
          </w:tcPr>
          <w:p>
            <w:pPr>
              <w:jc w:val="right"/>
              <w:ind w:right="826"/>
              <w:spacing w:after="0" w:line="163"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FF0FC"/>
          </w:tcPr>
          <w:p>
            <w:pPr>
              <w:jc w:val="right"/>
              <w:ind w:right="46"/>
              <w:spacing w:after="0" w:line="163" w:lineRule="exact"/>
              <w:rPr>
                <w:sz w:val="20"/>
                <w:szCs w:val="20"/>
                <w:color w:val="auto"/>
              </w:rPr>
            </w:pPr>
            <w:r>
              <w:rPr>
                <w:rFonts w:ascii="Arial" w:cs="Arial" w:eastAsia="Arial" w:hAnsi="Arial"/>
                <w:sz w:val="16"/>
                <w:szCs w:val="16"/>
                <w:b w:val="1"/>
                <w:bCs w:val="1"/>
                <w:color w:val="auto"/>
              </w:rPr>
              <w:t>1.08</w:t>
            </w:r>
          </w:p>
        </w:tc>
        <w:tc>
          <w:tcPr>
            <w:tcW w:w="18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407"/>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64"/>
              <w:spacing w:after="0" w:line="163"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1000" w:type="dxa"/>
            <w:vAlign w:val="bottom"/>
            <w:tcBorders>
              <w:bottom w:val="single" w:sz="8" w:color="auto"/>
            </w:tcBorders>
          </w:tcPr>
          <w:p>
            <w:pPr>
              <w:jc w:val="right"/>
              <w:ind w:right="826"/>
              <w:spacing w:after="0" w:line="163"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46"/>
              <w:spacing w:after="0" w:line="163" w:lineRule="exact"/>
              <w:rPr>
                <w:sz w:val="20"/>
                <w:szCs w:val="20"/>
                <w:color w:val="auto"/>
              </w:rPr>
            </w:pPr>
            <w:r>
              <w:rPr>
                <w:rFonts w:ascii="Arial" w:cs="Arial" w:eastAsia="Arial" w:hAnsi="Arial"/>
                <w:sz w:val="16"/>
                <w:szCs w:val="16"/>
                <w:b w:val="1"/>
                <w:bCs w:val="1"/>
                <w:color w:val="auto"/>
              </w:rPr>
              <w:t>1.07</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407"/>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64"/>
              <w:spacing w:after="0" w:line="163"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The Company’s current stock repurchase program (the “Repurchase Program”) was announced on November 14, 2016 when the Board of Directors authorized the Company to repurchase up to $1,000 million of its common stock on the open market or through privately negotiated transactions. On November 8, 2017, July 30, 2018 and May 9, 2019, the Board of Directors authorized the Company to repurchase an additional $500 million, $500 million and $1,000 million, respectively,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84"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During the three months ended March 31, 2021, the Company repurchased $96 million of its common stock under the Repurchase Program, leaving $731 million of authorized repurchases remaining under the Repurchase Program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firstLine="522"/>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6"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2020 as filed with the Securities and Exchange Commission ("SEC") on February 18, 2021. Our actual results may differ materially from those contained in or implied by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60" w:firstLine="528"/>
        <w:spacing w:after="0" w:line="266" w:lineRule="auto"/>
        <w:rPr>
          <w:sz w:val="20"/>
          <w:szCs w:val="20"/>
          <w:color w:val="auto"/>
        </w:rPr>
      </w:pPr>
      <w:r>
        <w:rPr>
          <w:rFonts w:ascii="Arial" w:cs="Arial" w:eastAsia="Arial" w:hAnsi="Arial"/>
          <w:sz w:val="15"/>
          <w:szCs w:val="15"/>
          <w:color w:val="auto"/>
        </w:rPr>
        <w:t>Although approximately 79% of revenues were generated in North America in 2020, we have a global presence by serving customers in Europe, Asia, South America and Africa. We serve customers through an independent network of approximately 1,400 independent distributor and dealer locations worldwide.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right="20" w:firstLine="522"/>
        <w:spacing w:after="0" w:line="231"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first quarter of 2021, the COVID-19 pandemic continued to create volatility in our business performance and impact global markets and supply chains. Our net sales are driven by commercial vehicle production, which tends to be highly correlated to macroeconomic conditions. We expect our net sales for 2021 to increase compared to 2020 principally driven by the global On-Highway, Service Parts, Support Equipment &amp; Other and North America Off-Highway end markets as a result of the ongoing global economic recovery and price increases on certain products. We continue to monitor and proactively mitigate risks in our supply chain, including the global shortage of semiconductors and its impact on the availability of our transmission control modules. We, our suppliers and our customers are all taking actions to reduce the impact of the semiconductor shortage; however, if the shortage persists, the impact on our business could be material.</w:t>
      </w:r>
    </w:p>
    <w:p>
      <w:pPr>
        <w:spacing w:after="0" w:line="87"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of vaccinations, travel bans and restrictions, quarantines, curfews, stay-at-home orders, social distancing guidelines and business shutdowns and closures. We are also continuing to take a variety of measures to promote the safety and security of our employees and to maintain operations with as minimal impact as possible to our stakeholders, including increased frequency of cleaning and disinfecting of facilities, social distancing, occupancy limits, mask wearing requirements, onsite testing, remote working, travel restrictions, limitations on visitor access to facilities and, most recently, administration of vaccinations at our corporate headquarters. As a result, we have been able to continue our manufacturing operations and deliver our products to customers with minimal disruptions.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First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Q1 2021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Q1 2020</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352</w:t>
            </w:r>
          </w:p>
        </w:tc>
        <w:tc>
          <w:tcPr>
            <w:tcW w:w="16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(9)%</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w:t>
            </w:r>
          </w:p>
        </w:tc>
        <w:tc>
          <w:tcPr>
            <w:tcW w:w="1680" w:type="dxa"/>
            <w:vAlign w:val="bottom"/>
            <w:gridSpan w:val="2"/>
            <w:shd w:val="clear" w:color="auto" w:fill="CFF0FC"/>
          </w:tcPr>
          <w:p>
            <w:pPr>
              <w:jc w:val="right"/>
              <w:ind w:right="17"/>
              <w:spacing w:after="0"/>
              <w:rPr>
                <w:sz w:val="20"/>
                <w:szCs w:val="20"/>
                <w:color w:val="auto"/>
              </w:rPr>
            </w:pPr>
            <w:r>
              <w:rPr>
                <w:rFonts w:ascii="Arial" w:cs="Arial" w:eastAsia="Arial" w:hAnsi="Arial"/>
                <w:sz w:val="16"/>
                <w:szCs w:val="16"/>
                <w:color w:val="auto"/>
              </w:rPr>
              <w:t>13%</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72</w:t>
            </w:r>
          </w:p>
        </w:tc>
        <w:tc>
          <w:tcPr>
            <w:tcW w:w="1680" w:type="dxa"/>
            <w:vAlign w:val="bottom"/>
            <w:gridSpan w:val="2"/>
          </w:tcPr>
          <w:p>
            <w:pPr>
              <w:jc w:val="right"/>
              <w:ind w:right="17"/>
              <w:spacing w:after="0"/>
              <w:rPr>
                <w:sz w:val="20"/>
                <w:szCs w:val="20"/>
                <w:color w:val="auto"/>
              </w:rPr>
            </w:pPr>
            <w:r>
              <w:rPr>
                <w:rFonts w:ascii="Arial" w:cs="Arial" w:eastAsia="Arial" w:hAnsi="Arial"/>
                <w:sz w:val="16"/>
                <w:szCs w:val="16"/>
                <w:color w:val="auto"/>
              </w:rPr>
              <w:t>17%</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27</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138</w:t>
            </w:r>
          </w:p>
        </w:tc>
        <w:tc>
          <w:tcPr>
            <w:tcW w:w="16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(12)%</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588</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637</w:t>
            </w:r>
          </w:p>
        </w:tc>
        <w:tc>
          <w:tcPr>
            <w:tcW w:w="168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(8)%</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522"/>
        <w:spacing w:after="0" w:line="249" w:lineRule="auto"/>
        <w:rPr>
          <w:sz w:val="20"/>
          <w:szCs w:val="20"/>
          <w:color w:val="auto"/>
        </w:rPr>
      </w:pPr>
      <w:r>
        <w:rPr>
          <w:rFonts w:ascii="Arial" w:cs="Arial" w:eastAsia="Arial" w:hAnsi="Arial"/>
          <w:sz w:val="16"/>
          <w:szCs w:val="16"/>
          <w:color w:val="auto"/>
        </w:rPr>
        <w:t>North America On-Highway end market net sales were down 9% for the first quarter 2021 compared to the first quarter 2020, principally driven by lower demand due to the continued effects of the COVID-19 pandemic.</w:t>
      </w:r>
    </w:p>
    <w:p>
      <w:pPr>
        <w:spacing w:after="0" w:line="76" w:lineRule="exact"/>
        <w:rPr>
          <w:sz w:val="20"/>
          <w:szCs w:val="20"/>
          <w:color w:val="auto"/>
        </w:rPr>
      </w:pPr>
    </w:p>
    <w:p>
      <w:pPr>
        <w:ind w:right="260" w:firstLine="522"/>
        <w:spacing w:after="0" w:line="237" w:lineRule="auto"/>
        <w:rPr>
          <w:sz w:val="20"/>
          <w:szCs w:val="20"/>
          <w:color w:val="auto"/>
        </w:rPr>
      </w:pPr>
      <w:r>
        <w:rPr>
          <w:rFonts w:ascii="Arial" w:cs="Arial" w:eastAsia="Arial" w:hAnsi="Arial"/>
          <w:sz w:val="16"/>
          <w:szCs w:val="16"/>
          <w:color w:val="auto"/>
        </w:rPr>
        <w:t>North America Off-Highway end market net sales were down $6 million for the first quarter 2021 compared to the first quarter 2020, principally driven by lower demand for hydraulic fracturing applications.</w:t>
      </w:r>
    </w:p>
    <w:p>
      <w:pPr>
        <w:spacing w:after="0" w:line="83" w:lineRule="exact"/>
        <w:rPr>
          <w:sz w:val="20"/>
          <w:szCs w:val="20"/>
          <w:color w:val="auto"/>
        </w:rPr>
      </w:pPr>
    </w:p>
    <w:p>
      <w:pPr>
        <w:ind w:right="220" w:firstLine="522"/>
        <w:spacing w:after="0" w:line="237" w:lineRule="auto"/>
        <w:rPr>
          <w:sz w:val="20"/>
          <w:szCs w:val="20"/>
          <w:color w:val="auto"/>
        </w:rPr>
      </w:pPr>
      <w:r>
        <w:rPr>
          <w:rFonts w:ascii="Arial" w:cs="Arial" w:eastAsia="Arial" w:hAnsi="Arial"/>
          <w:sz w:val="16"/>
          <w:szCs w:val="16"/>
          <w:color w:val="auto"/>
        </w:rPr>
        <w:t>Defense end market net sales were up 13% for the first quarter 2021 compared to the first quarter 2020, principally driven by higher demand for Tracked vehicle applications.</w:t>
      </w:r>
    </w:p>
    <w:p>
      <w:pPr>
        <w:spacing w:after="0" w:line="83" w:lineRule="exact"/>
        <w:rPr>
          <w:sz w:val="20"/>
          <w:szCs w:val="20"/>
          <w:color w:val="auto"/>
        </w:rPr>
      </w:pPr>
    </w:p>
    <w:p>
      <w:pPr>
        <w:ind w:right="220" w:firstLine="522"/>
        <w:spacing w:after="0" w:line="237" w:lineRule="auto"/>
        <w:rPr>
          <w:sz w:val="20"/>
          <w:szCs w:val="20"/>
          <w:color w:val="auto"/>
        </w:rPr>
      </w:pPr>
      <w:r>
        <w:rPr>
          <w:rFonts w:ascii="Arial" w:cs="Arial" w:eastAsia="Arial" w:hAnsi="Arial"/>
          <w:sz w:val="16"/>
          <w:szCs w:val="16"/>
          <w:color w:val="auto"/>
        </w:rPr>
        <w:t>Outside North America On-Highway end market net sales were up 17% for the first quarter 2021 compared to the first quarter 2020, principally driven by higher demand in Asia.</w:t>
      </w:r>
    </w:p>
    <w:p>
      <w:pPr>
        <w:spacing w:after="0" w:line="83" w:lineRule="exact"/>
        <w:rPr>
          <w:sz w:val="20"/>
          <w:szCs w:val="20"/>
          <w:color w:val="auto"/>
        </w:rPr>
      </w:pPr>
    </w:p>
    <w:p>
      <w:pPr>
        <w:ind w:right="280" w:firstLine="522"/>
        <w:spacing w:after="0" w:line="237" w:lineRule="auto"/>
        <w:rPr>
          <w:sz w:val="20"/>
          <w:szCs w:val="20"/>
          <w:color w:val="auto"/>
        </w:rPr>
      </w:pPr>
      <w:r>
        <w:rPr>
          <w:rFonts w:ascii="Arial" w:cs="Arial" w:eastAsia="Arial" w:hAnsi="Arial"/>
          <w:sz w:val="16"/>
          <w:szCs w:val="16"/>
          <w:color w:val="auto"/>
        </w:rPr>
        <w:t>Outside North America Off-Highway end market net sales were down $11 million for the first quarter 2021 compared to the first quarter 2020, principally driven by lower demand in the energy sector.</w:t>
      </w:r>
    </w:p>
    <w:p>
      <w:pPr>
        <w:spacing w:after="0" w:line="83"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Service Parts, Support Equipment and Other end market net sales were down 12% for the first quarter 2021 compared to the first quarter 2020, principally driven by lower demand for North America service parts.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Our primary components of cost of sales are purchased parts, overhead expense related to our manufacturing operations and direct labor associated with the manufacture and assembly of transmissions and parts. For the three months ended March 31, 2021, direct material costs were approximately 65%, overhead costs were approximately 26%, and direct labor costs were approximately 9% of total cost of sales. We are subject to changes in our cost of sales caused by movements in underlying commodity prices. We seek to hedge against this risk by using long-term agreements, as appropriate. See Part I, Item 3 “Quantitative and Qualitative Disclosures about Market Risk—Commodity Price Risk” included below.</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840" w:firstLine="522"/>
        <w:spacing w:after="0" w:line="266"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$636 million due March 2026 (“New Term Loan”). Adjusted EBITDA as a percent of net sales is calculated as Adjusted EBITDA divided by net sales.</w:t>
      </w:r>
    </w:p>
    <w:p>
      <w:pPr>
        <w:spacing w:after="0" w:line="128"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4" w:lineRule="exact"/>
        <w:rPr>
          <w:sz w:val="20"/>
          <w:szCs w:val="20"/>
          <w:color w:val="auto"/>
        </w:rPr>
      </w:pPr>
    </w:p>
    <w:p>
      <w:pPr>
        <w:ind w:right="340" w:firstLine="522"/>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30"/>
        </w:trPr>
        <w:tc>
          <w:tcPr>
            <w:tcW w:w="58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gridSpan w:val="3"/>
          </w:tcPr>
          <w:p>
            <w:pPr>
              <w:jc w:val="right"/>
              <w:ind w:right="27"/>
              <w:spacing w:after="0" w:line="131" w:lineRule="exact"/>
              <w:rPr>
                <w:sz w:val="20"/>
                <w:szCs w:val="20"/>
                <w:color w:val="auto"/>
              </w:rPr>
            </w:pPr>
            <w:r>
              <w:rPr>
                <w:rFonts w:ascii="Arial" w:cs="Arial" w:eastAsia="Arial" w:hAnsi="Arial"/>
                <w:sz w:val="13"/>
                <w:szCs w:val="13"/>
                <w:b w:val="1"/>
                <w:bCs w:val="1"/>
                <w:color w:val="auto"/>
              </w:rPr>
              <w:t>Three Months Ended</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8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18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3"/>
                <w:szCs w:val="13"/>
                <w:b w:val="1"/>
                <w:bCs w:val="1"/>
                <w:color w:val="auto"/>
              </w:rPr>
              <w:t>March 31,</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80" w:type="dxa"/>
            <w:vAlign w:val="bottom"/>
            <w:tcBorders>
              <w:bottom w:val="single" w:sz="8" w:color="CFF0FC"/>
            </w:tcBorders>
            <w:vMerge w:val="continue"/>
          </w:tcPr>
          <w:p>
            <w:pPr>
              <w:spacing w:after="0"/>
              <w:rPr>
                <w:sz w:val="12"/>
                <w:szCs w:val="12"/>
                <w:color w:val="auto"/>
              </w:rPr>
            </w:pPr>
          </w:p>
        </w:tc>
        <w:tc>
          <w:tcPr>
            <w:tcW w:w="18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25"/>
              <w:spacing w:after="0" w:line="144"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23"/>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18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120</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color w:val="auto"/>
              </w:rPr>
              <w:t>plus: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34</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8"/>
        </w:trPr>
        <w:tc>
          <w:tcPr>
            <w:tcW w:w="58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85"/>
              <w:spacing w:after="0"/>
              <w:rPr>
                <w:sz w:val="20"/>
                <w:szCs w:val="20"/>
                <w:color w:val="auto"/>
              </w:rPr>
            </w:pPr>
            <w:r>
              <w:rPr>
                <w:rFonts w:ascii="Arial" w:cs="Arial" w:eastAsia="Arial" w:hAnsi="Arial"/>
                <w:sz w:val="16"/>
                <w:szCs w:val="16"/>
                <w:b w:val="1"/>
                <w:bCs w:val="1"/>
                <w:color w:val="auto"/>
              </w:rPr>
              <w:t>29</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25</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8"/>
        </w:trPr>
        <w:tc>
          <w:tcPr>
            <w:tcW w:w="588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85"/>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5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Unrealized (gain) loss on foreign exchange (b)</w:t>
            </w:r>
          </w:p>
        </w:tc>
        <w:tc>
          <w:tcPr>
            <w:tcW w:w="18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5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18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222</w:t>
            </w:r>
          </w:p>
        </w:tc>
        <w:tc>
          <w:tcPr>
            <w:tcW w:w="1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21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Borders>
              <w:top w:val="single" w:sz="8" w:color="auto"/>
            </w:tcBorders>
          </w:tcPr>
          <w:p>
            <w:pPr>
              <w:jc w:val="right"/>
              <w:ind w:right="207"/>
              <w:spacing w:after="0" w:line="163" w:lineRule="exact"/>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tcPr>
          <w:p>
            <w:pPr>
              <w:jc w:val="right"/>
              <w:ind w:right="85"/>
              <w:spacing w:after="0" w:line="163" w:lineRule="exact"/>
              <w:rPr>
                <w:sz w:val="20"/>
                <w:szCs w:val="20"/>
                <w:color w:val="auto"/>
              </w:rPr>
            </w:pPr>
            <w:r>
              <w:rPr>
                <w:rFonts w:ascii="Arial" w:cs="Arial" w:eastAsia="Arial" w:hAnsi="Arial"/>
                <w:sz w:val="16"/>
                <w:szCs w:val="16"/>
                <w:b w:val="1"/>
                <w:bCs w:val="1"/>
                <w:color w:val="auto"/>
              </w:rPr>
              <w:t>588</w:t>
            </w:r>
          </w:p>
        </w:tc>
        <w:tc>
          <w:tcPr>
            <w:tcW w:w="180" w:type="dxa"/>
            <w:vAlign w:val="bottom"/>
          </w:tcPr>
          <w:p>
            <w:pPr>
              <w:spacing w:after="0"/>
              <w:rPr>
                <w:sz w:val="14"/>
                <w:szCs w:val="14"/>
                <w:color w:val="auto"/>
              </w:rPr>
            </w:pPr>
          </w:p>
        </w:tc>
        <w:tc>
          <w:tcPr>
            <w:tcW w:w="540" w:type="dxa"/>
            <w:vAlign w:val="bottom"/>
            <w:tcBorders>
              <w:top w:val="single" w:sz="8" w:color="auto"/>
            </w:tcBorders>
          </w:tcPr>
          <w:p>
            <w:pPr>
              <w:jc w:val="right"/>
              <w:ind w:right="387"/>
              <w:spacing w:after="0" w:line="163"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03"/>
              <w:spacing w:after="0" w:line="163" w:lineRule="exact"/>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20.4%</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216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128</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color w:val="auto"/>
              </w:rPr>
              <w:t>Deductions to reconcile to Adjusted free cash flow:</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180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(21)</w:t>
            </w:r>
          </w:p>
        </w:tc>
        <w:tc>
          <w:tcPr>
            <w:tcW w:w="180" w:type="dxa"/>
            <w:vAlign w:val="bottom"/>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1800" w:type="dxa"/>
            <w:vAlign w:val="bottom"/>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ind w:right="85"/>
              <w:spacing w:after="0" w:line="180" w:lineRule="exact"/>
              <w:rPr>
                <w:sz w:val="20"/>
                <w:szCs w:val="20"/>
                <w:color w:val="auto"/>
              </w:rPr>
            </w:pPr>
            <w:r>
              <w:rPr>
                <w:rFonts w:ascii="Arial" w:cs="Arial" w:eastAsia="Arial" w:hAnsi="Arial"/>
                <w:sz w:val="16"/>
                <w:szCs w:val="16"/>
                <w:b w:val="1"/>
                <w:bCs w:val="1"/>
                <w:color w:val="auto"/>
              </w:rPr>
              <w:t>107</w:t>
            </w:r>
          </w:p>
        </w:tc>
        <w:tc>
          <w:tcPr>
            <w:tcW w:w="180" w:type="dxa"/>
            <w:vAlign w:val="bottom"/>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70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40" w:right="260" w:hanging="388"/>
        <w:spacing w:after="0" w:line="23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(gains) losses (recorded in Other income (expense), net) on intercompany financing transactions related to investments in plant assets for our India facility.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March 31, 2021 and 2020</w:t>
      </w:r>
    </w:p>
    <w:p>
      <w:pPr>
        <w:spacing w:after="0" w:line="10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March 31, 2021 and 2020.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Three Months Ended March 31,</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588</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297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49</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291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326</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51</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12</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111</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18</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180</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215</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33</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154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181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28</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120</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20%</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Net sales for the quarter ended March 31, 2021 were $588 million compared to $637 million for the quarter ended March 31, 2020, a decrease of 8%. The decrease was principally driven by a $33 million, or 9%, decrease in net sales in the North America On-Highway end market principally driven by lower demand due to the continued effects of the COVID-19 pandemic, a $16 million, or 12%, decrease in net sales in the Service Parts, Support Equipment and Other end market principally driven by lower demand for North America service parts, an $11 million, or 41%, decrease in net sales in the Outside North America Off-Highway end market principally driven by lower demand in the energy sector and a $6 million, or 75%, decrease in net sales in the North America Off-Highway end market principally driven by lower demand for hydraulic fracturing applications, partially offset by a $12 million, or 17%, increase in net sales in the Outside North America On-Highway end market principally driven by higher demand in Asia and a $5 million, or 13%, increase in net sales in the Defense end market principally driven by higher demand for Tracked vehicle applications.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220" w:firstLine="522"/>
        <w:spacing w:after="0" w:line="234" w:lineRule="auto"/>
        <w:rPr>
          <w:sz w:val="20"/>
          <w:szCs w:val="20"/>
          <w:color w:val="auto"/>
        </w:rPr>
      </w:pPr>
      <w:r>
        <w:rPr>
          <w:rFonts w:ascii="Arial" w:cs="Arial" w:eastAsia="Arial" w:hAnsi="Arial"/>
          <w:sz w:val="16"/>
          <w:szCs w:val="16"/>
          <w:color w:val="auto"/>
        </w:rPr>
        <w:t>Cost of sales for the quarter ended March 31, 2021 was $ 297 million compared to $311 million for the quarter ended March 31, 2020, a decrease of 5%. The decrease was principally driven by decreased direct material and manufacturing expense commensurate with decreased net sales, partially offset by unfavorable material costs and higher incentive compensation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Gross profit for the quarter ended March 31, 2021 was $291 million compared to $326 million for the quarter ended March 31, 2020, a decrease of 11%. The decrease was principally driven by $34 million related to decreased net sales, $7 million of unfavorable material costs and $6 million of higher incentive compensation expense, partially offset by $10 million of price increases on certain products. Gross profit as a percent of net sales for the three months ended March 31, 2021 decreased 170 basis points compared to the same period in 2020 principally driven by decreased net sales, unfavorable material costs and higher incentive compensation expense, partially offset by price increases on certain products.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280" w:firstLine="522"/>
        <w:spacing w:after="0" w:line="234" w:lineRule="auto"/>
        <w:rPr>
          <w:sz w:val="20"/>
          <w:szCs w:val="20"/>
          <w:color w:val="auto"/>
        </w:rPr>
      </w:pPr>
      <w:r>
        <w:rPr>
          <w:rFonts w:ascii="Arial" w:cs="Arial" w:eastAsia="Arial" w:hAnsi="Arial"/>
          <w:sz w:val="16"/>
          <w:szCs w:val="16"/>
          <w:color w:val="auto"/>
        </w:rPr>
        <w:t>Selling, general and administrative expenses for the quarter ended March 31, 2021 were $73 million compared to $75 million for the quarter ended March 31, 2020, a decrease of 3%. The decrease was principally driven by $5 million of lower commercial activities spending and $4 million of lower intangible amortization expense, partially offset by higher incentive compensation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100" w:firstLine="522"/>
        <w:spacing w:after="0" w:line="266" w:lineRule="auto"/>
        <w:rPr>
          <w:sz w:val="20"/>
          <w:szCs w:val="20"/>
          <w:color w:val="auto"/>
        </w:rPr>
      </w:pPr>
      <w:r>
        <w:rPr>
          <w:rFonts w:ascii="Arial" w:cs="Arial" w:eastAsia="Arial" w:hAnsi="Arial"/>
          <w:sz w:val="15"/>
          <w:szCs w:val="15"/>
          <w:color w:val="auto"/>
        </w:rPr>
        <w:t>Engineering expenses for the quarter ended March 31, 2021 were $38 million compared to $36 million for the quarter ended March 31, 2020, an increase of 6%. The increase was principally driven by higher incentive compensation expense, partially offset by the intra-year timing of product initiatives spending.</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right="120" w:firstLine="522"/>
        <w:spacing w:after="0" w:line="234" w:lineRule="auto"/>
        <w:rPr>
          <w:sz w:val="20"/>
          <w:szCs w:val="20"/>
          <w:color w:val="auto"/>
        </w:rPr>
      </w:pPr>
      <w:r>
        <w:rPr>
          <w:rFonts w:ascii="Arial" w:cs="Arial" w:eastAsia="Arial" w:hAnsi="Arial"/>
          <w:sz w:val="16"/>
          <w:szCs w:val="16"/>
          <w:color w:val="auto"/>
        </w:rPr>
        <w:t>Interest expense, net for the quarter ended March 31, 2021 was $29 million compared to $33 million for the quarter ended March 31, 2020, a decrease of 12%. The decrease was principally driven by $3 million of decreased interest expense due to lower interest rates as a result of our long-term debt refinancing in the fourth quarter of 2020 that extended maturities at lower fixed interest rates.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04" w:lineRule="exact"/>
        <w:rPr>
          <w:sz w:val="20"/>
          <w:szCs w:val="20"/>
          <w:color w:val="auto"/>
        </w:rPr>
      </w:pPr>
    </w:p>
    <w:p>
      <w:pPr>
        <w:ind w:right="260" w:firstLine="522"/>
        <w:spacing w:after="0" w:line="234" w:lineRule="auto"/>
        <w:rPr>
          <w:sz w:val="20"/>
          <w:szCs w:val="20"/>
          <w:color w:val="auto"/>
        </w:rPr>
      </w:pPr>
      <w:r>
        <w:rPr>
          <w:rFonts w:ascii="Arial" w:cs="Arial" w:eastAsia="Arial" w:hAnsi="Arial"/>
          <w:sz w:val="16"/>
          <w:szCs w:val="16"/>
          <w:color w:val="auto"/>
        </w:rPr>
        <w:t>Other income (expense), net for the quarter ended March 31, 2021 was $3 million compared to ($ 1) million for the quarter ended March 31, 2020. The change was principally driven by $3 million of favorable foreign exchange on intercompany financing and $2 million of favorable change associated with assets held in a rabbi trust.</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ind w:right="160" w:firstLine="522"/>
        <w:spacing w:after="0" w:line="255" w:lineRule="auto"/>
        <w:rPr>
          <w:sz w:val="20"/>
          <w:szCs w:val="20"/>
          <w:color w:val="auto"/>
        </w:rPr>
      </w:pPr>
      <w:r>
        <w:rPr>
          <w:rFonts w:ascii="Arial" w:cs="Arial" w:eastAsia="Arial" w:hAnsi="Arial"/>
          <w:sz w:val="15"/>
          <w:szCs w:val="15"/>
          <w:color w:val="auto"/>
        </w:rPr>
        <w:t>Income tax expense for the three months ended March 31, 2021 was $34 million, resulting in an effective tax rate of 22%, compared to $42 million of income tax expense and an effective tax rate of 23% for the three months ended March 31, 2020. The decrease in income tax expense was principally driven by decreased taxable income. The decrease in the effective tax rate was principally driven by increased estimated U.S. federal income tax deductions.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firstLine="522"/>
        <w:spacing w:after="0" w:line="229"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We had total available cash and cash equivalents of $295 million and $310 million as of March 31, 2021 and</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December 31, 2020, respectively. Of the available cash and cash equivalents, $ 110 million and $150 million were deposited in operating accounts as of March 31, 2021 and December 31, 2020, respectively, while $185 million and $160 million were invested in U.S. government backed securities as of March 31, 2021 and December 31, 2020, respectively.</w:t>
      </w:r>
    </w:p>
    <w:p>
      <w:pPr>
        <w:spacing w:after="0" w:line="84" w:lineRule="exact"/>
        <w:rPr>
          <w:sz w:val="20"/>
          <w:szCs w:val="20"/>
          <w:color w:val="auto"/>
        </w:rPr>
      </w:pPr>
    </w:p>
    <w:p>
      <w:pPr>
        <w:jc w:val="both"/>
        <w:ind w:right="180" w:firstLine="522"/>
        <w:spacing w:after="0" w:line="233" w:lineRule="auto"/>
        <w:rPr>
          <w:sz w:val="20"/>
          <w:szCs w:val="20"/>
          <w:color w:val="auto"/>
        </w:rPr>
      </w:pPr>
      <w:r>
        <w:rPr>
          <w:rFonts w:ascii="Arial" w:cs="Arial" w:eastAsia="Arial" w:hAnsi="Arial"/>
          <w:sz w:val="16"/>
          <w:szCs w:val="16"/>
          <w:color w:val="auto"/>
        </w:rPr>
        <w:t>As of March 31, 2021, the total of cash and cash equivalents held by foreign subsidiaries was $79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31" w:lineRule="exact"/>
        <w:rPr>
          <w:sz w:val="20"/>
          <w:szCs w:val="20"/>
          <w:color w:val="auto"/>
        </w:rPr>
      </w:pPr>
    </w:p>
    <w:p>
      <w:pPr>
        <w:jc w:val="both"/>
        <w:ind w:right="20" w:firstLine="522"/>
        <w:spacing w:after="0" w:line="233"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31" w:lineRule="exact"/>
        <w:rPr>
          <w:sz w:val="20"/>
          <w:szCs w:val="20"/>
          <w:color w:val="auto"/>
        </w:rPr>
      </w:pPr>
    </w:p>
    <w:p>
      <w:pPr>
        <w:ind w:right="120" w:firstLine="522"/>
        <w:spacing w:after="0" w:line="231" w:lineRule="auto"/>
        <w:rPr>
          <w:sz w:val="20"/>
          <w:szCs w:val="20"/>
          <w:color w:val="auto"/>
        </w:rPr>
      </w:pPr>
      <w:r>
        <w:rPr>
          <w:rFonts w:ascii="Arial" w:cs="Arial" w:eastAsia="Arial" w:hAnsi="Arial"/>
          <w:sz w:val="16"/>
          <w:szCs w:val="16"/>
          <w:color w:val="auto"/>
        </w:rPr>
        <w:t>Our liquidity requirements are significant, primarily due to our debt service requirements. As of March 31, 2021, we had $636 million of indebtedness associated with ATI’s New Term Loan, $400 million of indebtedness associated with ATI’s 4.75% Senior Notes due October 2027 (“4.75% Senior Notes”), $ 500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New Term Loan through its maturity date of March 2026 and periodic interest payments on ATI’s New Term Loan and the Senior Notes. There are no required quarterly principal payments on ATI’s Senior Notes. Long-term debt service liquidity requirements also consist of the payment in full of any remaining principal balance of ATI’s New Term Loan and the Senior Notes upon their respective maturity dates.</w:t>
      </w:r>
    </w:p>
    <w:p>
      <w:pPr>
        <w:spacing w:after="0" w:line="133" w:lineRule="exact"/>
        <w:rPr>
          <w:sz w:val="20"/>
          <w:szCs w:val="20"/>
          <w:color w:val="auto"/>
        </w:rPr>
      </w:pPr>
    </w:p>
    <w:p>
      <w:pPr>
        <w:ind w:right="260" w:firstLine="522"/>
        <w:spacing w:after="0" w:line="234" w:lineRule="auto"/>
        <w:rPr>
          <w:sz w:val="20"/>
          <w:szCs w:val="20"/>
          <w:color w:val="auto"/>
        </w:rPr>
      </w:pPr>
      <w:r>
        <w:rPr>
          <w:rFonts w:ascii="Arial" w:cs="Arial" w:eastAsia="Arial" w:hAnsi="Arial"/>
          <w:sz w:val="16"/>
          <w:szCs w:val="16"/>
          <w:color w:val="auto"/>
        </w:rPr>
        <w:t>We made $2 million of principal payments on the New Term Loan during each of the three months ended March 31, 2021 and 2020. Our ability to make payments on and refinance our indebtedness and to fund planned capital expenditures and growth initiatives will depend on our ability to generate cash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firstLine="522"/>
        <w:spacing w:after="0" w:line="247" w:lineRule="auto"/>
        <w:rPr>
          <w:sz w:val="20"/>
          <w:szCs w:val="20"/>
          <w:color w:val="auto"/>
        </w:rPr>
      </w:pPr>
      <w:r>
        <w:rPr>
          <w:rFonts w:ascii="Arial" w:cs="Arial" w:eastAsia="Arial" w:hAnsi="Arial"/>
          <w:sz w:val="15"/>
          <w:szCs w:val="15"/>
          <w:color w:val="auto"/>
        </w:rPr>
        <w:t>The New Senior Secured Credit Facility provides for a $650 million New Revolving Credit Facility, net of an allowance for up to $75 million in outstanding letter of credit commitments. As of March 31, 2021, we had $645 million available under the New Revolving Credit Facility, net of $5 million in letters of credit.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March 31, 2021, our first lien net leverage ratio was 0.49x.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28"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2021, we are in compliance with all covenants under the New Senior Secured Credit Facility and indentures governing the Senior Notes.</w:t>
      </w:r>
    </w:p>
    <w:p>
      <w:pPr>
        <w:spacing w:after="0" w:line="134" w:lineRule="exact"/>
        <w:rPr>
          <w:sz w:val="20"/>
          <w:szCs w:val="20"/>
          <w:color w:val="auto"/>
        </w:rPr>
      </w:pPr>
    </w:p>
    <w:p>
      <w:pPr>
        <w:jc w:val="both"/>
        <w:ind w:right="120" w:firstLine="522"/>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the New Term Loan at ‘Baa3’, the 4.75% Senior Notes at ‘Ba3’, the 5.875% Senior Notes at 'Ba3' and the 3.75% Senior Notes at ‘Ba3’. Fitch rates our corporate credit at ‘BB’, the New Term Loan at ‘BB+’, the 4.75% Senior Notes at ‘BB’, the 5.875% Senior Notes at 'BB' and the 3.75% Senior Notes at ‘BB’.</w:t>
      </w:r>
    </w:p>
    <w:p>
      <w:pPr>
        <w:spacing w:after="0" w:line="84" w:lineRule="exact"/>
        <w:rPr>
          <w:sz w:val="20"/>
          <w:szCs w:val="20"/>
          <w:color w:val="auto"/>
        </w:rPr>
      </w:pPr>
    </w:p>
    <w:p>
      <w:pPr>
        <w:ind w:right="40" w:firstLine="522"/>
        <w:spacing w:after="0" w:line="250" w:lineRule="auto"/>
        <w:rPr>
          <w:sz w:val="20"/>
          <w:szCs w:val="20"/>
          <w:color w:val="auto"/>
        </w:rPr>
      </w:pPr>
      <w:r>
        <w:rPr>
          <w:rFonts w:ascii="Arial" w:cs="Arial" w:eastAsia="Arial" w:hAnsi="Arial"/>
          <w:sz w:val="15"/>
          <w:szCs w:val="15"/>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$500 million, $500 million and $1,000 million, respectively, bringing the total amount authorized under the Repurchase Program to $3,000 million. During the three months ended March 31, 2021, we repurchased $96 million of our common stock under the Repurchase Program. All of the repurchase transactions during the three months ended March 31, 2021 were settled in cash during the same period. As of March 31, 2021, we had $731 million available under the Repurchase Program.</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three months ended March 31, 2021 and 2020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1120" w:type="dxa"/>
            <w:vAlign w:val="bottom"/>
            <w:tcBorders>
              <w:bottom w:val="single" w:sz="8" w:color="auto"/>
            </w:tcBorders>
          </w:tcPr>
          <w:p>
            <w:pPr>
              <w:spacing w:after="0"/>
              <w:rPr>
                <w:sz w:val="13"/>
                <w:szCs w:val="13"/>
                <w:color w:val="auto"/>
              </w:rPr>
            </w:pPr>
          </w:p>
        </w:tc>
      </w:tr>
      <w:tr>
        <w:trPr>
          <w:trHeight w:val="144"/>
        </w:trPr>
        <w:tc>
          <w:tcPr>
            <w:tcW w:w="774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1000" w:type="dxa"/>
            <w:vAlign w:val="bottom"/>
            <w:tcBorders>
              <w:bottom w:val="single" w:sz="8" w:color="auto"/>
            </w:tcBorders>
          </w:tcPr>
          <w:p>
            <w:pPr>
              <w:jc w:val="right"/>
              <w:ind w:right="6"/>
              <w:spacing w:after="0" w:line="144"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000" w:type="dxa"/>
            <w:vAlign w:val="bottom"/>
            <w:shd w:val="clear" w:color="auto" w:fill="CFF0FC"/>
          </w:tcPr>
          <w:p>
            <w:pPr>
              <w:jc w:val="right"/>
              <w:ind w:right="826"/>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128</w:t>
            </w:r>
          </w:p>
        </w:tc>
        <w:tc>
          <w:tcPr>
            <w:tcW w:w="740" w:type="dxa"/>
            <w:vAlign w:val="bottom"/>
            <w:gridSpan w:val="2"/>
            <w:shd w:val="clear" w:color="auto" w:fill="CFF0FC"/>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148</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000" w:type="dxa"/>
            <w:vAlign w:val="bottom"/>
          </w:tcPr>
          <w:p>
            <w:pPr>
              <w:jc w:val="right"/>
              <w:ind w:right="826"/>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
              <w:spacing w:after="0"/>
              <w:rPr>
                <w:sz w:val="20"/>
                <w:szCs w:val="20"/>
                <w:color w:val="auto"/>
              </w:rPr>
            </w:pPr>
            <w:r>
              <w:rPr>
                <w:rFonts w:ascii="Arial" w:cs="Arial" w:eastAsia="Arial" w:hAnsi="Arial"/>
                <w:sz w:val="16"/>
                <w:szCs w:val="16"/>
                <w:color w:val="auto"/>
              </w:rPr>
              <w:t>(21)</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1000" w:type="dxa"/>
            <w:vAlign w:val="bottom"/>
            <w:shd w:val="clear" w:color="auto" w:fill="CFF0FC"/>
          </w:tcPr>
          <w:p>
            <w:pPr>
              <w:jc w:val="right"/>
              <w:ind w:right="826"/>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w:t>
            </w:r>
          </w:p>
        </w:tc>
        <w:tc>
          <w:tcPr>
            <w:tcW w:w="74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(203)</w:t>
            </w:r>
          </w:p>
        </w:tc>
      </w:tr>
    </w:tbl>
    <w:p>
      <w:pPr>
        <w:spacing w:after="0" w:line="211" w:lineRule="exact"/>
        <w:rPr>
          <w:sz w:val="20"/>
          <w:szCs w:val="20"/>
          <w:color w:val="auto"/>
        </w:rPr>
      </w:pPr>
    </w:p>
    <w:p>
      <w:pPr>
        <w:ind w:right="100" w:firstLine="522"/>
        <w:spacing w:after="0" w:line="233" w:lineRule="auto"/>
        <w:rPr>
          <w:sz w:val="20"/>
          <w:szCs w:val="20"/>
          <w:color w:val="auto"/>
        </w:rPr>
      </w:pPr>
      <w:r>
        <w:rPr>
          <w:rFonts w:ascii="Arial" w:cs="Arial" w:eastAsia="Arial" w:hAnsi="Arial"/>
          <w:sz w:val="16"/>
          <w:szCs w:val="16"/>
          <w:color w:val="auto"/>
        </w:rPr>
        <w:t>Generally, cash provided by operating activities has been adequate to fund our operations. We have significant liquidity, including $295 million of cash and cash equivalents and $645 million available under the New Revolving Credit Facility, net of $5 million of letters of credit, as of March 31, 2021. At this time, we believe cash provided by operating activities, cash and cash equivalents and borrowing capacity under the New Senior Secured Credit Facility will be sufficient to meet our cash requirements for the next twelve months.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ind w:right="460" w:firstLine="522"/>
        <w:spacing w:after="0" w:line="234" w:lineRule="auto"/>
        <w:rPr>
          <w:sz w:val="20"/>
          <w:szCs w:val="20"/>
          <w:color w:val="auto"/>
        </w:rPr>
      </w:pPr>
      <w:r>
        <w:rPr>
          <w:rFonts w:ascii="Arial" w:cs="Arial" w:eastAsia="Arial" w:hAnsi="Arial"/>
          <w:sz w:val="16"/>
          <w:szCs w:val="16"/>
          <w:color w:val="auto"/>
        </w:rPr>
        <w:t>Operating activities for the three months ended March 31, 2021 generated $128 million of cash compared to $148 million for the three months ended March 31, 2020. The decrease was principally driven by higher operating working capital requirements and lower gross profit, partially offset by lower cash incentive compensation expense and lower cash income taxes.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Investing activities for each of the three months ended March 31, 2021 and 2020 used $21 million of cash.</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04"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Financing activities for the three months ended March 31, 2021 used $ 121 million of cash compared to $203 million for the three months ended March 31, 2020. The decrease was principally driven by an $84 million decrease in stock repurchases.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ind w:right="120" w:firstLine="522"/>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2020 as filed with the Securities and Exchange Commission on February 18, 2021.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right="60" w:firstLine="522"/>
        <w:spacing w:after="0" w:line="231"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increases in cost, disruption of supply or shortage of raw materials or components used in our products, including as a result of the COVID-19 pandemic;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labor strikes, work stoppages or similar labor disputes, which could significantly disrupt our operations or those of our principal customers; and our intention to pay dividends and repurchase shares of our common stock.</w:t>
      </w:r>
    </w:p>
    <w:p>
      <w:pPr>
        <w:spacing w:after="0" w:line="85"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2020 as filed with the SEC on February 18, 2021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01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39" w:lineRule="exact"/>
        <w:rPr>
          <w:sz w:val="20"/>
          <w:szCs w:val="20"/>
          <w:color w:val="auto"/>
        </w:rPr>
      </w:pPr>
    </w:p>
    <w:p>
      <w:pPr>
        <w:ind w:left="260" w:right="1280" w:firstLine="259"/>
        <w:spacing w:after="0" w:line="35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ind w:right="100" w:firstLine="528"/>
        <w:spacing w:after="0" w:line="232"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$1,281 million, including $645 million under our New Revolving Credit Facility, net of $5 million of letters of credit. A one-eighth percent increase or decrease in assumed interest rates for the New Senior Secured Credit Facility, if fully drawn as of March 31, 2021, would have an impact of approximately $1 million on interest expense per year. As of March 31, 2021, we had no outstanding borrowings against the New Revolving Credit Facility.</w:t>
      </w:r>
    </w:p>
    <w:p>
      <w:pPr>
        <w:spacing w:after="0" w:line="85"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From time to time, we enter into interest rate swap agreements to hedge the risk associated with our variable interest rate debt. As of March 31, 2021,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4" w:lineRule="exact"/>
        <w:rPr>
          <w:sz w:val="20"/>
          <w:szCs w:val="20"/>
          <w:color w:val="auto"/>
        </w:rPr>
      </w:pPr>
    </w:p>
    <w:p>
      <w:pPr>
        <w:ind w:right="40" w:firstLine="528"/>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$6 million per year. We believe our other exposure to foreign currencies is immaterial.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As of March 31, 2021, approximately 65%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4"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$4 million and $5 million per year, respectively.</w:t>
      </w:r>
    </w:p>
    <w:p>
      <w:pPr>
        <w:spacing w:after="0" w:line="83" w:lineRule="exact"/>
        <w:rPr>
          <w:sz w:val="20"/>
          <w:szCs w:val="20"/>
          <w:color w:val="auto"/>
        </w:rPr>
      </w:pPr>
    </w:p>
    <w:p>
      <w:pPr>
        <w:ind w:right="300" w:firstLine="528"/>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ind w:right="80" w:firstLine="528"/>
        <w:spacing w:after="0" w:line="233"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ind w:right="80" w:firstLine="528"/>
        <w:spacing w:after="0" w:line="237" w:lineRule="auto"/>
        <w:rPr>
          <w:sz w:val="20"/>
          <w:szCs w:val="20"/>
          <w:color w:val="auto"/>
        </w:rPr>
      </w:pPr>
      <w:r>
        <w:rPr>
          <w:rFonts w:ascii="Arial" w:cs="Arial" w:eastAsia="Arial" w:hAnsi="Arial"/>
          <w:sz w:val="16"/>
          <w:szCs w:val="16"/>
          <w:color w:val="auto"/>
        </w:rPr>
        <w:t>There have been no material changes from our risk factors as previously reported in Part I, Item 1A of our Annual Report on Form 10-K for the year ended December 31, 2020 as filed with the Securities and Exchange Commission on February 18,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sets forth information related to our repurchases of our common stock on a monthly basis in the three months ended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3"/>
              </w:rPr>
              <w:t>Total Number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of Shares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3"/>
              </w:rPr>
              <w:t>Purchased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as Part of</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2"/>
              </w:rPr>
              <w:t>Publicly</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Average</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Announced</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28"/>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Plans or</w:t>
            </w: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Programs(1)</w:t>
            </w:r>
          </w:p>
        </w:tc>
        <w:tc>
          <w:tcPr>
            <w:tcW w:w="2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January 1 – January 31, 2021</w:t>
            </w:r>
          </w:p>
        </w:tc>
        <w:tc>
          <w:tcPr>
            <w:tcW w:w="12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133,091</w:t>
            </w:r>
          </w:p>
        </w:tc>
        <w:tc>
          <w:tcPr>
            <w:tcW w:w="32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41.78</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133,091</w:t>
            </w: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821,398,668</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February 1 – February 28, 2021</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617,124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rPr>
                <w:sz w:val="20"/>
                <w:szCs w:val="20"/>
                <w:color w:val="auto"/>
              </w:rPr>
            </w:pPr>
            <w:r>
              <w:rPr>
                <w:rFonts w:ascii="Arial" w:cs="Arial" w:eastAsia="Arial" w:hAnsi="Arial"/>
                <w:sz w:val="16"/>
                <w:szCs w:val="16"/>
                <w:color w:val="auto"/>
              </w:rPr>
              <w:t>38.65</w:t>
            </w:r>
          </w:p>
        </w:tc>
        <w:tc>
          <w:tcPr>
            <w:tcW w:w="12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6"/>
                <w:szCs w:val="16"/>
                <w:color w:val="auto"/>
              </w:rPr>
              <w:t>617,124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797,548,162</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March 1 – March 31, 2021</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1,639,884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40.88</w:t>
            </w:r>
          </w:p>
        </w:tc>
        <w:tc>
          <w:tcPr>
            <w:tcW w:w="120" w:type="dxa"/>
            <w:vAlign w:val="bottom"/>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1,639,884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730,502,021</w:t>
            </w:r>
          </w:p>
        </w:tc>
      </w:tr>
      <w:tr>
        <w:trPr>
          <w:trHeight w:val="180"/>
        </w:trPr>
        <w:tc>
          <w:tcPr>
            <w:tcW w:w="58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2,390,099</w:t>
            </w:r>
          </w:p>
        </w:tc>
        <w:tc>
          <w:tcPr>
            <w:tcW w:w="3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line="180" w:lineRule="exact"/>
              <w:rPr>
                <w:sz w:val="20"/>
                <w:szCs w:val="20"/>
                <w:color w:val="auto"/>
              </w:rPr>
            </w:pPr>
            <w:r>
              <w:rPr>
                <w:rFonts w:ascii="Arial" w:cs="Arial" w:eastAsia="Arial" w:hAnsi="Arial"/>
                <w:sz w:val="16"/>
                <w:szCs w:val="16"/>
                <w:color w:val="auto"/>
              </w:rPr>
              <w:t>40.36</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2,390,099</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180" w:hanging="396"/>
        <w:spacing w:after="0" w:line="23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values reflect the amounts that may be repurchased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5"/>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0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5"/>
          </w:tcPr>
          <w:p>
            <w:pPr>
              <w:spacing w:after="0"/>
              <w:rPr>
                <w:rFonts w:ascii="Arial" w:cs="Arial" w:eastAsia="Arial" w:hAnsi="Arial"/>
                <w:sz w:val="16"/>
                <w:szCs w:val="16"/>
                <w:color w:val="0000EE"/>
                <w:w w:val="97"/>
              </w:rPr>
            </w:pPr>
            <w:hyperlink w:anchor="page38">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4"/>
          </w:tcPr>
          <w:p>
            <w:pPr>
              <w:ind w:left="60"/>
              <w:spacing w:after="0"/>
              <w:rPr>
                <w:rFonts w:ascii="Arial" w:cs="Arial" w:eastAsia="Arial" w:hAnsi="Arial"/>
                <w:sz w:val="16"/>
                <w:szCs w:val="16"/>
                <w:color w:val="0000EE"/>
              </w:rPr>
            </w:pPr>
            <w:hyperlink w:anchor="page38">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38">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3"/>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5"/>
          </w:tcPr>
          <w:p>
            <w:pPr>
              <w:spacing w:after="0"/>
              <w:rPr>
                <w:rFonts w:ascii="Arial" w:cs="Arial" w:eastAsia="Arial" w:hAnsi="Arial"/>
                <w:sz w:val="16"/>
                <w:szCs w:val="16"/>
                <w:color w:val="0000EE"/>
                <w:w w:val="98"/>
              </w:rPr>
            </w:pPr>
            <w:hyperlink w:anchor="page39">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4"/>
          </w:tcPr>
          <w:p>
            <w:pPr>
              <w:ind w:left="20"/>
              <w:spacing w:after="0"/>
              <w:rPr>
                <w:rFonts w:ascii="Arial" w:cs="Arial" w:eastAsia="Arial" w:hAnsi="Arial"/>
                <w:sz w:val="16"/>
                <w:szCs w:val="16"/>
                <w:color w:val="0000EE"/>
                <w:w w:val="98"/>
              </w:rPr>
            </w:pPr>
            <w:hyperlink w:anchor="page39">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39">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0">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400" w:hanging="1359"/>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March 31, 2021, formatted</w:t>
      </w:r>
    </w:p>
    <w:p>
      <w:pPr>
        <w:ind w:left="1400" w:right="60"/>
        <w:spacing w:after="0" w:line="234" w:lineRule="auto"/>
        <w:rPr>
          <w:rFonts w:ascii="Arial" w:cs="Arial" w:eastAsia="Arial" w:hAnsi="Arial"/>
          <w:sz w:val="16"/>
          <w:szCs w:val="16"/>
          <w:color w:val="auto"/>
        </w:rPr>
      </w:pPr>
      <w:r>
        <w:rPr>
          <w:rFonts w:ascii="Arial" w:cs="Arial" w:eastAsia="Arial" w:hAnsi="Arial"/>
          <w:sz w:val="16"/>
          <w:szCs w:val="16"/>
          <w:color w:val="auto"/>
        </w:rPr>
        <w:t>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96" w:lineRule="exact"/>
        <w:rPr>
          <w:sz w:val="20"/>
          <w:szCs w:val="20"/>
          <w:color w:val="auto"/>
        </w:rPr>
      </w:pPr>
    </w:p>
    <w:p>
      <w:pPr>
        <w:ind w:left="1400" w:right="380" w:hanging="1359"/>
        <w:spacing w:after="0" w:line="237"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March 31, 2021,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47"/>
        </w:trPr>
        <w:tc>
          <w:tcPr>
            <w:tcW w:w="1980" w:type="dxa"/>
            <w:vAlign w:val="bottom"/>
          </w:tcPr>
          <w:p>
            <w:pPr>
              <w:spacing w:after="0"/>
              <w:rPr>
                <w:sz w:val="20"/>
                <w:szCs w:val="20"/>
                <w:color w:val="auto"/>
              </w:rPr>
            </w:pPr>
            <w:r>
              <w:rPr>
                <w:rFonts w:ascii="Arial" w:cs="Arial" w:eastAsia="Arial" w:hAnsi="Arial"/>
                <w:sz w:val="16"/>
                <w:szCs w:val="16"/>
                <w:color w:val="auto"/>
              </w:rPr>
              <w:t>Date: April 29, 2021</w:t>
            </w:r>
          </w:p>
        </w:tc>
        <w:tc>
          <w:tcPr>
            <w:tcW w:w="1060" w:type="dxa"/>
            <w:vAlign w:val="bottom"/>
          </w:tcPr>
          <w:p>
            <w:pPr>
              <w:ind w:left="60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67"/>
        </w:trPr>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59"/>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188"/>
        </w:trPr>
        <w:tc>
          <w:tcPr>
            <w:tcW w:w="1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Executive Officer)</w:t>
            </w:r>
          </w:p>
        </w:tc>
      </w:tr>
      <w:tr>
        <w:trPr>
          <w:trHeight w:val="564"/>
        </w:trPr>
        <w:tc>
          <w:tcPr>
            <w:tcW w:w="1980" w:type="dxa"/>
            <w:vAlign w:val="bottom"/>
          </w:tcPr>
          <w:p>
            <w:pPr>
              <w:spacing w:after="0"/>
              <w:rPr>
                <w:sz w:val="20"/>
                <w:szCs w:val="20"/>
                <w:color w:val="auto"/>
              </w:rPr>
            </w:pPr>
            <w:r>
              <w:rPr>
                <w:rFonts w:ascii="Arial" w:cs="Arial" w:eastAsia="Arial" w:hAnsi="Arial"/>
                <w:sz w:val="16"/>
                <w:szCs w:val="16"/>
                <w:color w:val="auto"/>
              </w:rPr>
              <w:t>Date: April 29, 2021</w:t>
            </w:r>
          </w:p>
        </w:tc>
        <w:tc>
          <w:tcPr>
            <w:tcW w:w="1060" w:type="dxa"/>
            <w:vAlign w:val="bottom"/>
          </w:tcPr>
          <w:p>
            <w:pPr>
              <w:ind w:left="60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67"/>
        </w:trPr>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188"/>
        </w:trPr>
        <w:tc>
          <w:tcPr>
            <w:tcW w:w="1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Financial Officer and Principal Accounting Officer)</w:t>
            </w:r>
          </w:p>
        </w:tc>
      </w:tr>
      <w:tr>
        <w:trPr>
          <w:trHeight w:val="775"/>
        </w:trPr>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37</w:t>
            </w:r>
          </w:p>
        </w:tc>
      </w:tr>
    </w:tbl>
    <w:p>
      <w:pPr>
        <w:sectPr>
          <w:pgSz w:w="11900" w:h="16838" w:orient="portrait"/>
          <w:cols w:equalWidth="0" w:num="1">
            <w:col w:w="10440"/>
          </w:cols>
          <w:pgMar w:left="320" w:top="140" w:right="11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145"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April 29,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8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6"/>
          </w:cols>
          <w:pgMar w:left="314" w:top="123"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344"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April 29,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17512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6"/>
          </w:cols>
          <w:pgMar w:left="314" w:top="123"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left="6" w:right="220" w:firstLine="751"/>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March 31, 2021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0" w:lineRule="exact"/>
        <w:rPr>
          <w:sz w:val="20"/>
          <w:szCs w:val="20"/>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April 29, 2021</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April 29, 2021</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66"/>
      </w:cols>
      <w:pgMar w:left="314"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2021-04-29T08:15:36Z</dcterms:created>
  <dcterms:modified xsi:type="dcterms:W3CDTF">2021-04-29T08:15:36Z</dcterms:modified>
</cp:coreProperties>
</file>